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INTRODUCCIÓN — Versión 1</w:t>
      </w:r>
    </w:p>
    <w:p>
      <w:r>
        <w:rPr>
          <w:rFonts w:ascii="Times New Roman" w:hAnsi="Times New Roman"/>
          <w:i/>
          <w:sz w:val="20"/>
        </w:rPr>
        <w:t>Elaborada siguiendo la estructura de «Cómo elaborar la introducción en un trabajo de investigación» (tema → interés → metodología → objetivos → estructura), con el contenido del outline del paper de dry spells en Chile.</w:t>
      </w:r>
    </w:p>
    <w:p>
      <w:pPr>
        <w:spacing w:before="240" w:after="120"/>
      </w:pPr>
      <w:r>
        <w:rPr>
          <w:rFonts w:ascii="Times New Roman" w:hAnsi="Times New Roman"/>
          <w:b/>
          <w:sz w:val="28"/>
        </w:rPr>
        <w:t>INTRODUCCIÓN</w:t>
      </w:r>
    </w:p>
    <w:p>
      <w:pPr>
        <w:ind w:firstLine="432"/>
        <w:jc w:val="both"/>
      </w:pPr>
      <w:r>
        <w:rPr>
          <w:rFonts w:ascii="Times New Roman" w:hAnsi="Times New Roman"/>
          <w:sz w:val="24"/>
        </w:rPr>
        <w:t>La presente investigación se refiere al tema de los periodos secos consecutivos (dry spells) y, en particular, a los cambios en la distribución de sus duraciones en Chile continental. Un dry spell se define aquí como una racha continua de días secos, esto es, días en que la precipitación diaria es menor que un umbral de día húmedo. Su duración es el número de días de esa racha. La característica principal de este enfoque es que no se limita a preguntar cuánta lluvia cae en promedio, sino cómo se reparte la sequedad en el tiempo: con qué frecuencia ocurren rachas y qué tan largas llegan a ser, incluyendo la cola de eventos extremadamente prolongados.</w:t>
      </w:r>
    </w:p>
    <w:p>
      <w:pPr>
        <w:ind w:firstLine="432"/>
        <w:jc w:val="both"/>
      </w:pPr>
      <w:r>
        <w:rPr>
          <w:rFonts w:ascii="Times New Roman" w:hAnsi="Times New Roman"/>
          <w:sz w:val="24"/>
        </w:rPr>
        <w:t>Para analizar esta problemática es necesario mencionar sus causas y su relevancia. Chile ha experimentado megasequías y una marcada variabilidad hidrológica, de modo que el total anual de precipitación puede enmascarar cambios en la frecuencia y persistencia de periodos secos (Garreaud et al., 2017, 2020; Boisier et al., 2016). Dos climas con la misma precipitación anual pueden diferir radicalmente en intermitencia —por ejemplo, 300 mm repartidos en dos eventos frente a quince— con consecuencias distintas para reservorios, agricultura y ecosistemas. Las métricas agregadas (medias, percentiles diarios o índices de sequía basados en acumulados) no caracterizan de forma explícita la duración de rachas secas consecutivas. En cambio, las distribuciones de probabilidad (PDFs) de duración de dry spells ofrecen un marco parsimonioso para describir esa intermitencia y sus extremos, en línea con enfoques distributivos recientes para precipitación (Martinez-Villalobos y Neelin, 2018, 2019).</w:t>
      </w:r>
    </w:p>
    <w:p>
      <w:pPr>
        <w:ind w:firstLine="432"/>
        <w:jc w:val="both"/>
      </w:pPr>
      <w:r>
        <w:rPr>
          <w:rFonts w:ascii="Times New Roman" w:hAnsi="Times New Roman"/>
          <w:sz w:val="24"/>
        </w:rPr>
        <w:t>A la sequía observada en Chile central se suman proyecciones de menor precipitación bajo escenarios de calentamiento, con señal robusta en ensambles CMIP6 hacia fines de siglo, incluyendo trayectorias de altas emisiones como SSP5-8.5 (Salazar et al., 2024). Sin embargo, saber que “llueve menos en promedio” no equivale a saber si las rachas se alargan o si aumenta la probabilidad de spells muy largos. Ese es el núcleo temático de este trabajo: la historia científica principal son los cambios en la distribución de dry spells (histórico vs. futuro), no el sesgo de umbral entre productos como eje central.</w:t>
      </w:r>
    </w:p>
    <w:p>
      <w:pPr>
        <w:spacing w:before="240" w:after="120"/>
      </w:pPr>
      <w:r>
        <w:rPr>
          <w:rFonts w:ascii="Times New Roman" w:hAnsi="Times New Roman"/>
          <w:b/>
          <w:sz w:val="24"/>
        </w:rPr>
        <w:t>Interés de la investigación</w:t>
      </w:r>
    </w:p>
    <w:p>
      <w:pPr>
        <w:ind w:firstLine="432"/>
        <w:jc w:val="both"/>
      </w:pPr>
      <w:r>
        <w:rPr>
          <w:rFonts w:ascii="Times New Roman" w:hAnsi="Times New Roman"/>
          <w:sz w:val="24"/>
        </w:rPr>
        <w:t>La investigación de esta problemática se realizó por el interés de conocer cómo se reparten las duraciones de dry spells en Chile cuando se compara una referencia observacional gridded (CR2MET) con un modelo climático regional (ALADIN CHP12), y cuánto cambia la probabilidad de spells largos en proyecciones futuras bajo SSP5-8.5. Esto permitió plantear de forma explícita dos preguntas: ¿cómo representa ALADIN las PDFs de duración frente a CR2MET en el periodo histórico, una vez calibrado el umbral de día húmedo? ¿y cómo cambia la probabilidad de spells largos a mediados de siglo?</w:t>
      </w:r>
    </w:p>
    <w:p>
      <w:pPr>
        <w:ind w:firstLine="432"/>
        <w:jc w:val="both"/>
      </w:pPr>
      <w:r>
        <w:rPr>
          <w:rFonts w:ascii="Times New Roman" w:hAnsi="Times New Roman"/>
          <w:sz w:val="24"/>
        </w:rPr>
        <w:t>Profundizar la indagación desde la perspectiva de la climatología regional y el análisis distributivo de extremos fue un interés académico. Asimismo, nos interesamos por aportar evidencia cuantitativa —PDFs por cuenca, risk ratios regionales y mapas de precipitación anual y de duración media de rachas— útil para la evaluación de modelos regionales y para la discusión de riesgo de persistencia seca en planificación adaptativa. En el ámbito profesional y formativo de la tesis, el interés versó en articular un marco operativo (definición de dry spell, umbral calibrado R₀, métricas de excedencia) reproducible sobre datos abiertos de Chile.</w:t>
      </w:r>
    </w:p>
    <w:p>
      <w:pPr>
        <w:spacing w:before="240" w:after="120"/>
      </w:pPr>
      <w:r>
        <w:rPr>
          <w:rFonts w:ascii="Times New Roman" w:hAnsi="Times New Roman"/>
          <w:b/>
          <w:sz w:val="24"/>
        </w:rPr>
        <w:t>Metodología y estrategia empleada</w:t>
      </w:r>
    </w:p>
    <w:p>
      <w:pPr>
        <w:ind w:firstLine="432"/>
        <w:jc w:val="both"/>
      </w:pPr>
      <w:r>
        <w:rPr>
          <w:rFonts w:ascii="Times New Roman" w:hAnsi="Times New Roman"/>
          <w:sz w:val="24"/>
        </w:rPr>
        <w:t>En el marco del análisis de precipitación diaria y de rachas secas, la investigación se realizó con CR2MET v2.5 como referencia histórica (1980–2014) y con ALADIN CHP12 para el mismo periodo histórico y para el futuro SSP5-8.5 (2040–2074). CR2MET se interpoló linealmente a los centros de celda de ALADIN para comparaciones píxel a píxel. Se definió wet day como precipitación diaria mayor o igual a un umbral R, y dry day como precipitación estrictamente menor que R; un dry spell es la racha consecutiva de días secos.</w:t>
      </w:r>
    </w:p>
    <w:p>
      <w:pPr>
        <w:ind w:firstLine="432"/>
        <w:jc w:val="both"/>
      </w:pPr>
      <w:r>
        <w:rPr>
          <w:rFonts w:ascii="Times New Roman" w:hAnsi="Times New Roman"/>
          <w:sz w:val="24"/>
        </w:rPr>
        <w:t>Dado que CR2MET y ALADIN no definen wet days de la misma forma, se calibró un umbral R₀ = 5.285 mm en ALADIN (criterio i, global) para igualar la fracción espacial media de wet days de CR2MET a 1 mm. Sin esa calibración, ALADIN a 1 mm produce más días “húmedos” débiles y dry spells artificialmente más cortos y numerosos. La sensibilidad a otros criterios (mismo umbral de 1 mm; calibración local por píxel) se documenta de forma auxiliar y en material suplementario: el sesgo de umbral se trata como paso metodológico, no como pregunta científica central.</w:t>
      </w:r>
    </w:p>
    <w:p>
      <w:pPr>
        <w:ind w:firstLine="432"/>
        <w:jc w:val="both"/>
      </w:pPr>
      <w:r>
        <w:rPr>
          <w:rFonts w:ascii="Times New Roman" w:hAnsi="Times New Roman"/>
          <w:sz w:val="24"/>
        </w:rPr>
        <w:t>Las PDFs de duración se construyeron con bins aproximadamente uniformes en espacio logarítmico, agrupando (pool) todos los dry spells de los píxeles de cada cuenca (Loa, Maipo, Maule y Biobío, que cubren norte árido, centro, centro-sur y sur más húmedo). El cambio futuro se cuantificó con risk ratios RR(D) = P_fut(t ≥ D) / P_hist(t ≥ D), con intervalos de confianza al 95% mediante bootstrap por años. Como contexto espacial se elaboraron mapas de precipitación anual media y de duración media de dry spells (ALADIN histórico vs. futuro). Entre las limitaciones del diseño destacan que el cambio futuro se evalúa solo dentro de ALADIN (CR2MET no existe para el futuro), que el pool regional mezcla heterogeneidad espacial, y que R₀ iguala fracción de wet days sin garantizar igualdad en intensidad ni en la física completa de las rachas.</w:t>
      </w:r>
    </w:p>
    <w:p>
      <w:pPr>
        <w:spacing w:before="240" w:after="120"/>
      </w:pPr>
      <w:r>
        <w:rPr>
          <w:rFonts w:ascii="Times New Roman" w:hAnsi="Times New Roman"/>
          <w:b/>
          <w:sz w:val="24"/>
        </w:rPr>
        <w:t>Objetivos</w:t>
      </w:r>
    </w:p>
    <w:p>
      <w:pPr>
        <w:jc w:val="both"/>
      </w:pPr>
      <w:r>
        <w:rPr>
          <w:rFonts w:ascii="Times New Roman" w:hAnsi="Times New Roman"/>
          <w:sz w:val="24"/>
        </w:rPr>
        <w:t>La finalidad del desarrollo de este trabajo se expresa en los siguientes objetivos:</w:t>
      </w:r>
    </w:p>
    <w:p>
      <w:pPr>
        <w:pStyle w:val="ListBullet"/>
      </w:pPr>
      <w:r>
        <w:rPr>
          <w:rFonts w:ascii="Times New Roman" w:hAnsi="Times New Roman"/>
          <w:sz w:val="24"/>
        </w:rPr>
        <w:t>Evaluar históricamente (1980–2014) cómo ALADIN representa la distribución de duraciones de dry spells respecto a CR2MET en Chile continental, con umbral calibrado R₀ (criterio i).</w:t>
      </w:r>
    </w:p>
    <w:p>
      <w:pPr>
        <w:pStyle w:val="ListBullet"/>
      </w:pPr>
      <w:r>
        <w:rPr>
          <w:rFonts w:ascii="Times New Roman" w:hAnsi="Times New Roman"/>
          <w:sz w:val="24"/>
        </w:rPr>
        <w:t>Cuantificar el cambio en la probabilidad de dry spells largos bajo SSP5-8.5 (2040–2074) mediante risk ratios regionales y PDFs por cuenca (ALADIN histórico vs. futuro).</w:t>
      </w:r>
    </w:p>
    <w:p>
      <w:pPr>
        <w:pStyle w:val="ListBullet"/>
      </w:pPr>
      <w:r>
        <w:rPr>
          <w:rFonts w:ascii="Times New Roman" w:hAnsi="Times New Roman"/>
          <w:sz w:val="24"/>
        </w:rPr>
        <w:t>Justificar el uso de R₀ y la definición operativa de dry spells; la sensibilidad a otros criterios de umbral se documenta de forma auxiliar, sin desplazar el foco del paper hacia la calibración como tema central.</w:t>
      </w:r>
    </w:p>
    <w:p>
      <w:pPr>
        <w:spacing w:before="240" w:after="120"/>
      </w:pPr>
      <w:r>
        <w:rPr>
          <w:rFonts w:ascii="Times New Roman" w:hAnsi="Times New Roman"/>
          <w:b/>
          <w:sz w:val="24"/>
        </w:rPr>
        <w:t>Estructura del trabajo</w:t>
      </w:r>
    </w:p>
    <w:p>
      <w:pPr>
        <w:ind w:firstLine="432"/>
        <w:jc w:val="both"/>
      </w:pPr>
      <w:r>
        <w:rPr>
          <w:rFonts w:ascii="Times New Roman" w:hAnsi="Times New Roman"/>
          <w:sz w:val="24"/>
        </w:rPr>
        <w:t>En la sección 2 (Datos y métodos) se describen los conjuntos de datos, el dominio y los periodos, la definición de wet/dry days y dry spells, la calibración de R₀, la construcción y normalización de las PDFs, la agrupación regional y los risk ratios, además de la sensibilidad al umbral (material suplementario).</w:t>
      </w:r>
    </w:p>
    <w:p>
      <w:pPr>
        <w:ind w:firstLine="432"/>
        <w:jc w:val="both"/>
      </w:pPr>
      <w:r>
        <w:rPr>
          <w:rFonts w:ascii="Times New Roman" w:hAnsi="Times New Roman"/>
          <w:sz w:val="24"/>
        </w:rPr>
        <w:t>En la sección 3 (Evaluación histórica) se presenta la climatología de persistencia según CR2MET, los sesgos espaciales de ALADIN frente a CR2MET una vez calibrado el umbral, y las tendencias en ALADIN histórico.</w:t>
      </w:r>
    </w:p>
    <w:p>
      <w:pPr>
        <w:ind w:firstLine="432"/>
        <w:jc w:val="both"/>
      </w:pPr>
      <w:r>
        <w:rPr>
          <w:rFonts w:ascii="Times New Roman" w:hAnsi="Times New Roman"/>
          <w:sz w:val="24"/>
        </w:rPr>
        <w:t>En la sección 4 (Proyecciones futuras) se analizan los risk ratios de periodos secos prolongados, las PDFs por cuenca y la extensión de la cola, la consistencia entre RR y PDF, y el contexto de mapas de precipitación anual y de duración media de dry spells (histórico vs. futuro SSP5-8.5).</w:t>
      </w:r>
    </w:p>
    <w:p>
      <w:pPr>
        <w:ind w:firstLine="432"/>
        <w:jc w:val="both"/>
      </w:pPr>
      <w:r>
        <w:rPr>
          <w:rFonts w:ascii="Times New Roman" w:hAnsi="Times New Roman"/>
          <w:sz w:val="24"/>
        </w:rPr>
        <w:t>En la sección 5 (Resumen y discusión) se sintetizan los hallazgos, se discuten limitaciones y se esboza trabajo futuro. En conjunto, la introducción busca dar una visión general del tema, del interés, del método, de los objetivos y de la organización del manuscript, de modo que el lector sepa qué encontrará al leer el trabajo.</w:t>
      </w:r>
    </w:p>
    <w:p>
      <w:pPr>
        <w:spacing w:before="240" w:after="120"/>
      </w:pPr>
      <w:r>
        <w:rPr>
          <w:rFonts w:ascii="Times New Roman" w:hAnsi="Times New Roman"/>
          <w:b/>
          <w:sz w:val="28"/>
        </w:rPr>
        <w:t>Referencias citadas en esta Introducción</w:t>
      </w:r>
    </w:p>
    <w:p>
      <w:pPr>
        <w:spacing w:after="80"/>
        <w:ind w:left="360" w:hanging="360"/>
      </w:pPr>
      <w:r>
        <w:rPr>
          <w:rFonts w:ascii="Times New Roman" w:hAnsi="Times New Roman"/>
          <w:sz w:val="20"/>
        </w:rPr>
        <w:t>Boisier, J. P., Rondanelli, R., Garreaud, R. D., &amp; Muñoz, F. (2016). Anthropogenic and natural contributions to the Southeast Pacific precipitation decline and recent megadrought in central Chile. Geophysical Research Letters, 43(1), 413–421. https://doi.org/10.1002/2015GL067265</w:t>
      </w:r>
    </w:p>
    <w:p>
      <w:pPr>
        <w:spacing w:after="80"/>
        <w:ind w:left="360" w:hanging="360"/>
      </w:pPr>
      <w:r>
        <w:rPr>
          <w:rFonts w:ascii="Times New Roman" w:hAnsi="Times New Roman"/>
          <w:sz w:val="20"/>
        </w:rPr>
        <w:t>Garreaud, R. D., Alvarez-Garreton, C., Barichivich, J., Boisier, J. P., Christie, D., Galleguillos, M., … Zambrano-Bigiarini, M. (2017). The 2010–2015 megadrought in central Chile: Impacts on regional hydroclimate and vegetation. Hydrology and Earth System Sciences, 21(12), 6307–6327. https://doi.org/10.5194/hess-21-6307-2017</w:t>
      </w:r>
    </w:p>
    <w:p>
      <w:pPr>
        <w:spacing w:after="80"/>
        <w:ind w:left="360" w:hanging="360"/>
      </w:pPr>
      <w:r>
        <w:rPr>
          <w:rFonts w:ascii="Times New Roman" w:hAnsi="Times New Roman"/>
          <w:sz w:val="20"/>
        </w:rPr>
        <w:t>Garreaud, R. D., Boisier, J. P., Rondanelli, R., Damiani, A., Veloso-Aguila, D., &amp; Muñoz, F. (2020). The Central Chile Mega Drought (2010–2018): A climate dynamics perspective. International Journal of Climatology, 40(1), 421–439. https://doi.org/10.1002/joc.6219</w:t>
      </w:r>
    </w:p>
    <w:p>
      <w:pPr>
        <w:spacing w:after="80"/>
        <w:ind w:left="360" w:hanging="360"/>
      </w:pPr>
      <w:r>
        <w:rPr>
          <w:rFonts w:ascii="Times New Roman" w:hAnsi="Times New Roman"/>
          <w:sz w:val="20"/>
        </w:rPr>
        <w:t>Martinez-Villalobos, C., &amp; Neelin, J. D. (2018). Shifts in precipitation accumulation extremes during the warm season over the United States. Geophysical Research Letters, 45(16), 8586–8595. https://doi.org/10.1029/2018GL078465</w:t>
      </w:r>
    </w:p>
    <w:p>
      <w:pPr>
        <w:spacing w:after="80"/>
        <w:ind w:left="360" w:hanging="360"/>
      </w:pPr>
      <w:r>
        <w:rPr>
          <w:rFonts w:ascii="Times New Roman" w:hAnsi="Times New Roman"/>
          <w:sz w:val="20"/>
        </w:rPr>
        <w:t>Martinez-Villalobos, C., &amp; Neelin, J. D. (2019). Why do precipitation intensities tend to follow gamma distributions? Journal of the Atmospheric Sciences, 76(11), 3611–3631. https://doi.org/10.1175/JAS-D-18-0343.1</w:t>
      </w:r>
    </w:p>
    <w:p>
      <w:pPr>
        <w:spacing w:after="80"/>
        <w:ind w:left="360" w:hanging="360"/>
      </w:pPr>
      <w:r>
        <w:rPr>
          <w:rFonts w:ascii="Times New Roman" w:hAnsi="Times New Roman"/>
          <w:sz w:val="20"/>
        </w:rPr>
        <w:t>Salazar, Á., Thatcher, M., Goubanova, K., Bernal, P., Gutiérrez, J., &amp; Squeo, F. (2024). CMIP6 precipitation and temperature projections for Chile. Climate Dynamics. https://doi.org/10.1007/s00382-023-07034-9</w:t>
      </w:r>
    </w:p>
    <w:p>
      <w:pPr>
        <w:spacing w:before="240" w:after="120"/>
      </w:pPr>
      <w:r>
        <w:rPr>
          <w:rFonts w:ascii="Times New Roman" w:hAnsi="Times New Roman"/>
          <w:b/>
          <w:sz w:val="28"/>
        </w:rPr>
        <w:t>Correspondencia con la guía didáctica</w:t>
      </w:r>
    </w:p>
    <w:p>
      <w:pPr>
        <w:jc w:val="both"/>
      </w:pPr>
      <w:r>
        <w:rPr>
          <w:rFonts w:ascii="Times New Roman" w:hAnsi="Times New Roman"/>
          <w:sz w:val="24"/>
        </w:rPr>
        <w:t>Parte 1 (¿cuál es el tema?): definición de dry spells, características del enfoque distributivo y causas/relevancia (megasequía, métricas agregadas insuficientes, proyecciones de precipitación). Parte 2 (¿cuál fue el interés?): interés académico y de tesis; preguntas de investigación. Parte 3 (¿cuál fue la metodología?): datos, umbral R₀, PDFs, RR, cuencas y limitaciones. Parte 4 (¿cuál es la finalidad?): objetivos 1–3. Parte 5 (¿cuál es la distribución de temas?): secciones 2 a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