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Outline — Potencial Paper</w:t>
      </w:r>
    </w:p>
    <w:p>
      <w:pPr>
        <w:jc w:val="center"/>
      </w:pPr>
      <w:r>
        <w:rPr>
          <w:i/>
          <w:sz w:val="24"/>
        </w:rPr>
        <w:t>Changes in Dry-Spell Duration Distributions over Chile:</w:t>
        <w:br/>
        <w:t>Historical Comparison with CR2MET and Future Projections from ALADIN CHP12</w:t>
      </w:r>
    </w:p>
    <w:p/>
    <w:p>
      <w:pPr>
        <w:jc w:val="center"/>
      </w:pPr>
      <w:r>
        <w:rPr>
          <w:b/>
        </w:rPr>
        <w:t>Pablo Gómez — Tesis / Storyboard para publicación</w:t>
        <w:br/>
      </w:r>
      <w:r>
        <w:t>Basado en reunión 30-jun-2026 con Cristian Martinez-Villalobos</w:t>
        <w:br/>
      </w:r>
      <w:r>
        <w:t>Referencia estructural: JCLI-D-21-0617 (Martinez-Villalobos, Neelin &amp; Pendergrass 2022)</w:t>
      </w:r>
    </w:p>
    <w:p>
      <w:r>
        <w:br w:type="page"/>
      </w:r>
    </w:p>
    <w:p>
      <w:pPr>
        <w:pStyle w:val="Heading1"/>
      </w:pPr>
      <w:r>
        <w:t>Resumen ejecutivo</w:t>
      </w:r>
    </w:p>
    <w:p>
      <w:r>
        <w:t>Historia en una línea: Las distribuciones de duración de dry spells capturan intermitencia que las métricas agregadas no ven; en Chile, ALADIN (calibrado) reproduce en parte el histórico respecto a CR2MET, pero proyecta mayor probabilidad de spells largos bajo SSP5-8.5.</w:t>
      </w:r>
    </w:p>
    <w:p>
      <w:r>
        <w:t>Convención del documento: cada viñeta numerada [P#] corresponde a UNA oración = UN párrafo del paper. Las figuras se asignan después de definir el mensaje del párrafo (historia primero, figura después).</w:t>
      </w:r>
    </w:p>
    <w:p>
      <w:r>
        <w:t>Notación: R₀ (antes τ* en la tesis) denota el umbral calibrado en ALADIN (= 5.285 mm global) para igualar la fracción integrada de wet days de CR2MET @ 1 mm.</w:t>
      </w:r>
    </w:p>
    <w:p>
      <w:pPr>
        <w:pStyle w:val="Heading1"/>
      </w:pPr>
      <w:r>
        <w:t>Abstract</w:t>
      </w:r>
    </w:p>
    <w:p>
      <w:pPr>
        <w:pStyle w:val="ListBullet"/>
      </w:pPr>
      <w:r>
        <w:t>[P1] La precipitación media no describe cómo se reparte la lluvia en el tiempo, y periodos secos consecutivos (dry spells) ofrecen información sobre intermitencia y riesgo de sequía relevante para gestión hídrica en Chile.</w:t>
      </w:r>
    </w:p>
    <w:p>
      <w:pPr>
        <w:pStyle w:val="ListBullet"/>
      </w:pPr>
      <w:r>
        <w:t>[P2] Usamos CR2MET v2.5 como referencia histórica y ALADIN CHP12 para el periodo histórico (1980–2014) y futuro SSP5-8.5 (2040–2074), definiendo dry spells tras calibrar el umbral de día húmedo en ALADIN (R₀ = 5.285 mm) para igualar la fracción integrada de wet days de CR2MET a 1 mm.</w:t>
      </w:r>
    </w:p>
    <w:p>
      <w:pPr>
        <w:pStyle w:val="ListBullet"/>
      </w:pPr>
      <w:r>
        <w:t>[P3] Caracterizamos la distribución de duraciones mediante PDFs empíricas (normalizadas para integrar al número de spells) y cuantificamos cambios futuros con risk ratios (RR) y bootstrap por años.</w:t>
      </w:r>
    </w:p>
    <w:p>
      <w:pPr>
        <w:pStyle w:val="ListBullet"/>
      </w:pPr>
      <w:r>
        <w:t>[P4] Históricamente, ALADIN subestima la persistencia media y extrema (p99) de dry spells respecto a CR2MET incluso calibrado, con acuerdo regional variable en las PDFs por cuenca.</w:t>
      </w:r>
    </w:p>
    <w:p>
      <w:pPr>
        <w:pStyle w:val="ListBullet"/>
      </w:pPr>
      <w:r>
        <w:t>[P5] En proyecciones, varias regiones muestran RR &gt; 1 y significativo para spells ≥ 20 días, con señal que se refuerza en la cola de duraciones muy largas; las PDFs por cuenca confirman extensión de la cola derecha en el futuro.</w:t>
      </w:r>
    </w:p>
    <w:p>
      <w:pPr>
        <w:pStyle w:val="ListBullet"/>
      </w:pPr>
      <w:r>
        <w:t>[P6] Concluimos que el análisis distributivo de dry spells complementa métricas tradicionales y sugiere mayor riesgo de persistencia seca futura, con implicancias para evaluación de modelos regionales y planificación adaptativa.</w:t>
      </w:r>
    </w:p>
    <w:p>
      <w:pPr>
        <w:pStyle w:val="Heading1"/>
      </w:pPr>
      <w:r>
        <w:t>1. Introduction</w:t>
      </w:r>
    </w:p>
    <w:p>
      <w:pPr>
        <w:pStyle w:val="Heading2"/>
      </w:pPr>
      <w:r>
        <w:t>1.1 Motivation: why dry spells matter</w:t>
      </w:r>
    </w:p>
    <w:p>
      <w:pPr>
        <w:pStyle w:val="ListBullet"/>
      </w:pPr>
      <w:r>
        <w:t>[P7] Chile ha experimentado megasequías y variabilidad hidrológica donde el total anual de precipitación puede enmascarar cambios en la frecuencia y persistencia de periodos secos.</w:t>
      </w:r>
    </w:p>
    <w:p>
      <w:pPr>
        <w:pStyle w:val="ListBullet"/>
      </w:pPr>
      <w:r>
        <w:t>[P8] Dos climas con la misma precipitación anual pueden diferir radicalmente en intermitencia —p. ej., 300 mm repartidos en 2 eventos vs. 15— con consecuencias distintas para reservorios, agricultura y ecosistemas.</w:t>
      </w:r>
    </w:p>
    <w:p>
      <w:pPr>
        <w:pStyle w:val="ListBullet"/>
      </w:pPr>
      <w:r>
        <w:t>[P9] Las métricas agregadas (media, percentiles de precipitación diaria, índices de sequía basados en acumulados) no caracterizan explícitamente la duración de rachas secas consecutivas.</w:t>
      </w:r>
    </w:p>
    <w:p>
      <w:pPr>
        <w:pStyle w:val="ListBullet"/>
      </w:pPr>
      <w:r>
        <w:t>[P10] Las distribuciones de probabilidad de duración de dry spells ofrecen un marco parsimonioso para describir intermitencia y colas de eventos extremadamente largos, en línea con enfoques recientes para precipitación diaria (Martinez-Villalobos &amp; Neelin 2018; Martinez-Villalobos et al. 2022).</w:t>
      </w:r>
    </w:p>
    <w:p>
      <w:r>
        <w:rPr>
          <w:b/>
        </w:rPr>
        <w:t>→ Fig. 1 (CREAR): esquema conceptual — precipitación total similar vs. distinta intermitencia / persistencia de dry spells (motivación, no datos).</w:t>
      </w:r>
    </w:p>
    <w:p>
      <w:pPr>
        <w:pStyle w:val="Heading2"/>
      </w:pPr>
      <w:r>
        <w:t>1.2 Estado del arte, brecha de conocimiento y comparación modelo–observación</w:t>
      </w:r>
    </w:p>
    <w:p>
      <w:r>
        <w:t>[P11a] Qué sabemos: Chile ha sido estudiado bajo megasequía y tendencias de precipitación (menos lluvia / más aridez en varias regiones), y hay literatura de índices de sequía y cambios proyectados de precipitación bajo escenarios de calentamiento.</w:t>
      </w:r>
    </w:p>
    <w:p>
      <w:r>
        <w:t>[P11b] Qué sabemos menos (brecha): hay poca evidencia sobre la distribución de duraciones de dry spells (PDFs / colas) en Chile comparando observación gridded vs RCM, y sobre cómo cambia esa cola en el futuro (p. ej. vía risk ratios). Si la literatura de dry spells “de duración” es escasa, eso refuerza la brecha que motiva el paper.</w:t>
      </w:r>
    </w:p>
    <w:p>
      <w:r>
        <w:t>[P11c] Pregunta de investigación (en una línea): ¿cómo representa ALADIN las PDFs de duración de dry spells frente a CR2MET, y cómo cambia la probabilidad de spells largos bajo SSP5-8.5?</w:t>
      </w:r>
    </w:p>
    <w:p>
      <w:pPr>
        <w:pStyle w:val="ListBullet"/>
      </w:pPr>
      <w:r>
        <w:t>[P11] Los productos gridded de referencia (p. ej. CR2MET) y los modelos climáticos regionales (RCM) como ALADIN CHP12 no son directamente intercambiables sin considerar cómo cada producto define y simula días húmedos.</w:t>
      </w:r>
    </w:p>
    <w:p>
      <w:pPr>
        <w:pStyle w:val="ListBullet"/>
      </w:pPr>
      <w:r>
        <w:t>[P12] Comparar CR2MET y ALADIN con el mismo umbral fijo (1 mm/día) introduce sesgos sistemáticos en frecuencia e intensidad de wet days que contaminarían cualquier análisis de dry spells.</w:t>
      </w:r>
    </w:p>
    <w:p>
      <w:pPr>
        <w:pStyle w:val="ListBullet"/>
      </w:pPr>
      <w:r>
        <w:t>[P13] Por ello, el sesgo de umbral se trata aquí como paso metodológico (calibración R₀), no como la pregunta científica central del paper.</w:t>
      </w:r>
    </w:p>
    <w:p>
      <w:r>
        <w:t>[P13b] Adecuación dato–pregunta: CR2MET (hist) + ALADIN (hist/futuro, mismo modelo) son suficientes para (i) evaluación histórica y (ii) cambio futuro relativo; los resultados de PDFs/RR deben responder explícitamente a esa pregunta (no solo describir sesgos de umbral).</w:t>
      </w:r>
    </w:p>
    <w:p>
      <w:r>
        <w:rPr>
          <w:b/>
        </w:rPr>
        <w:t>→ Fig. S1 (EXISTE, suplemento): fig_p3_delta_wetdays.png — delta fracción wet days ALADIN−CR2MET @ 1 mm.</w:t>
      </w:r>
    </w:p>
    <w:p>
      <w:pPr>
        <w:pStyle w:val="Heading2"/>
      </w:pPr>
      <w:r>
        <w:t>1.3 Objectives and paper structure</w:t>
      </w:r>
    </w:p>
    <w:p>
      <w:pPr>
        <w:pStyle w:val="ListBullet"/>
      </w:pPr>
      <w:r>
        <w:t>[P14] Objetivo 1: evaluar históricamente (1980–2014) cómo ALADIN representa la distribución de duraciones de dry spells respecto a CR2MET en Chile continental.</w:t>
      </w:r>
    </w:p>
    <w:p>
      <w:pPr>
        <w:pStyle w:val="ListBullet"/>
      </w:pPr>
      <w:r>
        <w:t>[P15] Objetivo 2: cuantificar cambios proyectados (SSP5-8.5, 2040–2074) en la probabilidad de dry spells largos mediante risk ratios y PDFs regionales por cuenca.</w:t>
      </w:r>
    </w:p>
    <w:p>
      <w:pPr>
        <w:pStyle w:val="ListBullet"/>
      </w:pPr>
      <w:r>
        <w:t>[P16] Objetivo 3: documentar la sensibilidad de las PDFs al criterio de umbral y justificar el uso de R₀ calibrado para comparaciones equitativas.</w:t>
      </w:r>
    </w:p>
    <w:p>
      <w:pPr>
        <w:pStyle w:val="ListBullet"/>
      </w:pPr>
      <w:r>
        <w:t>[P17] El resto del paper se organiza: datos y métodos (§2), evaluación histórica (§3), proyecciones futuras (§4), y discusión (§5).</w:t>
      </w:r>
    </w:p>
    <w:p>
      <w:r>
        <w:rPr>
          <w:b/>
        </w:rPr>
        <w:t>→ Fig. 2 (CREAR o adaptar): mapa del dominio — Chile continental, cuencas (Loa, Maipo, Maule, Biobío) y regiones administrativas usadas en RR.</w:t>
      </w:r>
    </w:p>
    <w:p>
      <w:pPr>
        <w:pStyle w:val="Heading1"/>
      </w:pPr>
      <w:r>
        <w:t>2. Data and Methods</w:t>
      </w:r>
    </w:p>
    <w:p>
      <w:pPr>
        <w:pStyle w:val="Heading2"/>
      </w:pPr>
      <w:r>
        <w:t>2.1 Datasets, domain, and periods</w:t>
      </w:r>
    </w:p>
    <w:p>
      <w:pPr>
        <w:pStyle w:val="ListBullet"/>
      </w:pPr>
      <w:r>
        <w:t>[P18] Usamos CR2MET v2.5 (mm/día, grilla lat/lon) como referencia observacional para el histórico 1980–2014.</w:t>
      </w:r>
    </w:p>
    <w:p>
      <w:pPr>
        <w:pStyle w:val="ListBullet"/>
      </w:pPr>
      <w:r>
        <w:t>[P19] Usamos ALADIN CHP12 en su grilla nativa (~3587 celdas sobre Chile), con precipitación convertida de kg m⁻² s⁻¹ a mm/día.</w:t>
      </w:r>
    </w:p>
    <w:p>
      <w:pPr>
        <w:pStyle w:val="ListBullet"/>
      </w:pPr>
      <w:r>
        <w:t>[P20] CR2MET se interpola linealmente a los centros de celda de ALADIN para comparaciones pixel a pixel.</w:t>
      </w:r>
    </w:p>
    <w:p>
      <w:pPr>
        <w:pStyle w:val="ListBullet"/>
      </w:pPr>
      <w:r>
        <w:t>[P21] Para el futuro empleamos ALADIN bajo escenario SSP5-8.5 para 2040–2074 (35 años), emparejado con el histórico ALADIN 1980–2014 del mismo largo.</w:t>
      </w:r>
    </w:p>
    <w:p>
      <w:pPr>
        <w:pStyle w:val="ListBullet"/>
      </w:pPr>
      <w:r>
        <w:t>[P22] El dominio principal es Chile continental; los análisis regionales usan cuencas hidrográficas (Loa, Maipo, Maule, Biobío) y regiones administrativas para los risk ratios.</w:t>
      </w:r>
    </w:p>
    <w:p>
      <w:r>
        <w:rPr>
          <w:b/>
        </w:rPr>
        <w:t>→ Tabla 1 (CREAR): resumen de datasets, resolución, periodos y variables.</w:t>
      </w:r>
    </w:p>
    <w:p>
      <w:pPr>
        <w:pStyle w:val="Heading2"/>
      </w:pPr>
      <w:r>
        <w:t>2.2 Dry spells and wet-day definition</w:t>
      </w:r>
    </w:p>
    <w:p>
      <w:pPr>
        <w:pStyle w:val="ListBullet"/>
      </w:pPr>
      <w:r>
        <w:t>[P23] Definimos wet day como día con precipitación diaria ≥ umbral R (mm/día); dry day como R estrictamente menor.</w:t>
      </w:r>
    </w:p>
    <w:p>
      <w:pPr>
        <w:pStyle w:val="ListBullet"/>
      </w:pPr>
      <w:r>
        <w:t>[P24] Un dry spell es una racha consecutiva de dry days; su duración es el número de días de la racha.</w:t>
      </w:r>
    </w:p>
    <w:p>
      <w:pPr>
        <w:pStyle w:val="ListBullet"/>
      </w:pPr>
      <w:r>
        <w:t>[P25] Para comparaciones históricas equitativas usamos el criterio i (global): CR2MET con R = 1 mm y ALADIN con R₀ = 5.285 mm, umbral que iguala la fracción espacial media de wet days de CR2MET @ 1 mm (Martinez-Villalobos et al. 2022, JCLI-D-21-0590).</w:t>
      </w:r>
    </w:p>
    <w:p>
      <w:pPr>
        <w:pStyle w:val="ListBullet"/>
      </w:pPr>
      <w:r>
        <w:t>[P26] Denotamos R₀ (antes τ* en la tesis) para no confundir con el exponente τ_P de leyes de potencia en PDFs de precipitación (JCLI-D-21-0617).</w:t>
      </w:r>
    </w:p>
    <w:p>
      <w:pPr>
        <w:pStyle w:val="ListBullet"/>
      </w:pPr>
      <w:r>
        <w:t>[P27] Análisis de sensibilidad usan criterio ii (mismo umbral): 1 mm en ambos; y criterio iii (local): R₀(x,y) por píxel.</w:t>
      </w:r>
    </w:p>
    <w:p>
      <w:r>
        <w:rPr>
          <w:b/>
        </w:rPr>
        <w:t>→ Fig. 3 (EXISTE): fig_p6_ftau.png — curva F(R) de ALADIN; punto CR2MET @ 1 mm; cuadrado ALADIN @ R₀ = 5.285 mm.</w:t>
      </w:r>
    </w:p>
    <w:p>
      <w:pPr>
        <w:pStyle w:val="Heading2"/>
      </w:pPr>
      <w:r>
        <w:t>2.3 Calibrated threshold R₀</w:t>
      </w:r>
    </w:p>
    <w:p>
      <w:pPr>
        <w:pStyle w:val="ListBullet"/>
      </w:pPr>
      <w:r>
        <w:t>[P28] La calibración busca R₀ tal que el promedio espacial sobre Chile de la fracción temporal de días con pr ≥ R en ALADIN iguale la de CR2MET con 1 mm.</w:t>
      </w:r>
    </w:p>
    <w:p>
      <w:pPr>
        <w:pStyle w:val="ListBullet"/>
      </w:pPr>
      <w:r>
        <w:t>[P29] CR2MET @ 1 mm da F = 20.94%; ALADIN @ 1 mm da F = 30.68% (+9.7 pp); ALADIN @ R₀ = 5.285 mm reproduce F = 20.94% con error &lt; 0.0001 pp.</w:t>
      </w:r>
    </w:p>
    <w:p>
      <w:pPr>
        <w:pStyle w:val="ListBullet"/>
      </w:pPr>
      <w:r>
        <w:t>[P30] La variante espacial R₀(x,y) permite calibración local por píxel, reduciendo residuos espaciales pero con mayor complejidad interpretativa.</w:t>
      </w:r>
    </w:p>
    <w:p>
      <w:r>
        <w:rPr>
          <w:b/>
        </w:rPr>
        <w:t>→ Fig. S2 (EXISTE, suplemento): tau_local_map.png / tau_integrado_map.png — mapa R₀ local vs. integrado uniforme.</w:t>
      </w:r>
    </w:p>
    <w:p>
      <w:pPr>
        <w:pStyle w:val="Heading2"/>
      </w:pPr>
      <w:r>
        <w:t>2.4 PDF construction and normalization</w:t>
      </w:r>
    </w:p>
    <w:p>
      <w:pPr>
        <w:pStyle w:val="ListBullet"/>
      </w:pPr>
      <w:r>
        <w:t>[P31] Construimos PDFs empíricas de duración t con bins aproximadamente uniformes en espacio log(t), siguiendo la convención de PDFs de precipitación en escala log-log.</w:t>
      </w:r>
    </w:p>
    <w:p>
      <w:pPr>
        <w:pStyle w:val="ListBullet"/>
      </w:pPr>
      <w:r>
        <w:t>[P32] Normalizamos para que la integral de la PDF respecto a t iguale el número total de dry spells (n_spells), no 1; así se preserva si el futuro tiene más o menos eventos además de cambios de forma.</w:t>
      </w:r>
    </w:p>
    <w:p>
      <w:pPr>
        <w:pStyle w:val="ListBullet"/>
      </w:pPr>
      <w:r>
        <w:t>[P33] Esto distingue la PDF (distribución de duraciones de eventos) de una tendencia temporal (evolución año a año), conceptos que no deben confundirse.</w:t>
      </w:r>
    </w:p>
    <w:p>
      <w:pPr>
        <w:pStyle w:val="ListBullet"/>
      </w:pPr>
      <w:r>
        <w:t>[P34] Reportamos media, mediana, p90, p99 y máximo del pool regional de spells por cuenca/periodo como complemento escalar a las PDFs.</w:t>
      </w:r>
    </w:p>
    <w:p>
      <w:r>
        <w:rPr>
          <w:b/>
        </w:rPr>
        <w:t>→ Ecuación (1): definición de PDF con ∫₀^∞ PDF(t) dt = n_spells.</w:t>
      </w:r>
    </w:p>
    <w:p>
      <w:pPr>
        <w:pStyle w:val="Heading2"/>
      </w:pPr>
      <w:r>
        <w:t>2.5 Regional pooling and spatial statistics</w:t>
      </w:r>
    </w:p>
    <w:p>
      <w:pPr>
        <w:pStyle w:val="ListBullet"/>
      </w:pPr>
      <w:r>
        <w:t>[P35] Para PDFs por cuenca, agrupamos (pool) todos los dry spells de todos los píxeles de la cuenca en un único conjunto de eventos, siguiendo el enfoque regional de Martinez-Villalobos &amp; Neelin (2018).</w:t>
      </w:r>
    </w:p>
    <w:p>
      <w:pPr>
        <w:pStyle w:val="ListBullet"/>
      </w:pPr>
      <w:r>
        <w:t>[P36] Para mapas espaciales, calculamos por píxel la duración media de spells y el percentil 99 (t99) de duraciones, y reportamos diferencias ALADIN − CR2MET.</w:t>
      </w:r>
    </w:p>
    <w:p>
      <w:pPr>
        <w:pStyle w:val="ListBullet"/>
      </w:pPr>
      <w:r>
        <w:t>[P37] La significancia espacial de diferencias históricas se evalúa con bootstrap por años (re-muestreo de años, no de días).</w:t>
      </w:r>
    </w:p>
    <w:p>
      <w:pPr>
        <w:pStyle w:val="Heading2"/>
      </w:pPr>
      <w:r>
        <w:t>2.6 Risk ratios and future changes</w:t>
      </w:r>
    </w:p>
    <w:p>
      <w:pPr>
        <w:pStyle w:val="ListBullet"/>
      </w:pPr>
      <w:r>
        <w:t>[P38] Definimos el risk ratio RR(D) = P_fut(t ≥ D) / P_hist(t ≥ D), probabilidad condicional de spells de al menos D días en futuro vs. histórico.</w:t>
      </w:r>
    </w:p>
    <w:p>
      <w:pPr>
        <w:pStyle w:val="ListBullet"/>
      </w:pPr>
      <w:r>
        <w:t>[P39] Consideramos spells con inicio entre marzo y noviembre para enfocar la estación seca/húmeda relevante.</w:t>
      </w:r>
    </w:p>
    <w:p>
      <w:pPr>
        <w:pStyle w:val="ListBullet"/>
      </w:pPr>
      <w:r>
        <w:t>[P40] Estimamos intervalos de confianza al 95% mediante bootstrap por años sobre el pool regional de cada región administrativa.</w:t>
      </w:r>
    </w:p>
    <w:p>
      <w:pPr>
        <w:pStyle w:val="ListBullet"/>
      </w:pPr>
      <w:r>
        <w:t>[P41] RR &gt; 1 con IC95 completamente por encima de 1 indica aumento significativo de la probabilidad de spells largos.</w:t>
      </w:r>
    </w:p>
    <w:p>
      <w:r>
        <w:rPr>
          <w:b/>
        </w:rPr>
        <w:t>→ Ecuación (2): definición de RR(D).</w:t>
      </w:r>
    </w:p>
    <w:p>
      <w:pPr>
        <w:pStyle w:val="Heading2"/>
      </w:pPr>
      <w:r>
        <w:t>2.7 Sensitivity to threshold choice</w:t>
      </w:r>
    </w:p>
    <w:p>
      <w:pPr>
        <w:pStyle w:val="ListBullet"/>
      </w:pPr>
      <w:r>
        <w:t>[P42] Para demostrar que las conclusiones dependen del umbral, comparamos cuatro series en cuencas seleccionadas: CR2MET @ 1 mm, ALADIN @ 1 mm, ALADIN @ R₀ global, ALADIN @ R₀ local.</w:t>
      </w:r>
    </w:p>
    <w:p>
      <w:pPr>
        <w:pStyle w:val="ListBullet"/>
      </w:pPr>
      <w:r>
        <w:t>[P43] Sin calibración (ALADIN @ 1 mm), ALADIN produce muchos más spells más cortos —p. ej. Loa: media 27 d vs. 66 d en CR2MET— distorsionando la comparación.</w:t>
      </w:r>
    </w:p>
    <w:p>
      <w:pPr>
        <w:pStyle w:val="ListBullet"/>
      </w:pPr>
      <w:r>
        <w:t>[P44] Con R₀ global o local, las PDFs de ALADIN se acercan sustancialmente a CR2MET, justificando el criterio i para el análisis principal.</w:t>
      </w:r>
    </w:p>
    <w:p>
      <w:r>
        <w:rPr>
          <w:b/>
        </w:rPr>
        <w:t>→ Fig. 4 (EXISTE): pdf_calibracion_Loa_logy.png — panel 4 curvas (Loa).</w:t>
      </w:r>
    </w:p>
    <w:p>
      <w:r>
        <w:rPr>
          <w:b/>
        </w:rPr>
        <w:t>→ Fig. S3 (EXISTE, suplemento): calibración Maule y Biobío.</w:t>
      </w:r>
    </w:p>
    <w:p>
      <w:pPr>
        <w:pStyle w:val="Heading1"/>
      </w:pPr>
      <w:r>
        <w:t>3. Historical evaluation (1980–2014)</w:t>
      </w:r>
    </w:p>
    <w:p>
      <w:pPr>
        <w:pStyle w:val="Heading2"/>
      </w:pPr>
      <w:r>
        <w:t>3.1 CR2MET climatology of dry-spell persistence</w:t>
      </w:r>
    </w:p>
    <w:p>
      <w:pPr>
        <w:pStyle w:val="ListBullet"/>
      </w:pPr>
      <w:r>
        <w:t>[P45] CR2MET muestra fuerte contraste norte–sur: en el norte árido (cuenca Loa) la duración media de dry spells supera 50 días, mientras en el sur húmedo (Biobío) la media es ~6 días.</w:t>
      </w:r>
    </w:p>
    <w:p>
      <w:pPr>
        <w:pStyle w:val="ListBullet"/>
      </w:pPr>
      <w:r>
        <w:t>[P46] Los percentiles altos (p99) alcanzan cientos de días en zonas áridas, reflejando spells extremadamente largos en el desierto.</w:t>
      </w:r>
    </w:p>
    <w:p>
      <w:pPr>
        <w:pStyle w:val="ListBullet"/>
      </w:pPr>
      <w:r>
        <w:t>[P47] CR2MET también muestra sequedización moderada reciente (1980–2000 vs. 2001–2021) en fracción de wet days y precipitación media, contexto independiente del sesgo del RCM.</w:t>
      </w:r>
    </w:p>
    <w:p>
      <w:r>
        <w:rPr>
          <w:b/>
        </w:rPr>
        <w:t>→ Fig. S4 (EXISTE, suplemento): fig_delta_cr2met_wetdays.png — delta wet days CR2MET P2−P1.</w:t>
      </w:r>
    </w:p>
    <w:p>
      <w:pPr>
        <w:pStyle w:val="Heading2"/>
      </w:pPr>
      <w:r>
        <w:t>3.2 ALADIN vs. CR2MET: spatial persistence biases</w:t>
      </w:r>
    </w:p>
    <w:p>
      <w:pPr>
        <w:pStyle w:val="ListBullet"/>
      </w:pPr>
      <w:r>
        <w:t>[P48] Con criterio i (R₀ calibrado), ALADIN subestima la duración media espacial de dry spells: CR2MET 42.5 d vs. ALADIN 35.1 d (Δ = −7.9 d sobre Chile).</w:t>
      </w:r>
    </w:p>
    <w:p>
      <w:pPr>
        <w:pStyle w:val="ListBullet"/>
      </w:pPr>
      <w:r>
        <w:t>[P49] La subestimación es aún mayor sin calibración (criterio ii, 1 mm ambos): Δ = −27.5 d, mostrando que parte del sesgo de persistencia se debe al umbral y parte a la simulación del modelo.</w:t>
      </w:r>
    </w:p>
    <w:p>
      <w:pPr>
        <w:pStyle w:val="ListBullet"/>
      </w:pPr>
      <w:r>
        <w:t>[P50] Para spells extremadamente largos (t99), CR2MET da 221.8 d vs. ALADIN 178.2 d (Δ = −44.7 d); ~65% de celdas con ALADIN significativamente más corto.</w:t>
      </w:r>
    </w:p>
    <w:p>
      <w:pPr>
        <w:pStyle w:val="ListBullet"/>
      </w:pPr>
      <w:r>
        <w:t>[P51] La calibración local (criterio iii) reduce el sesgo de t99 (Δ = −35.3 d) pero no lo elimina, indicando limitaciones estructurales del RCM en persistencia seca.</w:t>
      </w:r>
    </w:p>
    <w:p>
      <w:r>
        <w:rPr>
          <w:b/>
        </w:rPr>
        <w:t>→ Fig. 5 (GENERAR): mapas espaciales duración media y/o t99 — exportar desde pregunta7_mapas_dryspells.ipynb.</w:t>
      </w:r>
    </w:p>
    <w:p>
      <w:pPr>
        <w:pStyle w:val="Heading2"/>
      </w:pPr>
      <w:r>
        <w:t>3.3 Basin-scale PDFs: agreement and regional differences</w:t>
      </w:r>
    </w:p>
    <w:p>
      <w:pPr>
        <w:pStyle w:val="ListBullet"/>
      </w:pPr>
      <w:r>
        <w:t>[P52] Las PDFs por cuenca (pool regional, criterio i, normalización a n_spells) permiten comparar forma y cola de la distribución entre CR2MET hist, ALADIN hist y la referencia futura.</w:t>
      </w:r>
    </w:p>
    <w:p>
      <w:pPr>
        <w:pStyle w:val="ListBullet"/>
      </w:pPr>
      <w:r>
        <w:t>[P53] En Loa (árido), CR2MET tiene media 65.6 d; ALADIN hist 54.6 d; las tres curvas en log-log muestran ALADIN con menos probabilidad en la cola de spells muy largos.</w:t>
      </w:r>
    </w:p>
    <w:p>
      <w:pPr>
        <w:pStyle w:val="ListBullet"/>
      </w:pPr>
      <w:r>
        <w:t>[P54] En Maipo y Maule (centro), el acuerdo mejora: medias ~8–9 d (CR2MET) vs. ~7–8 d (ALADIN hist), con PDFs casi paralelas en escala log-log.</w:t>
      </w:r>
    </w:p>
    <w:p>
      <w:pPr>
        <w:pStyle w:val="ListBullet"/>
      </w:pPr>
      <w:r>
        <w:t>[P55] En Biobío (sur), medias ~6.2 d (CR2MET) vs. ~5.3 d (ALADIN hist); las distribuciones son más estrechas y la diferencia relativa menor que en el norte.</w:t>
      </w:r>
    </w:p>
    <w:p>
      <w:pPr>
        <w:pStyle w:val="ListBullet"/>
      </w:pPr>
      <w:r>
        <w:t>[P56] En conjunto, ALADIN reproduce razonablemente la forma de las PDFs en cuencas centrales y meridionales, pero subestima persistencia en el norte y en la cola extrema.</w:t>
      </w:r>
    </w:p>
    <w:p>
      <w:r>
        <w:rPr>
          <w:b/>
        </w:rPr>
        <w:t>→ Fig. 6 (EXISTE): pdf_Loa_i_global.png — PDF Loa.</w:t>
      </w:r>
    </w:p>
    <w:p>
      <w:r>
        <w:rPr>
          <w:b/>
        </w:rPr>
        <w:t>→ Fig. 7 (EXISTE): pdf_Maule_i_global.png — PDF Maule.</w:t>
      </w:r>
    </w:p>
    <w:p>
      <w:r>
        <w:rPr>
          <w:b/>
        </w:rPr>
        <w:t>→ Tabla 2 (EXISTE): fig_p9_tabla_resumen.png — estadísticas por cuenca.</w:t>
      </w:r>
    </w:p>
    <w:p>
      <w:pPr>
        <w:pStyle w:val="Heading2"/>
      </w:pPr>
      <w:r>
        <w:t>3.4 Historical trends in ALADIN (null result)</w:t>
      </w:r>
    </w:p>
    <w:p>
      <w:pPr>
        <w:pStyle w:val="ListBullet"/>
      </w:pPr>
      <w:r>
        <w:t>[P57] Analizamos tendencias lineales anuales en duración media y t99 de dry spells en ALADIN histórico 1980–2014 con R₀ = 5.285 mm.</w:t>
      </w:r>
    </w:p>
    <w:p>
      <w:pPr>
        <w:pStyle w:val="ListBullet"/>
      </w:pPr>
      <w:r>
        <w:t>[P58] La pendiente media espacial es ~−0.027 d/década para duración media y ~+0.001 d/década para t99 — prácticamente cero.</w:t>
      </w:r>
    </w:p>
    <w:p>
      <w:pPr>
        <w:pStyle w:val="ListBullet"/>
      </w:pPr>
      <w:r>
        <w:t>[P59] Menos del 0.2% de las celdas muestra tendencia significativa (p &lt; 0.05), indicando ausencia de tendencia robusta en persistencia de dry spells en ALADIN histórico.</w:t>
      </w:r>
    </w:p>
    <w:p>
      <w:pPr>
        <w:pStyle w:val="ListBullet"/>
      </w:pPr>
      <w:r>
        <w:t>[P60] Esto contrasta con la sequedización en CR2MET (P1 vs. P2) y sugiere que la señal de cambio en persistencia seca no es detectable en ALADIN histórico con este diseño, reforzando el foco en proyecciones futuras para el mensaje principal.</w:t>
      </w:r>
    </w:p>
    <w:p>
      <w:r>
        <w:rPr>
          <w:b/>
        </w:rPr>
        <w:t>→ Fig. S5 (GENERAR o suplemento): mapa de tendencias ALADIN hist — pregunta 8, opcional.</w:t>
      </w:r>
    </w:p>
    <w:p>
      <w:pPr>
        <w:pStyle w:val="Heading1"/>
      </w:pPr>
      <w:r>
        <w:t>4. Future projections (SSP5-8.5, 2040–2074)</w:t>
      </w:r>
    </w:p>
    <w:p>
      <w:pPr>
        <w:pStyle w:val="Heading2"/>
      </w:pPr>
      <w:r>
        <w:t>4.1 Risk ratios: more long dry spells</w:t>
      </w:r>
    </w:p>
    <w:p>
      <w:pPr>
        <w:pStyle w:val="ListBullet"/>
      </w:pPr>
      <w:r>
        <w:t>[P61] Evaluamos RR(D) para spells con inicio marzo–noviembre, pool por región administrativa, ALADIN hist 1980–2014 vs. futuro 2040–2074.</w:t>
      </w:r>
    </w:p>
    <w:p>
      <w:pPr>
        <w:pStyle w:val="ListBullet"/>
      </w:pPr>
      <w:r>
        <w:t>[P62] A D = 20 días, Coquimbo muestra RR = 1.27 (15.4% → 19.6%), IC95 [1.09, 1.48], aumento significativo.</w:t>
      </w:r>
    </w:p>
    <w:p>
      <w:pPr>
        <w:pStyle w:val="ListBullet"/>
      </w:pPr>
      <w:r>
        <w:t>[P63] O'Higgins tiene RR = 1.30 (5.8% → 7.5%), IC95 [1.04, 1.63], también significativo.</w:t>
      </w:r>
    </w:p>
    <w:p>
      <w:pPr>
        <w:pStyle w:val="ListBullet"/>
      </w:pPr>
      <w:r>
        <w:t>[P64] La Araucanía presenta el mayor RR regional a 20 d: 1.84 (0.74% → 1.37%), IC95 [1.16, 3.12], con base histórica baja pero cambio relativo fuerte.</w:t>
      </w:r>
    </w:p>
    <w:p>
      <w:pPr>
        <w:pStyle w:val="ListBullet"/>
      </w:pPr>
      <w:r>
        <w:t>[P65] Los Lagos muestra RR = 2.24 a 20 d pero no significativo (IC95 cruza 1), dado el muy bajo número histórico de spells largos.</w:t>
      </w:r>
    </w:p>
    <w:p>
      <w:pPr>
        <w:pStyle w:val="ListBullet"/>
      </w:pPr>
      <w:r>
        <w:t>[P66] Las curvas RR vs. D muestran que la señal se refuerza para umbrales mayores (cola de spells muy largos), especialmente en La Araucanía (RR &gt; 3 para D ≥ 30 d).</w:t>
      </w:r>
    </w:p>
    <w:p>
      <w:r>
        <w:rPr>
          <w:b/>
        </w:rPr>
        <w:t>→ Fig. 8 (EXISTE): rr_curves_aladin.png — RR vs. umbral D (4 regiones).</w:t>
      </w:r>
    </w:p>
    <w:p>
      <w:pPr>
        <w:pStyle w:val="Heading2"/>
      </w:pPr>
      <w:r>
        <w:t>4.2 Basin PDFs: future extension of the tail</w:t>
      </w:r>
    </w:p>
    <w:p>
      <w:pPr>
        <w:pStyle w:val="ListBullet"/>
      </w:pPr>
      <w:r>
        <w:t>[P67] Las PDFs por cuenca con normalización a n_spells permiten ver simultáneamente cambios en número de eventos y en forma de la distribución.</w:t>
      </w:r>
    </w:p>
    <w:p>
      <w:pPr>
        <w:pStyle w:val="ListBullet"/>
      </w:pPr>
      <w:r>
        <w:t>[P68] En Loa, ALADIN futuro aumenta la media (52.4 d vs. 49.5 d hist) y el máximo (1853 d vs. 1433 d), con la curva futura extendiéndose hacia spells más largos en la cola.</w:t>
      </w:r>
    </w:p>
    <w:p>
      <w:pPr>
        <w:pStyle w:val="ListBullet"/>
      </w:pPr>
      <w:r>
        <w:t>[P69] En Maipo y Maule, el futuro muestra incrementos en p99 y máximo (p. ej. Maule p99: 65 d hist → 78 d futuro) con PDFs que se desplazan levemente hacia duraciones mayores.</w:t>
      </w:r>
    </w:p>
    <w:p>
      <w:pPr>
        <w:pStyle w:val="ListBullet"/>
      </w:pPr>
      <w:r>
        <w:t>[P70] En Biobío, la media futura (5.7 d) iguala a CR2MET histórico, pero p99 y máximo aumentan (42 d y 153 d futuro vs. 38 d y 137 d hist), consistente con mayor probabilidad de spells largos pese a climatología húmeda.</w:t>
      </w:r>
    </w:p>
    <w:p>
      <w:pPr>
        <w:pStyle w:val="ListBullet"/>
      </w:pPr>
      <w:r>
        <w:t>[P71] En escala log-log, las curvas futuras no son simples traslaciones paralelas: el cambio es más pronunciado en la cola derecha, coherente con los RR para D grandes.</w:t>
      </w:r>
    </w:p>
    <w:p>
      <w:r>
        <w:rPr>
          <w:b/>
        </w:rPr>
        <w:t>→ Fig. 9 (EXISTE): PDF Loa con énfasis en curva ALADIN futuro.</w:t>
      </w:r>
    </w:p>
    <w:p>
      <w:r>
        <w:rPr>
          <w:b/>
        </w:rPr>
        <w:t>→ Fig. 10 (EXISTE): pdf_Biobio_i_global.png — contraste sur húmedo.</w:t>
      </w:r>
    </w:p>
    <w:p>
      <w:pPr>
        <w:pStyle w:val="Heading2"/>
      </w:pPr>
      <w:r>
        <w:t>4.3 Consistency between RR and PDF diagnostics</w:t>
      </w:r>
    </w:p>
    <w:p>
      <w:pPr>
        <w:pStyle w:val="ListBullet"/>
      </w:pPr>
      <w:r>
        <w:t>[P72] Los RR regionales y las PDFs por cuenca son diagnósticos complementarios: RR resume cambio en probabilidad de excedencia; PDF muestra la forma completa de la distribución.</w:t>
      </w:r>
    </w:p>
    <w:p>
      <w:pPr>
        <w:pStyle w:val="ListBullet"/>
      </w:pPr>
      <w:r>
        <w:t>[P73] Regiones con RR significativo a 20 d (Coquimbo, O'Higgins, La Araucanía) son consistentes con cuencas donde las PDFs muestran extensión de la cola (Maipo/Maule en zona central).</w:t>
      </w:r>
    </w:p>
    <w:p>
      <w:pPr>
        <w:pStyle w:val="ListBullet"/>
      </w:pPr>
      <w:r>
        <w:t>[P74] La no-significancia en Los Lagos refleja alta incertidumbre en eventos raros, ilustrando el límite del bootstrap cuando la probabilidad histórica es &lt; 0.2%.</w:t>
      </w:r>
    </w:p>
    <w:p>
      <w:pPr>
        <w:pStyle w:val="Heading1"/>
      </w:pPr>
      <w:r>
        <w:t>5. Summary and Discussion</w:t>
      </w:r>
    </w:p>
    <w:p>
      <w:pPr>
        <w:pStyle w:val="Heading2"/>
      </w:pPr>
      <w:r>
        <w:t>5.1 Summary of findings</w:t>
      </w:r>
    </w:p>
    <w:p>
      <w:pPr>
        <w:pStyle w:val="ListBullet"/>
      </w:pPr>
      <w:r>
        <w:t>[P75] Las PDFs de duración de dry spells proveen información sobre intermitencia y persistencia seca que métricas agregadas de precipitación no capturan.</w:t>
      </w:r>
    </w:p>
    <w:p>
      <w:pPr>
        <w:pStyle w:val="ListBullet"/>
      </w:pPr>
      <w:r>
        <w:t>[P76] La calibración R₀ es necesaria para comparaciones equitativas CR2MET–ALADIN, pero no suficiente: ALADIN aún subestima persistencia histórica, especialmente en la cola.</w:t>
      </w:r>
    </w:p>
    <w:p>
      <w:pPr>
        <w:pStyle w:val="ListBullet"/>
      </w:pPr>
      <w:r>
        <w:t>[P77] ALADIN histórico 1980–2014 no muestra tendencia robusta en persistencia de dry spells.</w:t>
      </w:r>
    </w:p>
    <w:p>
      <w:pPr>
        <w:pStyle w:val="ListBullet"/>
      </w:pPr>
      <w:r>
        <w:t>[P78] Las proyecciones SSP5-8.5 indican aumento significativo de la probabilidad de dry spells largos en varias regiones, con señal creciente para duraciones extremas.</w:t>
      </w:r>
    </w:p>
    <w:p>
      <w:pPr>
        <w:pStyle w:val="Heading2"/>
      </w:pPr>
      <w:r>
        <w:t>5.2 Implications for drought risk and model evaluation</w:t>
      </w:r>
    </w:p>
    <w:p>
      <w:pPr>
        <w:pStyle w:val="ListBullet"/>
      </w:pPr>
      <w:r>
        <w:t>[P79] Para gestión hídrica y agricultura, el aumento de probabilidad de spells ≥ 20–30 días puede ser más relevante que cambios modestos en precipitación media.</w:t>
      </w:r>
    </w:p>
    <w:p>
      <w:pPr>
        <w:pStyle w:val="ListBullet"/>
      </w:pPr>
      <w:r>
        <w:t>[P80] La metodología distributiva propuesta es transferible a otros RCMs y dominios, en línea con métricas de PDF de precipitación diaria (JCLI-D-21-0617).</w:t>
      </w:r>
    </w:p>
    <w:p>
      <w:pPr>
        <w:pStyle w:val="ListBullet"/>
      </w:pPr>
      <w:r>
        <w:t>[P81] Evaluar RCMs solo por sesgo en wet days o media de precipitación es insuficiente si el interés está en persistencia seca y eventos extremos de duración.</w:t>
      </w:r>
    </w:p>
    <w:p>
      <w:pPr>
        <w:pStyle w:val="Heading2"/>
      </w:pPr>
      <w:r>
        <w:t>5.3 Limitations and future work</w:t>
      </w:r>
    </w:p>
    <w:p>
      <w:pPr>
        <w:pStyle w:val="ListBullet"/>
      </w:pPr>
      <w:r>
        <w:t>[P82] CR2MET no está disponible para el futuro, por lo que el cambio futuro se evalúa solo con ALADIN (hist vs. fut del mismo modelo).</w:t>
      </w:r>
    </w:p>
    <w:p>
      <w:pPr>
        <w:pStyle w:val="ListBullet"/>
      </w:pPr>
      <w:r>
        <w:t>[P83] El pool regional agrega spells de distintos píxeles, mezclando heterogeneidad espacial; análisis por píxel o por subcuenca podría refinar la interpretación.</w:t>
      </w:r>
    </w:p>
    <w:p>
      <w:pPr>
        <w:pStyle w:val="ListBullet"/>
      </w:pPr>
      <w:r>
        <w:t>[P84] La calibración R₀ iguala fracción de wet days, no garantiza igualdad en intensidad, variabilidad interanual ni física de spells.</w:t>
      </w:r>
    </w:p>
    <w:p>
      <w:pPr>
        <w:pStyle w:val="ListBullet"/>
      </w:pPr>
      <w:r>
        <w:t>[P85] Trabajo futuro: extender a más cuencas y escenarios, vincular PDFs de dry spells con índices de sequía operativos, y comparar con otros RCMs de CHP.</w:t>
      </w:r>
    </w:p>
    <w:p>
      <w:r>
        <w:br w:type="page"/>
      </w:r>
    </w:p>
    <w:p>
      <w:pPr>
        <w:pStyle w:val="Heading1"/>
      </w:pPr>
      <w:r>
        <w:t>Inventario de figuras</w:t>
      </w:r>
    </w:p>
    <w:tbl>
      <w:tblPr>
        <w:tblStyle w:val="TableGrid"/>
        <w:tblW w:type="auto" w:w="0"/>
        <w:tblLook w:firstColumn="1" w:firstRow="1" w:lastColumn="0" w:lastRow="0" w:noHBand="0" w:noVBand="1" w:val="04A0"/>
      </w:tblPr>
      <w:tblGrid>
        <w:gridCol w:w="2880"/>
        <w:gridCol w:w="2880"/>
        <w:gridCol w:w="2880"/>
      </w:tblGrid>
      <w:tr>
        <w:tc>
          <w:tcPr>
            <w:tcW w:type="dxa" w:w="2880"/>
          </w:tcPr>
          <w:p>
            <w:r>
              <w:t>#</w:t>
            </w:r>
          </w:p>
        </w:tc>
        <w:tc>
          <w:tcPr>
            <w:tcW w:type="dxa" w:w="2880"/>
          </w:tcPr>
          <w:p>
            <w:r>
              <w:t>Mensaje que ilustra</w:t>
            </w:r>
          </w:p>
        </w:tc>
        <w:tc>
          <w:tcPr>
            <w:tcW w:type="dxa" w:w="2880"/>
          </w:tcPr>
          <w:p>
            <w:r>
              <w:t>Archivo / estado</w:t>
            </w:r>
          </w:p>
        </w:tc>
      </w:tr>
      <w:tr>
        <w:tc>
          <w:tcPr>
            <w:tcW w:type="dxa" w:w="2880"/>
          </w:tcPr>
          <w:p>
            <w:r>
              <w:t>1</w:t>
            </w:r>
          </w:p>
        </w:tc>
        <w:tc>
          <w:tcPr>
            <w:tcW w:type="dxa" w:w="2880"/>
          </w:tcPr>
          <w:p>
            <w:r>
              <w:t>Motivación: intermitencia importa</w:t>
            </w:r>
          </w:p>
        </w:tc>
        <w:tc>
          <w:tcPr>
            <w:tcW w:type="dxa" w:w="2880"/>
          </w:tcPr>
          <w:p>
            <w:r>
              <w:t>CREAR (esquema)</w:t>
            </w:r>
          </w:p>
        </w:tc>
      </w:tr>
      <w:tr>
        <w:tc>
          <w:tcPr>
            <w:tcW w:type="dxa" w:w="2880"/>
          </w:tcPr>
          <w:p>
            <w:r>
              <w:t>2</w:t>
            </w:r>
          </w:p>
        </w:tc>
        <w:tc>
          <w:tcPr>
            <w:tcW w:type="dxa" w:w="2880"/>
          </w:tcPr>
          <w:p>
            <w:r>
              <w:t>Dominio y cuencas/regiones</w:t>
            </w:r>
          </w:p>
        </w:tc>
        <w:tc>
          <w:tcPr>
            <w:tcW w:type="dxa" w:w="2880"/>
          </w:tcPr>
          <w:p>
            <w:r>
              <w:t>CREAR</w:t>
            </w:r>
          </w:p>
        </w:tc>
      </w:tr>
      <w:tr>
        <w:tc>
          <w:tcPr>
            <w:tcW w:type="dxa" w:w="2880"/>
          </w:tcPr>
          <w:p>
            <w:r>
              <w:t>3</w:t>
            </w:r>
          </w:p>
        </w:tc>
        <w:tc>
          <w:tcPr>
            <w:tcW w:type="dxa" w:w="2880"/>
          </w:tcPr>
          <w:p>
            <w:r>
              <w:t>Calibración R₀ = 5.285 mm</w:t>
            </w:r>
          </w:p>
        </w:tc>
        <w:tc>
          <w:tcPr>
            <w:tcW w:type="dxa" w:w="2880"/>
          </w:tcPr>
          <w:p>
            <w:r>
              <w:t>fig_p6_ftau.png ✓</w:t>
            </w:r>
          </w:p>
        </w:tc>
      </w:tr>
      <w:tr>
        <w:tc>
          <w:tcPr>
            <w:tcW w:type="dxa" w:w="2880"/>
          </w:tcPr>
          <w:p>
            <w:r>
              <w:t>4</w:t>
            </w:r>
          </w:p>
        </w:tc>
        <w:tc>
          <w:tcPr>
            <w:tcW w:type="dxa" w:w="2880"/>
          </w:tcPr>
          <w:p>
            <w:r>
              <w:t>Sensibilidad al umbral (4 curvas)</w:t>
            </w:r>
          </w:p>
        </w:tc>
        <w:tc>
          <w:tcPr>
            <w:tcW w:type="dxa" w:w="2880"/>
          </w:tcPr>
          <w:p>
            <w:r>
              <w:t>pdf_calibracion_Loa_logy.png ✓</w:t>
            </w:r>
          </w:p>
        </w:tc>
      </w:tr>
      <w:tr>
        <w:tc>
          <w:tcPr>
            <w:tcW w:type="dxa" w:w="2880"/>
          </w:tcPr>
          <w:p>
            <w:r>
              <w:t>5</w:t>
            </w:r>
          </w:p>
        </w:tc>
        <w:tc>
          <w:tcPr>
            <w:tcW w:type="dxa" w:w="2880"/>
          </w:tcPr>
          <w:p>
            <w:r>
              <w:t>Sesgo espacial persistencia hist</w:t>
            </w:r>
          </w:p>
        </w:tc>
        <w:tc>
          <w:tcPr>
            <w:tcW w:type="dxa" w:w="2880"/>
          </w:tcPr>
          <w:p>
            <w:r>
              <w:t>GENERAR desde pregunta 7</w:t>
            </w:r>
          </w:p>
        </w:tc>
      </w:tr>
      <w:tr>
        <w:tc>
          <w:tcPr>
            <w:tcW w:type="dxa" w:w="2880"/>
          </w:tcPr>
          <w:p>
            <w:r>
              <w:t>6</w:t>
            </w:r>
          </w:p>
        </w:tc>
        <w:tc>
          <w:tcPr>
            <w:tcW w:type="dxa" w:w="2880"/>
          </w:tcPr>
          <w:p>
            <w:r>
              <w:t>PDF cuenca árida (Loa)</w:t>
            </w:r>
          </w:p>
        </w:tc>
        <w:tc>
          <w:tcPr>
            <w:tcW w:type="dxa" w:w="2880"/>
          </w:tcPr>
          <w:p>
            <w:r>
              <w:t>pdf_Loa_i_global.png ✓</w:t>
            </w:r>
          </w:p>
        </w:tc>
      </w:tr>
      <w:tr>
        <w:tc>
          <w:tcPr>
            <w:tcW w:type="dxa" w:w="2880"/>
          </w:tcPr>
          <w:p>
            <w:r>
              <w:t>7</w:t>
            </w:r>
          </w:p>
        </w:tc>
        <w:tc>
          <w:tcPr>
            <w:tcW w:type="dxa" w:w="2880"/>
          </w:tcPr>
          <w:p>
            <w:r>
              <w:t>PDF cuenca central (Maule)</w:t>
            </w:r>
          </w:p>
        </w:tc>
        <w:tc>
          <w:tcPr>
            <w:tcW w:type="dxa" w:w="2880"/>
          </w:tcPr>
          <w:p>
            <w:r>
              <w:t>pdf_Maule_i_global.png ✓</w:t>
            </w:r>
          </w:p>
        </w:tc>
      </w:tr>
      <w:tr>
        <w:tc>
          <w:tcPr>
            <w:tcW w:type="dxa" w:w="2880"/>
          </w:tcPr>
          <w:p>
            <w:r>
              <w:t>8</w:t>
            </w:r>
          </w:p>
        </w:tc>
        <w:tc>
          <w:tcPr>
            <w:tcW w:type="dxa" w:w="2880"/>
          </w:tcPr>
          <w:p>
            <w:r>
              <w:t>Risk ratios futuro</w:t>
            </w:r>
          </w:p>
        </w:tc>
        <w:tc>
          <w:tcPr>
            <w:tcW w:type="dxa" w:w="2880"/>
          </w:tcPr>
          <w:p>
            <w:r>
              <w:t>rr_curves_aladin.png ✓</w:t>
            </w:r>
          </w:p>
        </w:tc>
      </w:tr>
      <w:tr>
        <w:tc>
          <w:tcPr>
            <w:tcW w:type="dxa" w:w="2880"/>
          </w:tcPr>
          <w:p>
            <w:r>
              <w:t>9</w:t>
            </w:r>
          </w:p>
        </w:tc>
        <w:tc>
          <w:tcPr>
            <w:tcW w:type="dxa" w:w="2880"/>
          </w:tcPr>
          <w:p>
            <w:r>
              <w:t>Cola futura en árido</w:t>
            </w:r>
          </w:p>
        </w:tc>
        <w:tc>
          <w:tcPr>
            <w:tcW w:type="dxa" w:w="2880"/>
          </w:tcPr>
          <w:p>
            <w:r>
              <w:t>mismo panel Loa, énfasis futuro ✓</w:t>
            </w:r>
          </w:p>
        </w:tc>
      </w:tr>
      <w:tr>
        <w:tc>
          <w:tcPr>
            <w:tcW w:type="dxa" w:w="2880"/>
          </w:tcPr>
          <w:p>
            <w:r>
              <w:t>10</w:t>
            </w:r>
          </w:p>
        </w:tc>
        <w:tc>
          <w:tcPr>
            <w:tcW w:type="dxa" w:w="2880"/>
          </w:tcPr>
          <w:p>
            <w:r>
              <w:t>Cola futura en sur húmedo</w:t>
            </w:r>
          </w:p>
        </w:tc>
        <w:tc>
          <w:tcPr>
            <w:tcW w:type="dxa" w:w="2880"/>
          </w:tcPr>
          <w:p>
            <w:r>
              <w:t>pdf_Biobio_i_global.png ✓</w:t>
            </w:r>
          </w:p>
        </w:tc>
      </w:tr>
      <w:tr>
        <w:tc>
          <w:tcPr>
            <w:tcW w:type="dxa" w:w="2880"/>
          </w:tcPr>
          <w:p>
            <w:r>
              <w:t>Tabla 2</w:t>
            </w:r>
          </w:p>
        </w:tc>
        <w:tc>
          <w:tcPr>
            <w:tcW w:type="dxa" w:w="2880"/>
          </w:tcPr>
          <w:p>
            <w:r>
              <w:t>Estadísticas por cuenca</w:t>
            </w:r>
          </w:p>
        </w:tc>
        <w:tc>
          <w:tcPr>
            <w:tcW w:type="dxa" w:w="2880"/>
          </w:tcPr>
          <w:p>
            <w:r>
              <w:t>fig_p9_tabla_resumen.png ✓</w:t>
            </w:r>
          </w:p>
        </w:tc>
      </w:tr>
      <w:tr>
        <w:tc>
          <w:tcPr>
            <w:tcW w:type="dxa" w:w="2880"/>
          </w:tcPr>
          <w:p>
            <w:r>
              <w:t>S1</w:t>
            </w:r>
          </w:p>
        </w:tc>
        <w:tc>
          <w:tcPr>
            <w:tcW w:type="dxa" w:w="2880"/>
          </w:tcPr>
          <w:p>
            <w:r>
              <w:t>Sesgo wet days @ 1 mm</w:t>
            </w:r>
          </w:p>
        </w:tc>
        <w:tc>
          <w:tcPr>
            <w:tcW w:type="dxa" w:w="2880"/>
          </w:tcPr>
          <w:p>
            <w:r>
              <w:t>fig_p3_delta_wetdays.png ✓</w:t>
            </w:r>
          </w:p>
        </w:tc>
      </w:tr>
      <w:tr>
        <w:tc>
          <w:tcPr>
            <w:tcW w:type="dxa" w:w="2880"/>
          </w:tcPr>
          <w:p>
            <w:r>
              <w:t>S2</w:t>
            </w:r>
          </w:p>
        </w:tc>
        <w:tc>
          <w:tcPr>
            <w:tcW w:type="dxa" w:w="2880"/>
          </w:tcPr>
          <w:p>
            <w:r>
              <w:t>R₀ local vs global</w:t>
            </w:r>
          </w:p>
        </w:tc>
        <w:tc>
          <w:tcPr>
            <w:tcW w:type="dxa" w:w="2880"/>
          </w:tcPr>
          <w:p>
            <w:r>
              <w:t>tau_local_map.png ✓</w:t>
            </w:r>
          </w:p>
        </w:tc>
      </w:tr>
      <w:tr>
        <w:tc>
          <w:tcPr>
            <w:tcW w:type="dxa" w:w="2880"/>
          </w:tcPr>
          <w:p>
            <w:r>
              <w:t>S3</w:t>
            </w:r>
          </w:p>
        </w:tc>
        <w:tc>
          <w:tcPr>
            <w:tcW w:type="dxa" w:w="2880"/>
          </w:tcPr>
          <w:p>
            <w:r>
              <w:t>Calibración Maule/Biobío</w:t>
            </w:r>
          </w:p>
        </w:tc>
        <w:tc>
          <w:tcPr>
            <w:tcW w:type="dxa" w:w="2880"/>
          </w:tcPr>
          <w:p>
            <w:r>
              <w:t>pdf_calibracion_*.png ✓</w:t>
            </w:r>
          </w:p>
        </w:tc>
      </w:tr>
      <w:tr>
        <w:tc>
          <w:tcPr>
            <w:tcW w:type="dxa" w:w="2880"/>
          </w:tcPr>
          <w:p>
            <w:r>
              <w:t>S4</w:t>
            </w:r>
          </w:p>
        </w:tc>
        <w:tc>
          <w:tcPr>
            <w:tcW w:type="dxa" w:w="2880"/>
          </w:tcPr>
          <w:p>
            <w:r>
              <w:t>Sequedización CR2MET P1/P2</w:t>
            </w:r>
          </w:p>
        </w:tc>
        <w:tc>
          <w:tcPr>
            <w:tcW w:type="dxa" w:w="2880"/>
          </w:tcPr>
          <w:p>
            <w:r>
              <w:t>fig_delta_cr2met_wetdays.png ✓</w:t>
            </w:r>
          </w:p>
        </w:tc>
      </w:tr>
      <w:tr>
        <w:tc>
          <w:tcPr>
            <w:tcW w:type="dxa" w:w="2880"/>
          </w:tcPr>
          <w:p>
            <w:r>
              <w:t>S5</w:t>
            </w:r>
          </w:p>
        </w:tc>
        <w:tc>
          <w:tcPr>
            <w:tcW w:type="dxa" w:w="2880"/>
          </w:tcPr>
          <w:p>
            <w:r>
              <w:t>Tendencias ALADIN hist (null)</w:t>
            </w:r>
          </w:p>
        </w:tc>
        <w:tc>
          <w:tcPr>
            <w:tcW w:type="dxa" w:w="2880"/>
          </w:tcPr>
          <w:p>
            <w:r>
              <w:t>pregunta 8, opcional</w:t>
            </w:r>
          </w:p>
        </w:tc>
      </w:tr>
    </w:tbl>
    <w:p/>
    <w:p>
      <w:pPr>
        <w:pStyle w:val="Heading1"/>
      </w:pPr>
      <w:r>
        <w:t>Qué falta antes de escribir el paper</w:t>
      </w:r>
    </w:p>
    <w:p>
      <w:pPr>
        <w:pStyle w:val="ListBullet"/>
      </w:pPr>
      <w:r>
        <w:t>Exportar mapas de pregunta 7 (duración media, t99, Δ) — Fig. 5.</w:t>
      </w:r>
    </w:p>
    <w:p>
      <w:pPr>
        <w:pStyle w:val="ListBullet"/>
      </w:pPr>
      <w:r>
        <w:t>Mapa de dominio con cuencas y regiones — Fig. 2.</w:t>
      </w:r>
    </w:p>
    <w:p>
      <w:pPr>
        <w:pStyle w:val="ListBullet"/>
      </w:pPr>
      <w:r>
        <w:t>Esquema conceptual de intermitencia — Fig. 1 (simple, 1 panel).</w:t>
      </w:r>
    </w:p>
    <w:p>
      <w:pPr>
        <w:pStyle w:val="ListBullet"/>
      </w:pPr>
      <w:r>
        <w:t>Panel multi-cuenca de calibración (Loa + Maule + Biobío en una figura) — versión publicación de Fig. 4.</w:t>
      </w:r>
    </w:p>
    <w:p>
      <w:pPr>
        <w:pStyle w:val="ListBullet"/>
      </w:pPr>
      <w:r>
        <w:t>Decidir idioma final y nombre definitivo de R₀ con Cristian.</w:t>
      </w:r>
    </w:p>
    <w:p>
      <w:pPr>
        <w:pStyle w:val="Heading1"/>
      </w:pPr>
      <w:r>
        <w:t>Cómo usar esto en la tesis</w:t>
      </w:r>
    </w:p>
    <w:tbl>
      <w:tblPr>
        <w:tblStyle w:val="TableGrid"/>
        <w:tblW w:type="auto" w:w="0"/>
        <w:tblLook w:firstColumn="1" w:firstRow="1" w:lastColumn="0" w:lastRow="0" w:noHBand="0" w:noVBand="1" w:val="04A0"/>
      </w:tblPr>
      <w:tblGrid>
        <w:gridCol w:w="4320"/>
        <w:gridCol w:w="4320"/>
      </w:tblGrid>
      <w:tr>
        <w:tc>
          <w:tcPr>
            <w:tcW w:type="dxa" w:w="4320"/>
          </w:tcPr>
          <w:p>
            <w:r>
              <w:t>Paper (conciso)</w:t>
            </w:r>
          </w:p>
        </w:tc>
        <w:tc>
          <w:tcPr>
            <w:tcW w:type="dxa" w:w="4320"/>
          </w:tcPr>
          <w:p>
            <w:r>
              <w:t>Tesis (expandida)</w:t>
            </w:r>
          </w:p>
        </w:tc>
      </w:tr>
      <w:tr>
        <w:tc>
          <w:tcPr>
            <w:tcW w:type="dxa" w:w="4320"/>
          </w:tcPr>
          <w:p>
            <w:r>
              <w:t>§1 motivación breve</w:t>
            </w:r>
          </w:p>
        </w:tc>
        <w:tc>
          <w:tcPr>
            <w:tcW w:type="dxa" w:w="4320"/>
          </w:tcPr>
          <w:p>
            <w:r>
              <w:t>Capítulo background + megasequía Chile</w:t>
            </w:r>
          </w:p>
        </w:tc>
      </w:tr>
      <w:tr>
        <w:tc>
          <w:tcPr>
            <w:tcW w:type="dxa" w:w="4320"/>
          </w:tcPr>
          <w:p>
            <w:r>
              <w:t>§2.2–2.3 R₀ en 2 párrafos</w:t>
            </w:r>
          </w:p>
        </w:tc>
        <w:tc>
          <w:tcPr>
            <w:tcW w:type="dxa" w:w="4320"/>
          </w:tcPr>
          <w:p>
            <w:r>
              <w:t>Punto 4 completo + puntos 1–2 en anexo</w:t>
            </w:r>
          </w:p>
        </w:tc>
      </w:tr>
      <w:tr>
        <w:tc>
          <w:tcPr>
            <w:tcW w:type="dxa" w:w="4320"/>
          </w:tcPr>
          <w:p>
            <w:r>
              <w:t>§3.4 tendencias null</w:t>
            </w:r>
          </w:p>
        </w:tc>
        <w:tc>
          <w:tcPr>
            <w:tcW w:type="dxa" w:w="4320"/>
          </w:tcPr>
          <w:p>
            <w:r>
              <w:t>Punto 8 completo</w:t>
            </w:r>
          </w:p>
        </w:tc>
      </w:tr>
      <w:tr>
        <w:tc>
          <w:tcPr>
            <w:tcW w:type="dxa" w:w="4320"/>
          </w:tcPr>
          <w:p>
            <w:r>
              <w:t>Suplemento sesgo</w:t>
            </w:r>
          </w:p>
        </w:tc>
        <w:tc>
          <w:tcPr>
            <w:tcW w:type="dxa" w:w="4320"/>
          </w:tcPr>
          <w:p>
            <w:r>
              <w:t>Capítulo metodológico extendido</w:t>
            </w:r>
          </w:p>
        </w:tc>
      </w:tr>
    </w:tbl>
    <w:p/>
    <w:p>
      <w:pPr>
        <w:pStyle w:val="Heading1"/>
      </w:pPr>
      <w:r>
        <w:t>Contexto de la reunión (30-jun-2026)</w:t>
      </w:r>
    </w:p>
    <w:p>
      <w:pPr>
        <w:pStyle w:val="ListBullet"/>
      </w:pPr>
      <w:r>
        <w:t>Prioridad 2 acordada: generar storyboard/outline de potencial paper (no solo tesis).</w:t>
      </w:r>
    </w:p>
    <w:p>
      <w:pPr>
        <w:pStyle w:val="ListBullet"/>
      </w:pPr>
      <w:r>
        <w:t>Historia principal: cambios en distribución de dry spells (histórico vs. futuro), no sesgo como eje central.</w:t>
      </w:r>
    </w:p>
    <w:p>
      <w:pPr>
        <w:pStyle w:val="ListBullet"/>
      </w:pPr>
      <w:r>
        <w:t>τ* / R₀ es punto metodológico breve; precedente en Martinez-Villalobos et al. 2022 (JCLI-D-21-0590).</w:t>
      </w:r>
    </w:p>
    <w:p>
      <w:pPr>
        <w:pStyle w:val="ListBullet"/>
      </w:pPr>
      <w:r>
        <w:t>PDFs deben integrar a n_spells (no a 1) para preservar diferencias hist vs futuro.</w:t>
      </w:r>
    </w:p>
    <w:p>
      <w:pPr>
        <w:pStyle w:val="ListBullet"/>
      </w:pPr>
      <w:r>
        <w:t>Figuras de calibración: 4 curvas (CR2MET 1 mm, ALADIN 1 mm, ALADIN R₀ global, ALADIN R₀ local) en 2–3 cuencas.</w:t>
      </w:r>
    </w:p>
    <w:p>
      <w:pPr>
        <w:pStyle w:val="ListBullet"/>
      </w:pPr>
      <w:r>
        <w:t>Estructura modelo: JCLI-D-21-0617 — secciones, subsecciones, párrafos encadenados, figuras después del mensaje.</w:t>
      </w:r>
    </w:p>
    <w:p>
      <w:pPr>
        <w:pStyle w:val="ListBullet"/>
      </w:pPr>
      <w:r>
        <w:t>Reunión siguiente mencionada: 10 de julio.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