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Times New Roman" w:cs="Times New Roman" w:eastAsia="Times New Roman" w:hAnsi="Times New Roman"/>
          <w:b/>
          <w:bCs/>
          <w:caps w:val="false"/>
          <w:color w:val="000000"/>
          <w:sz w:val="26"/>
          <w:szCs w:val="26"/>
        </w:rPr>
        <w:t xml:space="preserve">UNIVERSIDAD DE LAS AMÉRICAS</w:t>
      </w:r>
    </w:p>
    <w:p>
      <w:pPr>
        <w:spacing w:after="40" w:line="360"/>
        <w:jc w:val="center"/>
      </w:pPr>
      <w:r>
        <w:rPr>
          <w:rFonts w:ascii="Times New Roman" w:cs="Times New Roman" w:eastAsia="Times New Roman" w:hAnsi="Times New Roman"/>
          <w:b w:val="false"/>
          <w:bCs w:val="false"/>
          <w:caps w:val="false"/>
          <w:color w:val="000000"/>
          <w:sz w:val="22"/>
          <w:szCs w:val="22"/>
        </w:rPr>
        <w:t xml:space="preserve">Facultad: pendiente de cotejo</w:t>
      </w:r>
    </w:p>
    <w:p>
      <w:pPr>
        <w:spacing w:after="600" w:line="360"/>
        <w:jc w:val="center"/>
      </w:pPr>
      <w:r>
        <w:rPr>
          <w:rFonts w:ascii="Times New Roman" w:cs="Times New Roman" w:eastAsia="Times New Roman" w:hAnsi="Times New Roman"/>
          <w:b w:val="false"/>
          <w:bCs w:val="false"/>
          <w:caps w:val="false"/>
          <w:color w:val="000000"/>
          <w:sz w:val="22"/>
          <w:szCs w:val="22"/>
        </w:rPr>
        <w:t xml:space="preserve">Carrera: pendiente de cotejo</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line="360"/>
        <w:jc w:val="center"/>
      </w:pPr>
      <w:r>
        <w:rPr>
          <w:rFonts w:ascii="Times New Roman" w:cs="Times New Roman" w:eastAsia="Times New Roman" w:hAnsi="Times New Roman"/>
          <w:b/>
          <w:bCs/>
          <w:caps w:val="false"/>
          <w:color w:val="000000"/>
          <w:sz w:val="28"/>
          <w:szCs w:val="28"/>
        </w:rPr>
        <w:t xml:space="preserve">GOEI — Índice de Eficiencia Operacional Gastronómica</w:t>
      </w:r>
    </w:p>
    <w:p>
      <w:pPr>
        <w:spacing w:after="600" w:line="360"/>
        <w:jc w:val="center"/>
      </w:pPr>
      <w:r>
        <w:rPr>
          <w:rFonts w:ascii="Times New Roman" w:cs="Times New Roman" w:eastAsia="Times New Roman" w:hAnsi="Times New Roman"/>
          <w:b w:val="false"/>
          <w:bCs w:val="false"/>
          <w:caps w:val="false"/>
          <w:color w:val="000000"/>
          <w:sz w:val="22"/>
          <w:szCs w:val="22"/>
        </w:rPr>
        <w:t xml:space="preserve">Fundamentación científica, construcción metodológica y protocolo de validación de un estándar para evaluar la Salud Operacional de establecimientos gastronómicos</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line="360"/>
        <w:jc w:val="center"/>
      </w:pPr>
      <w:r>
        <w:rPr>
          <w:rFonts w:ascii="Times New Roman" w:cs="Times New Roman" w:eastAsia="Times New Roman" w:hAnsi="Times New Roman"/>
          <w:i/>
          <w:iCs/>
          <w:color w:val="000000"/>
          <w:sz w:val="24"/>
          <w:szCs w:val="24"/>
        </w:rPr>
        <w:t xml:space="preserve">Tesis para optar al grado/título académico: pendiente de cotejo</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40" w:line="360"/>
        <w:jc w:val="center"/>
      </w:pPr>
      <w:r>
        <w:rPr>
          <w:rFonts w:ascii="Times New Roman" w:cs="Times New Roman" w:eastAsia="Times New Roman" w:hAnsi="Times New Roman"/>
          <w:b/>
          <w:bCs/>
          <w:color w:val="000000"/>
          <w:sz w:val="24"/>
          <w:szCs w:val="24"/>
        </w:rPr>
        <w:t xml:space="preserve">Autor</w:t>
      </w:r>
    </w:p>
    <w:p>
      <w:pPr>
        <w:spacing w:after="200" w:line="360"/>
        <w:jc w:val="center"/>
      </w:pPr>
      <w:r>
        <w:rPr>
          <w:rFonts w:ascii="Times New Roman" w:cs="Times New Roman" w:eastAsia="Times New Roman" w:hAnsi="Times New Roman"/>
          <w:color w:val="000000"/>
          <w:sz w:val="24"/>
          <w:szCs w:val="24"/>
        </w:rPr>
        <w:t xml:space="preserve">Pablo Toledo Salinas</w:t>
      </w:r>
    </w:p>
    <w:p>
      <w:pPr>
        <w:spacing w:after="40" w:line="360"/>
        <w:jc w:val="center"/>
      </w:pPr>
      <w:r>
        <w:rPr>
          <w:rFonts w:ascii="Times New Roman" w:cs="Times New Roman" w:eastAsia="Times New Roman" w:hAnsi="Times New Roman"/>
          <w:b/>
          <w:bCs/>
          <w:color w:val="000000"/>
          <w:sz w:val="24"/>
          <w:szCs w:val="24"/>
        </w:rPr>
        <w:t xml:space="preserve">Profesor guía</w:t>
      </w:r>
    </w:p>
    <w:p>
      <w:pPr>
        <w:spacing w:after="600" w:line="360"/>
        <w:jc w:val="center"/>
      </w:pPr>
      <w:r>
        <w:rPr>
          <w:rFonts w:ascii="Times New Roman" w:cs="Times New Roman" w:eastAsia="Times New Roman" w:hAnsi="Times New Roman"/>
          <w:color w:val="000000"/>
          <w:sz w:val="24"/>
          <w:szCs w:val="24"/>
        </w:rPr>
        <w:t xml:space="preserve">____________________________</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line="360"/>
        <w:jc w:val="center"/>
      </w:pPr>
      <w:r>
        <w:rPr>
          <w:rFonts w:ascii="Times New Roman" w:cs="Times New Roman" w:eastAsia="Times New Roman" w:hAnsi="Times New Roman"/>
          <w:b w:val="false"/>
          <w:bCs w:val="false"/>
          <w:caps w:val="false"/>
          <w:color w:val="000000"/>
          <w:sz w:val="24"/>
          <w:szCs w:val="24"/>
        </w:rPr>
        <w:t xml:space="preserve">Santiago, Chile —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line="480"/>
        <w:jc w:val="center"/>
      </w:pPr>
      <w:r>
        <w:rPr>
          <w:rFonts w:ascii="Times New Roman" w:cs="Times New Roman" w:eastAsia="Times New Roman" w:hAnsi="Times New Roman"/>
          <w:b/>
          <w:bCs/>
          <w:color w:val="000000"/>
          <w:sz w:val="28"/>
          <w:szCs w:val="28"/>
        </w:rPr>
        <w:t xml:space="preserve">Resumen</w:t>
      </w:r>
    </w:p>
    <w:p>
      <w:pPr>
        <w:spacing w:after="200" w:line="480"/>
        <w:ind w:firstLine="720"/>
        <w:jc w:val="both"/>
      </w:pPr>
      <w:r>
        <w:rPr>
          <w:rFonts w:ascii="Times New Roman" w:cs="Times New Roman" w:eastAsia="Times New Roman" w:hAnsi="Times New Roman"/>
          <w:b w:val="false"/>
          <w:bCs w:val="false"/>
          <w:i w:val="false"/>
          <w:iCs w:val="false"/>
          <w:color w:val="000000"/>
          <w:sz w:val="24"/>
          <w:szCs w:val="24"/>
        </w:rPr>
        <w:t xml:space="preserve">La medición del desempeño en establecimientos gastronómicos se encuentra fragmentada. Coexisten indicadores financieros y operativos aislados, métodos de eficiencia relativa, marcos de desempeño multidimensional, modelos de excelencia y sistemas de inocuidad; sin embargo, ningún instrumento integra en una sola escala la cobertura operacional multidimensional, la comparabilidad estandarizada entre categorías heterogéneas, la auditabilidad y el cálculo manual de bajo costo tecnológico. Esta investigación fundamenta científicamente la existencia de esa brecha, define el fenómeno objeto de medición —la Salud Operacional de los establecimientos gastronómicos— y demuestra que puede modelarse como un índice compuesto de naturaleza formativa sin contradecir la teoría de constructos, apoyándose en precedentes consolidados de la literatura. Sobre esa base se propone la arquitectura de un estándar técnico, una ontología de tres estratos, un núcleo universal de macroprocesos sustentado en evidencia convergente y un diseño metodológico de dimensiones, criterios de admisibilidad de indicadores, normalización a estado de referencia y agregación no compensatoria. Finalmente se especifica el protocolo de validación que permitiría elevar el instrumento desde una propuesta metodológica hasta un estándar de referencia. La contribución es doble: una fundamentación crítica de la pertinencia del índice y un marco metodológico reproducible para su construcción. Se reconoce como límite que la validación empírica constituye trabajo futuro; en consecuencia, los componentes de diseño se presentan como propuestas sujetas a validación.</w:t>
      </w:r>
    </w:p>
    <w:p>
      <w:pPr>
        <w:spacing w:after="120" w:line="480"/>
        <w:jc w:val="both"/>
      </w:pPr>
      <w:r>
        <w:rPr>
          <w:rFonts w:ascii="Times New Roman" w:cs="Times New Roman" w:eastAsia="Times New Roman" w:hAnsi="Times New Roman"/>
          <w:b w:val="false"/>
          <w:bCs w:val="false"/>
          <w:i w:val="false"/>
          <w:iCs w:val="false"/>
          <w:color w:val="000000"/>
          <w:sz w:val="24"/>
          <w:szCs w:val="24"/>
        </w:rPr>
        <w:t xml:space="preserve">Palabras clave: salud operacional; índice compuesto formativo; gastronomía; medición del desempeño; inocuidad alimentaria; estándar técnico; validación.</w:t>
      </w:r>
    </w:p>
    <w:p>
      <w:pPr>
        <w:pStyle w:val="Heading1"/>
        <w:spacing w:after="200" w:before="360" w:line="480"/>
        <w:jc w:val="center"/>
      </w:pPr>
      <w:r>
        <w:rPr>
          <w:rFonts w:ascii="Times New Roman" w:cs="Times New Roman" w:eastAsia="Times New Roman" w:hAnsi="Times New Roman"/>
          <w:b/>
          <w:bCs/>
          <w:color w:val="000000"/>
          <w:sz w:val="28"/>
          <w:szCs w:val="28"/>
        </w:rPr>
        <w:t xml:space="preserve">Abstract</w:t>
      </w:r>
    </w:p>
    <w:p>
      <w:pPr>
        <w:spacing w:after="200" w:line="480"/>
        <w:ind w:firstLine="720"/>
        <w:jc w:val="both"/>
      </w:pPr>
      <w:r>
        <w:rPr>
          <w:rFonts w:ascii="Times New Roman" w:cs="Times New Roman" w:eastAsia="Times New Roman" w:hAnsi="Times New Roman"/>
          <w:b w:val="false"/>
          <w:bCs w:val="false"/>
          <w:i w:val="false"/>
          <w:iCs w:val="false"/>
          <w:color w:val="000000"/>
          <w:sz w:val="24"/>
          <w:szCs w:val="24"/>
        </w:rPr>
        <w:t xml:space="preserve">Performance measurement in foodservice establishments is fragmented. Isolated financial and operational indicators, relative-efficiency methods, multidimensional performance frameworks, excellence models and food-safety systems coexist; yet no single instrument integrates multidimensional operational coverage, standardized cross-category comparability, auditability and low-technology manual computation on a common scale. This research establishes the scientific gap, defines the phenomenon under measurement —the Operational Health of gastronomic establishments— and shows that it can be modeled as a formative composite index without contradicting construct theory, drawing on well-established precedents. On this basis it proposes a technical-standard architecture, a three-stratum ontology, an evidence-based universal macroprocess core, and a methodological design of dimensions, indicator-admissibility criteria, reference-state normalization and non-compensatory aggregation. Finally, it specifies the validation protocol required to move the instrument from a methodological proposal to a reference standard. The contribution is twofold: a critical justification of the index and a reproducible methodological framework for its construction. Empirical validation is acknowledged as future work; accordingly, design components are presented as proposals subject to validation.</w:t>
      </w:r>
    </w:p>
    <w:p>
      <w:pPr>
        <w:spacing w:after="0" w:line="480"/>
        <w:jc w:val="both"/>
      </w:pPr>
      <w:r>
        <w:rPr>
          <w:rFonts w:ascii="Times New Roman" w:cs="Times New Roman" w:eastAsia="Times New Roman" w:hAnsi="Times New Roman"/>
          <w:b w:val="false"/>
          <w:bCs w:val="false"/>
          <w:i w:val="false"/>
          <w:iCs w:val="false"/>
          <w:color w:val="000000"/>
          <w:sz w:val="24"/>
          <w:szCs w:val="24"/>
        </w:rPr>
        <w:t xml:space="preserve">Keywords: operational health; formative composite index; foodservice; performance measurement; food safety; technical standard; validation.</w:t>
      </w:r>
    </w:p>
    <w:p>
      <w:r>
        <w:br w:type="page"/>
      </w:r>
    </w:p>
    <w:p>
      <w:pPr>
        <w:pStyle w:val="Heading1"/>
        <w:spacing w:after="200" w:before="360" w:line="480"/>
        <w:jc w:val="center"/>
      </w:pPr>
      <w:r>
        <w:rPr>
          <w:rFonts w:ascii="Times New Roman" w:cs="Times New Roman" w:eastAsia="Times New Roman" w:hAnsi="Times New Roman"/>
          <w:b/>
          <w:bCs/>
          <w:color w:val="000000"/>
          <w:sz w:val="28"/>
          <w:szCs w:val="28"/>
        </w:rP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line="480"/>
        <w:jc w:val="center"/>
      </w:pPr>
      <w:r>
        <w:rPr>
          <w:rFonts w:ascii="Times New Roman" w:cs="Times New Roman" w:eastAsia="Times New Roman" w:hAnsi="Times New Roman"/>
          <w:b/>
          <w:bCs/>
          <w:color w:val="000000"/>
          <w:sz w:val="28"/>
          <w:szCs w:val="28"/>
        </w:rPr>
        <w:t xml:space="preserve">Tomo I. Fundamentos científicos</w:t>
      </w:r>
    </w:p>
    <w:p>
      <w:pPr>
        <w:pStyle w:val="Heading2"/>
        <w:spacing w:after="120" w:before="240" w:line="480"/>
        <w:jc w:val="left"/>
      </w:pPr>
      <w:r>
        <w:rPr>
          <w:rFonts w:ascii="Times New Roman" w:cs="Times New Roman" w:eastAsia="Times New Roman" w:hAnsi="Times New Roman"/>
          <w:b/>
          <w:bCs/>
          <w:color w:val="000000"/>
          <w:sz w:val="24"/>
          <w:szCs w:val="24"/>
        </w:rPr>
        <w:t xml:space="preserve">1. Introducción</w:t>
      </w:r>
    </w:p>
    <w:p>
      <w:pPr>
        <w:pStyle w:val="Heading3"/>
        <w:spacing w:after="100" w:before="180" w:line="480"/>
        <w:jc w:val="left"/>
      </w:pPr>
      <w:r>
        <w:rPr>
          <w:rFonts w:ascii="Times New Roman" w:cs="Times New Roman" w:eastAsia="Times New Roman" w:hAnsi="Times New Roman"/>
          <w:b/>
          <w:bCs/>
          <w:i/>
          <w:iCs/>
          <w:color w:val="000000"/>
          <w:sz w:val="24"/>
          <w:szCs w:val="24"/>
        </w:rPr>
        <w:t xml:space="preserve">1.1 Contexto y planteamiento del problema</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industria gastronómica constituye un sector intensivo en mano de obra, caracterizado por márgenes estrechos, elevada rotación de negocios y una creciente exigencia regulatoria en materia de inocuidad y sostenibilidad. En el ámbito latinoamericano, y particularmente en el chileno, el tejido gastronómico está dominado por micro y pequeñas empresas que operan con capacidad técnica limitada, alta informalidad y baja adopción tecnológica. Esta configuración vuelve inviables los instrumentos de gestión que exigen un analista especializado o el uso de software, y deja a la mayoría de los establecimientos sin una herramienta accesible para diagnosticar su condición operacional de manera integral.</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problema que motiva esta investigación es la ausencia de una forma estandarizada, comparable, auditable y de bajo costo tecnológico de expresar la condición operacional integral de un establecimiento gastronómico, que permita compararlo consigo mismo a lo largo del tiempo y con pares de su misma categoría. La medición existente es potente pero fragmentaria: cada instrumento disponible cubre una faceta particular —costo, calidad, servicio, inocuidad o eficiencia— sin integrarlas en una escala común interpretable.</w:t>
      </w:r>
    </w:p>
    <w:p>
      <w:pPr>
        <w:pStyle w:val="Heading3"/>
        <w:spacing w:after="100" w:before="180" w:line="480"/>
        <w:jc w:val="left"/>
      </w:pPr>
      <w:r>
        <w:rPr>
          <w:rFonts w:ascii="Times New Roman" w:cs="Times New Roman" w:eastAsia="Times New Roman" w:hAnsi="Times New Roman"/>
          <w:b/>
          <w:bCs/>
          <w:i/>
          <w:iCs/>
          <w:color w:val="000000"/>
          <w:sz w:val="24"/>
          <w:szCs w:val="24"/>
        </w:rPr>
        <w:t xml:space="preserve">1.2 Brecha y justificación</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brecha no es la mera inexistencia de un índice, afirmación que resultaría trivial, sino que se manifiesta en dos planos. En el plano práctico, cada propiedad deseable —multidimensionalidad, comparabilidad entre categorías, auditabilidad y cálculo manual— existe por separado en la literatura, pero ningún instrumento las reúne simultáneamente. En el plano científico, no se ha demostrado que el fenómeno pueda representarse como un índice compuesto sin una pérdida inaceptable de validez, lo que constituye una pregunta genuina de validez de constructo, empíricamente resoluble y con valor de publicación.</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pertinencia de la investigación se sostiene desde múltiples ángulos. En lo científico, formula una pregunta original y resoluble y aporta un marco metodológico reproducible. En lo académico, genera una tesis y productos de difusión derivados. En lo empresarial, ofrece a las pequeñas empresas un diagnóstico integral y accionable. En lo económico y tecnológico, se apoya en un procedimiento de aplicación de bajo costo, independiente de software. En lo social, contribuye a la seguridad alimentaria y a la continuidad de los negocios.</w:t>
      </w:r>
    </w:p>
    <w:p>
      <w:pPr>
        <w:pStyle w:val="Heading3"/>
        <w:spacing w:after="100" w:before="180" w:line="480"/>
        <w:jc w:val="left"/>
      </w:pPr>
      <w:r>
        <w:rPr>
          <w:rFonts w:ascii="Times New Roman" w:cs="Times New Roman" w:eastAsia="Times New Roman" w:hAnsi="Times New Roman"/>
          <w:b/>
          <w:bCs/>
          <w:i/>
          <w:iCs/>
          <w:color w:val="000000"/>
          <w:sz w:val="24"/>
          <w:szCs w:val="24"/>
        </w:rPr>
        <w:t xml:space="preserve">1.3 Objetivos, preguntas e hipótesis</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objetivo general consiste en fundamentar, diseñar y especificar la validación de un estándar para evaluar la Salud Operacional de establecimientos gastronómicos. Los objetivos específicos son: demostrar la brecha científica e industrial; definir el constructo y su modelo de medición; diseñar la arquitectura del estándar y su ontología; identificar el núcleo universal de procesos; proponer dimensiones, indicadores, normalización, agregación y reglas críticas; y especificar el protocolo de validación.</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pregunta central de investigación indaga si la Salud Operacional es un constructo multidimensional válidamente representable como índice compuesto, comparable entre establecimientos heterogéneos y calculable de forma manual. De ella se desprenden tres hipótesis de trabajo: que la Salud Operacional es un constructo de naturaleza formativa válidamente indexable; que existe un núcleo universal de macroprocesos a nivel de subsistema; y que un índice dotado de compuertas no compensatorias representa la condición operacional con mayor fidelidad que un índice lineal compensatorio.</w:t>
      </w:r>
    </w:p>
    <w:p>
      <w:pPr>
        <w:pStyle w:val="Heading3"/>
        <w:spacing w:after="100" w:before="180" w:line="480"/>
        <w:jc w:val="left"/>
      </w:pPr>
      <w:r>
        <w:rPr>
          <w:rFonts w:ascii="Times New Roman" w:cs="Times New Roman" w:eastAsia="Times New Roman" w:hAnsi="Times New Roman"/>
          <w:b/>
          <w:bCs/>
          <w:i/>
          <w:iCs/>
          <w:color w:val="000000"/>
          <w:sz w:val="24"/>
          <w:szCs w:val="24"/>
        </w:rPr>
        <w:t xml:space="preserve">1.4 Alcances, limitaciones y supuestos</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alcance comprende el servicio de alimentación comercial y no comercial, adoptando como unidad de análisis el establecimiento individual. El instrumento debe ser independiente de software y calculable con recursos elementales. Se reconoce como limitación que la validación empírica no ha sido ejecutada en esta etapa, por lo que los componentes de diseño se presentan como propuestas sujetas a validación posterior. Se asume que los datos requeridos son observables y económicamente obtenibles sin tecnología.</w:t>
      </w:r>
    </w:p>
    <w:p>
      <w:pPr>
        <w:pStyle w:val="Heading2"/>
        <w:spacing w:after="120" w:before="240" w:line="480"/>
        <w:jc w:val="left"/>
      </w:pPr>
      <w:r>
        <w:rPr>
          <w:rFonts w:ascii="Times New Roman" w:cs="Times New Roman" w:eastAsia="Times New Roman" w:hAnsi="Times New Roman"/>
          <w:b/>
          <w:bCs/>
          <w:color w:val="000000"/>
          <w:sz w:val="24"/>
          <w:szCs w:val="24"/>
        </w:rPr>
        <w:t xml:space="preserve">2. Estado del arte</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revisión del conocimiento se organizó como una revisión estructurada de la literatura con una aproximación a los lineamientos PRISMA, cuya versión sistemática completa, con búsqueda multibase y doble cribado, se contempla como etapa de cierre. La síntesis comparativa examina las principales familias de instrumentos disponibles.</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Balanced Scorecard aporta la lógica multidimensional del desempeño y evita reducirlo a lo financiero, pero deliberadamente no produce un número único comparable entre empresas. La Efectividad Global de los Equipos ofrece un modelo de agregación multiplicativo y no compensatorio, aunque fue concebido para activos productivos. El Análisis Envolvente de Datos constituye la herramienta canónica de eficiencia relativa, con sólida base matemática, pero exige una frontera de comparación y no es aplicable de forma manual. El modelo de referencia de operaciones de la cadena de suministro proporciona un ejemplo maduro de estándar jerárquico con métricas comparables, aunque su complejidad lo aleja del cálculo manual. Las filosofías Lean y Six Sigma aportan la atención al desperdicio y a la variación, pero son métodos de mejora y no constructos de estado. Los modelos de excelencia, como el europeo, ya producen un puntaje agregado y auditado, si bien su aparato resulta oneroso para la pequeña empresa. Los instrumentos de calidad de servicio validan la medición de la experiencia percibida, aunque no capturan la operación física. Los indicadores de gestión de ingresos y de rendimiento por capacidad iluminan una faceta específica del negocio. La metodología de construcción de índices compuestos constituye el procedimiento técnico de agregación y, a la vez, la principal fuente de objeciones a cualquier índice, al advertir que un compuesto sin análisis de robustez puede construirse para sostener cualquier conclusión. Finalmente, los sistemas de análisis de peligros y puntos críticos de control gobiernan la inocuidad, pero circunscriben su alcance a la seguridad alimentaria.</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conclusión del estado del arte es que la brecha corresponde a un problema de integración estandarizada y de especificidad de dominio, más que de inexistencia de métricas. Por consiguiente, la contribución original del instrumento propuesto es de carácter empírico y de dominio, y no una novedad metodológica en abstracto, pues la normalización, la ponderación y la agregación son problemas ya resueltos en la teoría general de índices compuestos.</w:t>
      </w:r>
    </w:p>
    <w:p>
      <w:pPr>
        <w:pStyle w:val="Heading2"/>
        <w:spacing w:after="120" w:before="240" w:line="480"/>
        <w:jc w:val="left"/>
      </w:pPr>
      <w:r>
        <w:rPr>
          <w:rFonts w:ascii="Times New Roman" w:cs="Times New Roman" w:eastAsia="Times New Roman" w:hAnsi="Times New Roman"/>
          <w:b/>
          <w:bCs/>
          <w:color w:val="000000"/>
          <w:sz w:val="24"/>
          <w:szCs w:val="24"/>
        </w:rPr>
        <w:t xml:space="preserve">3. Marco teórico</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marco teórico se organiza a partir de la teoría de sistemas, que concibe la operación gastronómica como un sistema socio-técnico que transforma insumos en productos y servicios. Sobre esa base se distinguen con precisión los conceptos de productividad, entendida como relación entre producto e insumo; eficiencia, definida como relación con una frontera de posibilidades; eficacia, referida al logro de objetivos; y calidad, comprendida como conformidad con requisitos. Frente a estos, la Salud Operacional se caracteriza como una condición del sistema, de naturaleza multidimensional, evaluada respecto de un estado de referencia.</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Un aporte central del marco es la distinción entre modelos de medición reflectivos y formativos. En los primeros, un constructo latente causa sus indicadores, que resultan intercambiables y correlacionados; en los segundos, los indicadores constituyen el constructo y no son necesariamente intercambiables ni correlacionados. La elección entre ambos depende de la dirección de la relación causal entre constructo e indicadores, y no de la etiqueta del constructo. Este punto es decisivo: aun cuando la tradición de la salud organizacional ha empleado modelos reflectivos, existen constructos de salud o condición modelados como índices formativos, lo que habilita una modelación formativa del fenómeno estudiado.</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Complementan el marco los aportes de la ontología aplicada y de la arquitectura empresarial. La distinción entre entidades que perduran y entidades que ocurren en el tiempo, entre portadores independientes y cualidades dependientes, y el patrón de recursos, eventos y agentes, proporcionan el vocabulario para describir el universo de entidades del estándar. Los marcos internacionales de normalización y de clasificación de procesos ofrecen los patrones estructurales que orientan la arquitectura del instrumento.</w:t>
      </w:r>
    </w:p>
    <w:p>
      <w:pPr>
        <w:pStyle w:val="Heading2"/>
        <w:spacing w:after="120" w:before="240" w:line="480"/>
        <w:jc w:val="left"/>
      </w:pPr>
      <w:r>
        <w:rPr>
          <w:rFonts w:ascii="Times New Roman" w:cs="Times New Roman" w:eastAsia="Times New Roman" w:hAnsi="Times New Roman"/>
          <w:b/>
          <w:bCs/>
          <w:color w:val="000000"/>
          <w:sz w:val="24"/>
          <w:szCs w:val="24"/>
        </w:rPr>
        <w:t xml:space="preserve">4. Modelo conceptual</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modelo conceptual define la Salud Operacional como una cualidad del establecimiento, evaluada respecto de un estado de referencia y constituida de manera formativa por un conjunto de dimensiones. El resultado del índice se interpreta, en términos ontológicos, como la estimación de esa cualidad en un periodo determinado. El alcance del constructo abarca la condición operacional presente; sus límites excluyen dimensiones de reputación de marca o de percepción longitudinal, salvo que se adopte explícitamente una estrategia de validación predictiva.</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universo del estándar se organiza en tres estratos. El estrato de la realidad comprende la industria, el establecimiento, la operación, los recursos, los eventos y los agentes. El estrato normativo contiene los tipos definidos por el estándar: dimensiones, definiciones de indicadores, condiciones de referencia y reglas. El estrato de los datos reúne las observaciones, los valores de indicadores y los resultados. El estándar no constituye la raíz de este universo, sino un artefacto de información acerca de la realidad, lo que resguarda un compromiso realista y evita confundir el mapa con el territorio.</w:t>
      </w:r>
    </w:p>
    <w:p>
      <w:pPr>
        <w:pStyle w:val="Heading1"/>
        <w:spacing w:after="200" w:before="360" w:line="480"/>
        <w:jc w:val="center"/>
      </w:pPr>
      <w:r>
        <w:rPr>
          <w:rFonts w:ascii="Times New Roman" w:cs="Times New Roman" w:eastAsia="Times New Roman" w:hAnsi="Times New Roman"/>
          <w:b/>
          <w:bCs/>
          <w:color w:val="000000"/>
          <w:sz w:val="28"/>
          <w:szCs w:val="28"/>
        </w:rPr>
        <w:t xml:space="preserve">Tomo II. Construcción del instrumento</w:t>
      </w:r>
    </w:p>
    <w:p>
      <w:pPr>
        <w:pStyle w:val="Heading2"/>
        <w:spacing w:after="120" w:before="240" w:line="480"/>
        <w:jc w:val="left"/>
      </w:pPr>
      <w:r>
        <w:rPr>
          <w:rFonts w:ascii="Times New Roman" w:cs="Times New Roman" w:eastAsia="Times New Roman" w:hAnsi="Times New Roman"/>
          <w:b/>
          <w:bCs/>
          <w:color w:val="000000"/>
          <w:sz w:val="24"/>
          <w:szCs w:val="24"/>
        </w:rPr>
        <w:t xml:space="preserve">5. Arquitectura del estándar</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arquitectura adopta la forma canónica de un estándar técnico, distinguiendo un eje normativo secuencial, un conjunto de planos transversales y un esquema de conformidad paralelo. El eje normativo ordena las capas desde el fundamento y el alcance hasta la aplicación, pasando por el modelo conceptual, la taxonomía, la matriz de procesos, el sistema de indicadores, la normalización, el modelo matemático, las reglas críticas y la interpretación. Los planos transversales comprenden la gobernanza, el glosario, la validación entendida como compuerta previa a la publicación, y la mejora continua. El esquema de conformidad define el protocolo de auditoría, la competencia del evaluador, la certificación y la acreditación. Cada capa se rotula como normativa u orientadora, siguiendo la práctica de los organismos internacionales de normalización.</w:t>
      </w:r>
    </w:p>
    <w:p>
      <w:pPr>
        <w:pStyle w:val="Heading2"/>
        <w:spacing w:after="120" w:before="240" w:line="480"/>
        <w:jc w:val="left"/>
      </w:pPr>
      <w:r>
        <w:rPr>
          <w:rFonts w:ascii="Times New Roman" w:cs="Times New Roman" w:eastAsia="Times New Roman" w:hAnsi="Times New Roman"/>
          <w:b/>
          <w:bCs/>
          <w:color w:val="000000"/>
          <w:sz w:val="24"/>
          <w:szCs w:val="24"/>
        </w:rPr>
        <w:t xml:space="preserve">6. Procesos universales</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identificación del núcleo universal de macroprocesos se apoyó en la convergencia de cuatro tradiciones independientes: la teoría de sistemas de servicios de alimentación, el marco de clasificación de procesos de aplicación transversal, el modelado de procesos de negocio en restaurantes y la literatura del servicio de alimentación institucional. Esta convergencia sostiene un núcleo organizado en dos niveles.</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En el primer nivel se ubica la cadena operativa primaria, integrada por la planificación y diseño de la oferta, el aprovisionamiento, la recepción y el almacenamiento con gestión de inventario, la producción, la distribución o entrega al consumidor y el cierre transaccional. En el segundo nivel se ubican los procesos transversales de gestión y soporte: la inocuidad y sanitización, el mantenimiento, la gestión de recursos financieros y humanos con control de calidad, y la gestión de residuos. La universalidad se afirma en el nivel de subsistema y no en el de la actividad concreta, donde el servicio de mesa, la entrega a domicilio, el transporte a un evento o la distribución institucional resultan mutuamente excluyentes. Así, la entrega es universal entendida como entrega de valor al consumidor, y el cierre transaccional lo es entendido como venta o como requisición interna, lo que incorpora al servicio no comercial.</w:t>
      </w:r>
    </w:p>
    <w:p>
      <w:pPr>
        <w:pStyle w:val="Heading2"/>
        <w:spacing w:after="120" w:before="240" w:line="480"/>
        <w:jc w:val="left"/>
      </w:pPr>
      <w:r>
        <w:rPr>
          <w:rFonts w:ascii="Times New Roman" w:cs="Times New Roman" w:eastAsia="Times New Roman" w:hAnsi="Times New Roman"/>
          <w:b/>
          <w:bCs/>
          <w:color w:val="000000"/>
          <w:sz w:val="24"/>
          <w:szCs w:val="24"/>
        </w:rPr>
        <w:t xml:space="preserve">7. Taxonomía de establecimientos</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Para garantizar la comparabilidad entre pares de una misma categoría se propone una taxonomía de estructura multieje, en lugar de una clasificación plana, anclada en sistemas de clasificación reconocidos. Los ejes propuestos son el modo de entrega, el tipo de sistema de producción, la naturaleza económica y la complejidad de la oferta. Un establecimiento se clasifica por la combinación de sus valores en cada eje. De este modo, las categorías habituales —restaurantes de servicio completo, hoteles, comida rápida, cafeterías, cocinas ocultas, casinos, servicios de banquetería, camiones de comida y panaderías, entre otras— se ubican como combinaciones de ejes y no como clases aisladas. El instrumento aplica el núcleo universal a todas las categorías y reserva indicadores y umbrales específicos para cada combinación.</w:t>
      </w:r>
    </w:p>
    <w:p>
      <w:pPr>
        <w:pStyle w:val="Heading2"/>
        <w:spacing w:after="120" w:before="240" w:line="480"/>
        <w:jc w:val="left"/>
      </w:pPr>
      <w:r>
        <w:rPr>
          <w:rFonts w:ascii="Times New Roman" w:cs="Times New Roman" w:eastAsia="Times New Roman" w:hAnsi="Times New Roman"/>
          <w:b/>
          <w:bCs/>
          <w:color w:val="000000"/>
          <w:sz w:val="24"/>
          <w:szCs w:val="24"/>
        </w:rPr>
        <w:t xml:space="preserve">8. Sistema de indicadores y admisibilidad</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sistema de indicadores se organiza por dimensiones y se rige por una matriz de admisibilidad que todo indicador candidato debe superar antes de incorporarse. Los criterios de admisibilidad exigen que el indicador sea definible de manera inequívoca, medible, observable y económicamente obtenible sin tecnología, trazable, repetible, auditable, realizable por la categoría correspondiente y no redundante con otros indicadores de su dimensión. A partir de la literatura se han identificado indicadores candidatos para cada dimensión, cuya selección y calibración definitiva queda supeditada al proceso de validación; en consecuencia, no se declara indicador, ponderación ni umbral alguno como definitivo en esta etapa.</w:t>
      </w:r>
    </w:p>
    <w:p>
      <w:pPr>
        <w:pStyle w:val="Heading2"/>
        <w:spacing w:after="120" w:before="240" w:line="480"/>
        <w:jc w:val="left"/>
      </w:pPr>
      <w:r>
        <w:rPr>
          <w:rFonts w:ascii="Times New Roman" w:cs="Times New Roman" w:eastAsia="Times New Roman" w:hAnsi="Times New Roman"/>
          <w:b/>
          <w:bCs/>
          <w:color w:val="000000"/>
          <w:sz w:val="24"/>
          <w:szCs w:val="24"/>
        </w:rPr>
        <w:t xml:space="preserve">9. Normalización</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Con el fin de integrar unidades heterogéneas en una escala común, se propone una normalización respecto de un estado de referencia, expresada en una escala acotada. Cada indicador se transforma en función de su distancia entre un ancla inferior, que representa una condición inaceptable, y un ancla superior, que representa una condición de referencia deseable, respetando su dirección de mejora. El tratamiento de valores atípicos y de datos faltantes sigue las recomendaciones de la metodología de índices compuestos. La transformación se diseña de modo que pueda ejecutarse mediante tablas de conversión de cálculo elemental.</w:t>
      </w:r>
    </w:p>
    <w:p>
      <w:pPr>
        <w:pStyle w:val="Heading2"/>
        <w:spacing w:after="120" w:before="240" w:line="480"/>
        <w:jc w:val="left"/>
      </w:pPr>
      <w:r>
        <w:rPr>
          <w:rFonts w:ascii="Times New Roman" w:cs="Times New Roman" w:eastAsia="Times New Roman" w:hAnsi="Times New Roman"/>
          <w:b/>
          <w:bCs/>
          <w:color w:val="000000"/>
          <w:sz w:val="24"/>
          <w:szCs w:val="24"/>
        </w:rPr>
        <w:t xml:space="preserve">10. Modelo matemático</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modelo matemático especifica la forma de agregación, no sus valores. La agregación intradimensional combina los indicadores normalizados en un puntaje por dimensión, mientras que la agregación interdimensional combina dichos puntajes en el índice global con una compensación limitada, coherente con la crítica a la agregación estrictamente lineal. Las reglas críticas relativas a inocuidad, seguridad y legalidad operan como restricciones no compensatorias que fijan un techo al resultado con independencia del desempeño en las restantes dimensiones. La ponderación, así como la elección definitiva del operador de agregación, se resuelven en la fase de validación, acompañadas del análisis de incertidumbre y de sensibilidad que exige la buena práctica en la construcción de índices compuestos. La totalidad del procedimiento se concibe para ser ejecutable de forma manual.</w:t>
      </w:r>
    </w:p>
    <w:p>
      <w:pPr>
        <w:pStyle w:val="Heading1"/>
        <w:spacing w:after="200" w:before="360" w:line="480"/>
        <w:jc w:val="center"/>
      </w:pPr>
      <w:r>
        <w:rPr>
          <w:rFonts w:ascii="Times New Roman" w:cs="Times New Roman" w:eastAsia="Times New Roman" w:hAnsi="Times New Roman"/>
          <w:b/>
          <w:bCs/>
          <w:color w:val="000000"/>
          <w:sz w:val="28"/>
          <w:szCs w:val="28"/>
        </w:rPr>
        <w:t xml:space="preserve">Tomo III. Validación</w:t>
      </w:r>
    </w:p>
    <w:p>
      <w:pPr>
        <w:pStyle w:val="Heading2"/>
        <w:spacing w:after="120" w:before="240" w:line="480"/>
        <w:jc w:val="left"/>
      </w:pPr>
      <w:r>
        <w:rPr>
          <w:rFonts w:ascii="Times New Roman" w:cs="Times New Roman" w:eastAsia="Times New Roman" w:hAnsi="Times New Roman"/>
          <w:b/>
          <w:bCs/>
          <w:color w:val="000000"/>
          <w:sz w:val="24"/>
          <w:szCs w:val="24"/>
        </w:rPr>
        <w:t xml:space="preserve">11. Metodología de validación</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validación se concibe como la compuerta que separa una propuesta metodológica de un estándar de referencia. El diseño metodológico adopta un paradigma pospositivista y un enfoque mixto, y contempla la definición de variables, población, muestra, instrumentos de captura y procedimientos. Por tratarse de un constructo formativo, la validación no recurre a la consistencia interna ni a la validez convergente y discriminante propias de los constructos reflectivos, sino a la validez de contenido y de completitud, a la validez de criterio, al análisis de colinealidad y a la robustez.</w:t>
      </w:r>
    </w:p>
    <w:p>
      <w:pPr>
        <w:pStyle w:val="Heading3"/>
        <w:spacing w:after="100" w:before="180" w:line="480"/>
        <w:jc w:val="left"/>
      </w:pPr>
      <w:r>
        <w:rPr>
          <w:rFonts w:ascii="Times New Roman" w:cs="Times New Roman" w:eastAsia="Times New Roman" w:hAnsi="Times New Roman"/>
          <w:b/>
          <w:bCs/>
          <w:i/>
          <w:iCs/>
          <w:color w:val="000000"/>
          <w:sz w:val="24"/>
          <w:szCs w:val="24"/>
        </w:rPr>
        <w:t xml:space="preserve">11.1 Componentes del protocolo</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validez de contenido y de completitud se abordará mediante un panel de expertos conducido con la técnica Delphi, orientado a confirmar el núcleo de procesos, validar el conjunto de dimensiones y depurar el catálogo de indicadores. La validez de criterio evaluará la asociación del índice con criterios externos verificables, tales como la continuidad del negocio, la rentabilidad, la satisfacción y la incidencia de no conformidades. La robustez se examinará mediante análisis de incertidumbre y de sensibilidad, variando la normalización, la ponderación y la agregación para comprobar la estabilidad del ordenamiento. La fiabilidad se estimará por la concordancia entre evaluadores y por la repetición de mediciones. Un piloto de aplicación manual por categoría permitirá contrastar la viabilidad del procedimiento, los tiempos de aplicación, la disponibilidad de datos y la utilidad percibida.</w:t>
      </w:r>
    </w:p>
    <w:p>
      <w:pPr>
        <w:pStyle w:val="Heading2"/>
        <w:spacing w:after="120" w:before="240" w:line="480"/>
        <w:jc w:val="left"/>
      </w:pPr>
      <w:r>
        <w:rPr>
          <w:rFonts w:ascii="Times New Roman" w:cs="Times New Roman" w:eastAsia="Times New Roman" w:hAnsi="Times New Roman"/>
          <w:b/>
          <w:bCs/>
          <w:color w:val="000000"/>
          <w:sz w:val="24"/>
          <w:szCs w:val="24"/>
        </w:rPr>
        <w:t xml:space="preserve">12. Discusión</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propuesta se sostiene ante la crítica en un punto no trivial: la intersección de las propiedades buscadas se encuentra vacante y el fenómeno resulta coherentemente modelable como índice formativo, con precedentes sólidos en otros dominios. Se reconocen, no obstante, tensiones relevantes. La denominación del instrumento conserva la referencia a la eficiencia, aun cuando el núcleo del constructo no se reduce a ella. El requisito de cálculo manual mantiene una tensión con el rigor estadístico y, en caso de adoptarse una validación predictiva, con la carga de la prueba longitudinal. Por último, la posibilidad de que el indicador sea manipulado una vez convertido en objetivo exige mecanismos de vigilancia. La limitación central de esta etapa es que las dimensiones, los indicadores, la normalización, las ponderaciones y los umbrales permanecen como propuestas, dado que la validación empírica aún no se ha ejecutado.</w:t>
      </w:r>
    </w:p>
    <w:p>
      <w:pPr>
        <w:pStyle w:val="Heading2"/>
        <w:spacing w:after="120" w:before="240" w:line="480"/>
        <w:jc w:val="left"/>
      </w:pPr>
      <w:r>
        <w:rPr>
          <w:rFonts w:ascii="Times New Roman" w:cs="Times New Roman" w:eastAsia="Times New Roman" w:hAnsi="Times New Roman"/>
          <w:b/>
          <w:bCs/>
          <w:color w:val="000000"/>
          <w:sz w:val="24"/>
          <w:szCs w:val="24"/>
        </w:rPr>
        <w:t xml:space="preserve">13. Conclusiones</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La investigación demuestra la existencia de una brecha científica e industrial defendible, define un fenómeno medible, prueba su modelabilidad como índice compuesto formativo y entrega la arquitectura, la ontología, el núcleo de procesos y el diseño metodológico necesarios para construir el estándar, junto con su protocolo de validación. Lo que resta es de naturaleza empírica: ejecutar el panel de expertos, depurar y calibrar los indicadores, la normalización y las ponderaciones con datos reales, aplicar el análisis de robustez y el estudio piloto por categoría y, eventualmente, la validación longitudinal. Solo tras ese ciclo el instrumento podría aspirar a constituirse en una referencia. La contribución de este trabajo consiste en hacer ese camino riguroso y posible, y no en declararlo recorrido.</w:t>
      </w:r>
    </w:p>
    <w:p>
      <w:pPr>
        <w:pStyle w:val="Heading1"/>
        <w:spacing w:after="200" w:before="360" w:line="480"/>
        <w:jc w:val="center"/>
      </w:pPr>
      <w:r>
        <w:rPr>
          <w:rFonts w:ascii="Times New Roman" w:cs="Times New Roman" w:eastAsia="Times New Roman" w:hAnsi="Times New Roman"/>
          <w:b/>
          <w:bCs/>
          <w:color w:val="000000"/>
          <w:sz w:val="28"/>
          <w:szCs w:val="28"/>
        </w:rPr>
        <w:t xml:space="preserve">Tomo IV. Hacia el estándar</w:t>
      </w:r>
    </w:p>
    <w:p>
      <w:pPr>
        <w:pStyle w:val="Heading2"/>
        <w:spacing w:after="120" w:before="240" w:line="480"/>
        <w:jc w:val="left"/>
      </w:pPr>
      <w:r>
        <w:rPr>
          <w:rFonts w:ascii="Times New Roman" w:cs="Times New Roman" w:eastAsia="Times New Roman" w:hAnsi="Times New Roman"/>
          <w:b/>
          <w:bCs/>
          <w:color w:val="000000"/>
          <w:sz w:val="24"/>
          <w:szCs w:val="24"/>
        </w:rPr>
        <w:t xml:space="preserve">14. Componentes del estándar propuesto</w:t>
      </w:r>
    </w:p>
    <w:p>
      <w:pPr>
        <w:spacing w:after="80" w:line="480"/>
        <w:ind w:firstLine="720"/>
        <w:jc w:val="both"/>
      </w:pPr>
      <w:r>
        <w:rPr>
          <w:rFonts w:ascii="Times New Roman" w:cs="Times New Roman" w:eastAsia="Times New Roman" w:hAnsi="Times New Roman"/>
          <w:b w:val="false"/>
          <w:bCs w:val="false"/>
          <w:i w:val="false"/>
          <w:iCs w:val="false"/>
          <w:color w:val="000000"/>
          <w:sz w:val="24"/>
          <w:szCs w:val="24"/>
        </w:rPr>
        <w:t xml:space="preserve">El estándar propuesto se estructura en una constitución de principios y gobernanza, un cuerpo de conocimiento, un manual técnico general que integra las capas del eje normativo, manuales por categoría, formularios, listas de verificación, procedimientos, reglas críticas y de validez, un esquema de auditoría y un órgano de gobierno. La elaboración y el control de versiones de estos componentes corresponden a una etapa posterior, una vez cerrada la construcción del conocimiento y validado el instrumento.</w:t>
      </w:r>
    </w:p>
    <w:p>
      <w:r>
        <w:br w:type="page"/>
      </w:r>
    </w:p>
    <w:p>
      <w:pPr>
        <w:pStyle w:val="Heading1"/>
        <w:spacing w:after="200" w:before="360" w:line="480"/>
        <w:jc w:val="center"/>
      </w:pPr>
      <w:r>
        <w:rPr>
          <w:rFonts w:ascii="Times New Roman" w:cs="Times New Roman" w:eastAsia="Times New Roman" w:hAnsi="Times New Roman"/>
          <w:b/>
          <w:bCs/>
          <w:color w:val="000000"/>
          <w:sz w:val="28"/>
          <w:szCs w:val="28"/>
        </w:rPr>
        <w:t xml:space="preserve">Referencias</w:t>
      </w:r>
    </w:p>
    <w:p>
      <w:pPr>
        <w:spacing w:after="120" w:line="480"/>
        <w:ind w:left="720" w:hanging="720"/>
        <w:jc w:val="left"/>
      </w:pPr>
      <w:r>
        <w:rPr>
          <w:rFonts w:ascii="Times New Roman" w:cs="Times New Roman" w:eastAsia="Times New Roman" w:hAnsi="Times New Roman"/>
          <w:color w:val="000000"/>
          <w:sz w:val="24"/>
          <w:szCs w:val="24"/>
        </w:rPr>
        <w:t xml:space="preserve">Bollen, K., &amp; Lennox, R. (1991). Conventional wisdom on measurement: A structural equation perspective. Psychological Bulletin, 110(2), 305–314.</w:t>
      </w:r>
    </w:p>
    <w:p>
      <w:pPr>
        <w:spacing w:after="120" w:line="480"/>
        <w:ind w:left="720" w:hanging="720"/>
        <w:jc w:val="left"/>
      </w:pPr>
      <w:r>
        <w:rPr>
          <w:rFonts w:ascii="Times New Roman" w:cs="Times New Roman" w:eastAsia="Times New Roman" w:hAnsi="Times New Roman"/>
          <w:color w:val="000000"/>
          <w:sz w:val="24"/>
          <w:szCs w:val="24"/>
        </w:rPr>
        <w:t xml:space="preserve">Charnes, A., Cooper, W. W., &amp; Rhodes, E. (1978). Measuring the efficiency of decision making units. European Journal of Operational Research, 2(6), 429–444.</w:t>
      </w:r>
    </w:p>
    <w:p>
      <w:pPr>
        <w:spacing w:after="120" w:line="480"/>
        <w:ind w:left="720" w:hanging="720"/>
        <w:jc w:val="left"/>
      </w:pPr>
      <w:r>
        <w:rPr>
          <w:rFonts w:ascii="Times New Roman" w:cs="Times New Roman" w:eastAsia="Times New Roman" w:hAnsi="Times New Roman"/>
          <w:color w:val="000000"/>
          <w:sz w:val="24"/>
          <w:szCs w:val="24"/>
        </w:rPr>
        <w:t xml:space="preserve">Diamantopoulos, A., &amp; Winklhofer, H. M. (2001). Index construction with formative indicators: An alternative to scale development. Journal of Marketing Research, 38(2), 269–277.</w:t>
      </w:r>
    </w:p>
    <w:p>
      <w:pPr>
        <w:spacing w:after="120" w:line="480"/>
        <w:ind w:left="720" w:hanging="720"/>
        <w:jc w:val="left"/>
      </w:pPr>
      <w:r>
        <w:rPr>
          <w:rFonts w:ascii="Times New Roman" w:cs="Times New Roman" w:eastAsia="Times New Roman" w:hAnsi="Times New Roman"/>
          <w:color w:val="000000"/>
          <w:sz w:val="24"/>
          <w:szCs w:val="24"/>
        </w:rPr>
        <w:t xml:space="preserve">Elkington, J. (1994). Towards the sustainable corporation: Win-win-win business strategies for sustainable development. California Management Review, 36(2), 90–100.</w:t>
      </w:r>
    </w:p>
    <w:p>
      <w:pPr>
        <w:spacing w:after="120" w:line="480"/>
        <w:ind w:left="720" w:hanging="720"/>
        <w:jc w:val="left"/>
      </w:pPr>
      <w:r>
        <w:rPr>
          <w:rFonts w:ascii="Times New Roman" w:cs="Times New Roman" w:eastAsia="Times New Roman" w:hAnsi="Times New Roman"/>
          <w:color w:val="000000"/>
          <w:sz w:val="24"/>
          <w:szCs w:val="24"/>
        </w:rPr>
        <w:t xml:space="preserve">Gregoire, M. B., &amp; Spears, M. C. (2007). Foodservice organizations: A managerial and systems approach (6.ª ed.). Pearson.</w:t>
      </w:r>
    </w:p>
    <w:p>
      <w:pPr>
        <w:spacing w:after="120" w:line="480"/>
        <w:ind w:left="720" w:hanging="720"/>
        <w:jc w:val="left"/>
      </w:pPr>
      <w:r>
        <w:rPr>
          <w:rFonts w:ascii="Times New Roman" w:cs="Times New Roman" w:eastAsia="Times New Roman" w:hAnsi="Times New Roman"/>
          <w:color w:val="000000"/>
          <w:sz w:val="24"/>
          <w:szCs w:val="24"/>
        </w:rPr>
        <w:t xml:space="preserve">Halpern, B. S., Longo, C., Hardy, D., McLeod, K. L., Samhouri, J. F., Katona, S. K., … Zeller, D. (2012). An index to assess the health and benefits of the global ocean. Nature, 488(7413), 615–620.</w:t>
      </w:r>
    </w:p>
    <w:p>
      <w:pPr>
        <w:spacing w:after="120" w:line="480"/>
        <w:ind w:left="720" w:hanging="720"/>
        <w:jc w:val="left"/>
      </w:pPr>
      <w:r>
        <w:rPr>
          <w:rFonts w:ascii="Times New Roman" w:cs="Times New Roman" w:eastAsia="Times New Roman" w:hAnsi="Times New Roman"/>
          <w:color w:val="000000"/>
          <w:sz w:val="24"/>
          <w:szCs w:val="24"/>
        </w:rPr>
        <w:t xml:space="preserve">Jarvis, C. B., MacKenzie, S. B., &amp; Podsakoff, P. M. (2003). A critical review of construct indicators and measurement model misspecification in marketing and consumer research. Journal of Consumer Research, 30(2), 199–218.</w:t>
      </w:r>
    </w:p>
    <w:p>
      <w:pPr>
        <w:spacing w:after="120" w:line="480"/>
        <w:ind w:left="720" w:hanging="720"/>
        <w:jc w:val="left"/>
      </w:pPr>
      <w:r>
        <w:rPr>
          <w:rFonts w:ascii="Times New Roman" w:cs="Times New Roman" w:eastAsia="Times New Roman" w:hAnsi="Times New Roman"/>
          <w:color w:val="000000"/>
          <w:sz w:val="24"/>
          <w:szCs w:val="24"/>
        </w:rPr>
        <w:t xml:space="preserve">Kaplan, R. S., &amp; Norton, D. P. (1992). The balanced scorecard: Measures that drive performance. Harvard Business Review, 70(1), 71–79.</w:t>
      </w:r>
    </w:p>
    <w:p>
      <w:pPr>
        <w:spacing w:after="120" w:line="480"/>
        <w:ind w:left="720" w:hanging="720"/>
        <w:jc w:val="left"/>
      </w:pPr>
      <w:r>
        <w:rPr>
          <w:rFonts w:ascii="Times New Roman" w:cs="Times New Roman" w:eastAsia="Times New Roman" w:hAnsi="Times New Roman"/>
          <w:color w:val="000000"/>
          <w:sz w:val="24"/>
          <w:szCs w:val="24"/>
        </w:rPr>
        <w:t xml:space="preserve">Karr, J. R. (1981). Assessment of biotic integrity using fish communities. Fisheries, 6(6), 21–27.</w:t>
      </w:r>
    </w:p>
    <w:p>
      <w:pPr>
        <w:spacing w:after="120" w:line="480"/>
        <w:ind w:left="720" w:hanging="720"/>
        <w:jc w:val="left"/>
      </w:pPr>
      <w:r>
        <w:rPr>
          <w:rFonts w:ascii="Times New Roman" w:cs="Times New Roman" w:eastAsia="Times New Roman" w:hAnsi="Times New Roman"/>
          <w:color w:val="000000"/>
          <w:sz w:val="24"/>
          <w:szCs w:val="24"/>
        </w:rPr>
        <w:t xml:space="preserve">McCarthy, W. E. (1982). The REA accounting model: A generalized framework for accounting systems in a shared data environment. The Accounting Review, 57(3), 554–578.</w:t>
      </w:r>
    </w:p>
    <w:p>
      <w:pPr>
        <w:spacing w:after="120" w:line="480"/>
        <w:ind w:left="720" w:hanging="720"/>
        <w:jc w:val="left"/>
      </w:pPr>
      <w:r>
        <w:rPr>
          <w:rFonts w:ascii="Times New Roman" w:cs="Times New Roman" w:eastAsia="Times New Roman" w:hAnsi="Times New Roman"/>
          <w:color w:val="000000"/>
          <w:sz w:val="24"/>
          <w:szCs w:val="24"/>
        </w:rPr>
        <w:t xml:space="preserve">Miles, M. B. (1969). Planned change and organizational health: Figure and ground. En F. D. Carver &amp; T. J. Sergiovanni (Eds.), Organizations and human behavior. McGraw-Hill.</w:t>
      </w:r>
    </w:p>
    <w:p>
      <w:pPr>
        <w:spacing w:after="120" w:line="480"/>
        <w:ind w:left="720" w:hanging="720"/>
        <w:jc w:val="left"/>
      </w:pPr>
      <w:r>
        <w:rPr>
          <w:rFonts w:ascii="Times New Roman" w:cs="Times New Roman" w:eastAsia="Times New Roman" w:hAnsi="Times New Roman"/>
          <w:color w:val="000000"/>
          <w:sz w:val="24"/>
          <w:szCs w:val="24"/>
        </w:rPr>
        <w:t xml:space="preserve">Nardo, M., Saisana, M., Saltelli, A., &amp; Tarantola, S. (2008). Handbook on constructing composite indicators: Methodology and user guide. OECD Publishing.</w:t>
      </w:r>
    </w:p>
    <w:p>
      <w:pPr>
        <w:spacing w:after="120" w:line="480"/>
        <w:ind w:left="720" w:hanging="720"/>
        <w:jc w:val="left"/>
      </w:pPr>
      <w:r>
        <w:rPr>
          <w:rFonts w:ascii="Times New Roman" w:cs="Times New Roman" w:eastAsia="Times New Roman" w:hAnsi="Times New Roman"/>
          <w:color w:val="000000"/>
          <w:sz w:val="24"/>
          <w:szCs w:val="24"/>
        </w:rPr>
        <w:t xml:space="preserve">Neely, A., Gregory, M., &amp; Platts, K. (1995). Performance measurement system design: A literature review and research agenda. International Journal of Operations &amp; Production Management, 15(4), 80–116.</w:t>
      </w:r>
    </w:p>
    <w:p>
      <w:pPr>
        <w:spacing w:after="120" w:line="480"/>
        <w:ind w:left="720" w:hanging="720"/>
        <w:jc w:val="left"/>
      </w:pPr>
      <w:r>
        <w:rPr>
          <w:rFonts w:ascii="Times New Roman" w:cs="Times New Roman" w:eastAsia="Times New Roman" w:hAnsi="Times New Roman"/>
          <w:color w:val="000000"/>
          <w:sz w:val="24"/>
          <w:szCs w:val="24"/>
        </w:rPr>
        <w:t xml:space="preserve">Richard, P. J., Devinney, T. M., Yip, G. S., &amp; Johnson, G. (2009). Measuring organizational performance: Towards methodological best practice. Journal of Management, 35(3), 718–804.</w:t>
      </w:r>
    </w:p>
    <w:p>
      <w:pPr>
        <w:spacing w:after="120" w:line="480"/>
        <w:ind w:left="720" w:hanging="720"/>
        <w:jc w:val="left"/>
      </w:pPr>
      <w:r>
        <w:rPr>
          <w:rFonts w:ascii="Times New Roman" w:cs="Times New Roman" w:eastAsia="Times New Roman" w:hAnsi="Times New Roman"/>
          <w:color w:val="000000"/>
          <w:sz w:val="24"/>
          <w:szCs w:val="24"/>
        </w:rPr>
        <w:t xml:space="preserve">Stevens, P., Knutson, B., &amp; Patton, M. (1995). DINESERV: A tool for measuring service quality in restaurants. Cornell Hotel and Restaurant Administration Quarterly, 36(2), 56–60.</w:t>
      </w:r>
    </w:p>
    <w:p>
      <w:pPr>
        <w:spacing w:after="120" w:line="480"/>
        <w:ind w:left="720" w:hanging="720"/>
        <w:jc w:val="left"/>
      </w:pPr>
      <w:r>
        <w:rPr>
          <w:rFonts w:ascii="Times New Roman" w:cs="Times New Roman" w:eastAsia="Times New Roman" w:hAnsi="Times New Roman"/>
          <w:color w:val="000000"/>
          <w:sz w:val="24"/>
          <w:szCs w:val="24"/>
        </w:rPr>
        <w:t xml:space="preserve">World Wide Web Consortium. (2013). PROV-O: The PROV ontology. W3C Recommendation.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80"/>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GOEI — Índice de Eficiencia Operacional Gastronómica</dc:title>
  <dc:creator>Pablo Toledo Salinas</dc:creator>
  <cp:lastModifiedBy>Un-named</cp:lastModifiedBy>
  <cp:revision>1</cp:revision>
  <dcterms:created xsi:type="dcterms:W3CDTF">2026-08-04T15:28:04.170Z</dcterms:created>
  <dcterms:modified xsi:type="dcterms:W3CDTF">2026-08-04T15:28:04.173Z</dcterms:modified>
</cp:coreProperties>
</file>

<file path=docProps/custom.xml><?xml version="1.0" encoding="utf-8"?>
<Properties xmlns="http://schemas.openxmlformats.org/officeDocument/2006/custom-properties" xmlns:vt="http://schemas.openxmlformats.org/officeDocument/2006/docPropsVTypes"/>
</file>