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spacing w:after="360"/>
        <w:jc w:val="center"/>
      </w:pPr>
      <w:r>
        <w:rPr>
          <w:rFonts w:ascii="Calibri" w:hAnsi="Calibri"/>
          <w:b/>
          <w:color w:val="1F4E79"/>
          <w:sz w:val="22"/>
        </w:rPr>
        <w:t>GOEI · GASTRONOMIC OPERATIONAL EFFICIENCY INDEX</w:t>
      </w:r>
    </w:p>
    <w:p>
      <w:pPr>
        <w:spacing w:after="160"/>
        <w:jc w:val="center"/>
      </w:pPr>
      <w:r>
        <w:rPr>
          <w:rFonts w:ascii="Calibri" w:hAnsi="Calibri"/>
          <w:b/>
          <w:color w:val="1F3A5F"/>
          <w:sz w:val="56"/>
        </w:rPr>
        <w:t>Dossier integral del proyecto</w:t>
      </w:r>
    </w:p>
    <w:p>
      <w:pPr>
        <w:spacing w:after="560"/>
        <w:jc w:val="center"/>
      </w:pPr>
      <w:r>
        <w:rPr>
          <w:rFonts w:ascii="Calibri" w:hAnsi="Calibri"/>
          <w:color w:val="595959"/>
          <w:sz w:val="28"/>
        </w:rPr>
        <w:t>Historia, decisiones, arquitectura, avances, evidencia documental y pendientes</w:t>
      </w:r>
    </w:p>
    <w:p>
      <w:pPr>
        <w:spacing w:line="324" w:lineRule="auto"/>
        <w:jc w:val="center"/>
      </w:pPr>
      <w:r>
        <w:rPr>
          <w:sz w:val="22"/>
        </w:rPr>
        <w:t>Corte documental: 4 de agosto de 2026</w:t>
        <w:br/>
        <w:t>154 archivos fuente consolidados</w:t>
        <w:br/>
        <w:t>Estado: dossier informativo, no normativo</w:t>
      </w:r>
    </w:p>
    <w:p>
      <w:r>
        <w:br w:type="page"/>
      </w:r>
    </w:p>
    <w:p>
      <w:pPr>
        <w:pStyle w:val="Heading1"/>
      </w:pPr>
      <w:r>
        <w:t>1. Cómo leer este dossier</w:t>
      </w:r>
    </w:p>
    <w:p>
      <w:r>
        <w:t>Este documento reúne linealmente los archivos relevantes del repositorio GOEI. La síntesis inicial permite comprender el estado del proyecto; después se incorpora la transcripción de las fuentes con su ruta, tamaño y huella SHA-256. La transcripción no reemplaza los originales ni modifica su autoridad, versión o estado.</w:t>
      </w:r>
    </w:p>
    <w:p>
      <w:r>
        <w:rPr>
          <w:b/>
        </w:rPr>
        <w:t xml:space="preserve">Regla de autoridad. </w:t>
      </w:r>
      <w:r>
        <w:t>Las decisiones científicas pertenecen al Comité Científico; las resoluciones directivas aprueban o devuelven; la Oficina Técnica integra, versiona y audita. Un documento candidato, auditoría o resumen no equivale a una decisión científica aprobada.</w:t>
      </w:r>
    </w:p>
    <w:p>
      <w:pPr>
        <w:pStyle w:val="Heading1"/>
      </w:pPr>
      <w:r>
        <w:t>2. Resumen ejecutivo del estado actual</w:t>
      </w:r>
    </w:p>
    <w:tbl>
      <w:tblPr>
        <w:tblW w:type="auto" w:w="0"/>
        <w:tblLayout w:type="fixed"/>
        <w:tblLook w:firstColumn="1" w:firstRow="1" w:lastColumn="0" w:lastRow="0" w:noHBand="0" w:noVBand="1" w:val="04A0"/>
      </w:tblPr>
      <w:tblGrid>
        <w:gridCol w:w="2376"/>
        <w:gridCol w:w="7344"/>
      </w:tblGrid>
      <w:tr>
        <w:trPr>
          <w:tblHeader/>
        </w:trPr>
        <w:tc>
          <w:tcPr>
            <w:tcW w:type="dxa" w:w="4968"/>
            <w:shd w:fill="E8EEF5"/>
          </w:tcPr>
          <w:p>
            <w:r>
              <w:rPr>
                <w:b/>
              </w:rPr>
              <w:t>Área</w:t>
            </w:r>
          </w:p>
        </w:tc>
        <w:tc>
          <w:tcPr>
            <w:tcW w:type="dxa" w:w="4968"/>
            <w:shd w:fill="E8EEF5"/>
          </w:tcPr>
          <w:p>
            <w:r>
              <w:rPr>
                <w:b/>
              </w:rPr>
              <w:t>Estado</w:t>
            </w:r>
          </w:p>
        </w:tc>
      </w:tr>
      <w:tr>
        <w:tc>
          <w:tcPr>
            <w:tcW w:type="dxa" w:w="2376"/>
            <w:vAlign w:val="center"/>
            <w:tcMar>
              <w:top w:w="80" w:type="dxa"/>
              <w:start w:w="120" w:type="dxa"/>
              <w:bottom w:w="80" w:type="dxa"/>
              <w:end w:w="120" w:type="dxa"/>
            </w:tcMar>
          </w:tcPr>
          <w:p>
            <w:r>
              <w:t>Gobernanza y repositorio</w:t>
            </w:r>
          </w:p>
        </w:tc>
        <w:tc>
          <w:tcPr>
            <w:tcW w:type="dxa" w:w="7344"/>
            <w:vAlign w:val="center"/>
            <w:tcMar>
              <w:top w:w="80" w:type="dxa"/>
              <w:start w:w="120" w:type="dxa"/>
              <w:bottom w:w="80" w:type="dxa"/>
              <w:end w:w="120" w:type="dxa"/>
            </w:tcMar>
          </w:tcPr>
          <w:p>
            <w:r>
              <w:t>Arquitectura documental, Constitución, reglas Git, convenciones, registros maestros, control de versiones, releases, baselines y CHANGELOG se encuentran implantados.</w:t>
            </w:r>
          </w:p>
        </w:tc>
      </w:tr>
      <w:tr>
        <w:tc>
          <w:tcPr>
            <w:tcW w:type="dxa" w:w="2376"/>
            <w:vAlign w:val="center"/>
            <w:tcMar>
              <w:top w:w="80" w:type="dxa"/>
              <w:start w:w="120" w:type="dxa"/>
              <w:bottom w:w="80" w:type="dxa"/>
              <w:end w:w="120" w:type="dxa"/>
            </w:tcMar>
          </w:tcPr>
          <w:p>
            <w:r>
              <w:t>Ontología</w:t>
            </w:r>
          </w:p>
        </w:tc>
        <w:tc>
          <w:tcPr>
            <w:tcW w:type="dxa" w:w="7344"/>
            <w:vAlign w:val="center"/>
            <w:tcMar>
              <w:top w:w="80" w:type="dxa"/>
              <w:start w:w="120" w:type="dxa"/>
              <w:bottom w:w="80" w:type="dxa"/>
              <w:end w:w="120" w:type="dxa"/>
            </w:tcMar>
          </w:tcPr>
          <w:p>
            <w:r>
              <w:t>D-006 permanece congelada como Ontology Baseline v0.1. Toda ampliación requiere Issue formal y una nueva decisión/versionado; el candidato v0.2.0 no sustituye la baseline.</w:t>
            </w:r>
          </w:p>
        </w:tc>
      </w:tr>
      <w:tr>
        <w:tc>
          <w:tcPr>
            <w:tcW w:type="dxa" w:w="2376"/>
            <w:vAlign w:val="center"/>
            <w:tcMar>
              <w:top w:w="80" w:type="dxa"/>
              <w:start w:w="120" w:type="dxa"/>
              <w:bottom w:w="80" w:type="dxa"/>
              <w:end w:w="120" w:type="dxa"/>
            </w:tcMar>
          </w:tcPr>
          <w:p>
            <w:r>
              <w:t>Procesos B1</w:t>
            </w:r>
          </w:p>
        </w:tc>
        <w:tc>
          <w:tcPr>
            <w:tcW w:type="dxa" w:w="7344"/>
            <w:vAlign w:val="center"/>
            <w:tcMar>
              <w:top w:w="80" w:type="dxa"/>
              <w:start w:w="120" w:type="dxa"/>
              <w:bottom w:w="80" w:type="dxa"/>
              <w:end w:w="120" w:type="dxa"/>
            </w:tcMar>
          </w:tcPr>
          <w:p>
            <w:r>
              <w:t>D-008 fue ratificada y la baseline GOEI-BSL-PROC-0001 v0.1.0 quedó congelada con P1–P9. La investigación gastronómica concreta no se incorpora por inferencia.</w:t>
            </w:r>
          </w:p>
        </w:tc>
      </w:tr>
      <w:tr>
        <w:tc>
          <w:tcPr>
            <w:tcW w:type="dxa" w:w="2376"/>
            <w:vAlign w:val="center"/>
            <w:tcMar>
              <w:top w:w="80" w:type="dxa"/>
              <w:start w:w="120" w:type="dxa"/>
              <w:bottom w:w="80" w:type="dxa"/>
              <w:end w:w="120" w:type="dxa"/>
            </w:tcMar>
          </w:tcPr>
          <w:p>
            <w:r>
              <w:t>Taxonomía B2</w:t>
            </w:r>
          </w:p>
        </w:tc>
        <w:tc>
          <w:tcPr>
            <w:tcW w:type="dxa" w:w="7344"/>
            <w:vAlign w:val="center"/>
            <w:tcMar>
              <w:top w:w="80" w:type="dxa"/>
              <w:start w:w="120" w:type="dxa"/>
              <w:bottom w:w="80" w:type="dxa"/>
              <w:end w:w="120" w:type="dxa"/>
            </w:tcMar>
          </w:tcPr>
          <w:p>
            <w:r>
              <w:t>D-017 fue ratificada y GOEI-BSL-TAX-0001 v0.1.0 quedó congelada: modelo facetado, unidad Establecimiento, categoría como combinación y facetas FX-1, FX-2 y FX-3, sin valores concretos todavía.</w:t>
            </w:r>
          </w:p>
        </w:tc>
      </w:tr>
      <w:tr>
        <w:tc>
          <w:tcPr>
            <w:tcW w:type="dxa" w:w="2376"/>
            <w:vAlign w:val="center"/>
            <w:tcMar>
              <w:top w:w="80" w:type="dxa"/>
              <w:start w:w="120" w:type="dxa"/>
              <w:bottom w:w="80" w:type="dxa"/>
              <w:end w:w="120" w:type="dxa"/>
            </w:tcMar>
          </w:tcPr>
          <w:p>
            <w:r>
              <w:t>Universo KPI B3</w:t>
            </w:r>
          </w:p>
        </w:tc>
        <w:tc>
          <w:tcPr>
            <w:tcW w:type="dxa" w:w="7344"/>
            <w:vAlign w:val="center"/>
            <w:tcMar>
              <w:top w:w="80" w:type="dxa"/>
              <w:start w:w="120" w:type="dxa"/>
              <w:bottom w:w="80" w:type="dxa"/>
              <w:end w:w="120" w:type="dxa"/>
            </w:tcMar>
          </w:tcPr>
          <w:p>
            <w:r>
              <w:t>D-018 fue ratificada y GOEI-BSL-KPI-C-0001 v0.1.0 congeló 31 candidatos evaluables. C-032 Balanced Scorecard se conserva como marco contextual y no como KPI.</w:t>
            </w:r>
          </w:p>
        </w:tc>
      </w:tr>
      <w:tr>
        <w:tc>
          <w:tcPr>
            <w:tcW w:type="dxa" w:w="2376"/>
            <w:vAlign w:val="center"/>
            <w:tcMar>
              <w:top w:w="80" w:type="dxa"/>
              <w:start w:w="120" w:type="dxa"/>
              <w:bottom w:w="80" w:type="dxa"/>
              <w:end w:w="120" w:type="dxa"/>
            </w:tcMar>
          </w:tcPr>
          <w:p>
            <w:r>
              <w:t>GTRM</w:t>
            </w:r>
          </w:p>
        </w:tc>
        <w:tc>
          <w:tcPr>
            <w:tcW w:type="dxa" w:w="7344"/>
            <w:vAlign w:val="center"/>
            <w:tcMar>
              <w:top w:w="80" w:type="dxa"/>
              <w:start w:w="120" w:type="dxa"/>
              <w:bottom w:w="80" w:type="dxa"/>
              <w:end w:w="120" w:type="dxa"/>
            </w:tcMar>
          </w:tcPr>
          <w:p>
            <w:r>
              <w:t>D-009 a D-016 separan observación, medición, valor KPI, referencias, benchmark, función de puntuación, normalización, puntuación e interpretación. La GTRM actúa sobre valores KPI y su aplicación produce la puntuación normalizada; no existe doble normalización.</w:t>
            </w:r>
          </w:p>
        </w:tc>
      </w:tr>
      <w:tr>
        <w:tc>
          <w:tcPr>
            <w:tcW w:type="dxa" w:w="2376"/>
            <w:vAlign w:val="center"/>
            <w:tcMar>
              <w:top w:w="80" w:type="dxa"/>
              <w:start w:w="120" w:type="dxa"/>
              <w:bottom w:w="80" w:type="dxa"/>
              <w:end w:w="120" w:type="dxa"/>
            </w:tcMar>
          </w:tcPr>
          <w:p>
            <w:r>
              <w:t>B4</w:t>
            </w:r>
          </w:p>
        </w:tc>
        <w:tc>
          <w:tcPr>
            <w:tcW w:type="dxa" w:w="7344"/>
            <w:vAlign w:val="center"/>
            <w:tcMar>
              <w:top w:w="80" w:type="dxa"/>
              <w:start w:w="120" w:type="dxa"/>
              <w:bottom w:w="80" w:type="dxa"/>
              <w:end w:w="120" w:type="dxa"/>
            </w:tcMar>
          </w:tcPr>
          <w:p>
            <w:r>
              <w:t>La preparación técnica está completa mediante GOEI-AUDIT-0007. Falta el dictamen científico D-019 sobre método, criterios y admisibilidad de los 31 candidatos.</w:t>
            </w:r>
          </w:p>
        </w:tc>
      </w:tr>
      <w:tr>
        <w:tc>
          <w:tcPr>
            <w:tcW w:type="dxa" w:w="2376"/>
            <w:vAlign w:val="center"/>
            <w:tcMar>
              <w:top w:w="80" w:type="dxa"/>
              <w:start w:w="120" w:type="dxa"/>
              <w:bottom w:w="80" w:type="dxa"/>
              <w:end w:w="120" w:type="dxa"/>
            </w:tcMar>
          </w:tcPr>
          <w:p>
            <w:r>
              <w:t>Tesis y publicación</w:t>
            </w:r>
          </w:p>
        </w:tc>
        <w:tc>
          <w:tcPr>
            <w:tcW w:type="dxa" w:w="7344"/>
            <w:vAlign w:val="center"/>
            <w:tcMar>
              <w:top w:w="80" w:type="dxa"/>
              <w:start w:w="120" w:type="dxa"/>
              <w:bottom w:w="80" w:type="dxa"/>
              <w:end w:w="120" w:type="dxa"/>
            </w:tcMar>
          </w:tcPr>
          <w:p>
            <w:r>
              <w:t>Existen arquitectura, matriz de requisitos y esqueletos documentales, pero no una tesis científicamente terminada ni un manuscrito publicable. Los 64 requisitos directorales aún no tienen estado Aprobado o Publicado.</w:t>
            </w:r>
          </w:p>
        </w:tc>
      </w:tr>
      <w:tr>
        <w:tc>
          <w:tcPr>
            <w:tcW w:type="dxa" w:w="2376"/>
            <w:vAlign w:val="center"/>
            <w:tcMar>
              <w:top w:w="80" w:type="dxa"/>
              <w:start w:w="120" w:type="dxa"/>
              <w:bottom w:w="80" w:type="dxa"/>
              <w:end w:w="120" w:type="dxa"/>
            </w:tcMar>
          </w:tcPr>
          <w:p>
            <w:r>
              <w:t>Automatización</w:t>
            </w:r>
          </w:p>
        </w:tc>
        <w:tc>
          <w:tcPr>
            <w:tcW w:type="dxa" w:w="7344"/>
            <w:vAlign w:val="center"/>
            <w:tcMar>
              <w:top w:w="80" w:type="dxa"/>
              <w:start w:w="120" w:type="dxa"/>
              <w:bottom w:w="80" w:type="dxa"/>
              <w:end w:w="120" w:type="dxa"/>
            </w:tcMar>
          </w:tcPr>
          <w:p>
            <w:r>
              <w:t>La dirección automática se encuentra pausada por instrucción del Director General. El reinicio deberá abrir una conversación nueva con Claude y utilizar paquetes de contexto compactos.</w:t>
            </w:r>
          </w:p>
        </w:tc>
      </w:tr>
    </w:tbl>
    <w:p>
      <w:pPr>
        <w:pStyle w:val="Heading1"/>
      </w:pPr>
      <w:r>
        <w:t>3. Decisiones y conclusiones vigentes</w:t>
      </w:r>
    </w:p>
    <w:p>
      <w:pPr>
        <w:pStyle w:val="ListBullet"/>
      </w:pPr>
      <w:r>
        <w:t>GOEI-DIR-0004 delega la dirección operativa y permite avanzar sin validaciones intermedias del usuario dentro de la autoridad ya conferida.</w:t>
      </w:r>
    </w:p>
    <w:p>
      <w:pPr>
        <w:pStyle w:val="ListBullet"/>
      </w:pPr>
      <w:r>
        <w:t>D-006 es la ontología conceptual congelada; cualquier modificación exige Issue formal.</w:t>
      </w:r>
    </w:p>
    <w:p>
      <w:pPr>
        <w:pStyle w:val="ListBullet"/>
      </w:pPr>
      <w:r>
        <w:t>D-008 establece la arquitectura universal de procesos y habilitó B2.</w:t>
      </w:r>
    </w:p>
    <w:p>
      <w:pPr>
        <w:pStyle w:val="ListBullet"/>
      </w:pPr>
      <w:r>
        <w:t>D-017 establece la estructura taxonómica universal y habilitó B3.</w:t>
      </w:r>
    </w:p>
    <w:p>
      <w:pPr>
        <w:pStyle w:val="ListBullet"/>
      </w:pPr>
      <w:r>
        <w:t>D-018 acepta exclusivamente el universo candidato B3; no aprueba ningún KPI.</w:t>
      </w:r>
    </w:p>
    <w:p>
      <w:pPr>
        <w:pStyle w:val="ListBullet"/>
      </w:pPr>
      <w:r>
        <w:t>D-009–D-016 constituyen el marco científico GTRM ratificado, con reservas e Issues todavía activos para implementaciones concretas.</w:t>
      </w:r>
    </w:p>
    <w:p>
      <w:pPr>
        <w:pStyle w:val="ListBullet"/>
      </w:pPr>
      <w:r>
        <w:t>GOEI-DIR-RES-0001, 0002 y 0003 congelaron respectivamente las baselines de procesos, taxonomía y candidatos KPI.</w:t>
      </w:r>
    </w:p>
    <w:p>
      <w:pPr>
        <w:pStyle w:val="Heading1"/>
      </w:pPr>
      <w:r>
        <w:t>4. Pendientes y ruta crítica</w:t>
      </w:r>
    </w:p>
    <w:p>
      <w:pPr>
        <w:pStyle w:val="ListNumber"/>
      </w:pPr>
      <w:r>
        <w:t>Reanudar B4 con conversación nueva de Claude y paquete compacto; resolver método, criterios, 31 evaluaciones, discrepancias y D-019.</w:t>
      </w:r>
    </w:p>
    <w:p>
      <w:pPr>
        <w:pStyle w:val="ListNumber"/>
      </w:pPr>
      <w:r>
        <w:t>Ejecutar B5: especificaciones de medición, variables, unidades, periodos y condiciones de referencia para KPI admisibles.</w:t>
      </w:r>
    </w:p>
    <w:p>
      <w:pPr>
        <w:pStyle w:val="ListNumber"/>
      </w:pPr>
      <w:r>
        <w:t>Ejecutar B6: funciones GTRM/puntuación y normalización, sin doble transformación.</w:t>
      </w:r>
    </w:p>
    <w:p>
      <w:pPr>
        <w:pStyle w:val="ListNumber"/>
      </w:pPr>
      <w:r>
        <w:t>Ejecutar B7: ponderación, agregación y reglas de no compensación mediante decisión científica.</w:t>
      </w:r>
    </w:p>
    <w:p>
      <w:pPr>
        <w:pStyle w:val="ListNumber"/>
      </w:pPr>
      <w:r>
        <w:t>Ejecutar B8: interpretación, estados de validez e incertidumbre.</w:t>
      </w:r>
    </w:p>
    <w:p>
      <w:pPr>
        <w:pStyle w:val="ListNumber"/>
      </w:pPr>
      <w:r>
        <w:t>Ejecutar B9: formularios, tablas manuales y equivalencia papel–software.</w:t>
      </w:r>
    </w:p>
    <w:p>
      <w:pPr>
        <w:pStyle w:val="ListNumber"/>
      </w:pPr>
      <w:r>
        <w:t>Ejecutar B10: Manual Técnico y conocimiento normativo integrado.</w:t>
      </w:r>
    </w:p>
    <w:p>
      <w:pPr>
        <w:pStyle w:val="ListNumber"/>
      </w:pPr>
      <w:r>
        <w:t>Resolver fundamentos provisionales D-003/D-005 e Issues 006, 007, 016 y 017 de la fase A.</w:t>
      </w:r>
    </w:p>
    <w:p>
      <w:pPr>
        <w:pStyle w:val="ListNumber"/>
      </w:pPr>
      <w:r>
        <w:t>Construir candidato completo del estándar, diseñar y ejecutar validación por expertos/casos reales, y resolver ISS-041.</w:t>
      </w:r>
    </w:p>
    <w:p>
      <w:pPr>
        <w:pStyle w:val="ListNumber"/>
      </w:pPr>
      <w:r>
        <w:t>Completar tesis y publicaciones solo después de disponer de resultados científicos y validación; resolver ISS-039 e ISS-040.</w:t>
      </w:r>
    </w:p>
    <w:p>
      <w:pPr>
        <w:pStyle w:val="ListNumber"/>
      </w:pPr>
      <w:r>
        <w:t>Mantener abiertos y selectivos ISS-055–058, 008, 015, 043, 053 y 054 hasta cumplir sus condiciones documentadas.</w:t>
      </w:r>
    </w:p>
    <w:p>
      <w:pPr>
        <w:pStyle w:val="Heading1"/>
      </w:pPr>
      <w:r>
        <w:t>5. Entregables finales previstos</w:t>
      </w:r>
    </w:p>
    <w:p>
      <w:pPr>
        <w:pStyle w:val="ListBullet"/>
      </w:pPr>
      <w:r>
        <w:t>Estándar GOEI validado y versionado.</w:t>
      </w:r>
    </w:p>
    <w:p>
      <w:pPr>
        <w:pStyle w:val="ListBullet"/>
      </w:pPr>
      <w:r>
        <w:t>Constitución, Body of Knowledge, ontología, taxonomía y modelos de procesos consolidados.</w:t>
      </w:r>
    </w:p>
    <w:p>
      <w:pPr>
        <w:pStyle w:val="ListBullet"/>
      </w:pPr>
      <w:r>
        <w:t>Catálogo de KPI admisibles, especificaciones de medición, GTRM, normalización, fórmula, reglas críticas e interpretación aprobadas.</w:t>
      </w:r>
    </w:p>
    <w:p>
      <w:pPr>
        <w:pStyle w:val="ListBullet"/>
      </w:pPr>
      <w:r>
        <w:t>Formularios manuales, tablas de consulta, Manual Técnico General y manuales piloto.</w:t>
      </w:r>
    </w:p>
    <w:p>
      <w:pPr>
        <w:pStyle w:val="ListBullet"/>
      </w:pPr>
      <w:r>
        <w:t>Knowledge Graph y componentes preparados para software sin convertir el software en fuente normativa.</w:t>
      </w:r>
    </w:p>
    <w:p>
      <w:pPr>
        <w:pStyle w:val="ListBullet"/>
      </w:pPr>
      <w:r>
        <w:t>Expediente de validación científica y operacional.</w:t>
      </w:r>
    </w:p>
    <w:p>
      <w:pPr>
        <w:pStyle w:val="ListBullet"/>
      </w:pPr>
      <w:r>
        <w:t>Tesis terminada derivada del estándar y uno o más manuscritos preparados para publicación.</w:t>
      </w:r>
    </w:p>
    <w:p>
      <w:r>
        <w:br w:type="page"/>
      </w:r>
    </w:p>
    <w:p>
      <w:pPr>
        <w:pStyle w:val="Heading1"/>
      </w:pPr>
      <w:r>
        <w:t>6. Índice de fuentes incorporadas</w:t>
      </w:r>
    </w:p>
    <w:p>
      <w:r>
        <w:t>Total: 154 archivos. El orden sigue la arquitectura del repositorio y, dentro de cada carpeta, la ruta alfabética.</w:t>
      </w:r>
    </w:p>
    <w:tbl>
      <w:tblPr>
        <w:tblW w:type="auto" w:w="0"/>
        <w:tblLayout w:type="fixed"/>
        <w:tblLook w:firstColumn="1" w:firstRow="1" w:lastColumn="0" w:lastRow="0" w:noHBand="0" w:noVBand="1" w:val="04A0"/>
      </w:tblPr>
      <w:tblGrid>
        <w:gridCol w:w="792"/>
        <w:gridCol w:w="8928"/>
      </w:tblGrid>
      <w:tr>
        <w:trPr>
          <w:tblHeader/>
        </w:trPr>
        <w:tc>
          <w:tcPr>
            <w:tcW w:type="dxa" w:w="4968"/>
            <w:shd w:fill="E8EEF5"/>
          </w:tcPr>
          <w:p>
            <w:r>
              <w:rPr>
                <w:b/>
              </w:rPr>
              <w:t>N.º</w:t>
            </w:r>
          </w:p>
        </w:tc>
        <w:tc>
          <w:tcPr>
            <w:tcW w:type="dxa" w:w="4968"/>
            <w:shd w:fill="E8EEF5"/>
          </w:tcPr>
          <w:p>
            <w:r>
              <w:rPr>
                <w:b/>
              </w:rPr>
              <w:t>Ruta fuente</w:t>
            </w:r>
          </w:p>
        </w:tc>
      </w:tr>
      <w:tr>
        <w:tc>
          <w:tcPr>
            <w:tcW w:type="dxa" w:w="792"/>
            <w:tcMar>
              <w:top w:w="40" w:type="dxa"/>
              <w:start w:w="120" w:type="dxa"/>
              <w:bottom w:w="40" w:type="dxa"/>
              <w:end w:w="120" w:type="dxa"/>
            </w:tcMar>
            <w:vAlign w:val="center"/>
          </w:tcPr>
          <w:p>
            <w:pPr>
              <w:spacing w:after="0"/>
              <w:jc w:val="center"/>
            </w:pPr>
            <w:r>
              <w:rPr>
                <w:sz w:val="17"/>
              </w:rPr>
              <w:t>1</w:t>
            </w:r>
          </w:p>
        </w:tc>
        <w:tc>
          <w:tcPr>
            <w:tcW w:type="dxa" w:w="8928"/>
            <w:tcMar>
              <w:top w:w="40" w:type="dxa"/>
              <w:start w:w="120" w:type="dxa"/>
              <w:bottom w:w="40" w:type="dxa"/>
              <w:end w:w="120" w:type="dxa"/>
            </w:tcMar>
            <w:vAlign w:val="center"/>
          </w:tcPr>
          <w:p>
            <w:pPr>
              <w:spacing w:after="0"/>
            </w:pPr>
            <w:r>
              <w:rPr>
                <w:sz w:val="17"/>
              </w:rPr>
              <w:t>README.md</w:t>
            </w:r>
          </w:p>
        </w:tc>
      </w:tr>
      <w:tr>
        <w:tc>
          <w:tcPr>
            <w:tcW w:type="dxa" w:w="792"/>
            <w:tcMar>
              <w:top w:w="40" w:type="dxa"/>
              <w:start w:w="120" w:type="dxa"/>
              <w:bottom w:w="40" w:type="dxa"/>
              <w:end w:w="120" w:type="dxa"/>
            </w:tcMar>
            <w:vAlign w:val="center"/>
          </w:tcPr>
          <w:p>
            <w:pPr>
              <w:spacing w:after="0"/>
              <w:jc w:val="center"/>
            </w:pPr>
            <w:r>
              <w:rPr>
                <w:sz w:val="17"/>
              </w:rPr>
              <w:t>2</w:t>
            </w:r>
          </w:p>
        </w:tc>
        <w:tc>
          <w:tcPr>
            <w:tcW w:type="dxa" w:w="8928"/>
            <w:tcMar>
              <w:top w:w="40" w:type="dxa"/>
              <w:start w:w="120" w:type="dxa"/>
              <w:bottom w:w="40" w:type="dxa"/>
              <w:end w:w="120" w:type="dxa"/>
            </w:tcMar>
            <w:vAlign w:val="center"/>
          </w:tcPr>
          <w:p>
            <w:pPr>
              <w:spacing w:after="0"/>
            </w:pPr>
            <w:r>
              <w:rPr>
                <w:sz w:val="17"/>
              </w:rPr>
              <w:t>AGENTS.md</w:t>
            </w:r>
          </w:p>
        </w:tc>
      </w:tr>
      <w:tr>
        <w:tc>
          <w:tcPr>
            <w:tcW w:type="dxa" w:w="792"/>
            <w:tcMar>
              <w:top w:w="40" w:type="dxa"/>
              <w:start w:w="120" w:type="dxa"/>
              <w:bottom w:w="40" w:type="dxa"/>
              <w:end w:w="120" w:type="dxa"/>
            </w:tcMar>
            <w:vAlign w:val="center"/>
          </w:tcPr>
          <w:p>
            <w:pPr>
              <w:spacing w:after="0"/>
              <w:jc w:val="center"/>
            </w:pPr>
            <w:r>
              <w:rPr>
                <w:sz w:val="17"/>
              </w:rPr>
              <w:t>3</w:t>
            </w:r>
          </w:p>
        </w:tc>
        <w:tc>
          <w:tcPr>
            <w:tcW w:type="dxa" w:w="8928"/>
            <w:tcMar>
              <w:top w:w="40" w:type="dxa"/>
              <w:start w:w="120" w:type="dxa"/>
              <w:bottom w:w="40" w:type="dxa"/>
              <w:end w:w="120" w:type="dxa"/>
            </w:tcMar>
            <w:vAlign w:val="center"/>
          </w:tcPr>
          <w:p>
            <w:pPr>
              <w:spacing w:after="0"/>
            </w:pPr>
            <w:r>
              <w:rPr>
                <w:sz w:val="17"/>
              </w:rPr>
              <w:t>CHANGELOG.md</w:t>
            </w:r>
          </w:p>
        </w:tc>
      </w:tr>
      <w:tr>
        <w:tc>
          <w:tcPr>
            <w:tcW w:type="dxa" w:w="792"/>
            <w:tcMar>
              <w:top w:w="40" w:type="dxa"/>
              <w:start w:w="120" w:type="dxa"/>
              <w:bottom w:w="40" w:type="dxa"/>
              <w:end w:w="120" w:type="dxa"/>
            </w:tcMar>
            <w:vAlign w:val="center"/>
          </w:tcPr>
          <w:p>
            <w:pPr>
              <w:spacing w:after="0"/>
              <w:jc w:val="center"/>
            </w:pPr>
            <w:r>
              <w:rPr>
                <w:sz w:val="17"/>
              </w:rPr>
              <w:t>4</w:t>
            </w:r>
          </w:p>
        </w:tc>
        <w:tc>
          <w:tcPr>
            <w:tcW w:type="dxa" w:w="8928"/>
            <w:tcMar>
              <w:top w:w="40" w:type="dxa"/>
              <w:start w:w="120" w:type="dxa"/>
              <w:bottom w:w="40" w:type="dxa"/>
              <w:end w:w="120" w:type="dxa"/>
            </w:tcMar>
            <w:vAlign w:val="center"/>
          </w:tcPr>
          <w:p>
            <w:pPr>
              <w:spacing w:after="0"/>
            </w:pPr>
            <w:r>
              <w:rPr>
                <w:sz w:val="17"/>
              </w:rPr>
              <w:t>00_Gobernanza/Constitucion_GOEI.md</w:t>
            </w:r>
          </w:p>
        </w:tc>
      </w:tr>
      <w:tr>
        <w:tc>
          <w:tcPr>
            <w:tcW w:type="dxa" w:w="792"/>
            <w:tcMar>
              <w:top w:w="40" w:type="dxa"/>
              <w:start w:w="120" w:type="dxa"/>
              <w:bottom w:w="40" w:type="dxa"/>
              <w:end w:w="120" w:type="dxa"/>
            </w:tcMar>
            <w:vAlign w:val="center"/>
          </w:tcPr>
          <w:p>
            <w:pPr>
              <w:spacing w:after="0"/>
              <w:jc w:val="center"/>
            </w:pPr>
            <w:r>
              <w:rPr>
                <w:sz w:val="17"/>
              </w:rPr>
              <w:t>5</w:t>
            </w:r>
          </w:p>
        </w:tc>
        <w:tc>
          <w:tcPr>
            <w:tcW w:type="dxa" w:w="8928"/>
            <w:tcMar>
              <w:top w:w="40" w:type="dxa"/>
              <w:start w:w="120" w:type="dxa"/>
              <w:bottom w:w="40" w:type="dxa"/>
              <w:end w:w="120" w:type="dxa"/>
            </w:tcMar>
            <w:vAlign w:val="center"/>
          </w:tcPr>
          <w:p>
            <w:pPr>
              <w:spacing w:after="0"/>
            </w:pPr>
            <w:r>
              <w:rPr>
                <w:sz w:val="17"/>
              </w:rPr>
              <w:t>00_Gobernanza/Arquitectura_del_repositorio_oficial_GOEI.md</w:t>
            </w:r>
          </w:p>
        </w:tc>
      </w:tr>
      <w:tr>
        <w:tc>
          <w:tcPr>
            <w:tcW w:type="dxa" w:w="792"/>
            <w:tcMar>
              <w:top w:w="40" w:type="dxa"/>
              <w:start w:w="120" w:type="dxa"/>
              <w:bottom w:w="40" w:type="dxa"/>
              <w:end w:w="120" w:type="dxa"/>
            </w:tcMar>
            <w:vAlign w:val="center"/>
          </w:tcPr>
          <w:p>
            <w:pPr>
              <w:spacing w:after="0"/>
              <w:jc w:val="center"/>
            </w:pPr>
            <w:r>
              <w:rPr>
                <w:sz w:val="17"/>
              </w:rPr>
              <w:t>6</w:t>
            </w:r>
          </w:p>
        </w:tc>
        <w:tc>
          <w:tcPr>
            <w:tcW w:type="dxa" w:w="8928"/>
            <w:tcMar>
              <w:top w:w="40" w:type="dxa"/>
              <w:start w:w="120" w:type="dxa"/>
              <w:bottom w:w="40" w:type="dxa"/>
              <w:end w:w="120" w:type="dxa"/>
            </w:tcMar>
            <w:vAlign w:val="center"/>
          </w:tcPr>
          <w:p>
            <w:pPr>
              <w:spacing w:after="0"/>
            </w:pPr>
            <w:r>
              <w:rPr>
                <w:sz w:val="17"/>
              </w:rPr>
              <w:t>00_Gobernanza/Arquitectura_documental_GOEI.md</w:t>
            </w:r>
          </w:p>
        </w:tc>
      </w:tr>
      <w:tr>
        <w:tc>
          <w:tcPr>
            <w:tcW w:type="dxa" w:w="792"/>
            <w:tcMar>
              <w:top w:w="40" w:type="dxa"/>
              <w:start w:w="120" w:type="dxa"/>
              <w:bottom w:w="40" w:type="dxa"/>
              <w:end w:w="120" w:type="dxa"/>
            </w:tcMar>
            <w:vAlign w:val="center"/>
          </w:tcPr>
          <w:p>
            <w:pPr>
              <w:spacing w:after="0"/>
              <w:jc w:val="center"/>
            </w:pPr>
            <w:r>
              <w:rPr>
                <w:sz w:val="17"/>
              </w:rPr>
              <w:t>7</w:t>
            </w:r>
          </w:p>
        </w:tc>
        <w:tc>
          <w:tcPr>
            <w:tcW w:type="dxa" w:w="8928"/>
            <w:tcMar>
              <w:top w:w="40" w:type="dxa"/>
              <w:start w:w="120" w:type="dxa"/>
              <w:bottom w:w="40" w:type="dxa"/>
              <w:end w:w="120" w:type="dxa"/>
            </w:tcMar>
            <w:vAlign w:val="center"/>
          </w:tcPr>
          <w:p>
            <w:pPr>
              <w:spacing w:after="0"/>
            </w:pPr>
            <w:r>
              <w:rPr>
                <w:sz w:val="17"/>
              </w:rPr>
              <w:t>00_Gobernanza/Convenciones_documentales.md</w:t>
            </w:r>
          </w:p>
        </w:tc>
      </w:tr>
      <w:tr>
        <w:tc>
          <w:tcPr>
            <w:tcW w:type="dxa" w:w="792"/>
            <w:tcMar>
              <w:top w:w="40" w:type="dxa"/>
              <w:start w:w="120" w:type="dxa"/>
              <w:bottom w:w="40" w:type="dxa"/>
              <w:end w:w="120" w:type="dxa"/>
            </w:tcMar>
            <w:vAlign w:val="center"/>
          </w:tcPr>
          <w:p>
            <w:pPr>
              <w:spacing w:after="0"/>
              <w:jc w:val="center"/>
            </w:pPr>
            <w:r>
              <w:rPr>
                <w:sz w:val="17"/>
              </w:rPr>
              <w:t>8</w:t>
            </w:r>
          </w:p>
        </w:tc>
        <w:tc>
          <w:tcPr>
            <w:tcW w:type="dxa" w:w="8928"/>
            <w:tcMar>
              <w:top w:w="40" w:type="dxa"/>
              <w:start w:w="120" w:type="dxa"/>
              <w:bottom w:w="40" w:type="dxa"/>
              <w:end w:w="120" w:type="dxa"/>
            </w:tcMar>
            <w:vAlign w:val="center"/>
          </w:tcPr>
          <w:p>
            <w:pPr>
              <w:spacing w:after="0"/>
            </w:pPr>
            <w:r>
              <w:rPr>
                <w:sz w:val="17"/>
              </w:rPr>
              <w:t>00_Gobernanza/coordinacion/auditorias/GOEI_AUDIT_0005_D017_Cierre_B2.md</w:t>
            </w:r>
          </w:p>
        </w:tc>
      </w:tr>
      <w:tr>
        <w:tc>
          <w:tcPr>
            <w:tcW w:type="dxa" w:w="792"/>
            <w:tcMar>
              <w:top w:w="40" w:type="dxa"/>
              <w:start w:w="120" w:type="dxa"/>
              <w:bottom w:w="40" w:type="dxa"/>
              <w:end w:w="120" w:type="dxa"/>
            </w:tcMar>
            <w:vAlign w:val="center"/>
          </w:tcPr>
          <w:p>
            <w:pPr>
              <w:spacing w:after="0"/>
              <w:jc w:val="center"/>
            </w:pPr>
            <w:r>
              <w:rPr>
                <w:sz w:val="17"/>
              </w:rPr>
              <w:t>9</w:t>
            </w:r>
          </w:p>
        </w:tc>
        <w:tc>
          <w:tcPr>
            <w:tcW w:type="dxa" w:w="8928"/>
            <w:tcMar>
              <w:top w:w="40" w:type="dxa"/>
              <w:start w:w="120" w:type="dxa"/>
              <w:bottom w:w="40" w:type="dxa"/>
              <w:end w:w="120" w:type="dxa"/>
            </w:tcMar>
            <w:vAlign w:val="center"/>
          </w:tcPr>
          <w:p>
            <w:pPr>
              <w:spacing w:after="0"/>
            </w:pPr>
            <w:r>
              <w:rPr>
                <w:sz w:val="17"/>
              </w:rPr>
              <w:t>00_Gobernanza/coordinacion/auditorias/GOEI_AUDIT_0006_D018_Cierre_B3.md</w:t>
            </w:r>
          </w:p>
        </w:tc>
      </w:tr>
      <w:tr>
        <w:tc>
          <w:tcPr>
            <w:tcW w:type="dxa" w:w="792"/>
            <w:tcMar>
              <w:top w:w="40" w:type="dxa"/>
              <w:start w:w="120" w:type="dxa"/>
              <w:bottom w:w="40" w:type="dxa"/>
              <w:end w:w="120" w:type="dxa"/>
            </w:tcMar>
            <w:vAlign w:val="center"/>
          </w:tcPr>
          <w:p>
            <w:pPr>
              <w:spacing w:after="0"/>
              <w:jc w:val="center"/>
            </w:pPr>
            <w:r>
              <w:rPr>
                <w:sz w:val="17"/>
              </w:rPr>
              <w:t>10</w:t>
            </w:r>
          </w:p>
        </w:tc>
        <w:tc>
          <w:tcPr>
            <w:tcW w:type="dxa" w:w="8928"/>
            <w:tcMar>
              <w:top w:w="40" w:type="dxa"/>
              <w:start w:w="120" w:type="dxa"/>
              <w:bottom w:w="40" w:type="dxa"/>
              <w:end w:w="120" w:type="dxa"/>
            </w:tcMar>
            <w:vAlign w:val="center"/>
          </w:tcPr>
          <w:p>
            <w:pPr>
              <w:spacing w:after="0"/>
            </w:pPr>
            <w:r>
              <w:rPr>
                <w:sz w:val="17"/>
              </w:rPr>
              <w:t>00_Gobernanza/coordinacion/auditorias/GOEI_AUDIT_0007_B4_Readiness.md</w:t>
            </w:r>
          </w:p>
        </w:tc>
      </w:tr>
      <w:tr>
        <w:tc>
          <w:tcPr>
            <w:tcW w:type="dxa" w:w="792"/>
            <w:tcMar>
              <w:top w:w="40" w:type="dxa"/>
              <w:start w:w="120" w:type="dxa"/>
              <w:bottom w:w="40" w:type="dxa"/>
              <w:end w:w="120" w:type="dxa"/>
            </w:tcMar>
            <w:vAlign w:val="center"/>
          </w:tcPr>
          <w:p>
            <w:pPr>
              <w:spacing w:after="0"/>
              <w:jc w:val="center"/>
            </w:pPr>
            <w:r>
              <w:rPr>
                <w:sz w:val="17"/>
              </w:rPr>
              <w:t>11</w:t>
            </w:r>
          </w:p>
        </w:tc>
        <w:tc>
          <w:tcPr>
            <w:tcW w:type="dxa" w:w="8928"/>
            <w:tcMar>
              <w:top w:w="40" w:type="dxa"/>
              <w:start w:w="120" w:type="dxa"/>
              <w:bottom w:w="40" w:type="dxa"/>
              <w:end w:w="120" w:type="dxa"/>
            </w:tcMar>
            <w:vAlign w:val="center"/>
          </w:tcPr>
          <w:p>
            <w:pPr>
              <w:spacing w:after="0"/>
            </w:pPr>
            <w:r>
              <w:rPr>
                <w:sz w:val="17"/>
              </w:rPr>
              <w:t>00_Gobernanza/coordinacion/auditorias/GTRM/GOEI_AUDIT_0004_DS_GTRM_01_08.md</w:t>
            </w:r>
          </w:p>
        </w:tc>
      </w:tr>
      <w:tr>
        <w:tc>
          <w:tcPr>
            <w:tcW w:type="dxa" w:w="792"/>
            <w:tcMar>
              <w:top w:w="40" w:type="dxa"/>
              <w:start w:w="120" w:type="dxa"/>
              <w:bottom w:w="40" w:type="dxa"/>
              <w:end w:w="120" w:type="dxa"/>
            </w:tcMar>
            <w:vAlign w:val="center"/>
          </w:tcPr>
          <w:p>
            <w:pPr>
              <w:spacing w:after="0"/>
              <w:jc w:val="center"/>
            </w:pPr>
            <w:r>
              <w:rPr>
                <w:sz w:val="17"/>
              </w:rPr>
              <w:t>12</w:t>
            </w:r>
          </w:p>
        </w:tc>
        <w:tc>
          <w:tcPr>
            <w:tcW w:type="dxa" w:w="8928"/>
            <w:tcMar>
              <w:top w:w="40" w:type="dxa"/>
              <w:start w:w="120" w:type="dxa"/>
              <w:bottom w:w="40" w:type="dxa"/>
              <w:end w:w="120" w:type="dxa"/>
            </w:tcMar>
            <w:vAlign w:val="center"/>
          </w:tcPr>
          <w:p>
            <w:pPr>
              <w:spacing w:after="0"/>
            </w:pPr>
            <w:r>
              <w:rPr>
                <w:sz w:val="17"/>
              </w:rPr>
              <w:t>00_Gobernanza/coordinacion/auditorias/GTRM/GOEI_GTRM_AUDITORIA_ARQUITECTONICA.md</w:t>
            </w:r>
          </w:p>
        </w:tc>
      </w:tr>
      <w:tr>
        <w:tc>
          <w:tcPr>
            <w:tcW w:type="dxa" w:w="792"/>
            <w:tcMar>
              <w:top w:w="40" w:type="dxa"/>
              <w:start w:w="120" w:type="dxa"/>
              <w:bottom w:w="40" w:type="dxa"/>
              <w:end w:w="120" w:type="dxa"/>
            </w:tcMar>
            <w:vAlign w:val="center"/>
          </w:tcPr>
          <w:p>
            <w:pPr>
              <w:spacing w:after="0"/>
              <w:jc w:val="center"/>
            </w:pPr>
            <w:r>
              <w:rPr>
                <w:sz w:val="17"/>
              </w:rPr>
              <w:t>13</w:t>
            </w:r>
          </w:p>
        </w:tc>
        <w:tc>
          <w:tcPr>
            <w:tcW w:type="dxa" w:w="8928"/>
            <w:tcMar>
              <w:top w:w="40" w:type="dxa"/>
              <w:start w:w="120" w:type="dxa"/>
              <w:bottom w:w="40" w:type="dxa"/>
              <w:end w:w="120" w:type="dxa"/>
            </w:tcMar>
            <w:vAlign w:val="center"/>
          </w:tcPr>
          <w:p>
            <w:pPr>
              <w:spacing w:after="0"/>
            </w:pPr>
            <w:r>
              <w:rPr>
                <w:sz w:val="17"/>
              </w:rPr>
              <w:t>00_Gobernanza/coordinacion/auditorias/GTRM/GOEI_GTRM_AUDITORIA_CONSOLIDADA.md</w:t>
            </w:r>
          </w:p>
        </w:tc>
      </w:tr>
      <w:tr>
        <w:tc>
          <w:tcPr>
            <w:tcW w:type="dxa" w:w="792"/>
            <w:tcMar>
              <w:top w:w="40" w:type="dxa"/>
              <w:start w:w="120" w:type="dxa"/>
              <w:bottom w:w="40" w:type="dxa"/>
              <w:end w:w="120" w:type="dxa"/>
            </w:tcMar>
            <w:vAlign w:val="center"/>
          </w:tcPr>
          <w:p>
            <w:pPr>
              <w:spacing w:after="0"/>
              <w:jc w:val="center"/>
            </w:pPr>
            <w:r>
              <w:rPr>
                <w:sz w:val="17"/>
              </w:rPr>
              <w:t>14</w:t>
            </w:r>
          </w:p>
        </w:tc>
        <w:tc>
          <w:tcPr>
            <w:tcW w:type="dxa" w:w="8928"/>
            <w:tcMar>
              <w:top w:w="40" w:type="dxa"/>
              <w:start w:w="120" w:type="dxa"/>
              <w:bottom w:w="40" w:type="dxa"/>
              <w:end w:w="120" w:type="dxa"/>
            </w:tcMar>
            <w:vAlign w:val="center"/>
          </w:tcPr>
          <w:p>
            <w:pPr>
              <w:spacing w:after="0"/>
            </w:pPr>
            <w:r>
              <w:rPr>
                <w:sz w:val="17"/>
              </w:rPr>
              <w:t>00_Gobernanza/coordinacion/auditorias/GTRM/GOEI_GTRM_DICTAMEN_CIENTIFICO.md</w:t>
            </w:r>
          </w:p>
        </w:tc>
      </w:tr>
      <w:tr>
        <w:tc>
          <w:tcPr>
            <w:tcW w:type="dxa" w:w="792"/>
            <w:tcMar>
              <w:top w:w="40" w:type="dxa"/>
              <w:start w:w="120" w:type="dxa"/>
              <w:bottom w:w="40" w:type="dxa"/>
              <w:end w:w="120" w:type="dxa"/>
            </w:tcMar>
            <w:vAlign w:val="center"/>
          </w:tcPr>
          <w:p>
            <w:pPr>
              <w:spacing w:after="0"/>
              <w:jc w:val="center"/>
            </w:pPr>
            <w:r>
              <w:rPr>
                <w:sz w:val="17"/>
              </w:rPr>
              <w:t>15</w:t>
            </w:r>
          </w:p>
        </w:tc>
        <w:tc>
          <w:tcPr>
            <w:tcW w:type="dxa" w:w="8928"/>
            <w:tcMar>
              <w:top w:w="40" w:type="dxa"/>
              <w:start w:w="120" w:type="dxa"/>
              <w:bottom w:w="40" w:type="dxa"/>
              <w:end w:w="120" w:type="dxa"/>
            </w:tcMar>
            <w:vAlign w:val="center"/>
          </w:tcPr>
          <w:p>
            <w:pPr>
              <w:spacing w:after="0"/>
            </w:pPr>
            <w:r>
              <w:rPr>
                <w:sz w:val="17"/>
              </w:rPr>
              <w:t>00_Gobernanza/coordinacion/auditorias/GTRM/GOEI_GTRM_MATRIZ_DE_PREGUNTAS_Y_CONTROLES.md</w:t>
            </w:r>
          </w:p>
        </w:tc>
      </w:tr>
      <w:tr>
        <w:tc>
          <w:tcPr>
            <w:tcW w:type="dxa" w:w="792"/>
            <w:tcMar>
              <w:top w:w="40" w:type="dxa"/>
              <w:start w:w="120" w:type="dxa"/>
              <w:bottom w:w="40" w:type="dxa"/>
              <w:end w:w="120" w:type="dxa"/>
            </w:tcMar>
            <w:vAlign w:val="center"/>
          </w:tcPr>
          <w:p>
            <w:pPr>
              <w:spacing w:after="0"/>
              <w:jc w:val="center"/>
            </w:pPr>
            <w:r>
              <w:rPr>
                <w:sz w:val="17"/>
              </w:rPr>
              <w:t>16</w:t>
            </w:r>
          </w:p>
        </w:tc>
        <w:tc>
          <w:tcPr>
            <w:tcW w:type="dxa" w:w="8928"/>
            <w:tcMar>
              <w:top w:w="40" w:type="dxa"/>
              <w:start w:w="120" w:type="dxa"/>
              <w:bottom w:w="40" w:type="dxa"/>
              <w:end w:w="120" w:type="dxa"/>
            </w:tcMar>
            <w:vAlign w:val="center"/>
          </w:tcPr>
          <w:p>
            <w:pPr>
              <w:spacing w:after="0"/>
            </w:pPr>
            <w:r>
              <w:rPr>
                <w:sz w:val="17"/>
              </w:rPr>
              <w:t>00_Gobernanza/coordinacion/auditorias/GTRM/GTRM_PROPUESTA_FUENTE_NO_NORMATIVA.txt</w:t>
            </w:r>
          </w:p>
        </w:tc>
      </w:tr>
      <w:tr>
        <w:tc>
          <w:tcPr>
            <w:tcW w:type="dxa" w:w="792"/>
            <w:tcMar>
              <w:top w:w="40" w:type="dxa"/>
              <w:start w:w="120" w:type="dxa"/>
              <w:bottom w:w="40" w:type="dxa"/>
              <w:end w:w="120" w:type="dxa"/>
            </w:tcMar>
            <w:vAlign w:val="center"/>
          </w:tcPr>
          <w:p>
            <w:pPr>
              <w:spacing w:after="0"/>
              <w:jc w:val="center"/>
            </w:pPr>
            <w:r>
              <w:rPr>
                <w:sz w:val="17"/>
              </w:rPr>
              <w:t>17</w:t>
            </w:r>
          </w:p>
        </w:tc>
        <w:tc>
          <w:tcPr>
            <w:tcW w:type="dxa" w:w="8928"/>
            <w:tcMar>
              <w:top w:w="40" w:type="dxa"/>
              <w:start w:w="120" w:type="dxa"/>
              <w:bottom w:w="40" w:type="dxa"/>
              <w:end w:w="120" w:type="dxa"/>
            </w:tcMar>
            <w:vAlign w:val="center"/>
          </w:tcPr>
          <w:p>
            <w:pPr>
              <w:spacing w:after="0"/>
            </w:pPr>
            <w:r>
              <w:rPr>
                <w:sz w:val="17"/>
              </w:rPr>
              <w:t>00_Gobernanza/coordinacion/cola_cientifica/GOEI_SCI_QUEUE_0001_B1_Procesos_Universales.md</w:t>
            </w:r>
          </w:p>
        </w:tc>
      </w:tr>
      <w:tr>
        <w:tc>
          <w:tcPr>
            <w:tcW w:type="dxa" w:w="792"/>
            <w:tcMar>
              <w:top w:w="40" w:type="dxa"/>
              <w:start w:w="120" w:type="dxa"/>
              <w:bottom w:w="40" w:type="dxa"/>
              <w:end w:w="120" w:type="dxa"/>
            </w:tcMar>
            <w:vAlign w:val="center"/>
          </w:tcPr>
          <w:p>
            <w:pPr>
              <w:spacing w:after="0"/>
              <w:jc w:val="center"/>
            </w:pPr>
            <w:r>
              <w:rPr>
                <w:sz w:val="17"/>
              </w:rPr>
              <w:t>18</w:t>
            </w:r>
          </w:p>
        </w:tc>
        <w:tc>
          <w:tcPr>
            <w:tcW w:type="dxa" w:w="8928"/>
            <w:tcMar>
              <w:top w:w="40" w:type="dxa"/>
              <w:start w:w="120" w:type="dxa"/>
              <w:bottom w:w="40" w:type="dxa"/>
              <w:end w:w="120" w:type="dxa"/>
            </w:tcMar>
            <w:vAlign w:val="center"/>
          </w:tcPr>
          <w:p>
            <w:pPr>
              <w:spacing w:after="0"/>
            </w:pPr>
            <w:r>
              <w:rPr>
                <w:sz w:val="17"/>
              </w:rPr>
              <w:t>00_Gobernanza/coordinacion/cola_cientifica/GOEI_SCI_QUEUE_0002_B2_Taxonomia_Universal.md</w:t>
            </w:r>
          </w:p>
        </w:tc>
      </w:tr>
      <w:tr>
        <w:tc>
          <w:tcPr>
            <w:tcW w:type="dxa" w:w="792"/>
            <w:tcMar>
              <w:top w:w="40" w:type="dxa"/>
              <w:start w:w="120" w:type="dxa"/>
              <w:bottom w:w="40" w:type="dxa"/>
              <w:end w:w="120" w:type="dxa"/>
            </w:tcMar>
            <w:vAlign w:val="center"/>
          </w:tcPr>
          <w:p>
            <w:pPr>
              <w:spacing w:after="0"/>
              <w:jc w:val="center"/>
            </w:pPr>
            <w:r>
              <w:rPr>
                <w:sz w:val="17"/>
              </w:rPr>
              <w:t>19</w:t>
            </w:r>
          </w:p>
        </w:tc>
        <w:tc>
          <w:tcPr>
            <w:tcW w:type="dxa" w:w="8928"/>
            <w:tcMar>
              <w:top w:w="40" w:type="dxa"/>
              <w:start w:w="120" w:type="dxa"/>
              <w:bottom w:w="40" w:type="dxa"/>
              <w:end w:w="120" w:type="dxa"/>
            </w:tcMar>
            <w:vAlign w:val="center"/>
          </w:tcPr>
          <w:p>
            <w:pPr>
              <w:spacing w:after="0"/>
            </w:pPr>
            <w:r>
              <w:rPr>
                <w:sz w:val="17"/>
              </w:rPr>
              <w:t>00_Gobernanza/coordinacion/cola_tecnica/README.md</w:t>
            </w:r>
          </w:p>
        </w:tc>
      </w:tr>
      <w:tr>
        <w:tc>
          <w:tcPr>
            <w:tcW w:type="dxa" w:w="792"/>
            <w:tcMar>
              <w:top w:w="40" w:type="dxa"/>
              <w:start w:w="120" w:type="dxa"/>
              <w:bottom w:w="40" w:type="dxa"/>
              <w:end w:w="120" w:type="dxa"/>
            </w:tcMar>
            <w:vAlign w:val="center"/>
          </w:tcPr>
          <w:p>
            <w:pPr>
              <w:spacing w:after="0"/>
              <w:jc w:val="center"/>
            </w:pPr>
            <w:r>
              <w:rPr>
                <w:sz w:val="17"/>
              </w:rPr>
              <w:t>20</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00_Gobernanza/coordinacion/decisiones_cientificas/GTRM/DS_GTRM_01_Entrada.md</w:t>
            </w:r>
          </w:p>
        </w:tc>
      </w:tr>
      <w:tr>
        <w:tc>
          <w:tcPr>
            <w:tcW w:type="dxa" w:w="792"/>
            <w:tcMar>
              <w:top w:w="40" w:type="dxa"/>
              <w:start w:w="120" w:type="dxa"/>
              <w:bottom w:w="40" w:type="dxa"/>
              <w:end w:w="120" w:type="dxa"/>
            </w:tcMar>
            <w:vAlign w:val="center"/>
          </w:tcPr>
          <w:p>
            <w:pPr>
              <w:spacing w:after="0"/>
              <w:jc w:val="center"/>
            </w:pPr>
            <w:r>
              <w:rPr>
                <w:sz w:val="17"/>
              </w:rPr>
              <w:t>21</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00_Gobernanza/coordinacion/decisiones_cientificas/GTRM/DS_GTRM_02_Normalizacion.md</w:t>
            </w:r>
          </w:p>
        </w:tc>
      </w:tr>
      <w:tr>
        <w:tc>
          <w:tcPr>
            <w:tcW w:type="dxa" w:w="792"/>
            <w:tcMar>
              <w:top w:w="40" w:type="dxa"/>
              <w:start w:w="120" w:type="dxa"/>
              <w:bottom w:w="40" w:type="dxa"/>
              <w:end w:w="120" w:type="dxa"/>
            </w:tcMar>
            <w:vAlign w:val="center"/>
          </w:tcPr>
          <w:p>
            <w:pPr>
              <w:spacing w:after="0"/>
              <w:jc w:val="center"/>
            </w:pPr>
            <w:r>
              <w:rPr>
                <w:sz w:val="17"/>
              </w:rPr>
              <w:t>22</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00_Gobernanza/coordinacion/decisiones_cientificas/GTRM/DS_GTRM_03_Referencia_Benchmark.md</w:t>
            </w:r>
          </w:p>
        </w:tc>
      </w:tr>
      <w:tr>
        <w:tc>
          <w:tcPr>
            <w:tcW w:type="dxa" w:w="792"/>
            <w:tcMar>
              <w:top w:w="40" w:type="dxa"/>
              <w:start w:w="120" w:type="dxa"/>
              <w:bottom w:w="40" w:type="dxa"/>
              <w:end w:w="120" w:type="dxa"/>
            </w:tcMar>
            <w:vAlign w:val="center"/>
          </w:tcPr>
          <w:p>
            <w:pPr>
              <w:spacing w:after="0"/>
              <w:jc w:val="center"/>
            </w:pPr>
            <w:r>
              <w:rPr>
                <w:sz w:val="17"/>
              </w:rPr>
              <w:t>23</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00_Gobernanza/coordinacion/decisiones_cientificas/GTRM/DS_GTRM_04_Aplicabilidad_Precedencia.md</w:t>
            </w:r>
          </w:p>
        </w:tc>
      </w:tr>
      <w:tr>
        <w:tc>
          <w:tcPr>
            <w:tcW w:type="dxa" w:w="792"/>
            <w:tcMar>
              <w:top w:w="40" w:type="dxa"/>
              <w:start w:w="120" w:type="dxa"/>
              <w:bottom w:w="40" w:type="dxa"/>
              <w:end w:w="120" w:type="dxa"/>
            </w:tcMar>
            <w:vAlign w:val="center"/>
          </w:tcPr>
          <w:p>
            <w:pPr>
              <w:spacing w:after="0"/>
              <w:jc w:val="center"/>
            </w:pPr>
            <w:r>
              <w:rPr>
                <w:sz w:val="17"/>
              </w:rPr>
              <w:t>24</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00_Gobernanza/coordinacion/decisiones_cientificas/GTRM/DS_GTRM_05_Incertidumbre.md</w:t>
            </w:r>
          </w:p>
        </w:tc>
      </w:tr>
      <w:tr>
        <w:tc>
          <w:tcPr>
            <w:tcW w:type="dxa" w:w="792"/>
            <w:tcMar>
              <w:top w:w="40" w:type="dxa"/>
              <w:start w:w="120" w:type="dxa"/>
              <w:bottom w:w="40" w:type="dxa"/>
              <w:end w:w="120" w:type="dxa"/>
            </w:tcMar>
            <w:vAlign w:val="center"/>
          </w:tcPr>
          <w:p>
            <w:pPr>
              <w:spacing w:after="0"/>
              <w:jc w:val="center"/>
            </w:pPr>
            <w:r>
              <w:rPr>
                <w:sz w:val="17"/>
              </w:rPr>
              <w:t>25</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00_Gobernanza/coordinacion/decisiones_cientificas/GTRM/DS_GTRM_06_Autoridad_Ciclo_Vida.md</w:t>
            </w:r>
          </w:p>
        </w:tc>
      </w:tr>
      <w:tr>
        <w:tc>
          <w:tcPr>
            <w:tcW w:type="dxa" w:w="792"/>
            <w:tcMar>
              <w:top w:w="40" w:type="dxa"/>
              <w:start w:w="120" w:type="dxa"/>
              <w:bottom w:w="40" w:type="dxa"/>
              <w:end w:w="120" w:type="dxa"/>
            </w:tcMar>
            <w:vAlign w:val="center"/>
          </w:tcPr>
          <w:p>
            <w:pPr>
              <w:spacing w:after="0"/>
              <w:jc w:val="center"/>
            </w:pPr>
            <w:r>
              <w:rPr>
                <w:sz w:val="17"/>
              </w:rPr>
              <w:t>26</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00_Gobernanza/coordinacion/decisiones_cientificas/GTRM/DS_GTRM_07_Ausencia_Conflicto.md</w:t>
            </w:r>
          </w:p>
        </w:tc>
      </w:tr>
      <w:tr>
        <w:tc>
          <w:tcPr>
            <w:tcW w:type="dxa" w:w="792"/>
            <w:tcMar>
              <w:top w:w="40" w:type="dxa"/>
              <w:start w:w="120" w:type="dxa"/>
              <w:bottom w:w="40" w:type="dxa"/>
              <w:end w:w="120" w:type="dxa"/>
            </w:tcMar>
            <w:vAlign w:val="center"/>
          </w:tcPr>
          <w:p>
            <w:pPr>
              <w:spacing w:after="0"/>
              <w:jc w:val="center"/>
            </w:pPr>
            <w:r>
              <w:rPr>
                <w:sz w:val="17"/>
              </w:rPr>
              <w:t>27</w:t>
            </w:r>
          </w:p>
        </w:tc>
        <w:tc>
          <w:tcPr>
            <w:tcW w:type="dxa" w:w="8928"/>
            <w:tcMar>
              <w:top w:w="40" w:type="dxa"/>
              <w:start w:w="120" w:type="dxa"/>
              <w:bottom w:w="40" w:type="dxa"/>
              <w:end w:w="120" w:type="dxa"/>
            </w:tcMar>
            <w:vAlign w:val="center"/>
          </w:tcPr>
          <w:p>
            <w:pPr>
              <w:spacing w:after="0"/>
            </w:pPr>
            <w:r>
              <w:rPr>
                <w:sz w:val="17"/>
              </w:rPr>
              <w:t>00_Gobernanza/coordinacion/decisiones_cientificas/GTRM/DS_GTRM_08_Equivalencia_Reproducibilidad.md</w:t>
            </w:r>
          </w:p>
        </w:tc>
      </w:tr>
      <w:tr>
        <w:tc>
          <w:tcPr>
            <w:tcW w:type="dxa" w:w="792"/>
            <w:tcMar>
              <w:top w:w="40" w:type="dxa"/>
              <w:start w:w="120" w:type="dxa"/>
              <w:bottom w:w="40" w:type="dxa"/>
              <w:end w:w="120" w:type="dxa"/>
            </w:tcMar>
            <w:vAlign w:val="center"/>
          </w:tcPr>
          <w:p>
            <w:pPr>
              <w:spacing w:after="0"/>
              <w:jc w:val="center"/>
            </w:pPr>
            <w:r>
              <w:rPr>
                <w:sz w:val="17"/>
              </w:rPr>
              <w:t>28</w:t>
            </w:r>
          </w:p>
        </w:tc>
        <w:tc>
          <w:tcPr>
            <w:tcW w:type="dxa" w:w="8928"/>
            <w:tcMar>
              <w:top w:w="40" w:type="dxa"/>
              <w:start w:w="120" w:type="dxa"/>
              <w:bottom w:w="40" w:type="dxa"/>
              <w:end w:w="120" w:type="dxa"/>
            </w:tcMar>
            <w:vAlign w:val="center"/>
          </w:tcPr>
          <w:p>
            <w:pPr>
              <w:spacing w:after="0"/>
            </w:pPr>
            <w:r>
              <w:rPr>
                <w:sz w:val="17"/>
              </w:rPr>
              <w:t>00_Gobernanza/coordinacion/decisiones_cientificas/GTRM/GOEI_CC_DICTAMEN_GTRM_INTEGRACION.md</w:t>
            </w:r>
          </w:p>
        </w:tc>
      </w:tr>
      <w:tr>
        <w:tc>
          <w:tcPr>
            <w:tcW w:type="dxa" w:w="792"/>
            <w:tcMar>
              <w:top w:w="40" w:type="dxa"/>
              <w:start w:w="120" w:type="dxa"/>
              <w:bottom w:w="40" w:type="dxa"/>
              <w:end w:w="120" w:type="dxa"/>
            </w:tcMar>
            <w:vAlign w:val="center"/>
          </w:tcPr>
          <w:p>
            <w:pPr>
              <w:spacing w:after="0"/>
              <w:jc w:val="center"/>
            </w:pPr>
            <w:r>
              <w:rPr>
                <w:sz w:val="17"/>
              </w:rPr>
              <w:t>29</w:t>
            </w:r>
          </w:p>
        </w:tc>
        <w:tc>
          <w:tcPr>
            <w:tcW w:type="dxa" w:w="8928"/>
            <w:tcMar>
              <w:top w:w="40" w:type="dxa"/>
              <w:start w:w="120" w:type="dxa"/>
              <w:bottom w:w="40" w:type="dxa"/>
              <w:end w:w="120" w:type="dxa"/>
            </w:tcMar>
            <w:vAlign w:val="center"/>
          </w:tcPr>
          <w:p>
            <w:pPr>
              <w:spacing w:after="0"/>
            </w:pPr>
            <w:r>
              <w:rPr>
                <w:sz w:val="17"/>
              </w:rPr>
              <w:t>00_Gobernanza/coordinacion/entradas_comite/GOEI_SCI_HANDOFF_D008_Cierre_B1.md</w:t>
            </w:r>
          </w:p>
        </w:tc>
      </w:tr>
      <w:tr>
        <w:tc>
          <w:tcPr>
            <w:tcW w:type="dxa" w:w="792"/>
            <w:tcMar>
              <w:top w:w="40" w:type="dxa"/>
              <w:start w:w="120" w:type="dxa"/>
              <w:bottom w:w="40" w:type="dxa"/>
              <w:end w:w="120" w:type="dxa"/>
            </w:tcMar>
            <w:vAlign w:val="center"/>
          </w:tcPr>
          <w:p>
            <w:pPr>
              <w:spacing w:after="0"/>
              <w:jc w:val="center"/>
            </w:pPr>
            <w:r>
              <w:rPr>
                <w:sz w:val="17"/>
              </w:rPr>
              <w:t>30</w:t>
            </w:r>
          </w:p>
        </w:tc>
        <w:tc>
          <w:tcPr>
            <w:tcW w:type="dxa" w:w="8928"/>
            <w:tcMar>
              <w:top w:w="40" w:type="dxa"/>
              <w:start w:w="120" w:type="dxa"/>
              <w:bottom w:w="40" w:type="dxa"/>
              <w:end w:w="120" w:type="dxa"/>
            </w:tcMar>
            <w:vAlign w:val="center"/>
          </w:tcPr>
          <w:p>
            <w:pPr>
              <w:spacing w:after="0"/>
            </w:pPr>
            <w:r>
              <w:rPr>
                <w:sz w:val="17"/>
              </w:rPr>
              <w:t>00_Gobernanza/coordinacion/entradas_comite/GOEI_SCI_HANDOFF_D017_Cierre_B2.md</w:t>
            </w:r>
          </w:p>
        </w:tc>
      </w:tr>
      <w:tr>
        <w:tc>
          <w:tcPr>
            <w:tcW w:type="dxa" w:w="792"/>
            <w:tcMar>
              <w:top w:w="40" w:type="dxa"/>
              <w:start w:w="120" w:type="dxa"/>
              <w:bottom w:w="40" w:type="dxa"/>
              <w:end w:w="120" w:type="dxa"/>
            </w:tcMar>
            <w:vAlign w:val="center"/>
          </w:tcPr>
          <w:p>
            <w:pPr>
              <w:spacing w:after="0"/>
              <w:jc w:val="center"/>
            </w:pPr>
            <w:r>
              <w:rPr>
                <w:sz w:val="17"/>
              </w:rPr>
              <w:t>31</w:t>
            </w:r>
          </w:p>
        </w:tc>
        <w:tc>
          <w:tcPr>
            <w:tcW w:type="dxa" w:w="8928"/>
            <w:tcMar>
              <w:top w:w="40" w:type="dxa"/>
              <w:start w:w="120" w:type="dxa"/>
              <w:bottom w:w="40" w:type="dxa"/>
              <w:end w:w="120" w:type="dxa"/>
            </w:tcMar>
            <w:vAlign w:val="center"/>
          </w:tcPr>
          <w:p>
            <w:pPr>
              <w:spacing w:after="0"/>
            </w:pPr>
            <w:r>
              <w:rPr>
                <w:sz w:val="17"/>
              </w:rPr>
              <w:t>00_Gobernanza/coordinacion/entradas_comite/GOEI_SCI_HANDOFF_D018_Cierre_B3.md</w:t>
            </w:r>
          </w:p>
        </w:tc>
      </w:tr>
      <w:tr>
        <w:tc>
          <w:tcPr>
            <w:tcW w:type="dxa" w:w="792"/>
            <w:tcMar>
              <w:top w:w="40" w:type="dxa"/>
              <w:start w:w="120" w:type="dxa"/>
              <w:bottom w:w="40" w:type="dxa"/>
              <w:end w:w="120" w:type="dxa"/>
            </w:tcMar>
            <w:vAlign w:val="center"/>
          </w:tcPr>
          <w:p>
            <w:pPr>
              <w:spacing w:after="0"/>
              <w:jc w:val="center"/>
            </w:pPr>
            <w:r>
              <w:rPr>
                <w:sz w:val="17"/>
              </w:rPr>
              <w:t>32</w:t>
            </w:r>
          </w:p>
        </w:tc>
        <w:tc>
          <w:tcPr>
            <w:tcW w:type="dxa" w:w="8928"/>
            <w:tcMar>
              <w:top w:w="40" w:type="dxa"/>
              <w:start w:w="120" w:type="dxa"/>
              <w:bottom w:w="40" w:type="dxa"/>
              <w:end w:w="120" w:type="dxa"/>
            </w:tcMar>
            <w:vAlign w:val="center"/>
          </w:tcPr>
          <w:p>
            <w:pPr>
              <w:spacing w:after="0"/>
            </w:pPr>
            <w:r>
              <w:rPr>
                <w:sz w:val="17"/>
              </w:rPr>
              <w:t>00_Gobernanza/coordinacion/entradas_comite/README.md</w:t>
            </w:r>
          </w:p>
        </w:tc>
      </w:tr>
      <w:tr>
        <w:tc>
          <w:tcPr>
            <w:tcW w:type="dxa" w:w="792"/>
            <w:tcMar>
              <w:top w:w="40" w:type="dxa"/>
              <w:start w:w="120" w:type="dxa"/>
              <w:bottom w:w="40" w:type="dxa"/>
              <w:end w:w="120" w:type="dxa"/>
            </w:tcMar>
            <w:vAlign w:val="center"/>
          </w:tcPr>
          <w:p>
            <w:pPr>
              <w:spacing w:after="0"/>
              <w:jc w:val="center"/>
            </w:pPr>
            <w:r>
              <w:rPr>
                <w:sz w:val="17"/>
              </w:rPr>
              <w:t>33</w:t>
            </w:r>
          </w:p>
        </w:tc>
        <w:tc>
          <w:tcPr>
            <w:tcW w:type="dxa" w:w="8928"/>
            <w:tcMar>
              <w:top w:w="40" w:type="dxa"/>
              <w:start w:w="120" w:type="dxa"/>
              <w:bottom w:w="40" w:type="dxa"/>
              <w:end w:w="120" w:type="dxa"/>
            </w:tcMar>
            <w:vAlign w:val="center"/>
          </w:tcPr>
          <w:p>
            <w:pPr>
              <w:spacing w:after="0"/>
            </w:pPr>
            <w:r>
              <w:rPr>
                <w:sz w:val="17"/>
              </w:rPr>
              <w:t>00_Gobernanza/coordinacion/ESTADO_MAESTRO.md</w:t>
            </w:r>
          </w:p>
        </w:tc>
      </w:tr>
      <w:tr>
        <w:tc>
          <w:tcPr>
            <w:tcW w:type="dxa" w:w="792"/>
            <w:tcMar>
              <w:top w:w="40" w:type="dxa"/>
              <w:start w:w="120" w:type="dxa"/>
              <w:bottom w:w="40" w:type="dxa"/>
              <w:end w:w="120" w:type="dxa"/>
            </w:tcMar>
            <w:vAlign w:val="center"/>
          </w:tcPr>
          <w:p>
            <w:pPr>
              <w:spacing w:after="0"/>
              <w:jc w:val="center"/>
            </w:pPr>
            <w:r>
              <w:rPr>
                <w:sz w:val="17"/>
              </w:rPr>
              <w:t>34</w:t>
            </w:r>
          </w:p>
        </w:tc>
        <w:tc>
          <w:tcPr>
            <w:tcW w:type="dxa" w:w="8928"/>
            <w:tcMar>
              <w:top w:w="40" w:type="dxa"/>
              <w:start w:w="120" w:type="dxa"/>
              <w:bottom w:w="40" w:type="dxa"/>
              <w:end w:w="120" w:type="dxa"/>
            </w:tcMar>
            <w:vAlign w:val="center"/>
          </w:tcPr>
          <w:p>
            <w:pPr>
              <w:spacing w:after="0"/>
            </w:pPr>
            <w:r>
              <w:rPr>
                <w:sz w:val="17"/>
              </w:rPr>
              <w:t>00_Gobernanza/coordinacion/expedientes/GTRM/GOEI_CC_DEC_GTRM_SLOT_PLANTILLA.md</w:t>
            </w:r>
          </w:p>
        </w:tc>
      </w:tr>
      <w:tr>
        <w:tc>
          <w:tcPr>
            <w:tcW w:type="dxa" w:w="792"/>
            <w:tcMar>
              <w:top w:w="40" w:type="dxa"/>
              <w:start w:w="120" w:type="dxa"/>
              <w:bottom w:w="40" w:type="dxa"/>
              <w:end w:w="120" w:type="dxa"/>
            </w:tcMar>
            <w:vAlign w:val="center"/>
          </w:tcPr>
          <w:p>
            <w:pPr>
              <w:spacing w:after="0"/>
              <w:jc w:val="center"/>
            </w:pPr>
            <w:r>
              <w:rPr>
                <w:sz w:val="17"/>
              </w:rPr>
              <w:t>35</w:t>
            </w:r>
          </w:p>
        </w:tc>
        <w:tc>
          <w:tcPr>
            <w:tcW w:type="dxa" w:w="8928"/>
            <w:tcMar>
              <w:top w:w="40" w:type="dxa"/>
              <w:start w:w="120" w:type="dxa"/>
              <w:bottom w:w="40" w:type="dxa"/>
              <w:end w:w="120" w:type="dxa"/>
            </w:tcMar>
            <w:vAlign w:val="center"/>
          </w:tcPr>
          <w:p>
            <w:pPr>
              <w:spacing w:after="0"/>
            </w:pPr>
            <w:r>
              <w:rPr>
                <w:sz w:val="17"/>
              </w:rPr>
              <w:t>00_Gobernanza/coordinacion/expedientes/GTRM/GOEI_DIR_RES_ISS_044_GTRM.md</w:t>
            </w:r>
          </w:p>
        </w:tc>
      </w:tr>
      <w:tr>
        <w:tc>
          <w:tcPr>
            <w:tcW w:type="dxa" w:w="792"/>
            <w:tcMar>
              <w:top w:w="40" w:type="dxa"/>
              <w:start w:w="120" w:type="dxa"/>
              <w:bottom w:w="40" w:type="dxa"/>
              <w:end w:w="120" w:type="dxa"/>
            </w:tcMar>
            <w:vAlign w:val="center"/>
          </w:tcPr>
          <w:p>
            <w:pPr>
              <w:spacing w:after="0"/>
              <w:jc w:val="center"/>
            </w:pPr>
            <w:r>
              <w:rPr>
                <w:sz w:val="17"/>
              </w:rPr>
              <w:t>36</w:t>
            </w:r>
          </w:p>
        </w:tc>
        <w:tc>
          <w:tcPr>
            <w:tcW w:type="dxa" w:w="8928"/>
            <w:tcMar>
              <w:top w:w="40" w:type="dxa"/>
              <w:start w:w="120" w:type="dxa"/>
              <w:bottom w:w="40" w:type="dxa"/>
              <w:end w:w="120" w:type="dxa"/>
            </w:tcMar>
            <w:vAlign w:val="center"/>
          </w:tcPr>
          <w:p>
            <w:pPr>
              <w:spacing w:after="0"/>
            </w:pPr>
            <w:r>
              <w:rPr>
                <w:sz w:val="17"/>
              </w:rPr>
              <w:t>00_Gobernanza/coordinacion/expedientes/GTRM/GOEI_DIR_RES_ISS_044_GTRM_BORRADOR.md</w:t>
            </w:r>
          </w:p>
        </w:tc>
      </w:tr>
      <w:tr>
        <w:tc>
          <w:tcPr>
            <w:tcW w:type="dxa" w:w="792"/>
            <w:tcMar>
              <w:top w:w="40" w:type="dxa"/>
              <w:start w:w="120" w:type="dxa"/>
              <w:bottom w:w="40" w:type="dxa"/>
              <w:end w:w="120" w:type="dxa"/>
            </w:tcMar>
            <w:vAlign w:val="center"/>
          </w:tcPr>
          <w:p>
            <w:pPr>
              <w:spacing w:after="0"/>
              <w:jc w:val="center"/>
            </w:pPr>
            <w:r>
              <w:rPr>
                <w:sz w:val="17"/>
              </w:rPr>
              <w:t>37</w:t>
            </w:r>
          </w:p>
        </w:tc>
        <w:tc>
          <w:tcPr>
            <w:tcW w:type="dxa" w:w="8928"/>
            <w:tcMar>
              <w:top w:w="40" w:type="dxa"/>
              <w:start w:w="120" w:type="dxa"/>
              <w:bottom w:w="40" w:type="dxa"/>
              <w:end w:w="120" w:type="dxa"/>
            </w:tcMar>
            <w:vAlign w:val="center"/>
          </w:tcPr>
          <w:p>
            <w:pPr>
              <w:spacing w:after="0"/>
            </w:pPr>
            <w:r>
              <w:rPr>
                <w:sz w:val="17"/>
              </w:rPr>
              <w:t>00_Gobernanza/coordinacion/expedientes/GTRM/GOEI_EXP_ISS_044_RESOLUCION_GTRM.md</w:t>
            </w:r>
          </w:p>
        </w:tc>
      </w:tr>
      <w:tr>
        <w:tc>
          <w:tcPr>
            <w:tcW w:type="dxa" w:w="792"/>
            <w:tcMar>
              <w:top w:w="40" w:type="dxa"/>
              <w:start w:w="120" w:type="dxa"/>
              <w:bottom w:w="40" w:type="dxa"/>
              <w:end w:w="120" w:type="dxa"/>
            </w:tcMar>
            <w:vAlign w:val="center"/>
          </w:tcPr>
          <w:p>
            <w:pPr>
              <w:spacing w:after="0"/>
              <w:jc w:val="center"/>
            </w:pPr>
            <w:r>
              <w:rPr>
                <w:sz w:val="17"/>
              </w:rPr>
              <w:t>38</w:t>
            </w:r>
          </w:p>
        </w:tc>
        <w:tc>
          <w:tcPr>
            <w:tcW w:type="dxa" w:w="8928"/>
            <w:tcMar>
              <w:top w:w="40" w:type="dxa"/>
              <w:start w:w="120" w:type="dxa"/>
              <w:bottom w:w="40" w:type="dxa"/>
              <w:end w:w="120" w:type="dxa"/>
            </w:tcMar>
            <w:vAlign w:val="center"/>
          </w:tcPr>
          <w:p>
            <w:pPr>
              <w:spacing w:after="0"/>
            </w:pPr>
            <w:r>
              <w:rPr>
                <w:sz w:val="17"/>
              </w:rPr>
              <w:t>00_Gobernanza/coordinacion/handoffs/GOEI_HANDOFF_0001_B1_Procesos_Universales.md</w:t>
            </w:r>
          </w:p>
        </w:tc>
      </w:tr>
      <w:tr>
        <w:tc>
          <w:tcPr>
            <w:tcW w:type="dxa" w:w="792"/>
            <w:tcMar>
              <w:top w:w="40" w:type="dxa"/>
              <w:start w:w="120" w:type="dxa"/>
              <w:bottom w:w="40" w:type="dxa"/>
              <w:end w:w="120" w:type="dxa"/>
            </w:tcMar>
            <w:vAlign w:val="center"/>
          </w:tcPr>
          <w:p>
            <w:pPr>
              <w:spacing w:after="0"/>
              <w:jc w:val="center"/>
            </w:pPr>
            <w:r>
              <w:rPr>
                <w:sz w:val="17"/>
              </w:rPr>
              <w:t>39</w:t>
            </w:r>
          </w:p>
        </w:tc>
        <w:tc>
          <w:tcPr>
            <w:tcW w:type="dxa" w:w="8928"/>
            <w:tcMar>
              <w:top w:w="40" w:type="dxa"/>
              <w:start w:w="120" w:type="dxa"/>
              <w:bottom w:w="40" w:type="dxa"/>
              <w:end w:w="120" w:type="dxa"/>
            </w:tcMar>
            <w:vAlign w:val="center"/>
          </w:tcPr>
          <w:p>
            <w:pPr>
              <w:spacing w:after="0"/>
            </w:pPr>
            <w:r>
              <w:rPr>
                <w:sz w:val="17"/>
              </w:rPr>
              <w:t>00_Gobernanza/coordinacion/handoffs/GOEI_HANDOFF_0002_B2_Taxonomia_Universal.md</w:t>
            </w:r>
          </w:p>
        </w:tc>
      </w:tr>
      <w:tr>
        <w:tc>
          <w:tcPr>
            <w:tcW w:type="dxa" w:w="792"/>
            <w:tcMar>
              <w:top w:w="40" w:type="dxa"/>
              <w:start w:w="120" w:type="dxa"/>
              <w:bottom w:w="40" w:type="dxa"/>
              <w:end w:w="120" w:type="dxa"/>
            </w:tcMar>
            <w:vAlign w:val="center"/>
          </w:tcPr>
          <w:p>
            <w:pPr>
              <w:spacing w:after="0"/>
              <w:jc w:val="center"/>
            </w:pPr>
            <w:r>
              <w:rPr>
                <w:sz w:val="17"/>
              </w:rPr>
              <w:t>40</w:t>
            </w:r>
          </w:p>
        </w:tc>
        <w:tc>
          <w:tcPr>
            <w:tcW w:type="dxa" w:w="8928"/>
            <w:tcMar>
              <w:top w:w="40" w:type="dxa"/>
              <w:start w:w="120" w:type="dxa"/>
              <w:bottom w:w="40" w:type="dxa"/>
              <w:end w:w="120" w:type="dxa"/>
            </w:tcMar>
            <w:vAlign w:val="center"/>
          </w:tcPr>
          <w:p>
            <w:pPr>
              <w:spacing w:after="0"/>
            </w:pPr>
            <w:r>
              <w:rPr>
                <w:sz w:val="17"/>
              </w:rPr>
              <w:t>00_Gobernanza/coordinacion/handoffs/GOEI_HANDOFF_0003_B3_Universo_KPI.md</w:t>
            </w:r>
          </w:p>
        </w:tc>
      </w:tr>
      <w:tr>
        <w:tc>
          <w:tcPr>
            <w:tcW w:type="dxa" w:w="792"/>
            <w:tcMar>
              <w:top w:w="40" w:type="dxa"/>
              <w:start w:w="120" w:type="dxa"/>
              <w:bottom w:w="40" w:type="dxa"/>
              <w:end w:w="120" w:type="dxa"/>
            </w:tcMar>
            <w:vAlign w:val="center"/>
          </w:tcPr>
          <w:p>
            <w:pPr>
              <w:spacing w:after="0"/>
              <w:jc w:val="center"/>
            </w:pPr>
            <w:r>
              <w:rPr>
                <w:sz w:val="17"/>
              </w:rPr>
              <w:t>41</w:t>
            </w:r>
          </w:p>
        </w:tc>
        <w:tc>
          <w:tcPr>
            <w:tcW w:type="dxa" w:w="8928"/>
            <w:tcMar>
              <w:top w:w="40" w:type="dxa"/>
              <w:start w:w="120" w:type="dxa"/>
              <w:bottom w:w="40" w:type="dxa"/>
              <w:end w:w="120" w:type="dxa"/>
            </w:tcMar>
            <w:vAlign w:val="center"/>
          </w:tcPr>
          <w:p>
            <w:pPr>
              <w:spacing w:after="0"/>
            </w:pPr>
            <w:r>
              <w:rPr>
                <w:sz w:val="17"/>
              </w:rPr>
              <w:t>00_Gobernanza/coordinacion/handoffs/Plantilla_handoff_Cientifico_Tecnico.md</w:t>
            </w:r>
          </w:p>
        </w:tc>
      </w:tr>
      <w:tr>
        <w:tc>
          <w:tcPr>
            <w:tcW w:type="dxa" w:w="792"/>
            <w:tcMar>
              <w:top w:w="40" w:type="dxa"/>
              <w:start w:w="120" w:type="dxa"/>
              <w:bottom w:w="40" w:type="dxa"/>
              <w:end w:w="120" w:type="dxa"/>
            </w:tcMar>
            <w:vAlign w:val="center"/>
          </w:tcPr>
          <w:p>
            <w:pPr>
              <w:spacing w:after="0"/>
              <w:jc w:val="center"/>
            </w:pPr>
            <w:r>
              <w:rPr>
                <w:sz w:val="17"/>
              </w:rPr>
              <w:t>42</w:t>
            </w:r>
          </w:p>
        </w:tc>
        <w:tc>
          <w:tcPr>
            <w:tcW w:type="dxa" w:w="8928"/>
            <w:tcMar>
              <w:top w:w="40" w:type="dxa"/>
              <w:start w:w="120" w:type="dxa"/>
              <w:bottom w:w="40" w:type="dxa"/>
              <w:end w:w="120" w:type="dxa"/>
            </w:tcMar>
            <w:vAlign w:val="center"/>
          </w:tcPr>
          <w:p>
            <w:pPr>
              <w:spacing w:after="0"/>
            </w:pPr>
            <w:r>
              <w:rPr>
                <w:sz w:val="17"/>
              </w:rPr>
              <w:t>00_Gobernanza/coordinacion/PIPELINE_B2_B10.md</w:t>
            </w:r>
          </w:p>
        </w:tc>
      </w:tr>
      <w:tr>
        <w:tc>
          <w:tcPr>
            <w:tcW w:type="dxa" w:w="792"/>
            <w:tcMar>
              <w:top w:w="40" w:type="dxa"/>
              <w:start w:w="120" w:type="dxa"/>
              <w:bottom w:w="40" w:type="dxa"/>
              <w:end w:w="120" w:type="dxa"/>
            </w:tcMar>
            <w:vAlign w:val="center"/>
          </w:tcPr>
          <w:p>
            <w:pPr>
              <w:spacing w:after="0"/>
              <w:jc w:val="center"/>
            </w:pPr>
            <w:r>
              <w:rPr>
                <w:sz w:val="17"/>
              </w:rPr>
              <w:t>43</w:t>
            </w:r>
          </w:p>
        </w:tc>
        <w:tc>
          <w:tcPr>
            <w:tcW w:type="dxa" w:w="8928"/>
            <w:tcMar>
              <w:top w:w="40" w:type="dxa"/>
              <w:start w:w="120" w:type="dxa"/>
              <w:bottom w:w="40" w:type="dxa"/>
              <w:end w:w="120" w:type="dxa"/>
            </w:tcMar>
            <w:vAlign w:val="center"/>
          </w:tcPr>
          <w:p>
            <w:pPr>
              <w:spacing w:after="0"/>
            </w:pPr>
            <w:r>
              <w:rPr>
                <w:sz w:val="17"/>
              </w:rPr>
              <w:t>00_Gobernanza/coordinacion/program_state.json</w:t>
            </w:r>
          </w:p>
        </w:tc>
      </w:tr>
      <w:tr>
        <w:tc>
          <w:tcPr>
            <w:tcW w:type="dxa" w:w="792"/>
            <w:tcMar>
              <w:top w:w="40" w:type="dxa"/>
              <w:start w:w="120" w:type="dxa"/>
              <w:bottom w:w="40" w:type="dxa"/>
              <w:end w:w="120" w:type="dxa"/>
            </w:tcMar>
            <w:vAlign w:val="center"/>
          </w:tcPr>
          <w:p>
            <w:pPr>
              <w:spacing w:after="0"/>
              <w:jc w:val="center"/>
            </w:pPr>
            <w:r>
              <w:rPr>
                <w:sz w:val="17"/>
              </w:rPr>
              <w:t>44</w:t>
            </w:r>
          </w:p>
        </w:tc>
        <w:tc>
          <w:tcPr>
            <w:tcW w:type="dxa" w:w="8928"/>
            <w:tcMar>
              <w:top w:w="40" w:type="dxa"/>
              <w:start w:w="120" w:type="dxa"/>
              <w:bottom w:w="40" w:type="dxa"/>
              <w:end w:w="120" w:type="dxa"/>
            </w:tcMar>
            <w:vAlign w:val="center"/>
          </w:tcPr>
          <w:p>
            <w:pPr>
              <w:spacing w:after="0"/>
            </w:pPr>
            <w:r>
              <w:rPr>
                <w:sz w:val="17"/>
              </w:rPr>
              <w:t>00_Gobernanza/coordinacion/README.md</w:t>
            </w:r>
          </w:p>
        </w:tc>
      </w:tr>
      <w:tr>
        <w:tc>
          <w:tcPr>
            <w:tcW w:type="dxa" w:w="792"/>
            <w:tcMar>
              <w:top w:w="40" w:type="dxa"/>
              <w:start w:w="120" w:type="dxa"/>
              <w:bottom w:w="40" w:type="dxa"/>
              <w:end w:w="120" w:type="dxa"/>
            </w:tcMar>
            <w:vAlign w:val="center"/>
          </w:tcPr>
          <w:p>
            <w:pPr>
              <w:spacing w:after="0"/>
              <w:jc w:val="center"/>
            </w:pPr>
            <w:r>
              <w:rPr>
                <w:sz w:val="17"/>
              </w:rPr>
              <w:t>45</w:t>
            </w:r>
          </w:p>
        </w:tc>
        <w:tc>
          <w:tcPr>
            <w:tcW w:type="dxa" w:w="8928"/>
            <w:tcMar>
              <w:top w:w="40" w:type="dxa"/>
              <w:start w:w="120" w:type="dxa"/>
              <w:bottom w:w="40" w:type="dxa"/>
              <w:end w:w="120" w:type="dxa"/>
            </w:tcMar>
            <w:vAlign w:val="center"/>
          </w:tcPr>
          <w:p>
            <w:pPr>
              <w:spacing w:after="0"/>
            </w:pPr>
            <w:r>
              <w:rPr>
                <w:sz w:val="17"/>
              </w:rPr>
              <w:t>00_Gobernanza/coordinacion/reportes/GOEI_AUDIT_0001_Manuscritos_prematuros.md</w:t>
            </w:r>
          </w:p>
        </w:tc>
      </w:tr>
      <w:tr>
        <w:tc>
          <w:tcPr>
            <w:tcW w:type="dxa" w:w="792"/>
            <w:tcMar>
              <w:top w:w="40" w:type="dxa"/>
              <w:start w:w="120" w:type="dxa"/>
              <w:bottom w:w="40" w:type="dxa"/>
              <w:end w:w="120" w:type="dxa"/>
            </w:tcMar>
            <w:vAlign w:val="center"/>
          </w:tcPr>
          <w:p>
            <w:pPr>
              <w:spacing w:after="0"/>
              <w:jc w:val="center"/>
            </w:pPr>
            <w:r>
              <w:rPr>
                <w:sz w:val="17"/>
              </w:rPr>
              <w:t>46</w:t>
            </w:r>
          </w:p>
        </w:tc>
        <w:tc>
          <w:tcPr>
            <w:tcW w:type="dxa" w:w="8928"/>
            <w:tcMar>
              <w:top w:w="40" w:type="dxa"/>
              <w:start w:w="120" w:type="dxa"/>
              <w:bottom w:w="40" w:type="dxa"/>
              <w:end w:w="120" w:type="dxa"/>
            </w:tcMar>
            <w:vAlign w:val="center"/>
          </w:tcPr>
          <w:p>
            <w:pPr>
              <w:spacing w:after="0"/>
            </w:pPr>
            <w:r>
              <w:rPr>
                <w:sz w:val="17"/>
              </w:rPr>
              <w:t>00_Gobernanza/coordinacion/reportes/GOEI_AUDIT_0002_D008_Cierre_B1.md</w:t>
            </w:r>
          </w:p>
        </w:tc>
      </w:tr>
      <w:tr>
        <w:tc>
          <w:tcPr>
            <w:tcW w:type="dxa" w:w="792"/>
            <w:tcMar>
              <w:top w:w="40" w:type="dxa"/>
              <w:start w:w="120" w:type="dxa"/>
              <w:bottom w:w="40" w:type="dxa"/>
              <w:end w:w="120" w:type="dxa"/>
            </w:tcMar>
            <w:vAlign w:val="center"/>
          </w:tcPr>
          <w:p>
            <w:pPr>
              <w:spacing w:after="0"/>
              <w:jc w:val="center"/>
            </w:pPr>
            <w:r>
              <w:rPr>
                <w:sz w:val="17"/>
              </w:rPr>
              <w:t>47</w:t>
            </w:r>
          </w:p>
        </w:tc>
        <w:tc>
          <w:tcPr>
            <w:tcW w:type="dxa" w:w="8928"/>
            <w:tcMar>
              <w:top w:w="40" w:type="dxa"/>
              <w:start w:w="120" w:type="dxa"/>
              <w:bottom w:w="40" w:type="dxa"/>
              <w:end w:w="120" w:type="dxa"/>
            </w:tcMar>
            <w:vAlign w:val="center"/>
          </w:tcPr>
          <w:p>
            <w:pPr>
              <w:spacing w:after="0"/>
            </w:pPr>
            <w:r>
              <w:rPr>
                <w:sz w:val="17"/>
              </w:rPr>
              <w:t>00_Gobernanza/coordinacion/reportes/GOEI_AUDIT_0003_D008_B1_Readiness.md</w:t>
            </w:r>
          </w:p>
        </w:tc>
      </w:tr>
      <w:tr>
        <w:tc>
          <w:tcPr>
            <w:tcW w:type="dxa" w:w="792"/>
            <w:tcMar>
              <w:top w:w="40" w:type="dxa"/>
              <w:start w:w="120" w:type="dxa"/>
              <w:bottom w:w="40" w:type="dxa"/>
              <w:end w:w="120" w:type="dxa"/>
            </w:tcMar>
            <w:vAlign w:val="center"/>
          </w:tcPr>
          <w:p>
            <w:pPr>
              <w:spacing w:after="0"/>
              <w:jc w:val="center"/>
            </w:pPr>
            <w:r>
              <w:rPr>
                <w:sz w:val="17"/>
              </w:rPr>
              <w:t>48</w:t>
            </w:r>
          </w:p>
        </w:tc>
        <w:tc>
          <w:tcPr>
            <w:tcW w:type="dxa" w:w="8928"/>
            <w:tcMar>
              <w:top w:w="40" w:type="dxa"/>
              <w:start w:w="120" w:type="dxa"/>
              <w:bottom w:w="40" w:type="dxa"/>
              <w:end w:w="120" w:type="dxa"/>
            </w:tcMar>
            <w:vAlign w:val="center"/>
          </w:tcPr>
          <w:p>
            <w:pPr>
              <w:spacing w:after="0"/>
            </w:pPr>
            <w:r>
              <w:rPr>
                <w:sz w:val="17"/>
              </w:rPr>
              <w:t>00_Gobernanza/coordinacion/reportes/GOEI_CYCLE_0002_Configuracion_y_releases.md</w:t>
            </w:r>
          </w:p>
        </w:tc>
      </w:tr>
      <w:tr>
        <w:tc>
          <w:tcPr>
            <w:tcW w:type="dxa" w:w="792"/>
            <w:tcMar>
              <w:top w:w="40" w:type="dxa"/>
              <w:start w:w="120" w:type="dxa"/>
              <w:bottom w:w="40" w:type="dxa"/>
              <w:end w:w="120" w:type="dxa"/>
            </w:tcMar>
            <w:vAlign w:val="center"/>
          </w:tcPr>
          <w:p>
            <w:pPr>
              <w:spacing w:after="0"/>
              <w:jc w:val="center"/>
            </w:pPr>
            <w:r>
              <w:rPr>
                <w:sz w:val="17"/>
              </w:rPr>
              <w:t>49</w:t>
            </w:r>
          </w:p>
        </w:tc>
        <w:tc>
          <w:tcPr>
            <w:tcW w:type="dxa" w:w="8928"/>
            <w:tcMar>
              <w:top w:w="40" w:type="dxa"/>
              <w:start w:w="120" w:type="dxa"/>
              <w:bottom w:w="40" w:type="dxa"/>
              <w:end w:w="120" w:type="dxa"/>
            </w:tcMar>
            <w:vAlign w:val="center"/>
          </w:tcPr>
          <w:p>
            <w:pPr>
              <w:spacing w:after="0"/>
            </w:pPr>
            <w:r>
              <w:rPr>
                <w:sz w:val="17"/>
              </w:rPr>
              <w:t>00_Gobernanza/coordinacion/reportes/GOEI_CYCLE_0003_Evaluador_de_compuertas.md</w:t>
            </w:r>
          </w:p>
        </w:tc>
      </w:tr>
      <w:tr>
        <w:tc>
          <w:tcPr>
            <w:tcW w:type="dxa" w:w="792"/>
            <w:tcMar>
              <w:top w:w="40" w:type="dxa"/>
              <w:start w:w="120" w:type="dxa"/>
              <w:bottom w:w="40" w:type="dxa"/>
              <w:end w:w="120" w:type="dxa"/>
            </w:tcMar>
            <w:vAlign w:val="center"/>
          </w:tcPr>
          <w:p>
            <w:pPr>
              <w:spacing w:after="0"/>
              <w:jc w:val="center"/>
            </w:pPr>
            <w:r>
              <w:rPr>
                <w:sz w:val="17"/>
              </w:rPr>
              <w:t>50</w:t>
            </w:r>
          </w:p>
        </w:tc>
        <w:tc>
          <w:tcPr>
            <w:tcW w:type="dxa" w:w="8928"/>
            <w:tcMar>
              <w:top w:w="40" w:type="dxa"/>
              <w:start w:w="120" w:type="dxa"/>
              <w:bottom w:w="40" w:type="dxa"/>
              <w:end w:w="120" w:type="dxa"/>
            </w:tcMar>
            <w:vAlign w:val="center"/>
          </w:tcPr>
          <w:p>
            <w:pPr>
              <w:spacing w:after="0"/>
            </w:pPr>
            <w:r>
              <w:rPr>
                <w:sz w:val="17"/>
              </w:rPr>
              <w:t>00_Gobernanza/coordinacion/reportes/GOEI_CYCLE_0004_Plan_Maestro_Tesis.md</w:t>
            </w:r>
          </w:p>
        </w:tc>
      </w:tr>
      <w:tr>
        <w:tc>
          <w:tcPr>
            <w:tcW w:type="dxa" w:w="792"/>
            <w:tcMar>
              <w:top w:w="40" w:type="dxa"/>
              <w:start w:w="120" w:type="dxa"/>
              <w:bottom w:w="40" w:type="dxa"/>
              <w:end w:w="120" w:type="dxa"/>
            </w:tcMar>
            <w:vAlign w:val="center"/>
          </w:tcPr>
          <w:p>
            <w:pPr>
              <w:spacing w:after="0"/>
              <w:jc w:val="center"/>
            </w:pPr>
            <w:r>
              <w:rPr>
                <w:sz w:val="17"/>
              </w:rPr>
              <w:t>51</w:t>
            </w:r>
          </w:p>
        </w:tc>
        <w:tc>
          <w:tcPr>
            <w:tcW w:type="dxa" w:w="8928"/>
            <w:tcMar>
              <w:top w:w="40" w:type="dxa"/>
              <w:start w:w="120" w:type="dxa"/>
              <w:bottom w:w="40" w:type="dxa"/>
              <w:end w:w="120" w:type="dxa"/>
            </w:tcMar>
            <w:vAlign w:val="center"/>
          </w:tcPr>
          <w:p>
            <w:pPr>
              <w:spacing w:after="0"/>
            </w:pPr>
            <w:r>
              <w:rPr>
                <w:sz w:val="17"/>
              </w:rPr>
              <w:t>00_Gobernanza/coordinacion/reportes/GOEI_CYCLE_0005_Cobertura_procesable_tesis.md</w:t>
            </w:r>
          </w:p>
        </w:tc>
      </w:tr>
      <w:tr>
        <w:tc>
          <w:tcPr>
            <w:tcW w:type="dxa" w:w="792"/>
            <w:tcMar>
              <w:top w:w="40" w:type="dxa"/>
              <w:start w:w="120" w:type="dxa"/>
              <w:bottom w:w="40" w:type="dxa"/>
              <w:end w:w="120" w:type="dxa"/>
            </w:tcMar>
            <w:vAlign w:val="center"/>
          </w:tcPr>
          <w:p>
            <w:pPr>
              <w:spacing w:after="0"/>
              <w:jc w:val="center"/>
            </w:pPr>
            <w:r>
              <w:rPr>
                <w:sz w:val="17"/>
              </w:rPr>
              <w:t>52</w:t>
            </w:r>
          </w:p>
        </w:tc>
        <w:tc>
          <w:tcPr>
            <w:tcW w:type="dxa" w:w="8928"/>
            <w:tcMar>
              <w:top w:w="40" w:type="dxa"/>
              <w:start w:w="120" w:type="dxa"/>
              <w:bottom w:w="40" w:type="dxa"/>
              <w:end w:w="120" w:type="dxa"/>
            </w:tcMar>
            <w:vAlign w:val="center"/>
          </w:tcPr>
          <w:p>
            <w:pPr>
              <w:spacing w:after="0"/>
            </w:pPr>
            <w:r>
              <w:rPr>
                <w:sz w:val="17"/>
              </w:rPr>
              <w:t>00_Gobernanza/coordinacion/reportes/GOEI_CYCLE_0006_Roadmap_tecnico.md</w:t>
            </w:r>
          </w:p>
        </w:tc>
      </w:tr>
      <w:tr>
        <w:tc>
          <w:tcPr>
            <w:tcW w:type="dxa" w:w="792"/>
            <w:tcMar>
              <w:top w:w="40" w:type="dxa"/>
              <w:start w:w="120" w:type="dxa"/>
              <w:bottom w:w="40" w:type="dxa"/>
              <w:end w:w="120" w:type="dxa"/>
            </w:tcMar>
            <w:vAlign w:val="center"/>
          </w:tcPr>
          <w:p>
            <w:pPr>
              <w:spacing w:after="0"/>
              <w:jc w:val="center"/>
            </w:pPr>
            <w:r>
              <w:rPr>
                <w:sz w:val="17"/>
              </w:rPr>
              <w:t>53</w:t>
            </w:r>
          </w:p>
        </w:tc>
        <w:tc>
          <w:tcPr>
            <w:tcW w:type="dxa" w:w="8928"/>
            <w:tcMar>
              <w:top w:w="40" w:type="dxa"/>
              <w:start w:w="120" w:type="dxa"/>
              <w:bottom w:w="40" w:type="dxa"/>
              <w:end w:w="120" w:type="dxa"/>
            </w:tcMar>
            <w:vAlign w:val="center"/>
          </w:tcPr>
          <w:p>
            <w:pPr>
              <w:spacing w:after="0"/>
            </w:pPr>
            <w:r>
              <w:rPr>
                <w:sz w:val="17"/>
              </w:rPr>
              <w:t>00_Gobernanza/coordinacion/reportes/GOEI_CYCLE_0007_Git_y_CI.md</w:t>
            </w:r>
          </w:p>
        </w:tc>
      </w:tr>
      <w:tr>
        <w:tc>
          <w:tcPr>
            <w:tcW w:type="dxa" w:w="792"/>
            <w:tcMar>
              <w:top w:w="40" w:type="dxa"/>
              <w:start w:w="120" w:type="dxa"/>
              <w:bottom w:w="40" w:type="dxa"/>
              <w:end w:w="120" w:type="dxa"/>
            </w:tcMar>
            <w:vAlign w:val="center"/>
          </w:tcPr>
          <w:p>
            <w:pPr>
              <w:spacing w:after="0"/>
              <w:jc w:val="center"/>
            </w:pPr>
            <w:r>
              <w:rPr>
                <w:sz w:val="17"/>
              </w:rPr>
              <w:t>54</w:t>
            </w:r>
          </w:p>
        </w:tc>
        <w:tc>
          <w:tcPr>
            <w:tcW w:type="dxa" w:w="8928"/>
            <w:tcMar>
              <w:top w:w="40" w:type="dxa"/>
              <w:start w:w="120" w:type="dxa"/>
              <w:bottom w:w="40" w:type="dxa"/>
              <w:end w:w="120" w:type="dxa"/>
            </w:tcMar>
            <w:vAlign w:val="center"/>
          </w:tcPr>
          <w:p>
            <w:pPr>
              <w:spacing w:after="0"/>
            </w:pPr>
            <w:r>
              <w:rPr>
                <w:sz w:val="17"/>
              </w:rPr>
              <w:t>00_Gobernanza/coordinacion/reportes/GOEI_CYCLE_0008_Proteccion_Git.md</w:t>
            </w:r>
          </w:p>
        </w:tc>
      </w:tr>
      <w:tr>
        <w:tc>
          <w:tcPr>
            <w:tcW w:type="dxa" w:w="792"/>
            <w:tcMar>
              <w:top w:w="40" w:type="dxa"/>
              <w:start w:w="120" w:type="dxa"/>
              <w:bottom w:w="40" w:type="dxa"/>
              <w:end w:w="120" w:type="dxa"/>
            </w:tcMar>
            <w:vAlign w:val="center"/>
          </w:tcPr>
          <w:p>
            <w:pPr>
              <w:spacing w:after="0"/>
              <w:jc w:val="center"/>
            </w:pPr>
            <w:r>
              <w:rPr>
                <w:sz w:val="17"/>
              </w:rPr>
              <w:t>55</w:t>
            </w:r>
          </w:p>
        </w:tc>
        <w:tc>
          <w:tcPr>
            <w:tcW w:type="dxa" w:w="8928"/>
            <w:tcMar>
              <w:top w:w="40" w:type="dxa"/>
              <w:start w:w="120" w:type="dxa"/>
              <w:bottom w:w="40" w:type="dxa"/>
              <w:end w:w="120" w:type="dxa"/>
            </w:tcMar>
            <w:vAlign w:val="center"/>
          </w:tcPr>
          <w:p>
            <w:pPr>
              <w:spacing w:after="0"/>
            </w:pPr>
            <w:r>
              <w:rPr>
                <w:sz w:val="17"/>
              </w:rPr>
              <w:t>00_Gobernanza/coordinacion/reportes/GOEI_CYCLE_0009_Registro_bibliografico.md</w:t>
            </w:r>
          </w:p>
        </w:tc>
      </w:tr>
      <w:tr>
        <w:tc>
          <w:tcPr>
            <w:tcW w:type="dxa" w:w="792"/>
            <w:tcMar>
              <w:top w:w="40" w:type="dxa"/>
              <w:start w:w="120" w:type="dxa"/>
              <w:bottom w:w="40" w:type="dxa"/>
              <w:end w:w="120" w:type="dxa"/>
            </w:tcMar>
            <w:vAlign w:val="center"/>
          </w:tcPr>
          <w:p>
            <w:pPr>
              <w:spacing w:after="0"/>
              <w:jc w:val="center"/>
            </w:pPr>
            <w:r>
              <w:rPr>
                <w:sz w:val="17"/>
              </w:rPr>
              <w:t>56</w:t>
            </w:r>
          </w:p>
        </w:tc>
        <w:tc>
          <w:tcPr>
            <w:tcW w:type="dxa" w:w="8928"/>
            <w:tcMar>
              <w:top w:w="40" w:type="dxa"/>
              <w:start w:w="120" w:type="dxa"/>
              <w:bottom w:w="40" w:type="dxa"/>
              <w:end w:w="120" w:type="dxa"/>
            </w:tcMar>
            <w:vAlign w:val="center"/>
          </w:tcPr>
          <w:p>
            <w:pPr>
              <w:spacing w:after="0"/>
            </w:pPr>
            <w:r>
              <w:rPr>
                <w:sz w:val="17"/>
              </w:rPr>
              <w:t>00_Gobernanza/coordinacion/reportes/GOEI_CYCLE_0010_Knowledge_Graph_procesable.md</w:t>
            </w:r>
          </w:p>
        </w:tc>
      </w:tr>
      <w:tr>
        <w:tc>
          <w:tcPr>
            <w:tcW w:type="dxa" w:w="792"/>
            <w:tcMar>
              <w:top w:w="40" w:type="dxa"/>
              <w:start w:w="120" w:type="dxa"/>
              <w:bottom w:w="40" w:type="dxa"/>
              <w:end w:w="120" w:type="dxa"/>
            </w:tcMar>
            <w:vAlign w:val="center"/>
          </w:tcPr>
          <w:p>
            <w:pPr>
              <w:spacing w:after="0"/>
              <w:jc w:val="center"/>
            </w:pPr>
            <w:r>
              <w:rPr>
                <w:sz w:val="17"/>
              </w:rPr>
              <w:t>57</w:t>
            </w:r>
          </w:p>
        </w:tc>
        <w:tc>
          <w:tcPr>
            <w:tcW w:type="dxa" w:w="8928"/>
            <w:tcMar>
              <w:top w:w="40" w:type="dxa"/>
              <w:start w:w="120" w:type="dxa"/>
              <w:bottom w:w="40" w:type="dxa"/>
              <w:end w:w="120" w:type="dxa"/>
            </w:tcMar>
            <w:vAlign w:val="center"/>
          </w:tcPr>
          <w:p>
            <w:pPr>
              <w:spacing w:after="0"/>
            </w:pPr>
            <w:r>
              <w:rPr>
                <w:sz w:val="17"/>
              </w:rPr>
              <w:t>00_Gobernanza/coordinacion/reportes/GOEI_CYCLE_0011_Navegacion_Knowledge_Graph.md</w:t>
            </w:r>
          </w:p>
        </w:tc>
      </w:tr>
      <w:tr>
        <w:tc>
          <w:tcPr>
            <w:tcW w:type="dxa" w:w="792"/>
            <w:tcMar>
              <w:top w:w="40" w:type="dxa"/>
              <w:start w:w="120" w:type="dxa"/>
              <w:bottom w:w="40" w:type="dxa"/>
              <w:end w:w="120" w:type="dxa"/>
            </w:tcMar>
            <w:vAlign w:val="center"/>
          </w:tcPr>
          <w:p>
            <w:pPr>
              <w:spacing w:after="0"/>
              <w:jc w:val="center"/>
            </w:pPr>
            <w:r>
              <w:rPr>
                <w:sz w:val="17"/>
              </w:rPr>
              <w:t>58</w:t>
            </w:r>
          </w:p>
        </w:tc>
        <w:tc>
          <w:tcPr>
            <w:tcW w:type="dxa" w:w="8928"/>
            <w:tcMar>
              <w:top w:w="40" w:type="dxa"/>
              <w:start w:w="120" w:type="dxa"/>
              <w:bottom w:w="40" w:type="dxa"/>
              <w:end w:w="120" w:type="dxa"/>
            </w:tcMar>
            <w:vAlign w:val="center"/>
          </w:tcPr>
          <w:p>
            <w:pPr>
              <w:spacing w:after="0"/>
            </w:pPr>
            <w:r>
              <w:rPr>
                <w:sz w:val="17"/>
              </w:rPr>
              <w:t>00_Gobernanza/coordinacion/resoluciones/GOEI_DIR_RES_0001_D008_B1.md</w:t>
            </w:r>
          </w:p>
        </w:tc>
      </w:tr>
      <w:tr>
        <w:tc>
          <w:tcPr>
            <w:tcW w:type="dxa" w:w="792"/>
            <w:tcMar>
              <w:top w:w="40" w:type="dxa"/>
              <w:start w:w="120" w:type="dxa"/>
              <w:bottom w:w="40" w:type="dxa"/>
              <w:end w:w="120" w:type="dxa"/>
            </w:tcMar>
            <w:vAlign w:val="center"/>
          </w:tcPr>
          <w:p>
            <w:pPr>
              <w:spacing w:after="0"/>
              <w:jc w:val="center"/>
            </w:pPr>
            <w:r>
              <w:rPr>
                <w:sz w:val="17"/>
              </w:rPr>
              <w:t>59</w:t>
            </w:r>
          </w:p>
        </w:tc>
        <w:tc>
          <w:tcPr>
            <w:tcW w:type="dxa" w:w="8928"/>
            <w:tcMar>
              <w:top w:w="40" w:type="dxa"/>
              <w:start w:w="120" w:type="dxa"/>
              <w:bottom w:w="40" w:type="dxa"/>
              <w:end w:w="120" w:type="dxa"/>
            </w:tcMar>
            <w:vAlign w:val="center"/>
          </w:tcPr>
          <w:p>
            <w:pPr>
              <w:spacing w:after="0"/>
            </w:pPr>
            <w:r>
              <w:rPr>
                <w:sz w:val="17"/>
              </w:rPr>
              <w:t>00_Gobernanza/coordinacion/resoluciones/GOEI_DIR_RES_0002_D017_B2.md</w:t>
            </w:r>
          </w:p>
        </w:tc>
      </w:tr>
      <w:tr>
        <w:tc>
          <w:tcPr>
            <w:tcW w:type="dxa" w:w="792"/>
            <w:tcMar>
              <w:top w:w="40" w:type="dxa"/>
              <w:start w:w="120" w:type="dxa"/>
              <w:bottom w:w="40" w:type="dxa"/>
              <w:end w:w="120" w:type="dxa"/>
            </w:tcMar>
            <w:vAlign w:val="center"/>
          </w:tcPr>
          <w:p>
            <w:pPr>
              <w:spacing w:after="0"/>
              <w:jc w:val="center"/>
            </w:pPr>
            <w:r>
              <w:rPr>
                <w:sz w:val="17"/>
              </w:rPr>
              <w:t>60</w:t>
            </w:r>
          </w:p>
        </w:tc>
        <w:tc>
          <w:tcPr>
            <w:tcW w:type="dxa" w:w="8928"/>
            <w:tcMar>
              <w:top w:w="40" w:type="dxa"/>
              <w:start w:w="120" w:type="dxa"/>
              <w:bottom w:w="40" w:type="dxa"/>
              <w:end w:w="120" w:type="dxa"/>
            </w:tcMar>
            <w:vAlign w:val="center"/>
          </w:tcPr>
          <w:p>
            <w:pPr>
              <w:spacing w:after="0"/>
            </w:pPr>
            <w:r>
              <w:rPr>
                <w:sz w:val="17"/>
              </w:rPr>
              <w:t>00_Gobernanza/coordinacion/resoluciones/GOEI_DIR_RES_0003_D018_B3.md</w:t>
            </w:r>
          </w:p>
        </w:tc>
      </w:tr>
      <w:tr>
        <w:tc>
          <w:tcPr>
            <w:tcW w:type="dxa" w:w="792"/>
            <w:tcMar>
              <w:top w:w="40" w:type="dxa"/>
              <w:start w:w="120" w:type="dxa"/>
              <w:bottom w:w="40" w:type="dxa"/>
              <w:end w:w="120" w:type="dxa"/>
            </w:tcMar>
            <w:vAlign w:val="center"/>
          </w:tcPr>
          <w:p>
            <w:pPr>
              <w:spacing w:after="0"/>
              <w:jc w:val="center"/>
            </w:pPr>
            <w:r>
              <w:rPr>
                <w:sz w:val="17"/>
              </w:rPr>
              <w:t>61</w:t>
            </w:r>
          </w:p>
        </w:tc>
        <w:tc>
          <w:tcPr>
            <w:tcW w:type="dxa" w:w="8928"/>
            <w:tcMar>
              <w:top w:w="40" w:type="dxa"/>
              <w:start w:w="120" w:type="dxa"/>
              <w:bottom w:w="40" w:type="dxa"/>
              <w:end w:w="120" w:type="dxa"/>
            </w:tcMar>
            <w:vAlign w:val="center"/>
          </w:tcPr>
          <w:p>
            <w:pPr>
              <w:spacing w:after="0"/>
            </w:pPr>
            <w:r>
              <w:rPr>
                <w:sz w:val="17"/>
              </w:rPr>
              <w:t>00_Gobernanza/coordinacion/resoluciones/GOEI_DIR_RES_D008_B1_BORRADOR.md</w:t>
            </w:r>
          </w:p>
        </w:tc>
      </w:tr>
      <w:tr>
        <w:tc>
          <w:tcPr>
            <w:tcW w:type="dxa" w:w="792"/>
            <w:tcMar>
              <w:top w:w="40" w:type="dxa"/>
              <w:start w:w="120" w:type="dxa"/>
              <w:bottom w:w="40" w:type="dxa"/>
              <w:end w:w="120" w:type="dxa"/>
            </w:tcMar>
            <w:vAlign w:val="center"/>
          </w:tcPr>
          <w:p>
            <w:pPr>
              <w:spacing w:after="0"/>
              <w:jc w:val="center"/>
            </w:pPr>
            <w:r>
              <w:rPr>
                <w:sz w:val="17"/>
              </w:rPr>
              <w:t>62</w:t>
            </w:r>
          </w:p>
        </w:tc>
        <w:tc>
          <w:tcPr>
            <w:tcW w:type="dxa" w:w="8928"/>
            <w:tcMar>
              <w:top w:w="40" w:type="dxa"/>
              <w:start w:w="120" w:type="dxa"/>
              <w:bottom w:w="40" w:type="dxa"/>
              <w:end w:w="120" w:type="dxa"/>
            </w:tcMar>
            <w:vAlign w:val="center"/>
          </w:tcPr>
          <w:p>
            <w:pPr>
              <w:spacing w:after="0"/>
            </w:pPr>
            <w:r>
              <w:rPr>
                <w:sz w:val="17"/>
              </w:rPr>
              <w:t>00_Gobernanza/coordinacion/technical_roadmap.json</w:t>
            </w:r>
          </w:p>
        </w:tc>
      </w:tr>
      <w:tr>
        <w:tc>
          <w:tcPr>
            <w:tcW w:type="dxa" w:w="792"/>
            <w:tcMar>
              <w:top w:w="40" w:type="dxa"/>
              <w:start w:w="120" w:type="dxa"/>
              <w:bottom w:w="40" w:type="dxa"/>
              <w:end w:w="120" w:type="dxa"/>
            </w:tcMar>
            <w:vAlign w:val="center"/>
          </w:tcPr>
          <w:p>
            <w:pPr>
              <w:spacing w:after="0"/>
              <w:jc w:val="center"/>
            </w:pPr>
            <w:r>
              <w:rPr>
                <w:sz w:val="17"/>
              </w:rPr>
              <w:t>63</w:t>
            </w:r>
          </w:p>
        </w:tc>
        <w:tc>
          <w:tcPr>
            <w:tcW w:type="dxa" w:w="8928"/>
            <w:tcMar>
              <w:top w:w="40" w:type="dxa"/>
              <w:start w:w="120" w:type="dxa"/>
              <w:bottom w:w="40" w:type="dxa"/>
              <w:end w:w="120" w:type="dxa"/>
            </w:tcMar>
            <w:vAlign w:val="center"/>
          </w:tcPr>
          <w:p>
            <w:pPr>
              <w:spacing w:after="0"/>
            </w:pPr>
            <w:r>
              <w:rPr>
                <w:sz w:val="17"/>
              </w:rPr>
              <w:t>00_Gobernanza/Estado_de_respondibilidad_7_preguntas.md</w:t>
            </w:r>
          </w:p>
        </w:tc>
      </w:tr>
      <w:tr>
        <w:tc>
          <w:tcPr>
            <w:tcW w:type="dxa" w:w="792"/>
            <w:tcMar>
              <w:top w:w="40" w:type="dxa"/>
              <w:start w:w="120" w:type="dxa"/>
              <w:bottom w:w="40" w:type="dxa"/>
              <w:end w:w="120" w:type="dxa"/>
            </w:tcMar>
            <w:vAlign w:val="center"/>
          </w:tcPr>
          <w:p>
            <w:pPr>
              <w:spacing w:after="0"/>
              <w:jc w:val="center"/>
            </w:pPr>
            <w:r>
              <w:rPr>
                <w:sz w:val="17"/>
              </w:rPr>
              <w:t>64</w:t>
            </w:r>
          </w:p>
        </w:tc>
        <w:tc>
          <w:tcPr>
            <w:tcW w:type="dxa" w:w="8928"/>
            <w:tcMar>
              <w:top w:w="40" w:type="dxa"/>
              <w:start w:w="120" w:type="dxa"/>
              <w:bottom w:w="40" w:type="dxa"/>
              <w:end w:w="120" w:type="dxa"/>
            </w:tcMar>
            <w:vAlign w:val="center"/>
          </w:tcPr>
          <w:p>
            <w:pPr>
              <w:spacing w:after="0"/>
            </w:pPr>
            <w:r>
              <w:rPr>
                <w:sz w:val="17"/>
              </w:rPr>
              <w:t>00_Gobernanza/fuentes_institucionales/GOEI_Research_Master_Plan_v1.0_manifest.md</w:t>
            </w:r>
          </w:p>
        </w:tc>
      </w:tr>
      <w:tr>
        <w:tc>
          <w:tcPr>
            <w:tcW w:type="dxa" w:w="792"/>
            <w:tcMar>
              <w:top w:w="40" w:type="dxa"/>
              <w:start w:w="120" w:type="dxa"/>
              <w:bottom w:w="40" w:type="dxa"/>
              <w:end w:w="120" w:type="dxa"/>
            </w:tcMar>
            <w:vAlign w:val="center"/>
          </w:tcPr>
          <w:p>
            <w:pPr>
              <w:spacing w:after="0"/>
              <w:jc w:val="center"/>
            </w:pPr>
            <w:r>
              <w:rPr>
                <w:sz w:val="17"/>
              </w:rPr>
              <w:t>65</w:t>
            </w:r>
          </w:p>
        </w:tc>
        <w:tc>
          <w:tcPr>
            <w:tcW w:type="dxa" w:w="8928"/>
            <w:tcMar>
              <w:top w:w="40" w:type="dxa"/>
              <w:start w:w="120" w:type="dxa"/>
              <w:bottom w:w="40" w:type="dxa"/>
              <w:end w:w="120" w:type="dxa"/>
            </w:tcMar>
            <w:vAlign w:val="center"/>
          </w:tcPr>
          <w:p>
            <w:pPr>
              <w:spacing w:after="0"/>
            </w:pPr>
            <w:r>
              <w:rPr>
                <w:sz w:val="17"/>
              </w:rPr>
              <w:t>00_Gobernanza/Matriz_de_autoridad_institucional.md</w:t>
            </w:r>
          </w:p>
        </w:tc>
      </w:tr>
      <w:tr>
        <w:tc>
          <w:tcPr>
            <w:tcW w:type="dxa" w:w="792"/>
            <w:tcMar>
              <w:top w:w="40" w:type="dxa"/>
              <w:start w:w="120" w:type="dxa"/>
              <w:bottom w:w="40" w:type="dxa"/>
              <w:end w:w="120" w:type="dxa"/>
            </w:tcMar>
            <w:vAlign w:val="center"/>
          </w:tcPr>
          <w:p>
            <w:pPr>
              <w:spacing w:after="0"/>
              <w:jc w:val="center"/>
            </w:pPr>
            <w:r>
              <w:rPr>
                <w:sz w:val="17"/>
              </w:rPr>
              <w:t>66</w:t>
            </w:r>
          </w:p>
        </w:tc>
        <w:tc>
          <w:tcPr>
            <w:tcW w:type="dxa" w:w="8928"/>
            <w:tcMar>
              <w:top w:w="40" w:type="dxa"/>
              <w:start w:w="120" w:type="dxa"/>
              <w:bottom w:w="40" w:type="dxa"/>
              <w:end w:w="120" w:type="dxa"/>
            </w:tcMar>
            <w:vAlign w:val="center"/>
          </w:tcPr>
          <w:p>
            <w:pPr>
              <w:spacing w:after="0"/>
            </w:pPr>
            <w:r>
              <w:rPr>
                <w:sz w:val="17"/>
              </w:rPr>
              <w:t>00_Gobernanza/Matriz_de_trazabilidad.md</w:t>
            </w:r>
          </w:p>
        </w:tc>
      </w:tr>
      <w:tr>
        <w:tc>
          <w:tcPr>
            <w:tcW w:type="dxa" w:w="792"/>
            <w:tcMar>
              <w:top w:w="40" w:type="dxa"/>
              <w:start w:w="120" w:type="dxa"/>
              <w:bottom w:w="40" w:type="dxa"/>
              <w:end w:w="120" w:type="dxa"/>
            </w:tcMar>
            <w:vAlign w:val="center"/>
          </w:tcPr>
          <w:p>
            <w:pPr>
              <w:spacing w:after="0"/>
              <w:jc w:val="center"/>
            </w:pPr>
            <w:r>
              <w:rPr>
                <w:sz w:val="17"/>
              </w:rPr>
              <w:t>67</w:t>
            </w:r>
          </w:p>
        </w:tc>
        <w:tc>
          <w:tcPr>
            <w:tcW w:type="dxa" w:w="8928"/>
            <w:tcMar>
              <w:top w:w="40" w:type="dxa"/>
              <w:start w:w="120" w:type="dxa"/>
              <w:bottom w:w="40" w:type="dxa"/>
              <w:end w:w="120" w:type="dxa"/>
            </w:tcMar>
            <w:vAlign w:val="center"/>
          </w:tcPr>
          <w:p>
            <w:pPr>
              <w:spacing w:after="0"/>
            </w:pPr>
            <w:r>
              <w:rPr>
                <w:sz w:val="17"/>
              </w:rPr>
              <w:t>00_Gobernanza/Oficina_Tecnica_GOEI.md</w:t>
            </w:r>
          </w:p>
        </w:tc>
      </w:tr>
      <w:tr>
        <w:tc>
          <w:tcPr>
            <w:tcW w:type="dxa" w:w="792"/>
            <w:tcMar>
              <w:top w:w="40" w:type="dxa"/>
              <w:start w:w="120" w:type="dxa"/>
              <w:bottom w:w="40" w:type="dxa"/>
              <w:end w:w="120" w:type="dxa"/>
            </w:tcMar>
            <w:vAlign w:val="center"/>
          </w:tcPr>
          <w:p>
            <w:pPr>
              <w:spacing w:after="0"/>
              <w:jc w:val="center"/>
            </w:pPr>
            <w:r>
              <w:rPr>
                <w:sz w:val="17"/>
              </w:rPr>
              <w:t>68</w:t>
            </w:r>
          </w:p>
        </w:tc>
        <w:tc>
          <w:tcPr>
            <w:tcW w:type="dxa" w:w="8928"/>
            <w:tcMar>
              <w:top w:w="40" w:type="dxa"/>
              <w:start w:w="120" w:type="dxa"/>
              <w:bottom w:w="40" w:type="dxa"/>
              <w:end w:w="120" w:type="dxa"/>
            </w:tcMar>
            <w:vAlign w:val="center"/>
          </w:tcPr>
          <w:p>
            <w:pPr>
              <w:spacing w:after="0"/>
            </w:pPr>
            <w:r>
              <w:rPr>
                <w:sz w:val="17"/>
              </w:rPr>
              <w:t>00_Gobernanza/Politica_de_versionado.md</w:t>
            </w:r>
          </w:p>
        </w:tc>
      </w:tr>
      <w:tr>
        <w:tc>
          <w:tcPr>
            <w:tcW w:type="dxa" w:w="792"/>
            <w:tcMar>
              <w:top w:w="40" w:type="dxa"/>
              <w:start w:w="120" w:type="dxa"/>
              <w:bottom w:w="40" w:type="dxa"/>
              <w:end w:w="120" w:type="dxa"/>
            </w:tcMar>
            <w:vAlign w:val="center"/>
          </w:tcPr>
          <w:p>
            <w:pPr>
              <w:spacing w:after="0"/>
              <w:jc w:val="center"/>
            </w:pPr>
            <w:r>
              <w:rPr>
                <w:sz w:val="17"/>
              </w:rPr>
              <w:t>69</w:t>
            </w:r>
          </w:p>
        </w:tc>
        <w:tc>
          <w:tcPr>
            <w:tcW w:type="dxa" w:w="8928"/>
            <w:tcMar>
              <w:top w:w="40" w:type="dxa"/>
              <w:start w:w="120" w:type="dxa"/>
              <w:bottom w:w="40" w:type="dxa"/>
              <w:end w:w="120" w:type="dxa"/>
            </w:tcMar>
            <w:vAlign w:val="center"/>
          </w:tcPr>
          <w:p>
            <w:pPr>
              <w:spacing w:after="0"/>
            </w:pPr>
            <w:r>
              <w:rPr>
                <w:sz w:val="17"/>
              </w:rPr>
              <w:t>00_Gobernanza/Politica_Git_y_contribucion.md</w:t>
            </w:r>
          </w:p>
        </w:tc>
      </w:tr>
      <w:tr>
        <w:tc>
          <w:tcPr>
            <w:tcW w:type="dxa" w:w="792"/>
            <w:tcMar>
              <w:top w:w="40" w:type="dxa"/>
              <w:start w:w="120" w:type="dxa"/>
              <w:bottom w:w="40" w:type="dxa"/>
              <w:end w:w="120" w:type="dxa"/>
            </w:tcMar>
            <w:vAlign w:val="center"/>
          </w:tcPr>
          <w:p>
            <w:pPr>
              <w:spacing w:after="0"/>
              <w:jc w:val="center"/>
            </w:pPr>
            <w:r>
              <w:rPr>
                <w:sz w:val="17"/>
              </w:rPr>
              <w:t>70</w:t>
            </w:r>
          </w:p>
        </w:tc>
        <w:tc>
          <w:tcPr>
            <w:tcW w:type="dxa" w:w="8928"/>
            <w:tcMar>
              <w:top w:w="40" w:type="dxa"/>
              <w:start w:w="120" w:type="dxa"/>
              <w:bottom w:w="40" w:type="dxa"/>
              <w:end w:w="120" w:type="dxa"/>
            </w:tcMar>
            <w:vAlign w:val="center"/>
          </w:tcPr>
          <w:p>
            <w:pPr>
              <w:spacing w:after="0"/>
            </w:pPr>
            <w:r>
              <w:rPr>
                <w:sz w:val="17"/>
              </w:rPr>
              <w:t>00_Gobernanza/Preguntas_abiertas.md</w:t>
            </w:r>
          </w:p>
        </w:tc>
      </w:tr>
      <w:tr>
        <w:tc>
          <w:tcPr>
            <w:tcW w:type="dxa" w:w="792"/>
            <w:tcMar>
              <w:top w:w="40" w:type="dxa"/>
              <w:start w:w="120" w:type="dxa"/>
              <w:bottom w:w="40" w:type="dxa"/>
              <w:end w:w="120" w:type="dxa"/>
            </w:tcMar>
            <w:vAlign w:val="center"/>
          </w:tcPr>
          <w:p>
            <w:pPr>
              <w:spacing w:after="0"/>
              <w:jc w:val="center"/>
            </w:pPr>
            <w:r>
              <w:rPr>
                <w:sz w:val="17"/>
              </w:rPr>
              <w:t>71</w:t>
            </w:r>
          </w:p>
        </w:tc>
        <w:tc>
          <w:tcPr>
            <w:tcW w:type="dxa" w:w="8928"/>
            <w:tcMar>
              <w:top w:w="40" w:type="dxa"/>
              <w:start w:w="120" w:type="dxa"/>
              <w:bottom w:w="40" w:type="dxa"/>
              <w:end w:w="120" w:type="dxa"/>
            </w:tcMar>
            <w:vAlign w:val="center"/>
          </w:tcPr>
          <w:p>
            <w:pPr>
              <w:spacing w:after="0"/>
            </w:pPr>
            <w:r>
              <w:rPr>
                <w:sz w:val="17"/>
              </w:rPr>
              <w:t>00_Gobernanza/Registro_de_componentes.md</w:t>
            </w:r>
          </w:p>
        </w:tc>
      </w:tr>
      <w:tr>
        <w:tc>
          <w:tcPr>
            <w:tcW w:type="dxa" w:w="792"/>
            <w:tcMar>
              <w:top w:w="40" w:type="dxa"/>
              <w:start w:w="120" w:type="dxa"/>
              <w:bottom w:w="40" w:type="dxa"/>
              <w:end w:w="120" w:type="dxa"/>
            </w:tcMar>
            <w:vAlign w:val="center"/>
          </w:tcPr>
          <w:p>
            <w:pPr>
              <w:spacing w:after="0"/>
              <w:jc w:val="center"/>
            </w:pPr>
            <w:r>
              <w:rPr>
                <w:sz w:val="17"/>
              </w:rPr>
              <w:t>72</w:t>
            </w:r>
          </w:p>
        </w:tc>
        <w:tc>
          <w:tcPr>
            <w:tcW w:type="dxa" w:w="8928"/>
            <w:tcMar>
              <w:top w:w="40" w:type="dxa"/>
              <w:start w:w="120" w:type="dxa"/>
              <w:bottom w:w="40" w:type="dxa"/>
              <w:end w:w="120" w:type="dxa"/>
            </w:tcMar>
            <w:vAlign w:val="center"/>
          </w:tcPr>
          <w:p>
            <w:pPr>
              <w:spacing w:after="0"/>
            </w:pPr>
            <w:r>
              <w:rPr>
                <w:sz w:val="17"/>
              </w:rPr>
              <w:t>00_Gobernanza/Registro_de_decisiones.md</w:t>
            </w:r>
          </w:p>
        </w:tc>
      </w:tr>
      <w:tr>
        <w:tc>
          <w:tcPr>
            <w:tcW w:type="dxa" w:w="792"/>
            <w:tcMar>
              <w:top w:w="40" w:type="dxa"/>
              <w:start w:w="120" w:type="dxa"/>
              <w:bottom w:w="40" w:type="dxa"/>
              <w:end w:w="120" w:type="dxa"/>
            </w:tcMar>
            <w:vAlign w:val="center"/>
          </w:tcPr>
          <w:p>
            <w:pPr>
              <w:spacing w:after="0"/>
              <w:jc w:val="center"/>
            </w:pPr>
            <w:r>
              <w:rPr>
                <w:sz w:val="17"/>
              </w:rPr>
              <w:t>73</w:t>
            </w:r>
          </w:p>
        </w:tc>
        <w:tc>
          <w:tcPr>
            <w:tcW w:type="dxa" w:w="8928"/>
            <w:tcMar>
              <w:top w:w="40" w:type="dxa"/>
              <w:start w:w="120" w:type="dxa"/>
              <w:bottom w:w="40" w:type="dxa"/>
              <w:end w:w="120" w:type="dxa"/>
            </w:tcMar>
            <w:vAlign w:val="center"/>
          </w:tcPr>
          <w:p>
            <w:pPr>
              <w:spacing w:after="0"/>
            </w:pPr>
            <w:r>
              <w:rPr>
                <w:sz w:val="17"/>
              </w:rPr>
              <w:t>00_Gobernanza/Registro_de_directivas.md</w:t>
            </w:r>
          </w:p>
        </w:tc>
      </w:tr>
      <w:tr>
        <w:tc>
          <w:tcPr>
            <w:tcW w:type="dxa" w:w="792"/>
            <w:tcMar>
              <w:top w:w="40" w:type="dxa"/>
              <w:start w:w="120" w:type="dxa"/>
              <w:bottom w:w="40" w:type="dxa"/>
              <w:end w:w="120" w:type="dxa"/>
            </w:tcMar>
            <w:vAlign w:val="center"/>
          </w:tcPr>
          <w:p>
            <w:pPr>
              <w:spacing w:after="0"/>
              <w:jc w:val="center"/>
            </w:pPr>
            <w:r>
              <w:rPr>
                <w:sz w:val="17"/>
              </w:rPr>
              <w:t>74</w:t>
            </w:r>
          </w:p>
        </w:tc>
        <w:tc>
          <w:tcPr>
            <w:tcW w:type="dxa" w:w="8928"/>
            <w:tcMar>
              <w:top w:w="40" w:type="dxa"/>
              <w:start w:w="120" w:type="dxa"/>
              <w:bottom w:w="40" w:type="dxa"/>
              <w:end w:w="120" w:type="dxa"/>
            </w:tcMar>
            <w:vAlign w:val="center"/>
          </w:tcPr>
          <w:p>
            <w:pPr>
              <w:spacing w:after="0"/>
            </w:pPr>
            <w:r>
              <w:rPr>
                <w:sz w:val="17"/>
              </w:rPr>
              <w:t>00_Gobernanza/Roadmap_tecnico_GOEI.md</w:t>
            </w:r>
          </w:p>
        </w:tc>
      </w:tr>
      <w:tr>
        <w:tc>
          <w:tcPr>
            <w:tcW w:type="dxa" w:w="792"/>
            <w:tcMar>
              <w:top w:w="40" w:type="dxa"/>
              <w:start w:w="120" w:type="dxa"/>
              <w:bottom w:w="40" w:type="dxa"/>
              <w:end w:w="120" w:type="dxa"/>
            </w:tcMar>
            <w:vAlign w:val="center"/>
          </w:tcPr>
          <w:p>
            <w:pPr>
              <w:spacing w:after="0"/>
              <w:jc w:val="center"/>
            </w:pPr>
            <w:r>
              <w:rPr>
                <w:sz w:val="17"/>
              </w:rPr>
              <w:t>75</w:t>
            </w:r>
          </w:p>
        </w:tc>
        <w:tc>
          <w:tcPr>
            <w:tcW w:type="dxa" w:w="8928"/>
            <w:tcMar>
              <w:top w:w="40" w:type="dxa"/>
              <w:start w:w="120" w:type="dxa"/>
              <w:bottom w:w="40" w:type="dxa"/>
              <w:end w:w="120" w:type="dxa"/>
            </w:tcMar>
            <w:vAlign w:val="center"/>
          </w:tcPr>
          <w:p>
            <w:pPr>
              <w:spacing w:after="0"/>
            </w:pPr>
            <w:r>
              <w:rPr>
                <w:sz w:val="17"/>
              </w:rPr>
              <w:t>01_Estado_del_arte/Fase0_H1_Revision_Constructo_Salud_Operacional.md</w:t>
            </w:r>
          </w:p>
        </w:tc>
      </w:tr>
      <w:tr>
        <w:tc>
          <w:tcPr>
            <w:tcW w:type="dxa" w:w="792"/>
            <w:tcMar>
              <w:top w:w="40" w:type="dxa"/>
              <w:start w:w="120" w:type="dxa"/>
              <w:bottom w:w="40" w:type="dxa"/>
              <w:end w:w="120" w:type="dxa"/>
            </w:tcMar>
            <w:vAlign w:val="center"/>
          </w:tcPr>
          <w:p>
            <w:pPr>
              <w:spacing w:after="0"/>
              <w:jc w:val="center"/>
            </w:pPr>
            <w:r>
              <w:rPr>
                <w:sz w:val="17"/>
              </w:rPr>
              <w:t>76</w:t>
            </w:r>
          </w:p>
        </w:tc>
        <w:tc>
          <w:tcPr>
            <w:tcW w:type="dxa" w:w="8928"/>
            <w:tcMar>
              <w:top w:w="40" w:type="dxa"/>
              <w:start w:w="120" w:type="dxa"/>
              <w:bottom w:w="40" w:type="dxa"/>
              <w:end w:w="120" w:type="dxa"/>
            </w:tcMar>
            <w:vAlign w:val="center"/>
          </w:tcPr>
          <w:p>
            <w:pPr>
              <w:spacing w:after="0"/>
            </w:pPr>
            <w:r>
              <w:rPr>
                <w:sz w:val="17"/>
              </w:rPr>
              <w:t>01_Estado_del_arte/Fase2_D003_Salud_vs_Desempeno_vs_Eficiencia.md</w:t>
            </w:r>
          </w:p>
        </w:tc>
      </w:tr>
      <w:tr>
        <w:tc>
          <w:tcPr>
            <w:tcW w:type="dxa" w:w="792"/>
            <w:tcMar>
              <w:top w:w="40" w:type="dxa"/>
              <w:start w:w="120" w:type="dxa"/>
              <w:bottom w:w="40" w:type="dxa"/>
              <w:end w:w="120" w:type="dxa"/>
            </w:tcMar>
            <w:vAlign w:val="center"/>
          </w:tcPr>
          <w:p>
            <w:pPr>
              <w:spacing w:after="0"/>
              <w:jc w:val="center"/>
            </w:pPr>
            <w:r>
              <w:rPr>
                <w:sz w:val="17"/>
              </w:rPr>
              <w:t>77</w:t>
            </w:r>
          </w:p>
        </w:tc>
        <w:tc>
          <w:tcPr>
            <w:tcW w:type="dxa" w:w="8928"/>
            <w:tcMar>
              <w:top w:w="40" w:type="dxa"/>
              <w:start w:w="120" w:type="dxa"/>
              <w:bottom w:w="40" w:type="dxa"/>
              <w:end w:w="120" w:type="dxa"/>
            </w:tcMar>
            <w:vAlign w:val="center"/>
          </w:tcPr>
          <w:p>
            <w:pPr>
              <w:spacing w:after="0"/>
            </w:pPr>
            <w:r>
              <w:rPr>
                <w:sz w:val="17"/>
              </w:rPr>
              <w:t>01_Estado_del_arte/Fase2_D004_Salud_como_indice_formativo.md</w:t>
            </w:r>
          </w:p>
        </w:tc>
      </w:tr>
      <w:tr>
        <w:tc>
          <w:tcPr>
            <w:tcW w:type="dxa" w:w="792"/>
            <w:tcMar>
              <w:top w:w="40" w:type="dxa"/>
              <w:start w:w="120" w:type="dxa"/>
              <w:bottom w:w="40" w:type="dxa"/>
              <w:end w:w="120" w:type="dxa"/>
            </w:tcMar>
            <w:vAlign w:val="center"/>
          </w:tcPr>
          <w:p>
            <w:pPr>
              <w:spacing w:after="0"/>
              <w:jc w:val="center"/>
            </w:pPr>
            <w:r>
              <w:rPr>
                <w:sz w:val="17"/>
              </w:rPr>
              <w:t>78</w:t>
            </w:r>
          </w:p>
        </w:tc>
        <w:tc>
          <w:tcPr>
            <w:tcW w:type="dxa" w:w="8928"/>
            <w:tcMar>
              <w:top w:w="40" w:type="dxa"/>
              <w:start w:w="120" w:type="dxa"/>
              <w:bottom w:w="40" w:type="dxa"/>
              <w:end w:w="120" w:type="dxa"/>
            </w:tcMar>
            <w:vAlign w:val="center"/>
          </w:tcPr>
          <w:p>
            <w:pPr>
              <w:spacing w:after="0"/>
            </w:pPr>
            <w:r>
              <w:rPr>
                <w:sz w:val="17"/>
              </w:rPr>
              <w:t>01_Estado_del_arte/FaseB_B1_Revision_sistematica_procesos_universales.md</w:t>
            </w:r>
          </w:p>
        </w:tc>
      </w:tr>
      <w:tr>
        <w:tc>
          <w:tcPr>
            <w:tcW w:type="dxa" w:w="792"/>
            <w:tcMar>
              <w:top w:w="40" w:type="dxa"/>
              <w:start w:w="120" w:type="dxa"/>
              <w:bottom w:w="40" w:type="dxa"/>
              <w:end w:w="120" w:type="dxa"/>
            </w:tcMar>
            <w:vAlign w:val="center"/>
          </w:tcPr>
          <w:p>
            <w:pPr>
              <w:spacing w:after="0"/>
              <w:jc w:val="center"/>
            </w:pPr>
            <w:r>
              <w:rPr>
                <w:sz w:val="17"/>
              </w:rPr>
              <w:t>79</w:t>
            </w:r>
          </w:p>
        </w:tc>
        <w:tc>
          <w:tcPr>
            <w:tcW w:type="dxa" w:w="8928"/>
            <w:tcMar>
              <w:top w:w="40" w:type="dxa"/>
              <w:start w:w="120" w:type="dxa"/>
              <w:bottom w:w="40" w:type="dxa"/>
              <w:end w:w="120" w:type="dxa"/>
            </w:tcMar>
            <w:vAlign w:val="center"/>
          </w:tcPr>
          <w:p>
            <w:pPr>
              <w:spacing w:after="0"/>
            </w:pPr>
            <w:r>
              <w:rPr>
                <w:sz w:val="17"/>
              </w:rPr>
              <w:t>01_Estado_del_arte/FaseB_B2_Revision_taxonomia_universal.md</w:t>
            </w:r>
          </w:p>
        </w:tc>
      </w:tr>
      <w:tr>
        <w:tc>
          <w:tcPr>
            <w:tcW w:type="dxa" w:w="792"/>
            <w:tcMar>
              <w:top w:w="40" w:type="dxa"/>
              <w:start w:w="120" w:type="dxa"/>
              <w:bottom w:w="40" w:type="dxa"/>
              <w:end w:w="120" w:type="dxa"/>
            </w:tcMar>
            <w:vAlign w:val="center"/>
          </w:tcPr>
          <w:p>
            <w:pPr>
              <w:spacing w:after="0"/>
              <w:jc w:val="center"/>
            </w:pPr>
            <w:r>
              <w:rPr>
                <w:sz w:val="17"/>
              </w:rPr>
              <w:t>80</w:t>
            </w:r>
          </w:p>
        </w:tc>
        <w:tc>
          <w:tcPr>
            <w:tcW w:type="dxa" w:w="8928"/>
            <w:tcMar>
              <w:top w:w="40" w:type="dxa"/>
              <w:start w:w="120" w:type="dxa"/>
              <w:bottom w:w="40" w:type="dxa"/>
              <w:end w:w="120" w:type="dxa"/>
            </w:tcMar>
            <w:vAlign w:val="center"/>
          </w:tcPr>
          <w:p>
            <w:pPr>
              <w:spacing w:after="0"/>
            </w:pPr>
            <w:r>
              <w:rPr>
                <w:sz w:val="17"/>
              </w:rPr>
              <w:t>01_Estado_del_arte/FaseB_B3_Revision_universo_KPI.md</w:t>
            </w:r>
          </w:p>
        </w:tc>
      </w:tr>
      <w:tr>
        <w:tc>
          <w:tcPr>
            <w:tcW w:type="dxa" w:w="792"/>
            <w:tcMar>
              <w:top w:w="40" w:type="dxa"/>
              <w:start w:w="120" w:type="dxa"/>
              <w:bottom w:w="40" w:type="dxa"/>
              <w:end w:w="120" w:type="dxa"/>
            </w:tcMar>
            <w:vAlign w:val="center"/>
          </w:tcPr>
          <w:p>
            <w:pPr>
              <w:spacing w:after="0"/>
              <w:jc w:val="center"/>
            </w:pPr>
            <w:r>
              <w:rPr>
                <w:sz w:val="17"/>
              </w:rPr>
              <w:t>81</w:t>
            </w:r>
          </w:p>
        </w:tc>
        <w:tc>
          <w:tcPr>
            <w:tcW w:type="dxa" w:w="8928"/>
            <w:tcMar>
              <w:top w:w="40" w:type="dxa"/>
              <w:start w:w="120" w:type="dxa"/>
              <w:bottom w:w="40" w:type="dxa"/>
              <w:end w:w="120" w:type="dxa"/>
            </w:tcMar>
            <w:vAlign w:val="center"/>
          </w:tcPr>
          <w:p>
            <w:pPr>
              <w:spacing w:after="0"/>
            </w:pPr>
            <w:r>
              <w:rPr>
                <w:sz w:val="17"/>
              </w:rPr>
              <w:t>01_Estado_del_arte/Informe_Comite_Evaluador_GOEI.md</w:t>
            </w:r>
          </w:p>
        </w:tc>
      </w:tr>
      <w:tr>
        <w:tc>
          <w:tcPr>
            <w:tcW w:type="dxa" w:w="792"/>
            <w:tcMar>
              <w:top w:w="40" w:type="dxa"/>
              <w:start w:w="120" w:type="dxa"/>
              <w:bottom w:w="40" w:type="dxa"/>
              <w:end w:w="120" w:type="dxa"/>
            </w:tcMar>
            <w:vAlign w:val="center"/>
          </w:tcPr>
          <w:p>
            <w:pPr>
              <w:spacing w:after="0"/>
              <w:jc w:val="center"/>
            </w:pPr>
            <w:r>
              <w:rPr>
                <w:sz w:val="17"/>
              </w:rPr>
              <w:t>82</w:t>
            </w:r>
          </w:p>
        </w:tc>
        <w:tc>
          <w:tcPr>
            <w:tcW w:type="dxa" w:w="8928"/>
            <w:tcMar>
              <w:top w:w="40" w:type="dxa"/>
              <w:start w:w="120" w:type="dxa"/>
              <w:bottom w:w="40" w:type="dxa"/>
              <w:end w:w="120" w:type="dxa"/>
            </w:tcMar>
            <w:vAlign w:val="center"/>
          </w:tcPr>
          <w:p>
            <w:pPr>
              <w:spacing w:after="0"/>
            </w:pPr>
            <w:r>
              <w:rPr>
                <w:sz w:val="17"/>
              </w:rPr>
              <w:t>02_Bibliografia/catalogo_fuentes.json</w:t>
            </w:r>
          </w:p>
        </w:tc>
      </w:tr>
      <w:tr>
        <w:tc>
          <w:tcPr>
            <w:tcW w:type="dxa" w:w="792"/>
            <w:tcMar>
              <w:top w:w="40" w:type="dxa"/>
              <w:start w:w="120" w:type="dxa"/>
              <w:bottom w:w="40" w:type="dxa"/>
              <w:end w:w="120" w:type="dxa"/>
            </w:tcMar>
            <w:vAlign w:val="center"/>
          </w:tcPr>
          <w:p>
            <w:pPr>
              <w:spacing w:after="0"/>
              <w:jc w:val="center"/>
            </w:pPr>
            <w:r>
              <w:rPr>
                <w:sz w:val="17"/>
              </w:rPr>
              <w:t>83</w:t>
            </w:r>
          </w:p>
        </w:tc>
        <w:tc>
          <w:tcPr>
            <w:tcW w:type="dxa" w:w="8928"/>
            <w:tcMar>
              <w:top w:w="40" w:type="dxa"/>
              <w:start w:w="120" w:type="dxa"/>
              <w:bottom w:w="40" w:type="dxa"/>
              <w:end w:w="120" w:type="dxa"/>
            </w:tcMar>
            <w:vAlign w:val="center"/>
          </w:tcPr>
          <w:p>
            <w:pPr>
              <w:spacing w:after="0"/>
            </w:pPr>
            <w:r>
              <w:rPr>
                <w:sz w:val="17"/>
              </w:rPr>
              <w:t>02_Bibliografia/ESQUEMA_REGISTRO_BIBLIOGRAFICO.md</w:t>
            </w:r>
          </w:p>
        </w:tc>
      </w:tr>
      <w:tr>
        <w:tc>
          <w:tcPr>
            <w:tcW w:type="dxa" w:w="792"/>
            <w:tcMar>
              <w:top w:w="40" w:type="dxa"/>
              <w:start w:w="120" w:type="dxa"/>
              <w:bottom w:w="40" w:type="dxa"/>
              <w:end w:w="120" w:type="dxa"/>
            </w:tcMar>
            <w:vAlign w:val="center"/>
          </w:tcPr>
          <w:p>
            <w:pPr>
              <w:spacing w:after="0"/>
              <w:jc w:val="center"/>
            </w:pPr>
            <w:r>
              <w:rPr>
                <w:sz w:val="17"/>
              </w:rPr>
              <w:t>84</w:t>
            </w:r>
          </w:p>
        </w:tc>
        <w:tc>
          <w:tcPr>
            <w:tcW w:type="dxa" w:w="8928"/>
            <w:tcMar>
              <w:top w:w="40" w:type="dxa"/>
              <w:start w:w="120" w:type="dxa"/>
              <w:bottom w:w="40" w:type="dxa"/>
              <w:end w:w="120" w:type="dxa"/>
            </w:tcMar>
            <w:vAlign w:val="center"/>
          </w:tcPr>
          <w:p>
            <w:pPr>
              <w:spacing w:after="0"/>
            </w:pPr>
            <w:r>
              <w:rPr>
                <w:sz w:val="17"/>
              </w:rPr>
              <w:t>02_Bibliografia/README.md</w:t>
            </w:r>
          </w:p>
        </w:tc>
      </w:tr>
      <w:tr>
        <w:tc>
          <w:tcPr>
            <w:tcW w:type="dxa" w:w="792"/>
            <w:tcMar>
              <w:top w:w="40" w:type="dxa"/>
              <w:start w:w="120" w:type="dxa"/>
              <w:bottom w:w="40" w:type="dxa"/>
              <w:end w:w="120" w:type="dxa"/>
            </w:tcMar>
            <w:vAlign w:val="center"/>
          </w:tcPr>
          <w:p>
            <w:pPr>
              <w:spacing w:after="0"/>
              <w:jc w:val="center"/>
            </w:pPr>
            <w:r>
              <w:rPr>
                <w:sz w:val="17"/>
              </w:rPr>
              <w:t>85</w:t>
            </w:r>
          </w:p>
        </w:tc>
        <w:tc>
          <w:tcPr>
            <w:tcW w:type="dxa" w:w="8928"/>
            <w:tcMar>
              <w:top w:w="40" w:type="dxa"/>
              <w:start w:w="120" w:type="dxa"/>
              <w:bottom w:w="40" w:type="dxa"/>
              <w:end w:w="120" w:type="dxa"/>
            </w:tcMar>
            <w:vAlign w:val="center"/>
          </w:tcPr>
          <w:p>
            <w:pPr>
              <w:spacing w:after="0"/>
            </w:pPr>
            <w:r>
              <w:rPr>
                <w:sz w:val="17"/>
              </w:rPr>
              <w:t>03_Taxonomia_negocios/FaseB_B2_Taxonomia_universal_candidata.md</w:t>
            </w:r>
          </w:p>
        </w:tc>
      </w:tr>
      <w:tr>
        <w:tc>
          <w:tcPr>
            <w:tcW w:type="dxa" w:w="792"/>
            <w:tcMar>
              <w:top w:w="40" w:type="dxa"/>
              <w:start w:w="120" w:type="dxa"/>
              <w:bottom w:w="40" w:type="dxa"/>
              <w:end w:w="120" w:type="dxa"/>
            </w:tcMar>
            <w:vAlign w:val="center"/>
          </w:tcPr>
          <w:p>
            <w:pPr>
              <w:spacing w:after="0"/>
              <w:jc w:val="center"/>
            </w:pPr>
            <w:r>
              <w:rPr>
                <w:sz w:val="17"/>
              </w:rPr>
              <w:t>86</w:t>
            </w:r>
          </w:p>
        </w:tc>
        <w:tc>
          <w:tcPr>
            <w:tcW w:type="dxa" w:w="8928"/>
            <w:tcMar>
              <w:top w:w="40" w:type="dxa"/>
              <w:start w:w="120" w:type="dxa"/>
              <w:bottom w:w="40" w:type="dxa"/>
              <w:end w:w="120" w:type="dxa"/>
            </w:tcMar>
            <w:vAlign w:val="center"/>
          </w:tcPr>
          <w:p>
            <w:pPr>
              <w:spacing w:after="0"/>
            </w:pPr>
            <w:r>
              <w:rPr>
                <w:sz w:val="17"/>
              </w:rPr>
              <w:t>03_Taxonomia_negocios/README.md</w:t>
            </w:r>
          </w:p>
        </w:tc>
      </w:tr>
      <w:tr>
        <w:tc>
          <w:tcPr>
            <w:tcW w:type="dxa" w:w="792"/>
            <w:tcMar>
              <w:top w:w="40" w:type="dxa"/>
              <w:start w:w="120" w:type="dxa"/>
              <w:bottom w:w="40" w:type="dxa"/>
              <w:end w:w="120" w:type="dxa"/>
            </w:tcMar>
            <w:vAlign w:val="center"/>
          </w:tcPr>
          <w:p>
            <w:pPr>
              <w:spacing w:after="0"/>
              <w:jc w:val="center"/>
            </w:pPr>
            <w:r>
              <w:rPr>
                <w:sz w:val="17"/>
              </w:rPr>
              <w:t>87</w:t>
            </w:r>
          </w:p>
        </w:tc>
        <w:tc>
          <w:tcPr>
            <w:tcW w:type="dxa" w:w="8928"/>
            <w:tcMar>
              <w:top w:w="40" w:type="dxa"/>
              <w:start w:w="120" w:type="dxa"/>
              <w:bottom w:w="40" w:type="dxa"/>
              <w:end w:w="120" w:type="dxa"/>
            </w:tcMar>
            <w:vAlign w:val="center"/>
          </w:tcPr>
          <w:p>
            <w:pPr>
              <w:spacing w:after="0"/>
            </w:pPr>
            <w:r>
              <w:rPr>
                <w:sz w:val="17"/>
              </w:rPr>
              <w:t>04_Procesos_gastronomicos/EPIC-002_MetaModelo_Universal/01_MetaModelo_Universal_de_Procesos.md</w:t>
            </w:r>
          </w:p>
        </w:tc>
      </w:tr>
      <w:tr>
        <w:tc>
          <w:tcPr>
            <w:tcW w:type="dxa" w:w="792"/>
            <w:tcMar>
              <w:top w:w="40" w:type="dxa"/>
              <w:start w:w="120" w:type="dxa"/>
              <w:bottom w:w="40" w:type="dxa"/>
              <w:end w:w="120" w:type="dxa"/>
            </w:tcMar>
            <w:vAlign w:val="center"/>
          </w:tcPr>
          <w:p>
            <w:pPr>
              <w:spacing w:after="0"/>
              <w:jc w:val="center"/>
            </w:pPr>
            <w:r>
              <w:rPr>
                <w:sz w:val="17"/>
              </w:rPr>
              <w:t>88</w:t>
            </w:r>
          </w:p>
        </w:tc>
        <w:tc>
          <w:tcPr>
            <w:tcW w:type="dxa" w:w="8928"/>
            <w:tcMar>
              <w:top w:w="40" w:type="dxa"/>
              <w:start w:w="120" w:type="dxa"/>
              <w:bottom w:w="40" w:type="dxa"/>
              <w:end w:w="120" w:type="dxa"/>
            </w:tcMar>
            <w:vAlign w:val="center"/>
          </w:tcPr>
          <w:p>
            <w:pPr>
              <w:spacing w:after="0"/>
            </w:pPr>
            <w:r>
              <w:rPr>
                <w:sz w:val="17"/>
              </w:rPr>
              <w:t>04_Procesos_gastronomicos/EPIC-002_MetaModelo_Universal/02_Diagrama_UML.md</w:t>
            </w:r>
          </w:p>
        </w:tc>
      </w:tr>
      <w:tr>
        <w:tc>
          <w:tcPr>
            <w:tcW w:type="dxa" w:w="792"/>
            <w:tcMar>
              <w:top w:w="40" w:type="dxa"/>
              <w:start w:w="120" w:type="dxa"/>
              <w:bottom w:w="40" w:type="dxa"/>
              <w:end w:w="120" w:type="dxa"/>
            </w:tcMar>
            <w:vAlign w:val="center"/>
          </w:tcPr>
          <w:p>
            <w:pPr>
              <w:spacing w:after="0"/>
              <w:jc w:val="center"/>
            </w:pPr>
            <w:r>
              <w:rPr>
                <w:sz w:val="17"/>
              </w:rPr>
              <w:t>89</w:t>
            </w:r>
          </w:p>
        </w:tc>
        <w:tc>
          <w:tcPr>
            <w:tcW w:type="dxa" w:w="8928"/>
            <w:tcMar>
              <w:top w:w="40" w:type="dxa"/>
              <w:start w:w="120" w:type="dxa"/>
              <w:bottom w:w="40" w:type="dxa"/>
              <w:end w:w="120" w:type="dxa"/>
            </w:tcMar>
            <w:vAlign w:val="center"/>
          </w:tcPr>
          <w:p>
            <w:pPr>
              <w:spacing w:after="0"/>
            </w:pPr>
            <w:r>
              <w:rPr>
                <w:sz w:val="17"/>
              </w:rPr>
              <w:t>04_Procesos_gastronomicos/EPIC-002_MetaModelo_Universal/03_Matriz_de_relaciones.md</w:t>
            </w:r>
          </w:p>
        </w:tc>
      </w:tr>
      <w:tr>
        <w:tc>
          <w:tcPr>
            <w:tcW w:type="dxa" w:w="792"/>
            <w:tcMar>
              <w:top w:w="40" w:type="dxa"/>
              <w:start w:w="120" w:type="dxa"/>
              <w:bottom w:w="40" w:type="dxa"/>
              <w:end w:w="120" w:type="dxa"/>
            </w:tcMar>
            <w:vAlign w:val="center"/>
          </w:tcPr>
          <w:p>
            <w:pPr>
              <w:spacing w:after="0"/>
              <w:jc w:val="center"/>
            </w:pPr>
            <w:r>
              <w:rPr>
                <w:sz w:val="17"/>
              </w:rPr>
              <w:t>90</w:t>
            </w:r>
          </w:p>
        </w:tc>
        <w:tc>
          <w:tcPr>
            <w:tcW w:type="dxa" w:w="8928"/>
            <w:tcMar>
              <w:top w:w="40" w:type="dxa"/>
              <w:start w:w="120" w:type="dxa"/>
              <w:bottom w:w="40" w:type="dxa"/>
              <w:end w:w="120" w:type="dxa"/>
            </w:tcMar>
            <w:vAlign w:val="center"/>
          </w:tcPr>
          <w:p>
            <w:pPr>
              <w:spacing w:after="0"/>
            </w:pPr>
            <w:r>
              <w:rPr>
                <w:sz w:val="17"/>
              </w:rPr>
              <w:t>04_Procesos_gastronomicos/EPIC-002_MetaModelo_Universal/04_Reglas_de_integridad.md</w:t>
            </w:r>
          </w:p>
        </w:tc>
      </w:tr>
      <w:tr>
        <w:tc>
          <w:tcPr>
            <w:tcW w:type="dxa" w:w="792"/>
            <w:tcMar>
              <w:top w:w="40" w:type="dxa"/>
              <w:start w:w="120" w:type="dxa"/>
              <w:bottom w:w="40" w:type="dxa"/>
              <w:end w:w="120" w:type="dxa"/>
            </w:tcMar>
            <w:vAlign w:val="center"/>
          </w:tcPr>
          <w:p>
            <w:pPr>
              <w:spacing w:after="0"/>
              <w:jc w:val="center"/>
            </w:pPr>
            <w:r>
              <w:rPr>
                <w:sz w:val="17"/>
              </w:rPr>
              <w:t>91</w:t>
            </w:r>
          </w:p>
        </w:tc>
        <w:tc>
          <w:tcPr>
            <w:tcW w:type="dxa" w:w="8928"/>
            <w:tcMar>
              <w:top w:w="40" w:type="dxa"/>
              <w:start w:w="120" w:type="dxa"/>
              <w:bottom w:w="40" w:type="dxa"/>
              <w:end w:w="120" w:type="dxa"/>
            </w:tcMar>
            <w:vAlign w:val="center"/>
          </w:tcPr>
          <w:p>
            <w:pPr>
              <w:spacing w:after="0"/>
            </w:pPr>
            <w:r>
              <w:rPr>
                <w:sz w:val="17"/>
              </w:rPr>
              <w:t>04_Procesos_gastronomicos/EPIC-002_MetaModelo_Universal/05_Compatibilidad_BPMN.md</w:t>
            </w:r>
          </w:p>
        </w:tc>
      </w:tr>
      <w:tr>
        <w:tc>
          <w:tcPr>
            <w:tcW w:type="dxa" w:w="792"/>
            <w:tcMar>
              <w:top w:w="40" w:type="dxa"/>
              <w:start w:w="120" w:type="dxa"/>
              <w:bottom w:w="40" w:type="dxa"/>
              <w:end w:w="120" w:type="dxa"/>
            </w:tcMar>
            <w:vAlign w:val="center"/>
          </w:tcPr>
          <w:p>
            <w:pPr>
              <w:spacing w:after="0"/>
              <w:jc w:val="center"/>
            </w:pPr>
            <w:r>
              <w:rPr>
                <w:sz w:val="17"/>
              </w:rPr>
              <w:t>92</w:t>
            </w:r>
          </w:p>
        </w:tc>
        <w:tc>
          <w:tcPr>
            <w:tcW w:type="dxa" w:w="8928"/>
            <w:tcMar>
              <w:top w:w="40" w:type="dxa"/>
              <w:start w:w="120" w:type="dxa"/>
              <w:bottom w:w="40" w:type="dxa"/>
              <w:end w:w="120" w:type="dxa"/>
            </w:tcMar>
            <w:vAlign w:val="center"/>
          </w:tcPr>
          <w:p>
            <w:pPr>
              <w:spacing w:after="0"/>
            </w:pPr>
            <w:r>
              <w:rPr>
                <w:sz w:val="17"/>
              </w:rPr>
              <w:t>04_Procesos_gastronomicos/EPIC-002_MetaModelo_Universal/06_Compatibilidad_ArchiMate.md</w:t>
            </w:r>
          </w:p>
        </w:tc>
      </w:tr>
      <w:tr>
        <w:tc>
          <w:tcPr>
            <w:tcW w:type="dxa" w:w="792"/>
            <w:tcMar>
              <w:top w:w="40" w:type="dxa"/>
              <w:start w:w="120" w:type="dxa"/>
              <w:bottom w:w="40" w:type="dxa"/>
              <w:end w:w="120" w:type="dxa"/>
            </w:tcMar>
            <w:vAlign w:val="center"/>
          </w:tcPr>
          <w:p>
            <w:pPr>
              <w:spacing w:after="0"/>
              <w:jc w:val="center"/>
            </w:pPr>
            <w:r>
              <w:rPr>
                <w:sz w:val="17"/>
              </w:rPr>
              <w:t>93</w:t>
            </w:r>
          </w:p>
        </w:tc>
        <w:tc>
          <w:tcPr>
            <w:tcW w:type="dxa" w:w="8928"/>
            <w:tcMar>
              <w:top w:w="40" w:type="dxa"/>
              <w:start w:w="120" w:type="dxa"/>
              <w:bottom w:w="40" w:type="dxa"/>
              <w:end w:w="120" w:type="dxa"/>
            </w:tcMar>
            <w:vAlign w:val="center"/>
          </w:tcPr>
          <w:p>
            <w:pPr>
              <w:spacing w:after="0"/>
            </w:pPr>
            <w:r>
              <w:rPr>
                <w:sz w:val="17"/>
              </w:rPr>
              <w:t>04_Procesos_gastronomicos/EPIC-002_MetaModelo_Universal/07_Compatibilidad_software.md</w:t>
            </w:r>
          </w:p>
        </w:tc>
      </w:tr>
      <w:tr>
        <w:tc>
          <w:tcPr>
            <w:tcW w:type="dxa" w:w="792"/>
            <w:tcMar>
              <w:top w:w="40" w:type="dxa"/>
              <w:start w:w="120" w:type="dxa"/>
              <w:bottom w:w="40" w:type="dxa"/>
              <w:end w:w="120" w:type="dxa"/>
            </w:tcMar>
            <w:vAlign w:val="center"/>
          </w:tcPr>
          <w:p>
            <w:pPr>
              <w:spacing w:after="0"/>
              <w:jc w:val="center"/>
            </w:pPr>
            <w:r>
              <w:rPr>
                <w:sz w:val="17"/>
              </w:rPr>
              <w:t>94</w:t>
            </w:r>
          </w:p>
        </w:tc>
        <w:tc>
          <w:tcPr>
            <w:tcW w:type="dxa" w:w="8928"/>
            <w:tcMar>
              <w:top w:w="40" w:type="dxa"/>
              <w:start w:w="120" w:type="dxa"/>
              <w:bottom w:w="40" w:type="dxa"/>
              <w:end w:w="120" w:type="dxa"/>
            </w:tcMar>
            <w:vAlign w:val="center"/>
          </w:tcPr>
          <w:p>
            <w:pPr>
              <w:spacing w:after="0"/>
            </w:pPr>
            <w:r>
              <w:rPr>
                <w:sz w:val="17"/>
              </w:rPr>
              <w:t>04_Procesos_gastronomicos/EPIC-002_MetaModelo_Universal/08_Registro_de_issues.md</w:t>
            </w:r>
          </w:p>
        </w:tc>
      </w:tr>
      <w:tr>
        <w:tc>
          <w:tcPr>
            <w:tcW w:type="dxa" w:w="792"/>
            <w:tcMar>
              <w:top w:w="40" w:type="dxa"/>
              <w:start w:w="120" w:type="dxa"/>
              <w:bottom w:w="40" w:type="dxa"/>
              <w:end w:w="120" w:type="dxa"/>
            </w:tcMar>
            <w:vAlign w:val="center"/>
          </w:tcPr>
          <w:p>
            <w:pPr>
              <w:spacing w:after="0"/>
              <w:jc w:val="center"/>
            </w:pPr>
            <w:r>
              <w:rPr>
                <w:sz w:val="17"/>
              </w:rPr>
              <w:t>95</w:t>
            </w:r>
          </w:p>
        </w:tc>
        <w:tc>
          <w:tcPr>
            <w:tcW w:type="dxa" w:w="8928"/>
            <w:tcMar>
              <w:top w:w="40" w:type="dxa"/>
              <w:start w:w="120" w:type="dxa"/>
              <w:bottom w:w="40" w:type="dxa"/>
              <w:end w:w="120" w:type="dxa"/>
            </w:tcMar>
            <w:vAlign w:val="center"/>
          </w:tcPr>
          <w:p>
            <w:pPr>
              <w:spacing w:after="0"/>
            </w:pPr>
            <w:r>
              <w:rPr>
                <w:sz w:val="17"/>
              </w:rPr>
              <w:t>04_Procesos_gastronomicos/EPIC-002_MetaModelo_Universal/README.md</w:t>
            </w:r>
          </w:p>
        </w:tc>
      </w:tr>
      <w:tr>
        <w:tc>
          <w:tcPr>
            <w:tcW w:type="dxa" w:w="792"/>
            <w:tcMar>
              <w:top w:w="40" w:type="dxa"/>
              <w:start w:w="120" w:type="dxa"/>
              <w:bottom w:w="40" w:type="dxa"/>
              <w:end w:w="120" w:type="dxa"/>
            </w:tcMar>
            <w:vAlign w:val="center"/>
          </w:tcPr>
          <w:p>
            <w:pPr>
              <w:spacing w:after="0"/>
              <w:jc w:val="center"/>
            </w:pPr>
            <w:r>
              <w:rPr>
                <w:sz w:val="17"/>
              </w:rPr>
              <w:t>96</w:t>
            </w:r>
          </w:p>
        </w:tc>
        <w:tc>
          <w:tcPr>
            <w:tcW w:type="dxa" w:w="8928"/>
            <w:tcMar>
              <w:top w:w="40" w:type="dxa"/>
              <w:start w:w="120" w:type="dxa"/>
              <w:bottom w:w="40" w:type="dxa"/>
              <w:end w:w="120" w:type="dxa"/>
            </w:tcMar>
            <w:vAlign w:val="center"/>
          </w:tcPr>
          <w:p>
            <w:pPr>
              <w:spacing w:after="0"/>
            </w:pPr>
            <w:r>
              <w:rPr>
                <w:sz w:val="17"/>
              </w:rPr>
              <w:t>04_Procesos_gastronomicos/Fase4_Nucleo_universal_de_macroprocesos.md</w:t>
            </w:r>
          </w:p>
        </w:tc>
      </w:tr>
      <w:tr>
        <w:tc>
          <w:tcPr>
            <w:tcW w:type="dxa" w:w="792"/>
            <w:tcMar>
              <w:top w:w="40" w:type="dxa"/>
              <w:start w:w="120" w:type="dxa"/>
              <w:bottom w:w="40" w:type="dxa"/>
              <w:end w:w="120" w:type="dxa"/>
            </w:tcMar>
            <w:vAlign w:val="center"/>
          </w:tcPr>
          <w:p>
            <w:pPr>
              <w:spacing w:after="0"/>
              <w:jc w:val="center"/>
            </w:pPr>
            <w:r>
              <w:rPr>
                <w:sz w:val="17"/>
              </w:rPr>
              <w:t>97</w:t>
            </w:r>
          </w:p>
        </w:tc>
        <w:tc>
          <w:tcPr>
            <w:tcW w:type="dxa" w:w="8928"/>
            <w:tcMar>
              <w:top w:w="40" w:type="dxa"/>
              <w:start w:w="120" w:type="dxa"/>
              <w:bottom w:w="40" w:type="dxa"/>
              <w:end w:w="120" w:type="dxa"/>
            </w:tcMar>
            <w:vAlign w:val="center"/>
          </w:tcPr>
          <w:p>
            <w:pPr>
              <w:spacing w:after="0"/>
            </w:pPr>
            <w:r>
              <w:rPr>
                <w:sz w:val="17"/>
              </w:rPr>
              <w:t>04_Procesos_gastronomicos/README.md</w:t>
            </w:r>
          </w:p>
        </w:tc>
      </w:tr>
      <w:tr>
        <w:tc>
          <w:tcPr>
            <w:tcW w:type="dxa" w:w="792"/>
            <w:tcMar>
              <w:top w:w="40" w:type="dxa"/>
              <w:start w:w="120" w:type="dxa"/>
              <w:bottom w:w="40" w:type="dxa"/>
              <w:end w:w="120" w:type="dxa"/>
            </w:tcMar>
            <w:vAlign w:val="center"/>
          </w:tcPr>
          <w:p>
            <w:pPr>
              <w:spacing w:after="0"/>
              <w:jc w:val="center"/>
            </w:pPr>
            <w:r>
              <w:rPr>
                <w:sz w:val="17"/>
              </w:rPr>
              <w:t>98</w:t>
            </w:r>
          </w:p>
        </w:tc>
        <w:tc>
          <w:tcPr>
            <w:tcW w:type="dxa" w:w="8928"/>
            <w:tcMar>
              <w:top w:w="40" w:type="dxa"/>
              <w:start w:w="120" w:type="dxa"/>
              <w:bottom w:w="40" w:type="dxa"/>
              <w:end w:w="120" w:type="dxa"/>
            </w:tcMar>
            <w:vAlign w:val="center"/>
          </w:tcPr>
          <w:p>
            <w:pPr>
              <w:spacing w:after="0"/>
            </w:pPr>
            <w:r>
              <w:rPr>
                <w:sz w:val="17"/>
              </w:rPr>
              <w:t>05_Catalogo_KPI/GOEI_Catalogo_KPI_Candidatos_B3.md</w:t>
            </w:r>
          </w:p>
        </w:tc>
      </w:tr>
      <w:tr>
        <w:tc>
          <w:tcPr>
            <w:tcW w:type="dxa" w:w="792"/>
            <w:tcMar>
              <w:top w:w="40" w:type="dxa"/>
              <w:start w:w="120" w:type="dxa"/>
              <w:bottom w:w="40" w:type="dxa"/>
              <w:end w:w="120" w:type="dxa"/>
            </w:tcMar>
            <w:vAlign w:val="center"/>
          </w:tcPr>
          <w:p>
            <w:pPr>
              <w:spacing w:after="0"/>
              <w:jc w:val="center"/>
            </w:pPr>
            <w:r>
              <w:rPr>
                <w:sz w:val="17"/>
              </w:rPr>
              <w:t>99</w:t>
            </w:r>
          </w:p>
        </w:tc>
        <w:tc>
          <w:tcPr>
            <w:tcW w:type="dxa" w:w="8928"/>
            <w:tcMar>
              <w:top w:w="40" w:type="dxa"/>
              <w:start w:w="120" w:type="dxa"/>
              <w:bottom w:w="40" w:type="dxa"/>
              <w:end w:w="120" w:type="dxa"/>
            </w:tcMar>
            <w:vAlign w:val="center"/>
          </w:tcPr>
          <w:p>
            <w:pPr>
              <w:spacing w:after="0"/>
            </w:pPr>
            <w:r>
              <w:rPr>
                <w:sz w:val="17"/>
              </w:rPr>
              <w:t>05_Catalogo_KPI/GOEI_Matriz_Cobertura_KPI_Candidatos_B3.md</w:t>
            </w:r>
          </w:p>
        </w:tc>
      </w:tr>
      <w:tr>
        <w:tc>
          <w:tcPr>
            <w:tcW w:type="dxa" w:w="792"/>
            <w:tcMar>
              <w:top w:w="40" w:type="dxa"/>
              <w:start w:w="120" w:type="dxa"/>
              <w:bottom w:w="40" w:type="dxa"/>
              <w:end w:w="120" w:type="dxa"/>
            </w:tcMar>
            <w:vAlign w:val="center"/>
          </w:tcPr>
          <w:p>
            <w:pPr>
              <w:spacing w:after="0"/>
              <w:jc w:val="center"/>
            </w:pPr>
            <w:r>
              <w:rPr>
                <w:sz w:val="17"/>
              </w:rPr>
              <w:t>100</w:t>
            </w:r>
          </w:p>
        </w:tc>
        <w:tc>
          <w:tcPr>
            <w:tcW w:type="dxa" w:w="8928"/>
            <w:tcMar>
              <w:top w:w="40" w:type="dxa"/>
              <w:start w:w="120" w:type="dxa"/>
              <w:bottom w:w="40" w:type="dxa"/>
              <w:end w:w="120" w:type="dxa"/>
            </w:tcMar>
            <w:vAlign w:val="center"/>
          </w:tcPr>
          <w:p>
            <w:pPr>
              <w:spacing w:after="0"/>
            </w:pPr>
            <w:r>
              <w:rPr>
                <w:sz w:val="17"/>
              </w:rPr>
              <w:t>05_Catalogo_KPI/README.md</w:t>
            </w:r>
          </w:p>
        </w:tc>
      </w:tr>
      <w:tr>
        <w:tc>
          <w:tcPr>
            <w:tcW w:type="dxa" w:w="792"/>
            <w:tcMar>
              <w:top w:w="40" w:type="dxa"/>
              <w:start w:w="120" w:type="dxa"/>
              <w:bottom w:w="40" w:type="dxa"/>
              <w:end w:w="120" w:type="dxa"/>
            </w:tcMar>
            <w:vAlign w:val="center"/>
          </w:tcPr>
          <w:p>
            <w:pPr>
              <w:spacing w:after="0"/>
              <w:jc w:val="center"/>
            </w:pPr>
            <w:r>
              <w:rPr>
                <w:sz w:val="17"/>
              </w:rPr>
              <w:t>101</w:t>
            </w:r>
          </w:p>
        </w:tc>
        <w:tc>
          <w:tcPr>
            <w:tcW w:type="dxa" w:w="8928"/>
            <w:tcMar>
              <w:top w:w="40" w:type="dxa"/>
              <w:start w:w="120" w:type="dxa"/>
              <w:bottom w:w="40" w:type="dxa"/>
              <w:end w:w="120" w:type="dxa"/>
            </w:tcMar>
            <w:vAlign w:val="center"/>
          </w:tcPr>
          <w:p>
            <w:pPr>
              <w:spacing w:after="0"/>
            </w:pPr>
            <w:r>
              <w:rPr>
                <w:sz w:val="17"/>
              </w:rPr>
              <w:t>06_Normalizacion/arquitectura/GOEI_ARQ_B5_B6_GTRM_candidate.md</w:t>
            </w:r>
          </w:p>
        </w:tc>
      </w:tr>
      <w:tr>
        <w:tc>
          <w:tcPr>
            <w:tcW w:type="dxa" w:w="792"/>
            <w:tcMar>
              <w:top w:w="40" w:type="dxa"/>
              <w:start w:w="120" w:type="dxa"/>
              <w:bottom w:w="40" w:type="dxa"/>
              <w:end w:w="120" w:type="dxa"/>
            </w:tcMar>
            <w:vAlign w:val="center"/>
          </w:tcPr>
          <w:p>
            <w:pPr>
              <w:spacing w:after="0"/>
              <w:jc w:val="center"/>
            </w:pPr>
            <w:r>
              <w:rPr>
                <w:sz w:val="17"/>
              </w:rPr>
              <w:t>102</w:t>
            </w:r>
          </w:p>
        </w:tc>
        <w:tc>
          <w:tcPr>
            <w:tcW w:type="dxa" w:w="8928"/>
            <w:tcMar>
              <w:top w:w="40" w:type="dxa"/>
              <w:start w:w="120" w:type="dxa"/>
              <w:bottom w:w="40" w:type="dxa"/>
              <w:end w:w="120" w:type="dxa"/>
            </w:tcMar>
            <w:vAlign w:val="center"/>
          </w:tcPr>
          <w:p>
            <w:pPr>
              <w:spacing w:after="0"/>
            </w:pPr>
            <w:r>
              <w:rPr>
                <w:sz w:val="17"/>
              </w:rPr>
              <w:t>06_Normalizacion/README.md</w:t>
            </w:r>
          </w:p>
        </w:tc>
      </w:tr>
      <w:tr>
        <w:tc>
          <w:tcPr>
            <w:tcW w:type="dxa" w:w="792"/>
            <w:tcMar>
              <w:top w:w="40" w:type="dxa"/>
              <w:start w:w="120" w:type="dxa"/>
              <w:bottom w:w="40" w:type="dxa"/>
              <w:end w:w="120" w:type="dxa"/>
            </w:tcMar>
            <w:vAlign w:val="center"/>
          </w:tcPr>
          <w:p>
            <w:pPr>
              <w:spacing w:after="0"/>
              <w:jc w:val="center"/>
            </w:pPr>
            <w:r>
              <w:rPr>
                <w:sz w:val="17"/>
              </w:rPr>
              <w:t>103</w:t>
            </w:r>
          </w:p>
        </w:tc>
        <w:tc>
          <w:tcPr>
            <w:tcW w:type="dxa" w:w="8928"/>
            <w:tcMar>
              <w:top w:w="40" w:type="dxa"/>
              <w:start w:w="120" w:type="dxa"/>
              <w:bottom w:w="40" w:type="dxa"/>
              <w:end w:w="120" w:type="dxa"/>
            </w:tcMar>
            <w:vAlign w:val="center"/>
          </w:tcPr>
          <w:p>
            <w:pPr>
              <w:spacing w:after="0"/>
            </w:pPr>
            <w:r>
              <w:rPr>
                <w:sz w:val="17"/>
              </w:rPr>
              <w:t>07_Ponderacion_y_formula/README.md</w:t>
            </w:r>
          </w:p>
        </w:tc>
      </w:tr>
      <w:tr>
        <w:tc>
          <w:tcPr>
            <w:tcW w:type="dxa" w:w="792"/>
            <w:tcMar>
              <w:top w:w="40" w:type="dxa"/>
              <w:start w:w="120" w:type="dxa"/>
              <w:bottom w:w="40" w:type="dxa"/>
              <w:end w:w="120" w:type="dxa"/>
            </w:tcMar>
            <w:vAlign w:val="center"/>
          </w:tcPr>
          <w:p>
            <w:pPr>
              <w:spacing w:after="0"/>
              <w:jc w:val="center"/>
            </w:pPr>
            <w:r>
              <w:rPr>
                <w:sz w:val="17"/>
              </w:rPr>
              <w:t>104</w:t>
            </w:r>
          </w:p>
        </w:tc>
        <w:tc>
          <w:tcPr>
            <w:tcW w:type="dxa" w:w="8928"/>
            <w:tcMar>
              <w:top w:w="40" w:type="dxa"/>
              <w:start w:w="120" w:type="dxa"/>
              <w:bottom w:w="40" w:type="dxa"/>
              <w:end w:w="120" w:type="dxa"/>
            </w:tcMar>
            <w:vAlign w:val="center"/>
          </w:tcPr>
          <w:p>
            <w:pPr>
              <w:spacing w:after="0"/>
            </w:pPr>
            <w:r>
              <w:rPr>
                <w:sz w:val="17"/>
              </w:rPr>
              <w:t>08_Interpretacion/README.md</w:t>
            </w:r>
          </w:p>
        </w:tc>
      </w:tr>
      <w:tr>
        <w:tc>
          <w:tcPr>
            <w:tcW w:type="dxa" w:w="792"/>
            <w:tcMar>
              <w:top w:w="40" w:type="dxa"/>
              <w:start w:w="120" w:type="dxa"/>
              <w:bottom w:w="40" w:type="dxa"/>
              <w:end w:w="120" w:type="dxa"/>
            </w:tcMar>
            <w:vAlign w:val="center"/>
          </w:tcPr>
          <w:p>
            <w:pPr>
              <w:spacing w:after="0"/>
              <w:jc w:val="center"/>
            </w:pPr>
            <w:r>
              <w:rPr>
                <w:sz w:val="17"/>
              </w:rPr>
              <w:t>105</w:t>
            </w:r>
          </w:p>
        </w:tc>
        <w:tc>
          <w:tcPr>
            <w:tcW w:type="dxa" w:w="8928"/>
            <w:tcMar>
              <w:top w:w="40" w:type="dxa"/>
              <w:start w:w="120" w:type="dxa"/>
              <w:bottom w:w="40" w:type="dxa"/>
              <w:end w:w="120" w:type="dxa"/>
            </w:tcMar>
            <w:vAlign w:val="center"/>
          </w:tcPr>
          <w:p>
            <w:pPr>
              <w:spacing w:after="0"/>
            </w:pPr>
            <w:r>
              <w:rPr>
                <w:sz w:val="17"/>
              </w:rPr>
              <w:t>09_Manual_tecnico_general/candidatos/GOEI_ONT_v0.2.0_candidate_GTRM.md</w:t>
            </w:r>
          </w:p>
        </w:tc>
      </w:tr>
      <w:tr>
        <w:tc>
          <w:tcPr>
            <w:tcW w:type="dxa" w:w="792"/>
            <w:tcMar>
              <w:top w:w="40" w:type="dxa"/>
              <w:start w:w="120" w:type="dxa"/>
              <w:bottom w:w="40" w:type="dxa"/>
              <w:end w:w="120" w:type="dxa"/>
            </w:tcMar>
            <w:vAlign w:val="center"/>
          </w:tcPr>
          <w:p>
            <w:pPr>
              <w:spacing w:after="0"/>
              <w:jc w:val="center"/>
            </w:pPr>
            <w:r>
              <w:rPr>
                <w:sz w:val="17"/>
              </w:rPr>
              <w:t>106</w:t>
            </w:r>
          </w:p>
        </w:tc>
        <w:tc>
          <w:tcPr>
            <w:tcW w:type="dxa" w:w="8928"/>
            <w:tcMar>
              <w:top w:w="40" w:type="dxa"/>
              <w:start w:w="120" w:type="dxa"/>
              <w:bottom w:w="40" w:type="dxa"/>
              <w:end w:w="120" w:type="dxa"/>
            </w:tcMar>
            <w:vAlign w:val="center"/>
          </w:tcPr>
          <w:p>
            <w:pPr>
              <w:spacing w:after="0"/>
            </w:pPr>
            <w:r>
              <w:rPr>
                <w:sz w:val="17"/>
              </w:rPr>
              <w:t>09_Manual_tecnico_general/EPIC-001_GOEI_Knowledge_Graph/01_GOEI_MetaModel.md</w:t>
            </w:r>
          </w:p>
        </w:tc>
      </w:tr>
      <w:tr>
        <w:tc>
          <w:tcPr>
            <w:tcW w:type="dxa" w:w="792"/>
            <w:tcMar>
              <w:top w:w="40" w:type="dxa"/>
              <w:start w:w="120" w:type="dxa"/>
              <w:bottom w:w="40" w:type="dxa"/>
              <w:end w:w="120" w:type="dxa"/>
            </w:tcMar>
            <w:vAlign w:val="center"/>
          </w:tcPr>
          <w:p>
            <w:pPr>
              <w:spacing w:after="0"/>
              <w:jc w:val="center"/>
            </w:pPr>
            <w:r>
              <w:rPr>
                <w:sz w:val="17"/>
              </w:rPr>
              <w:t>107</w:t>
            </w:r>
          </w:p>
        </w:tc>
        <w:tc>
          <w:tcPr>
            <w:tcW w:type="dxa" w:w="8928"/>
            <w:tcMar>
              <w:top w:w="40" w:type="dxa"/>
              <w:start w:w="120" w:type="dxa"/>
              <w:bottom w:w="40" w:type="dxa"/>
              <w:end w:w="120" w:type="dxa"/>
            </w:tcMar>
            <w:vAlign w:val="center"/>
          </w:tcPr>
          <w:p>
            <w:pPr>
              <w:spacing w:after="0"/>
            </w:pPr>
            <w:r>
              <w:rPr>
                <w:sz w:val="17"/>
              </w:rPr>
              <w:t>09_Manual_tecnico_general/EPIC-001_GOEI_Knowledge_Graph/02_GOEI_Knowledge_Graph.md</w:t>
            </w:r>
          </w:p>
        </w:tc>
      </w:tr>
      <w:tr>
        <w:tc>
          <w:tcPr>
            <w:tcW w:type="dxa" w:w="792"/>
            <w:tcMar>
              <w:top w:w="40" w:type="dxa"/>
              <w:start w:w="120" w:type="dxa"/>
              <w:bottom w:w="40" w:type="dxa"/>
              <w:end w:w="120" w:type="dxa"/>
            </w:tcMar>
            <w:vAlign w:val="center"/>
          </w:tcPr>
          <w:p>
            <w:pPr>
              <w:spacing w:after="0"/>
              <w:jc w:val="center"/>
            </w:pPr>
            <w:r>
              <w:rPr>
                <w:sz w:val="17"/>
              </w:rPr>
              <w:t>108</w:t>
            </w:r>
          </w:p>
        </w:tc>
        <w:tc>
          <w:tcPr>
            <w:tcW w:type="dxa" w:w="8928"/>
            <w:tcMar>
              <w:top w:w="40" w:type="dxa"/>
              <w:start w:w="120" w:type="dxa"/>
              <w:bottom w:w="40" w:type="dxa"/>
              <w:end w:w="120" w:type="dxa"/>
            </w:tcMar>
            <w:vAlign w:val="center"/>
          </w:tcPr>
          <w:p>
            <w:pPr>
              <w:spacing w:after="0"/>
            </w:pPr>
            <w:r>
              <w:rPr>
                <w:sz w:val="17"/>
              </w:rPr>
              <w:t>09_Manual_tecnico_general/EPIC-001_GOEI_Knowledge_Graph/03_Diccionario_de_entidades.md</w:t>
            </w:r>
          </w:p>
        </w:tc>
      </w:tr>
      <w:tr>
        <w:tc>
          <w:tcPr>
            <w:tcW w:type="dxa" w:w="792"/>
            <w:tcMar>
              <w:top w:w="40" w:type="dxa"/>
              <w:start w:w="120" w:type="dxa"/>
              <w:bottom w:w="40" w:type="dxa"/>
              <w:end w:w="120" w:type="dxa"/>
            </w:tcMar>
            <w:vAlign w:val="center"/>
          </w:tcPr>
          <w:p>
            <w:pPr>
              <w:spacing w:after="0"/>
              <w:jc w:val="center"/>
            </w:pPr>
            <w:r>
              <w:rPr>
                <w:sz w:val="17"/>
              </w:rPr>
              <w:t>109</w:t>
            </w:r>
          </w:p>
        </w:tc>
        <w:tc>
          <w:tcPr>
            <w:tcW w:type="dxa" w:w="8928"/>
            <w:tcMar>
              <w:top w:w="40" w:type="dxa"/>
              <w:start w:w="120" w:type="dxa"/>
              <w:bottom w:w="40" w:type="dxa"/>
              <w:end w:w="120" w:type="dxa"/>
            </w:tcMar>
            <w:vAlign w:val="center"/>
          </w:tcPr>
          <w:p>
            <w:pPr>
              <w:spacing w:after="0"/>
            </w:pPr>
            <w:r>
              <w:rPr>
                <w:sz w:val="17"/>
              </w:rPr>
              <w:t>09_Manual_tecnico_general/EPIC-001_GOEI_Knowledge_Graph/04_Diccionario_de_relaciones.md</w:t>
            </w:r>
          </w:p>
        </w:tc>
      </w:tr>
      <w:tr>
        <w:tc>
          <w:tcPr>
            <w:tcW w:type="dxa" w:w="792"/>
            <w:tcMar>
              <w:top w:w="40" w:type="dxa"/>
              <w:start w:w="120" w:type="dxa"/>
              <w:bottom w:w="40" w:type="dxa"/>
              <w:end w:w="120" w:type="dxa"/>
            </w:tcMar>
            <w:vAlign w:val="center"/>
          </w:tcPr>
          <w:p>
            <w:pPr>
              <w:spacing w:after="0"/>
              <w:jc w:val="center"/>
            </w:pPr>
            <w:r>
              <w:rPr>
                <w:sz w:val="17"/>
              </w:rPr>
              <w:t>110</w:t>
            </w:r>
          </w:p>
        </w:tc>
        <w:tc>
          <w:tcPr>
            <w:tcW w:type="dxa" w:w="8928"/>
            <w:tcMar>
              <w:top w:w="40" w:type="dxa"/>
              <w:start w:w="120" w:type="dxa"/>
              <w:bottom w:w="40" w:type="dxa"/>
              <w:end w:w="120" w:type="dxa"/>
            </w:tcMar>
            <w:vAlign w:val="center"/>
          </w:tcPr>
          <w:p>
            <w:pPr>
              <w:spacing w:after="0"/>
            </w:pPr>
            <w:r>
              <w:rPr>
                <w:sz w:val="17"/>
              </w:rPr>
              <w:t>09_Manual_tecnico_general/EPIC-001_GOEI_Knowledge_Graph/05_Reglas_de_integridad.md</w:t>
            </w:r>
          </w:p>
        </w:tc>
      </w:tr>
      <w:tr>
        <w:tc>
          <w:tcPr>
            <w:tcW w:type="dxa" w:w="792"/>
            <w:tcMar>
              <w:top w:w="40" w:type="dxa"/>
              <w:start w:w="120" w:type="dxa"/>
              <w:bottom w:w="40" w:type="dxa"/>
              <w:end w:w="120" w:type="dxa"/>
            </w:tcMar>
            <w:vAlign w:val="center"/>
          </w:tcPr>
          <w:p>
            <w:pPr>
              <w:spacing w:after="0"/>
              <w:jc w:val="center"/>
            </w:pPr>
            <w:r>
              <w:rPr>
                <w:sz w:val="17"/>
              </w:rPr>
              <w:t>111</w:t>
            </w:r>
          </w:p>
        </w:tc>
        <w:tc>
          <w:tcPr>
            <w:tcW w:type="dxa" w:w="8928"/>
            <w:tcMar>
              <w:top w:w="40" w:type="dxa"/>
              <w:start w:w="120" w:type="dxa"/>
              <w:bottom w:w="40" w:type="dxa"/>
              <w:end w:w="120" w:type="dxa"/>
            </w:tcMar>
            <w:vAlign w:val="center"/>
          </w:tcPr>
          <w:p>
            <w:pPr>
              <w:spacing w:after="0"/>
            </w:pPr>
            <w:r>
              <w:rPr>
                <w:sz w:val="17"/>
              </w:rPr>
              <w:t>09_Manual_tecnico_general/EPIC-001_GOEI_Knowledge_Graph/06_Restricciones_de_consistencia.md</w:t>
            </w:r>
          </w:p>
        </w:tc>
      </w:tr>
      <w:tr>
        <w:tc>
          <w:tcPr>
            <w:tcW w:type="dxa" w:w="792"/>
            <w:tcMar>
              <w:top w:w="40" w:type="dxa"/>
              <w:start w:w="120" w:type="dxa"/>
              <w:bottom w:w="40" w:type="dxa"/>
              <w:end w:w="120" w:type="dxa"/>
            </w:tcMar>
            <w:vAlign w:val="center"/>
          </w:tcPr>
          <w:p>
            <w:pPr>
              <w:spacing w:after="0"/>
              <w:jc w:val="center"/>
            </w:pPr>
            <w:r>
              <w:rPr>
                <w:sz w:val="17"/>
              </w:rPr>
              <w:t>112</w:t>
            </w:r>
          </w:p>
        </w:tc>
        <w:tc>
          <w:tcPr>
            <w:tcW w:type="dxa" w:w="8928"/>
            <w:tcMar>
              <w:top w:w="40" w:type="dxa"/>
              <w:start w:w="120" w:type="dxa"/>
              <w:bottom w:w="40" w:type="dxa"/>
              <w:end w:w="120" w:type="dxa"/>
            </w:tcMar>
            <w:vAlign w:val="center"/>
          </w:tcPr>
          <w:p>
            <w:pPr>
              <w:spacing w:after="0"/>
            </w:pPr>
            <w:r>
              <w:rPr>
                <w:sz w:val="17"/>
              </w:rPr>
              <w:t>09_Manual_tecnico_general/EPIC-001_GOEI_Knowledge_Graph/07_Reglas_de_navegacion.md</w:t>
            </w:r>
          </w:p>
        </w:tc>
      </w:tr>
      <w:tr>
        <w:tc>
          <w:tcPr>
            <w:tcW w:type="dxa" w:w="792"/>
            <w:tcMar>
              <w:top w:w="40" w:type="dxa"/>
              <w:start w:w="120" w:type="dxa"/>
              <w:bottom w:w="40" w:type="dxa"/>
              <w:end w:w="120" w:type="dxa"/>
            </w:tcMar>
            <w:vAlign w:val="center"/>
          </w:tcPr>
          <w:p>
            <w:pPr>
              <w:spacing w:after="0"/>
              <w:jc w:val="center"/>
            </w:pPr>
            <w:r>
              <w:rPr>
                <w:sz w:val="17"/>
              </w:rPr>
              <w:t>113</w:t>
            </w:r>
          </w:p>
        </w:tc>
        <w:tc>
          <w:tcPr>
            <w:tcW w:type="dxa" w:w="8928"/>
            <w:tcMar>
              <w:top w:w="40" w:type="dxa"/>
              <w:start w:w="120" w:type="dxa"/>
              <w:bottom w:w="40" w:type="dxa"/>
              <w:end w:w="120" w:type="dxa"/>
            </w:tcMar>
            <w:vAlign w:val="center"/>
          </w:tcPr>
          <w:p>
            <w:pPr>
              <w:spacing w:after="0"/>
            </w:pPr>
            <w:r>
              <w:rPr>
                <w:sz w:val="17"/>
              </w:rPr>
              <w:t>09_Manual_tecnico_general/EPIC-001_GOEI_Knowledge_Graph/08_Diagrama_conceptual.md</w:t>
            </w:r>
          </w:p>
        </w:tc>
      </w:tr>
      <w:tr>
        <w:tc>
          <w:tcPr>
            <w:tcW w:type="dxa" w:w="792"/>
            <w:tcMar>
              <w:top w:w="40" w:type="dxa"/>
              <w:start w:w="120" w:type="dxa"/>
              <w:bottom w:w="40" w:type="dxa"/>
              <w:end w:w="120" w:type="dxa"/>
            </w:tcMar>
            <w:vAlign w:val="center"/>
          </w:tcPr>
          <w:p>
            <w:pPr>
              <w:spacing w:after="0"/>
              <w:jc w:val="center"/>
            </w:pPr>
            <w:r>
              <w:rPr>
                <w:sz w:val="17"/>
              </w:rPr>
              <w:t>114</w:t>
            </w:r>
          </w:p>
        </w:tc>
        <w:tc>
          <w:tcPr>
            <w:tcW w:type="dxa" w:w="8928"/>
            <w:tcMar>
              <w:top w:w="40" w:type="dxa"/>
              <w:start w:w="120" w:type="dxa"/>
              <w:bottom w:w="40" w:type="dxa"/>
              <w:end w:w="120" w:type="dxa"/>
            </w:tcMar>
            <w:vAlign w:val="center"/>
          </w:tcPr>
          <w:p>
            <w:pPr>
              <w:spacing w:after="0"/>
            </w:pPr>
            <w:r>
              <w:rPr>
                <w:sz w:val="17"/>
              </w:rPr>
              <w:t>09_Manual_tecnico_general/EPIC-001_GOEI_Knowledge_Graph/09_Matriz_Entidad_Relacion.md</w:t>
            </w:r>
          </w:p>
        </w:tc>
      </w:tr>
      <w:tr>
        <w:tc>
          <w:tcPr>
            <w:tcW w:type="dxa" w:w="792"/>
            <w:tcMar>
              <w:top w:w="40" w:type="dxa"/>
              <w:start w:w="120" w:type="dxa"/>
              <w:bottom w:w="40" w:type="dxa"/>
              <w:end w:w="120" w:type="dxa"/>
            </w:tcMar>
            <w:vAlign w:val="center"/>
          </w:tcPr>
          <w:p>
            <w:pPr>
              <w:spacing w:after="0"/>
              <w:jc w:val="center"/>
            </w:pPr>
            <w:r>
              <w:rPr>
                <w:sz w:val="17"/>
              </w:rPr>
              <w:t>115</w:t>
            </w:r>
          </w:p>
        </w:tc>
        <w:tc>
          <w:tcPr>
            <w:tcW w:type="dxa" w:w="8928"/>
            <w:tcMar>
              <w:top w:w="40" w:type="dxa"/>
              <w:start w:w="120" w:type="dxa"/>
              <w:bottom w:w="40" w:type="dxa"/>
              <w:end w:w="120" w:type="dxa"/>
            </w:tcMar>
            <w:vAlign w:val="center"/>
          </w:tcPr>
          <w:p>
            <w:pPr>
              <w:spacing w:after="0"/>
            </w:pPr>
            <w:r>
              <w:rPr>
                <w:sz w:val="17"/>
              </w:rPr>
              <w:t>09_Manual_tecnico_general/EPIC-001_GOEI_Knowledge_Graph/10_Recomendaciones_software.md</w:t>
            </w:r>
          </w:p>
        </w:tc>
      </w:tr>
      <w:tr>
        <w:tc>
          <w:tcPr>
            <w:tcW w:type="dxa" w:w="792"/>
            <w:tcMar>
              <w:top w:w="40" w:type="dxa"/>
              <w:start w:w="120" w:type="dxa"/>
              <w:bottom w:w="40" w:type="dxa"/>
              <w:end w:w="120" w:type="dxa"/>
            </w:tcMar>
            <w:vAlign w:val="center"/>
          </w:tcPr>
          <w:p>
            <w:pPr>
              <w:spacing w:after="0"/>
              <w:jc w:val="center"/>
            </w:pPr>
            <w:r>
              <w:rPr>
                <w:sz w:val="17"/>
              </w:rPr>
              <w:t>116</w:t>
            </w:r>
          </w:p>
        </w:tc>
        <w:tc>
          <w:tcPr>
            <w:tcW w:type="dxa" w:w="8928"/>
            <w:tcMar>
              <w:top w:w="40" w:type="dxa"/>
              <w:start w:w="120" w:type="dxa"/>
              <w:bottom w:w="40" w:type="dxa"/>
              <w:end w:w="120" w:type="dxa"/>
            </w:tcMar>
            <w:vAlign w:val="center"/>
          </w:tcPr>
          <w:p>
            <w:pPr>
              <w:spacing w:after="0"/>
            </w:pPr>
            <w:r>
              <w:rPr>
                <w:sz w:val="17"/>
              </w:rPr>
              <w:t>09_Manual_tecnico_general/EPIC-001_GOEI_Knowledge_Graph/11_Registro_de_issues.md</w:t>
            </w:r>
          </w:p>
        </w:tc>
      </w:tr>
      <w:tr>
        <w:tc>
          <w:tcPr>
            <w:tcW w:type="dxa" w:w="792"/>
            <w:tcMar>
              <w:top w:w="40" w:type="dxa"/>
              <w:start w:w="120" w:type="dxa"/>
              <w:bottom w:w="40" w:type="dxa"/>
              <w:end w:w="120" w:type="dxa"/>
            </w:tcMar>
            <w:vAlign w:val="center"/>
          </w:tcPr>
          <w:p>
            <w:pPr>
              <w:spacing w:after="0"/>
              <w:jc w:val="center"/>
            </w:pPr>
            <w:r>
              <w:rPr>
                <w:sz w:val="17"/>
              </w:rPr>
              <w:t>117</w:t>
            </w:r>
          </w:p>
        </w:tc>
        <w:tc>
          <w:tcPr>
            <w:tcW w:type="dxa" w:w="8928"/>
            <w:tcMar>
              <w:top w:w="40" w:type="dxa"/>
              <w:start w:w="120" w:type="dxa"/>
              <w:bottom w:w="40" w:type="dxa"/>
              <w:end w:w="120" w:type="dxa"/>
            </w:tcMar>
            <w:vAlign w:val="center"/>
          </w:tcPr>
          <w:p>
            <w:pPr>
              <w:spacing w:after="0"/>
            </w:pPr>
            <w:r>
              <w:rPr>
                <w:sz w:val="17"/>
              </w:rPr>
              <w:t>09_Manual_tecnico_general/EPIC-001_GOEI_Knowledge_Graph/implementacion/README.md</w:t>
            </w:r>
          </w:p>
        </w:tc>
      </w:tr>
      <w:tr>
        <w:tc>
          <w:tcPr>
            <w:tcW w:type="dxa" w:w="792"/>
            <w:tcMar>
              <w:top w:w="40" w:type="dxa"/>
              <w:start w:w="120" w:type="dxa"/>
              <w:bottom w:w="40" w:type="dxa"/>
              <w:end w:w="120" w:type="dxa"/>
            </w:tcMar>
            <w:vAlign w:val="center"/>
          </w:tcPr>
          <w:p>
            <w:pPr>
              <w:spacing w:after="0"/>
              <w:jc w:val="center"/>
            </w:pPr>
            <w:r>
              <w:rPr>
                <w:sz w:val="17"/>
              </w:rPr>
              <w:t>118</w:t>
            </w:r>
          </w:p>
        </w:tc>
        <w:tc>
          <w:tcPr>
            <w:tcW w:type="dxa" w:w="8928"/>
            <w:tcMar>
              <w:top w:w="40" w:type="dxa"/>
              <w:start w:w="120" w:type="dxa"/>
              <w:bottom w:w="40" w:type="dxa"/>
              <w:end w:w="120" w:type="dxa"/>
            </w:tcMar>
            <w:vAlign w:val="center"/>
          </w:tcPr>
          <w:p>
            <w:pPr>
              <w:spacing w:after="0"/>
            </w:pPr>
            <w:r>
              <w:rPr>
                <w:sz w:val="17"/>
              </w:rPr>
              <w:t>09_Manual_tecnico_general/EPIC-001_GOEI_Knowledge_Graph/README.md</w:t>
            </w:r>
          </w:p>
        </w:tc>
      </w:tr>
      <w:tr>
        <w:tc>
          <w:tcPr>
            <w:tcW w:type="dxa" w:w="792"/>
            <w:tcMar>
              <w:top w:w="40" w:type="dxa"/>
              <w:start w:w="120" w:type="dxa"/>
              <w:bottom w:w="40" w:type="dxa"/>
              <w:end w:w="120" w:type="dxa"/>
            </w:tcMar>
            <w:vAlign w:val="center"/>
          </w:tcPr>
          <w:p>
            <w:pPr>
              <w:spacing w:after="0"/>
              <w:jc w:val="center"/>
            </w:pPr>
            <w:r>
              <w:rPr>
                <w:sz w:val="17"/>
              </w:rPr>
              <w:t>119</w:t>
            </w:r>
          </w:p>
        </w:tc>
        <w:tc>
          <w:tcPr>
            <w:tcW w:type="dxa" w:w="8928"/>
            <w:tcMar>
              <w:top w:w="40" w:type="dxa"/>
              <w:start w:w="120" w:type="dxa"/>
              <w:bottom w:w="40" w:type="dxa"/>
              <w:end w:w="120" w:type="dxa"/>
            </w:tcMar>
            <w:vAlign w:val="center"/>
          </w:tcPr>
          <w:p>
            <w:pPr>
              <w:spacing w:after="0"/>
            </w:pPr>
            <w:r>
              <w:rPr>
                <w:sz w:val="17"/>
              </w:rPr>
              <w:t>09_Manual_tecnico_general/Fase3_D005_Arquitectura_del_Estandar_GOEI.md</w:t>
            </w:r>
          </w:p>
        </w:tc>
      </w:tr>
      <w:tr>
        <w:tc>
          <w:tcPr>
            <w:tcW w:type="dxa" w:w="792"/>
            <w:tcMar>
              <w:top w:w="40" w:type="dxa"/>
              <w:start w:w="120" w:type="dxa"/>
              <w:bottom w:w="40" w:type="dxa"/>
              <w:end w:w="120" w:type="dxa"/>
            </w:tcMar>
            <w:vAlign w:val="center"/>
          </w:tcPr>
          <w:p>
            <w:pPr>
              <w:spacing w:after="0"/>
              <w:jc w:val="center"/>
            </w:pPr>
            <w:r>
              <w:rPr>
                <w:sz w:val="17"/>
              </w:rPr>
              <w:t>120</w:t>
            </w:r>
          </w:p>
        </w:tc>
        <w:tc>
          <w:tcPr>
            <w:tcW w:type="dxa" w:w="8928"/>
            <w:tcMar>
              <w:top w:w="40" w:type="dxa"/>
              <w:start w:w="120" w:type="dxa"/>
              <w:bottom w:w="40" w:type="dxa"/>
              <w:end w:w="120" w:type="dxa"/>
            </w:tcMar>
            <w:vAlign w:val="center"/>
          </w:tcPr>
          <w:p>
            <w:pPr>
              <w:spacing w:after="0"/>
            </w:pPr>
            <w:r>
              <w:rPr>
                <w:sz w:val="17"/>
              </w:rPr>
              <w:t>09_Manual_tecnico_general/Fase4_D006_Ontologia_del_GOEI.md</w:t>
            </w:r>
          </w:p>
        </w:tc>
      </w:tr>
      <w:tr>
        <w:tc>
          <w:tcPr>
            <w:tcW w:type="dxa" w:w="792"/>
            <w:tcMar>
              <w:top w:w="40" w:type="dxa"/>
              <w:start w:w="120" w:type="dxa"/>
              <w:bottom w:w="40" w:type="dxa"/>
              <w:end w:w="120" w:type="dxa"/>
            </w:tcMar>
            <w:vAlign w:val="center"/>
          </w:tcPr>
          <w:p>
            <w:pPr>
              <w:spacing w:after="0"/>
              <w:jc w:val="center"/>
            </w:pPr>
            <w:r>
              <w:rPr>
                <w:sz w:val="17"/>
              </w:rPr>
              <w:t>121</w:t>
            </w:r>
          </w:p>
        </w:tc>
        <w:tc>
          <w:tcPr>
            <w:tcW w:type="dxa" w:w="8928"/>
            <w:tcMar>
              <w:top w:w="40" w:type="dxa"/>
              <w:start w:w="120" w:type="dxa"/>
              <w:bottom w:w="40" w:type="dxa"/>
              <w:end w:w="120" w:type="dxa"/>
            </w:tcMar>
            <w:vAlign w:val="center"/>
          </w:tcPr>
          <w:p>
            <w:pPr>
              <w:spacing w:after="0"/>
            </w:pPr>
            <w:r>
              <w:rPr>
                <w:sz w:val="17"/>
              </w:rPr>
              <w:t>09_Manual_tecnico_general/Fase4_D006_REV_Ontologia_revision_y_cierre.md</w:t>
            </w:r>
          </w:p>
        </w:tc>
      </w:tr>
      <w:tr>
        <w:tc>
          <w:tcPr>
            <w:tcW w:type="dxa" w:w="792"/>
            <w:tcMar>
              <w:top w:w="40" w:type="dxa"/>
              <w:start w:w="120" w:type="dxa"/>
              <w:bottom w:w="40" w:type="dxa"/>
              <w:end w:w="120" w:type="dxa"/>
            </w:tcMar>
            <w:vAlign w:val="center"/>
          </w:tcPr>
          <w:p>
            <w:pPr>
              <w:spacing w:after="0"/>
              <w:jc w:val="center"/>
            </w:pPr>
            <w:r>
              <w:rPr>
                <w:sz w:val="17"/>
              </w:rPr>
              <w:t>122</w:t>
            </w:r>
          </w:p>
        </w:tc>
        <w:tc>
          <w:tcPr>
            <w:tcW w:type="dxa" w:w="8928"/>
            <w:tcMar>
              <w:top w:w="40" w:type="dxa"/>
              <w:start w:w="120" w:type="dxa"/>
              <w:bottom w:w="40" w:type="dxa"/>
              <w:end w:w="120" w:type="dxa"/>
            </w:tcMar>
            <w:vAlign w:val="center"/>
          </w:tcPr>
          <w:p>
            <w:pPr>
              <w:spacing w:after="0"/>
            </w:pPr>
            <w:r>
              <w:rPr>
                <w:sz w:val="17"/>
              </w:rPr>
              <w:t>09_Manual_tecnico_general/GOEI_BOK/README.md</w:t>
            </w:r>
          </w:p>
        </w:tc>
      </w:tr>
      <w:tr>
        <w:tc>
          <w:tcPr>
            <w:tcW w:type="dxa" w:w="792"/>
            <w:tcMar>
              <w:top w:w="40" w:type="dxa"/>
              <w:start w:w="120" w:type="dxa"/>
              <w:bottom w:w="40" w:type="dxa"/>
              <w:end w:w="120" w:type="dxa"/>
            </w:tcMar>
            <w:vAlign w:val="center"/>
          </w:tcPr>
          <w:p>
            <w:pPr>
              <w:spacing w:after="0"/>
              <w:jc w:val="center"/>
            </w:pPr>
            <w:r>
              <w:rPr>
                <w:sz w:val="17"/>
              </w:rPr>
              <w:t>123</w:t>
            </w:r>
          </w:p>
        </w:tc>
        <w:tc>
          <w:tcPr>
            <w:tcW w:type="dxa" w:w="8928"/>
            <w:tcMar>
              <w:top w:w="40" w:type="dxa"/>
              <w:start w:w="120" w:type="dxa"/>
              <w:bottom w:w="40" w:type="dxa"/>
              <w:end w:w="120" w:type="dxa"/>
            </w:tcMar>
            <w:vAlign w:val="center"/>
          </w:tcPr>
          <w:p>
            <w:pPr>
              <w:spacing w:after="0"/>
            </w:pPr>
            <w:r>
              <w:rPr>
                <w:sz w:val="17"/>
              </w:rPr>
              <w:t>09_Manual_tecnico_general/Revision_tecnica_arquitectonica_D006.md</w:t>
            </w:r>
          </w:p>
        </w:tc>
      </w:tr>
      <w:tr>
        <w:tc>
          <w:tcPr>
            <w:tcW w:type="dxa" w:w="792"/>
            <w:tcMar>
              <w:top w:w="40" w:type="dxa"/>
              <w:start w:w="120" w:type="dxa"/>
              <w:bottom w:w="40" w:type="dxa"/>
              <w:end w:w="120" w:type="dxa"/>
            </w:tcMar>
            <w:vAlign w:val="center"/>
          </w:tcPr>
          <w:p>
            <w:pPr>
              <w:spacing w:after="0"/>
              <w:jc w:val="center"/>
            </w:pPr>
            <w:r>
              <w:rPr>
                <w:sz w:val="17"/>
              </w:rPr>
              <w:t>124</w:t>
            </w:r>
          </w:p>
        </w:tc>
        <w:tc>
          <w:tcPr>
            <w:tcW w:type="dxa" w:w="8928"/>
            <w:tcMar>
              <w:top w:w="40" w:type="dxa"/>
              <w:start w:w="120" w:type="dxa"/>
              <w:bottom w:w="40" w:type="dxa"/>
              <w:end w:w="120" w:type="dxa"/>
            </w:tcMar>
            <w:vAlign w:val="center"/>
          </w:tcPr>
          <w:p>
            <w:pPr>
              <w:spacing w:after="0"/>
            </w:pPr>
            <w:r>
              <w:rPr>
                <w:sz w:val="17"/>
              </w:rPr>
              <w:t>10_Manual_piloto/README.md</w:t>
            </w:r>
          </w:p>
        </w:tc>
      </w:tr>
      <w:tr>
        <w:tc>
          <w:tcPr>
            <w:tcW w:type="dxa" w:w="792"/>
            <w:tcMar>
              <w:top w:w="40" w:type="dxa"/>
              <w:start w:w="120" w:type="dxa"/>
              <w:bottom w:w="40" w:type="dxa"/>
              <w:end w:w="120" w:type="dxa"/>
            </w:tcMar>
            <w:vAlign w:val="center"/>
          </w:tcPr>
          <w:p>
            <w:pPr>
              <w:spacing w:after="0"/>
              <w:jc w:val="center"/>
            </w:pPr>
            <w:r>
              <w:rPr>
                <w:sz w:val="17"/>
              </w:rPr>
              <w:t>125</w:t>
            </w:r>
          </w:p>
        </w:tc>
        <w:tc>
          <w:tcPr>
            <w:tcW w:type="dxa" w:w="8928"/>
            <w:tcMar>
              <w:top w:w="40" w:type="dxa"/>
              <w:start w:w="120" w:type="dxa"/>
              <w:bottom w:w="40" w:type="dxa"/>
              <w:end w:w="120" w:type="dxa"/>
            </w:tcMar>
            <w:vAlign w:val="center"/>
          </w:tcPr>
          <w:p>
            <w:pPr>
              <w:spacing w:after="0"/>
            </w:pPr>
            <w:r>
              <w:rPr>
                <w:sz w:val="17"/>
              </w:rPr>
              <w:t>11_Validacion/README.md</w:t>
            </w:r>
          </w:p>
        </w:tc>
      </w:tr>
      <w:tr>
        <w:tc>
          <w:tcPr>
            <w:tcW w:type="dxa" w:w="792"/>
            <w:tcMar>
              <w:top w:w="40" w:type="dxa"/>
              <w:start w:w="120" w:type="dxa"/>
              <w:bottom w:w="40" w:type="dxa"/>
              <w:end w:w="120" w:type="dxa"/>
            </w:tcMar>
            <w:vAlign w:val="center"/>
          </w:tcPr>
          <w:p>
            <w:pPr>
              <w:spacing w:after="0"/>
              <w:jc w:val="center"/>
            </w:pPr>
            <w:r>
              <w:rPr>
                <w:sz w:val="17"/>
              </w:rPr>
              <w:t>126</w:t>
            </w:r>
          </w:p>
        </w:tc>
        <w:tc>
          <w:tcPr>
            <w:tcW w:type="dxa" w:w="8928"/>
            <w:tcMar>
              <w:top w:w="40" w:type="dxa"/>
              <w:start w:w="120" w:type="dxa"/>
              <w:bottom w:w="40" w:type="dxa"/>
              <w:end w:w="120" w:type="dxa"/>
            </w:tcMar>
            <w:vAlign w:val="center"/>
          </w:tcPr>
          <w:p>
            <w:pPr>
              <w:spacing w:after="0"/>
            </w:pPr>
            <w:r>
              <w:rPr>
                <w:sz w:val="17"/>
              </w:rPr>
              <w:t>12_Tesis/ensamblaje/Matriz_capitulo_evidencia_aprobada.md</w:t>
            </w:r>
          </w:p>
        </w:tc>
      </w:tr>
      <w:tr>
        <w:tc>
          <w:tcPr>
            <w:tcW w:type="dxa" w:w="792"/>
            <w:tcMar>
              <w:top w:w="40" w:type="dxa"/>
              <w:start w:w="120" w:type="dxa"/>
              <w:bottom w:w="40" w:type="dxa"/>
              <w:end w:w="120" w:type="dxa"/>
            </w:tcMar>
            <w:vAlign w:val="center"/>
          </w:tcPr>
          <w:p>
            <w:pPr>
              <w:spacing w:after="0"/>
              <w:jc w:val="center"/>
            </w:pPr>
            <w:r>
              <w:rPr>
                <w:sz w:val="17"/>
              </w:rPr>
              <w:t>127</w:t>
            </w:r>
          </w:p>
        </w:tc>
        <w:tc>
          <w:tcPr>
            <w:tcW w:type="dxa" w:w="8928"/>
            <w:tcMar>
              <w:top w:w="40" w:type="dxa"/>
              <w:start w:w="120" w:type="dxa"/>
              <w:bottom w:w="40" w:type="dxa"/>
              <w:end w:w="120" w:type="dxa"/>
            </w:tcMar>
            <w:vAlign w:val="center"/>
          </w:tcPr>
          <w:p>
            <w:pPr>
              <w:spacing w:after="0"/>
            </w:pPr>
            <w:r>
              <w:rPr>
                <w:sz w:val="17"/>
              </w:rPr>
              <w:t>12_Tesis/ensamblaje/Matriz_de_cumplimiento_plan_maestro.md</w:t>
            </w:r>
          </w:p>
        </w:tc>
      </w:tr>
      <w:tr>
        <w:tc>
          <w:tcPr>
            <w:tcW w:type="dxa" w:w="792"/>
            <w:tcMar>
              <w:top w:w="40" w:type="dxa"/>
              <w:start w:w="120" w:type="dxa"/>
              <w:bottom w:w="40" w:type="dxa"/>
              <w:end w:w="120" w:type="dxa"/>
            </w:tcMar>
            <w:vAlign w:val="center"/>
          </w:tcPr>
          <w:p>
            <w:pPr>
              <w:spacing w:after="0"/>
              <w:jc w:val="center"/>
            </w:pPr>
            <w:r>
              <w:rPr>
                <w:sz w:val="17"/>
              </w:rPr>
              <w:t>128</w:t>
            </w:r>
          </w:p>
        </w:tc>
        <w:tc>
          <w:tcPr>
            <w:tcW w:type="dxa" w:w="8928"/>
            <w:tcMar>
              <w:top w:w="40" w:type="dxa"/>
              <w:start w:w="120" w:type="dxa"/>
              <w:bottom w:w="40" w:type="dxa"/>
              <w:end w:w="120" w:type="dxa"/>
            </w:tcMar>
            <w:vAlign w:val="center"/>
          </w:tcPr>
          <w:p>
            <w:pPr>
              <w:spacing w:after="0"/>
            </w:pPr>
            <w:r>
              <w:rPr>
                <w:sz w:val="17"/>
              </w:rPr>
              <w:t>12_Tesis/ensamblaje/Matriz_de_ensamblaje_tesis.md</w:t>
            </w:r>
          </w:p>
        </w:tc>
      </w:tr>
      <w:tr>
        <w:tc>
          <w:tcPr>
            <w:tcW w:type="dxa" w:w="792"/>
            <w:tcMar>
              <w:top w:w="40" w:type="dxa"/>
              <w:start w:w="120" w:type="dxa"/>
              <w:bottom w:w="40" w:type="dxa"/>
              <w:end w:w="120" w:type="dxa"/>
            </w:tcMar>
            <w:vAlign w:val="center"/>
          </w:tcPr>
          <w:p>
            <w:pPr>
              <w:spacing w:after="0"/>
              <w:jc w:val="center"/>
            </w:pPr>
            <w:r>
              <w:rPr>
                <w:sz w:val="17"/>
              </w:rPr>
              <w:t>129</w:t>
            </w:r>
          </w:p>
        </w:tc>
        <w:tc>
          <w:tcPr>
            <w:tcW w:type="dxa" w:w="8928"/>
            <w:tcMar>
              <w:top w:w="40" w:type="dxa"/>
              <w:start w:w="120" w:type="dxa"/>
              <w:bottom w:w="40" w:type="dxa"/>
              <w:end w:w="120" w:type="dxa"/>
            </w:tcMar>
            <w:vAlign w:val="center"/>
          </w:tcPr>
          <w:p>
            <w:pPr>
              <w:spacing w:after="0"/>
            </w:pPr>
            <w:r>
              <w:rPr>
                <w:sz w:val="17"/>
              </w:rPr>
              <w:t>12_Tesis/estructura/Arquitectura_de_la_tesis_derivada.md</w:t>
            </w:r>
          </w:p>
        </w:tc>
      </w:tr>
      <w:tr>
        <w:tc>
          <w:tcPr>
            <w:tcW w:type="dxa" w:w="792"/>
            <w:tcMar>
              <w:top w:w="40" w:type="dxa"/>
              <w:start w:w="120" w:type="dxa"/>
              <w:bottom w:w="40" w:type="dxa"/>
              <w:end w:w="120" w:type="dxa"/>
            </w:tcMar>
            <w:vAlign w:val="center"/>
          </w:tcPr>
          <w:p>
            <w:pPr>
              <w:spacing w:after="0"/>
              <w:jc w:val="center"/>
            </w:pPr>
            <w:r>
              <w:rPr>
                <w:sz w:val="17"/>
              </w:rPr>
              <w:t>130</w:t>
            </w:r>
          </w:p>
        </w:tc>
        <w:tc>
          <w:tcPr>
            <w:tcW w:type="dxa" w:w="8928"/>
            <w:tcMar>
              <w:top w:w="40" w:type="dxa"/>
              <w:start w:w="120" w:type="dxa"/>
              <w:bottom w:w="40" w:type="dxa"/>
              <w:end w:w="120" w:type="dxa"/>
            </w:tcMar>
            <w:vAlign w:val="center"/>
          </w:tcPr>
          <w:p>
            <w:pPr>
              <w:spacing w:after="0"/>
            </w:pPr>
            <w:r>
              <w:rPr>
                <w:sz w:val="17"/>
              </w:rPr>
              <w:t>12_Tesis/estructura/Especificacion_editorial_UDLA_APA7.md</w:t>
            </w:r>
          </w:p>
        </w:tc>
      </w:tr>
      <w:tr>
        <w:tc>
          <w:tcPr>
            <w:tcW w:type="dxa" w:w="792"/>
            <w:tcMar>
              <w:top w:w="40" w:type="dxa"/>
              <w:start w:w="120" w:type="dxa"/>
              <w:bottom w:w="40" w:type="dxa"/>
              <w:end w:w="120" w:type="dxa"/>
            </w:tcMar>
            <w:vAlign w:val="center"/>
          </w:tcPr>
          <w:p>
            <w:pPr>
              <w:spacing w:after="0"/>
              <w:jc w:val="center"/>
            </w:pPr>
            <w:r>
              <w:rPr>
                <w:sz w:val="17"/>
              </w:rPr>
              <w:t>131</w:t>
            </w:r>
          </w:p>
        </w:tc>
        <w:tc>
          <w:tcPr>
            <w:tcW w:type="dxa" w:w="8928"/>
            <w:tcMar>
              <w:top w:w="40" w:type="dxa"/>
              <w:start w:w="120" w:type="dxa"/>
              <w:bottom w:w="40" w:type="dxa"/>
              <w:end w:w="120" w:type="dxa"/>
            </w:tcMar>
            <w:vAlign w:val="center"/>
          </w:tcPr>
          <w:p>
            <w:pPr>
              <w:spacing w:after="0"/>
            </w:pPr>
            <w:r>
              <w:rPr>
                <w:sz w:val="17"/>
              </w:rPr>
              <w:t>12_Tesis/GOEI_Tesis_Manuscrito.md</w:t>
            </w:r>
          </w:p>
        </w:tc>
      </w:tr>
      <w:tr>
        <w:tc>
          <w:tcPr>
            <w:tcW w:type="dxa" w:w="792"/>
            <w:tcMar>
              <w:top w:w="40" w:type="dxa"/>
              <w:start w:w="120" w:type="dxa"/>
              <w:bottom w:w="40" w:type="dxa"/>
              <w:end w:w="120" w:type="dxa"/>
            </w:tcMar>
            <w:vAlign w:val="center"/>
          </w:tcPr>
          <w:p>
            <w:pPr>
              <w:spacing w:after="0"/>
              <w:jc w:val="center"/>
            </w:pPr>
            <w:r>
              <w:rPr>
                <w:sz w:val="17"/>
              </w:rPr>
              <w:t>132</w:t>
            </w:r>
          </w:p>
        </w:tc>
        <w:tc>
          <w:tcPr>
            <w:tcW w:type="dxa" w:w="8928"/>
            <w:tcMar>
              <w:top w:w="40" w:type="dxa"/>
              <w:start w:w="120" w:type="dxa"/>
              <w:bottom w:w="40" w:type="dxa"/>
              <w:end w:w="120" w:type="dxa"/>
            </w:tcMar>
            <w:vAlign w:val="center"/>
          </w:tcPr>
          <w:p>
            <w:pPr>
              <w:spacing w:after="0"/>
            </w:pPr>
            <w:r>
              <w:rPr>
                <w:sz w:val="17"/>
              </w:rPr>
              <w:t>12_Tesis/GOEI_Tesis_Manuscrito.STATUS.md</w:t>
            </w:r>
          </w:p>
        </w:tc>
      </w:tr>
      <w:tr>
        <w:tc>
          <w:tcPr>
            <w:tcW w:type="dxa" w:w="792"/>
            <w:tcMar>
              <w:top w:w="40" w:type="dxa"/>
              <w:start w:w="120" w:type="dxa"/>
              <w:bottom w:w="40" w:type="dxa"/>
              <w:end w:w="120" w:type="dxa"/>
            </w:tcMar>
            <w:vAlign w:val="center"/>
          </w:tcPr>
          <w:p>
            <w:pPr>
              <w:spacing w:after="0"/>
              <w:jc w:val="center"/>
            </w:pPr>
            <w:r>
              <w:rPr>
                <w:sz w:val="17"/>
              </w:rPr>
              <w:t>133</w:t>
            </w:r>
          </w:p>
        </w:tc>
        <w:tc>
          <w:tcPr>
            <w:tcW w:type="dxa" w:w="8928"/>
            <w:tcMar>
              <w:top w:w="40" w:type="dxa"/>
              <w:start w:w="120" w:type="dxa"/>
              <w:bottom w:w="40" w:type="dxa"/>
              <w:end w:w="120" w:type="dxa"/>
            </w:tcMar>
            <w:vAlign w:val="center"/>
          </w:tcPr>
          <w:p>
            <w:pPr>
              <w:spacing w:after="0"/>
            </w:pPr>
            <w:r>
              <w:rPr>
                <w:sz w:val="17"/>
              </w:rPr>
              <w:t>12_Tesis/PLAN_MAESTRO_DIRECTORAL_GOEI.md</w:t>
            </w:r>
          </w:p>
        </w:tc>
      </w:tr>
      <w:tr>
        <w:tc>
          <w:tcPr>
            <w:tcW w:type="dxa" w:w="792"/>
            <w:tcMar>
              <w:top w:w="40" w:type="dxa"/>
              <w:start w:w="120" w:type="dxa"/>
              <w:bottom w:w="40" w:type="dxa"/>
              <w:end w:w="120" w:type="dxa"/>
            </w:tcMar>
            <w:vAlign w:val="center"/>
          </w:tcPr>
          <w:p>
            <w:pPr>
              <w:spacing w:after="0"/>
              <w:jc w:val="center"/>
            </w:pPr>
            <w:r>
              <w:rPr>
                <w:sz w:val="17"/>
              </w:rPr>
              <w:t>134</w:t>
            </w:r>
          </w:p>
        </w:tc>
        <w:tc>
          <w:tcPr>
            <w:tcW w:type="dxa" w:w="8928"/>
            <w:tcMar>
              <w:top w:w="40" w:type="dxa"/>
              <w:start w:w="120" w:type="dxa"/>
              <w:bottom w:w="40" w:type="dxa"/>
              <w:end w:w="120" w:type="dxa"/>
            </w:tcMar>
            <w:vAlign w:val="center"/>
          </w:tcPr>
          <w:p>
            <w:pPr>
              <w:spacing w:after="0"/>
            </w:pPr>
            <w:r>
              <w:rPr>
                <w:sz w:val="17"/>
              </w:rPr>
              <w:t>12_Tesis/README.md</w:t>
            </w:r>
          </w:p>
        </w:tc>
      </w:tr>
      <w:tr>
        <w:tc>
          <w:tcPr>
            <w:tcW w:type="dxa" w:w="792"/>
            <w:tcMar>
              <w:top w:w="40" w:type="dxa"/>
              <w:start w:w="120" w:type="dxa"/>
              <w:bottom w:w="40" w:type="dxa"/>
              <w:end w:w="120" w:type="dxa"/>
            </w:tcMar>
            <w:vAlign w:val="center"/>
          </w:tcPr>
          <w:p>
            <w:pPr>
              <w:spacing w:after="0"/>
              <w:jc w:val="center"/>
            </w:pPr>
            <w:r>
              <w:rPr>
                <w:sz w:val="17"/>
              </w:rPr>
              <w:t>135</w:t>
            </w:r>
          </w:p>
        </w:tc>
        <w:tc>
          <w:tcPr>
            <w:tcW w:type="dxa" w:w="8928"/>
            <w:tcMar>
              <w:top w:w="40" w:type="dxa"/>
              <w:start w:w="120" w:type="dxa"/>
              <w:bottom w:w="40" w:type="dxa"/>
              <w:end w:w="120" w:type="dxa"/>
            </w:tcMar>
            <w:vAlign w:val="center"/>
          </w:tcPr>
          <w:p>
            <w:pPr>
              <w:spacing w:after="0"/>
            </w:pPr>
            <w:r>
              <w:rPr>
                <w:sz w:val="17"/>
              </w:rPr>
              <w:t>13_Publicaciones/ensamblaje/Matriz_de_preparacion_publicacion.md</w:t>
            </w:r>
          </w:p>
        </w:tc>
      </w:tr>
      <w:tr>
        <w:tc>
          <w:tcPr>
            <w:tcW w:type="dxa" w:w="792"/>
            <w:tcMar>
              <w:top w:w="40" w:type="dxa"/>
              <w:start w:w="120" w:type="dxa"/>
              <w:bottom w:w="40" w:type="dxa"/>
              <w:end w:w="120" w:type="dxa"/>
            </w:tcMar>
            <w:vAlign w:val="center"/>
          </w:tcPr>
          <w:p>
            <w:pPr>
              <w:spacing w:after="0"/>
              <w:jc w:val="center"/>
            </w:pPr>
            <w:r>
              <w:rPr>
                <w:sz w:val="17"/>
              </w:rPr>
              <w:t>136</w:t>
            </w:r>
          </w:p>
        </w:tc>
        <w:tc>
          <w:tcPr>
            <w:tcW w:type="dxa" w:w="8928"/>
            <w:tcMar>
              <w:top w:w="40" w:type="dxa"/>
              <w:start w:w="120" w:type="dxa"/>
              <w:bottom w:w="40" w:type="dxa"/>
              <w:end w:w="120" w:type="dxa"/>
            </w:tcMar>
            <w:vAlign w:val="center"/>
          </w:tcPr>
          <w:p>
            <w:pPr>
              <w:spacing w:after="0"/>
            </w:pPr>
            <w:r>
              <w:rPr>
                <w:sz w:val="17"/>
              </w:rPr>
              <w:t>13_Publicaciones/GOEI_Articulo_metodologico.md</w:t>
            </w:r>
          </w:p>
        </w:tc>
      </w:tr>
      <w:tr>
        <w:tc>
          <w:tcPr>
            <w:tcW w:type="dxa" w:w="792"/>
            <w:tcMar>
              <w:top w:w="40" w:type="dxa"/>
              <w:start w:w="120" w:type="dxa"/>
              <w:bottom w:w="40" w:type="dxa"/>
              <w:end w:w="120" w:type="dxa"/>
            </w:tcMar>
            <w:vAlign w:val="center"/>
          </w:tcPr>
          <w:p>
            <w:pPr>
              <w:spacing w:after="0"/>
              <w:jc w:val="center"/>
            </w:pPr>
            <w:r>
              <w:rPr>
                <w:sz w:val="17"/>
              </w:rPr>
              <w:t>137</w:t>
            </w:r>
          </w:p>
        </w:tc>
        <w:tc>
          <w:tcPr>
            <w:tcW w:type="dxa" w:w="8928"/>
            <w:tcMar>
              <w:top w:w="40" w:type="dxa"/>
              <w:start w:w="120" w:type="dxa"/>
              <w:bottom w:w="40" w:type="dxa"/>
              <w:end w:w="120" w:type="dxa"/>
            </w:tcMar>
            <w:vAlign w:val="center"/>
          </w:tcPr>
          <w:p>
            <w:pPr>
              <w:spacing w:after="0"/>
            </w:pPr>
            <w:r>
              <w:rPr>
                <w:sz w:val="17"/>
              </w:rPr>
              <w:t>13_Publicaciones/GOEI_Articulo_metodologico.STATUS.md</w:t>
            </w:r>
          </w:p>
        </w:tc>
      </w:tr>
      <w:tr>
        <w:tc>
          <w:tcPr>
            <w:tcW w:type="dxa" w:w="792"/>
            <w:tcMar>
              <w:top w:w="40" w:type="dxa"/>
              <w:start w:w="120" w:type="dxa"/>
              <w:bottom w:w="40" w:type="dxa"/>
              <w:end w:w="120" w:type="dxa"/>
            </w:tcMar>
            <w:vAlign w:val="center"/>
          </w:tcPr>
          <w:p>
            <w:pPr>
              <w:spacing w:after="0"/>
              <w:jc w:val="center"/>
            </w:pPr>
            <w:r>
              <w:rPr>
                <w:sz w:val="17"/>
              </w:rPr>
              <w:t>138</w:t>
            </w:r>
          </w:p>
        </w:tc>
        <w:tc>
          <w:tcPr>
            <w:tcW w:type="dxa" w:w="8928"/>
            <w:tcMar>
              <w:top w:w="40" w:type="dxa"/>
              <w:start w:w="120" w:type="dxa"/>
              <w:bottom w:w="40" w:type="dxa"/>
              <w:end w:w="120" w:type="dxa"/>
            </w:tcMar>
            <w:vAlign w:val="center"/>
          </w:tcPr>
          <w:p>
            <w:pPr>
              <w:spacing w:after="0"/>
            </w:pPr>
            <w:r>
              <w:rPr>
                <w:sz w:val="17"/>
              </w:rPr>
              <w:t>13_Publicaciones/manuscritos/Arquitectura_manuscrito_candidato.md</w:t>
            </w:r>
          </w:p>
        </w:tc>
      </w:tr>
      <w:tr>
        <w:tc>
          <w:tcPr>
            <w:tcW w:type="dxa" w:w="792"/>
            <w:tcMar>
              <w:top w:w="40" w:type="dxa"/>
              <w:start w:w="120" w:type="dxa"/>
              <w:bottom w:w="40" w:type="dxa"/>
              <w:end w:w="120" w:type="dxa"/>
            </w:tcMar>
            <w:vAlign w:val="center"/>
          </w:tcPr>
          <w:p>
            <w:pPr>
              <w:spacing w:after="0"/>
              <w:jc w:val="center"/>
            </w:pPr>
            <w:r>
              <w:rPr>
                <w:sz w:val="17"/>
              </w:rPr>
              <w:t>139</w:t>
            </w:r>
          </w:p>
        </w:tc>
        <w:tc>
          <w:tcPr>
            <w:tcW w:type="dxa" w:w="8928"/>
            <w:tcMar>
              <w:top w:w="40" w:type="dxa"/>
              <w:start w:w="120" w:type="dxa"/>
              <w:bottom w:w="40" w:type="dxa"/>
              <w:end w:w="120" w:type="dxa"/>
            </w:tcMar>
            <w:vAlign w:val="center"/>
          </w:tcPr>
          <w:p>
            <w:pPr>
              <w:spacing w:after="0"/>
            </w:pPr>
            <w:r>
              <w:rPr>
                <w:sz w:val="17"/>
              </w:rPr>
              <w:t>13_Publicaciones/README.md</w:t>
            </w:r>
          </w:p>
        </w:tc>
      </w:tr>
      <w:tr>
        <w:tc>
          <w:tcPr>
            <w:tcW w:type="dxa" w:w="792"/>
            <w:tcMar>
              <w:top w:w="40" w:type="dxa"/>
              <w:start w:w="120" w:type="dxa"/>
              <w:bottom w:w="40" w:type="dxa"/>
              <w:end w:w="120" w:type="dxa"/>
            </w:tcMar>
            <w:vAlign w:val="center"/>
          </w:tcPr>
          <w:p>
            <w:pPr>
              <w:spacing w:after="0"/>
              <w:jc w:val="center"/>
            </w:pPr>
            <w:r>
              <w:rPr>
                <w:sz w:val="17"/>
              </w:rPr>
              <w:t>140</w:t>
            </w:r>
          </w:p>
        </w:tc>
        <w:tc>
          <w:tcPr>
            <w:tcW w:type="dxa" w:w="8928"/>
            <w:tcMar>
              <w:top w:w="40" w:type="dxa"/>
              <w:start w:w="120" w:type="dxa"/>
              <w:bottom w:w="40" w:type="dxa"/>
              <w:end w:w="120" w:type="dxa"/>
            </w:tcMar>
            <w:vAlign w:val="center"/>
          </w:tcPr>
          <w:p>
            <w:pPr>
              <w:spacing w:after="0"/>
            </w:pPr>
            <w:r>
              <w:rPr>
                <w:sz w:val="17"/>
              </w:rPr>
              <w:t>15_Mantenimiento/GOEI_CHG_0001_Normalizacion_ID_Issues.md</w:t>
            </w:r>
          </w:p>
        </w:tc>
      </w:tr>
      <w:tr>
        <w:tc>
          <w:tcPr>
            <w:tcW w:type="dxa" w:w="792"/>
            <w:tcMar>
              <w:top w:w="40" w:type="dxa"/>
              <w:start w:w="120" w:type="dxa"/>
              <w:bottom w:w="40" w:type="dxa"/>
              <w:end w:w="120" w:type="dxa"/>
            </w:tcMar>
            <w:vAlign w:val="center"/>
          </w:tcPr>
          <w:p>
            <w:pPr>
              <w:spacing w:after="0"/>
              <w:jc w:val="center"/>
            </w:pPr>
            <w:r>
              <w:rPr>
                <w:sz w:val="17"/>
              </w:rPr>
              <w:t>141</w:t>
            </w:r>
          </w:p>
        </w:tc>
        <w:tc>
          <w:tcPr>
            <w:tcW w:type="dxa" w:w="8928"/>
            <w:tcMar>
              <w:top w:w="40" w:type="dxa"/>
              <w:start w:w="120" w:type="dxa"/>
              <w:bottom w:w="40" w:type="dxa"/>
              <w:end w:w="120" w:type="dxa"/>
            </w:tcMar>
            <w:vAlign w:val="center"/>
          </w:tcPr>
          <w:p>
            <w:pPr>
              <w:spacing w:after="0"/>
            </w:pPr>
            <w:r>
              <w:rPr>
                <w:sz w:val="17"/>
              </w:rPr>
              <w:t>15_Mantenimiento/lineas_base/GOEI_KPI_CAND_v0.1.0/MANIFEST.md</w:t>
            </w:r>
          </w:p>
        </w:tc>
      </w:tr>
      <w:tr>
        <w:tc>
          <w:tcPr>
            <w:tcW w:type="dxa" w:w="792"/>
            <w:tcMar>
              <w:top w:w="40" w:type="dxa"/>
              <w:start w:w="120" w:type="dxa"/>
              <w:bottom w:w="40" w:type="dxa"/>
              <w:end w:w="120" w:type="dxa"/>
            </w:tcMar>
            <w:vAlign w:val="center"/>
          </w:tcPr>
          <w:p>
            <w:pPr>
              <w:spacing w:after="0"/>
              <w:jc w:val="center"/>
            </w:pPr>
            <w:r>
              <w:rPr>
                <w:sz w:val="17"/>
              </w:rPr>
              <w:t>142</w:t>
            </w:r>
          </w:p>
        </w:tc>
        <w:tc>
          <w:tcPr>
            <w:tcW w:type="dxa" w:w="8928"/>
            <w:tcMar>
              <w:top w:w="40" w:type="dxa"/>
              <w:start w:w="120" w:type="dxa"/>
              <w:bottom w:w="40" w:type="dxa"/>
              <w:end w:w="120" w:type="dxa"/>
            </w:tcMar>
            <w:vAlign w:val="center"/>
          </w:tcPr>
          <w:p>
            <w:pPr>
              <w:spacing w:after="0"/>
            </w:pPr>
            <w:r>
              <w:rPr>
                <w:sz w:val="17"/>
              </w:rPr>
              <w:t>15_Mantenimiento/lineas_base/GOEI_KPI_CAND_v0.1.0/POLITICA_ISSUE_ONLY.md</w:t>
            </w:r>
          </w:p>
        </w:tc>
      </w:tr>
      <w:tr>
        <w:tc>
          <w:tcPr>
            <w:tcW w:type="dxa" w:w="792"/>
            <w:tcMar>
              <w:top w:w="40" w:type="dxa"/>
              <w:start w:w="120" w:type="dxa"/>
              <w:bottom w:w="40" w:type="dxa"/>
              <w:end w:w="120" w:type="dxa"/>
            </w:tcMar>
            <w:vAlign w:val="center"/>
          </w:tcPr>
          <w:p>
            <w:pPr>
              <w:spacing w:after="0"/>
              <w:jc w:val="center"/>
            </w:pPr>
            <w:r>
              <w:rPr>
                <w:sz w:val="17"/>
              </w:rPr>
              <w:t>143</w:t>
            </w:r>
          </w:p>
        </w:tc>
        <w:tc>
          <w:tcPr>
            <w:tcW w:type="dxa" w:w="8928"/>
            <w:tcMar>
              <w:top w:w="40" w:type="dxa"/>
              <w:start w:w="120" w:type="dxa"/>
              <w:bottom w:w="40" w:type="dxa"/>
              <w:end w:w="120" w:type="dxa"/>
            </w:tcMar>
            <w:vAlign w:val="center"/>
          </w:tcPr>
          <w:p>
            <w:pPr>
              <w:spacing w:after="0"/>
            </w:pPr>
            <w:r>
              <w:rPr>
                <w:sz w:val="17"/>
              </w:rPr>
              <w:t>15_Mantenimiento/lineas_base/GOEI_ONT_v0.1/MANIFEST.md</w:t>
            </w:r>
          </w:p>
        </w:tc>
      </w:tr>
      <w:tr>
        <w:tc>
          <w:tcPr>
            <w:tcW w:type="dxa" w:w="792"/>
            <w:tcMar>
              <w:top w:w="40" w:type="dxa"/>
              <w:start w:w="120" w:type="dxa"/>
              <w:bottom w:w="40" w:type="dxa"/>
              <w:end w:w="120" w:type="dxa"/>
            </w:tcMar>
            <w:vAlign w:val="center"/>
          </w:tcPr>
          <w:p>
            <w:pPr>
              <w:spacing w:after="0"/>
              <w:jc w:val="center"/>
            </w:pPr>
            <w:r>
              <w:rPr>
                <w:sz w:val="17"/>
              </w:rPr>
              <w:t>144</w:t>
            </w:r>
          </w:p>
        </w:tc>
        <w:tc>
          <w:tcPr>
            <w:tcW w:type="dxa" w:w="8928"/>
            <w:tcMar>
              <w:top w:w="40" w:type="dxa"/>
              <w:start w:w="120" w:type="dxa"/>
              <w:bottom w:w="40" w:type="dxa"/>
              <w:end w:w="120" w:type="dxa"/>
            </w:tcMar>
            <w:vAlign w:val="center"/>
          </w:tcPr>
          <w:p>
            <w:pPr>
              <w:spacing w:after="0"/>
            </w:pPr>
            <w:r>
              <w:rPr>
                <w:sz w:val="17"/>
              </w:rPr>
              <w:t>15_Mantenimiento/lineas_base/GOEI_ONT_v0.1/POLITICA_ISSUE_ONLY.md</w:t>
            </w:r>
          </w:p>
        </w:tc>
      </w:tr>
      <w:tr>
        <w:tc>
          <w:tcPr>
            <w:tcW w:type="dxa" w:w="792"/>
            <w:tcMar>
              <w:top w:w="40" w:type="dxa"/>
              <w:start w:w="120" w:type="dxa"/>
              <w:bottom w:w="40" w:type="dxa"/>
              <w:end w:w="120" w:type="dxa"/>
            </w:tcMar>
            <w:vAlign w:val="center"/>
          </w:tcPr>
          <w:p>
            <w:pPr>
              <w:spacing w:after="0"/>
              <w:jc w:val="center"/>
            </w:pPr>
            <w:r>
              <w:rPr>
                <w:sz w:val="17"/>
              </w:rPr>
              <w:t>145</w:t>
            </w:r>
          </w:p>
        </w:tc>
        <w:tc>
          <w:tcPr>
            <w:tcW w:type="dxa" w:w="8928"/>
            <w:tcMar>
              <w:top w:w="40" w:type="dxa"/>
              <w:start w:w="120" w:type="dxa"/>
              <w:bottom w:w="40" w:type="dxa"/>
              <w:end w:w="120" w:type="dxa"/>
            </w:tcMar>
            <w:vAlign w:val="center"/>
          </w:tcPr>
          <w:p>
            <w:pPr>
              <w:spacing w:after="0"/>
            </w:pPr>
            <w:r>
              <w:rPr>
                <w:sz w:val="17"/>
              </w:rPr>
              <w:t>15_Mantenimiento/lineas_base/GOEI_PROC_v0.1.0/MANIFEST.md</w:t>
            </w:r>
          </w:p>
        </w:tc>
      </w:tr>
      <w:tr>
        <w:tc>
          <w:tcPr>
            <w:tcW w:type="dxa" w:w="792"/>
            <w:tcMar>
              <w:top w:w="40" w:type="dxa"/>
              <w:start w:w="120" w:type="dxa"/>
              <w:bottom w:w="40" w:type="dxa"/>
              <w:end w:w="120" w:type="dxa"/>
            </w:tcMar>
            <w:vAlign w:val="center"/>
          </w:tcPr>
          <w:p>
            <w:pPr>
              <w:spacing w:after="0"/>
              <w:jc w:val="center"/>
            </w:pPr>
            <w:r>
              <w:rPr>
                <w:sz w:val="17"/>
              </w:rPr>
              <w:t>146</w:t>
            </w:r>
          </w:p>
        </w:tc>
        <w:tc>
          <w:tcPr>
            <w:tcW w:type="dxa" w:w="8928"/>
            <w:tcMar>
              <w:top w:w="40" w:type="dxa"/>
              <w:start w:w="120" w:type="dxa"/>
              <w:bottom w:w="40" w:type="dxa"/>
              <w:end w:w="120" w:type="dxa"/>
            </w:tcMar>
            <w:vAlign w:val="center"/>
          </w:tcPr>
          <w:p>
            <w:pPr>
              <w:spacing w:after="0"/>
            </w:pPr>
            <w:r>
              <w:rPr>
                <w:sz w:val="17"/>
              </w:rPr>
              <w:t>15_Mantenimiento/lineas_base/GOEI_PROC_v0.1.0/POLITICA_ISSUE_ONLY.md</w:t>
            </w:r>
          </w:p>
        </w:tc>
      </w:tr>
      <w:tr>
        <w:tc>
          <w:tcPr>
            <w:tcW w:type="dxa" w:w="792"/>
            <w:tcMar>
              <w:top w:w="40" w:type="dxa"/>
              <w:start w:w="120" w:type="dxa"/>
              <w:bottom w:w="40" w:type="dxa"/>
              <w:end w:w="120" w:type="dxa"/>
            </w:tcMar>
            <w:vAlign w:val="center"/>
          </w:tcPr>
          <w:p>
            <w:pPr>
              <w:spacing w:after="0"/>
              <w:jc w:val="center"/>
            </w:pPr>
            <w:r>
              <w:rPr>
                <w:sz w:val="17"/>
              </w:rPr>
              <w:t>147</w:t>
            </w:r>
          </w:p>
        </w:tc>
        <w:tc>
          <w:tcPr>
            <w:tcW w:type="dxa" w:w="8928"/>
            <w:tcMar>
              <w:top w:w="40" w:type="dxa"/>
              <w:start w:w="120" w:type="dxa"/>
              <w:bottom w:w="40" w:type="dxa"/>
              <w:end w:w="120" w:type="dxa"/>
            </w:tcMar>
            <w:vAlign w:val="center"/>
          </w:tcPr>
          <w:p>
            <w:pPr>
              <w:spacing w:after="0"/>
            </w:pPr>
            <w:r>
              <w:rPr>
                <w:sz w:val="17"/>
              </w:rPr>
              <w:t>15_Mantenimiento/lineas_base/GOEI_TAX_v0.1.0/MANIFEST.md</w:t>
            </w:r>
          </w:p>
        </w:tc>
      </w:tr>
      <w:tr>
        <w:tc>
          <w:tcPr>
            <w:tcW w:type="dxa" w:w="792"/>
            <w:tcMar>
              <w:top w:w="40" w:type="dxa"/>
              <w:start w:w="120" w:type="dxa"/>
              <w:bottom w:w="40" w:type="dxa"/>
              <w:end w:w="120" w:type="dxa"/>
            </w:tcMar>
            <w:vAlign w:val="center"/>
          </w:tcPr>
          <w:p>
            <w:pPr>
              <w:spacing w:after="0"/>
              <w:jc w:val="center"/>
            </w:pPr>
            <w:r>
              <w:rPr>
                <w:sz w:val="17"/>
              </w:rPr>
              <w:t>148</w:t>
            </w:r>
          </w:p>
        </w:tc>
        <w:tc>
          <w:tcPr>
            <w:tcW w:type="dxa" w:w="8928"/>
            <w:tcMar>
              <w:top w:w="40" w:type="dxa"/>
              <w:start w:w="120" w:type="dxa"/>
              <w:bottom w:w="40" w:type="dxa"/>
              <w:end w:w="120" w:type="dxa"/>
            </w:tcMar>
            <w:vAlign w:val="center"/>
          </w:tcPr>
          <w:p>
            <w:pPr>
              <w:spacing w:after="0"/>
            </w:pPr>
            <w:r>
              <w:rPr>
                <w:sz w:val="17"/>
              </w:rPr>
              <w:t>15_Mantenimiento/lineas_base/GOEI_TAX_v0.1.0/POLITICA_ISSUE_ONLY.md</w:t>
            </w:r>
          </w:p>
        </w:tc>
      </w:tr>
      <w:tr>
        <w:tc>
          <w:tcPr>
            <w:tcW w:type="dxa" w:w="792"/>
            <w:tcMar>
              <w:top w:w="40" w:type="dxa"/>
              <w:start w:w="120" w:type="dxa"/>
              <w:bottom w:w="40" w:type="dxa"/>
              <w:end w:w="120" w:type="dxa"/>
            </w:tcMar>
            <w:vAlign w:val="center"/>
          </w:tcPr>
          <w:p>
            <w:pPr>
              <w:spacing w:after="0"/>
              <w:jc w:val="center"/>
            </w:pPr>
            <w:r>
              <w:rPr>
                <w:sz w:val="17"/>
              </w:rPr>
              <w:t>149</w:t>
            </w:r>
          </w:p>
        </w:tc>
        <w:tc>
          <w:tcPr>
            <w:tcW w:type="dxa" w:w="8928"/>
            <w:tcMar>
              <w:top w:w="40" w:type="dxa"/>
              <w:start w:w="120" w:type="dxa"/>
              <w:bottom w:w="40" w:type="dxa"/>
              <w:end w:w="120" w:type="dxa"/>
            </w:tcMar>
            <w:vAlign w:val="center"/>
          </w:tcPr>
          <w:p>
            <w:pPr>
              <w:spacing w:after="0"/>
            </w:pPr>
            <w:r>
              <w:rPr>
                <w:sz w:val="17"/>
              </w:rPr>
              <w:t>15_Mantenimiento/Politica_de_releases_y_lineas_base.md</w:t>
            </w:r>
          </w:p>
        </w:tc>
      </w:tr>
      <w:tr>
        <w:tc>
          <w:tcPr>
            <w:tcW w:type="dxa" w:w="792"/>
            <w:tcMar>
              <w:top w:w="40" w:type="dxa"/>
              <w:start w:w="120" w:type="dxa"/>
              <w:bottom w:w="40" w:type="dxa"/>
              <w:end w:w="120" w:type="dxa"/>
            </w:tcMar>
            <w:vAlign w:val="center"/>
          </w:tcPr>
          <w:p>
            <w:pPr>
              <w:spacing w:after="0"/>
              <w:jc w:val="center"/>
            </w:pPr>
            <w:r>
              <w:rPr>
                <w:sz w:val="17"/>
              </w:rPr>
              <w:t>150</w:t>
            </w:r>
          </w:p>
        </w:tc>
        <w:tc>
          <w:tcPr>
            <w:tcW w:type="dxa" w:w="8928"/>
            <w:tcMar>
              <w:top w:w="40" w:type="dxa"/>
              <w:start w:w="120" w:type="dxa"/>
              <w:bottom w:w="40" w:type="dxa"/>
              <w:end w:w="120" w:type="dxa"/>
            </w:tcMar>
            <w:vAlign w:val="center"/>
          </w:tcPr>
          <w:p>
            <w:pPr>
              <w:spacing w:after="0"/>
            </w:pPr>
            <w:r>
              <w:rPr>
                <w:sz w:val="17"/>
              </w:rPr>
              <w:t>15_Mantenimiento/README.md</w:t>
            </w:r>
          </w:p>
        </w:tc>
      </w:tr>
      <w:tr>
        <w:tc>
          <w:tcPr>
            <w:tcW w:type="dxa" w:w="792"/>
            <w:tcMar>
              <w:top w:w="40" w:type="dxa"/>
              <w:start w:w="120" w:type="dxa"/>
              <w:bottom w:w="40" w:type="dxa"/>
              <w:end w:w="120" w:type="dxa"/>
            </w:tcMar>
            <w:vAlign w:val="center"/>
          </w:tcPr>
          <w:p>
            <w:pPr>
              <w:spacing w:after="0"/>
              <w:jc w:val="center"/>
            </w:pPr>
            <w:r>
              <w:rPr>
                <w:sz w:val="17"/>
              </w:rPr>
              <w:t>151</w:t>
            </w:r>
          </w:p>
        </w:tc>
        <w:tc>
          <w:tcPr>
            <w:tcW w:type="dxa" w:w="8928"/>
            <w:tcMar>
              <w:top w:w="40" w:type="dxa"/>
              <w:start w:w="120" w:type="dxa"/>
              <w:bottom w:w="40" w:type="dxa"/>
              <w:end w:w="120" w:type="dxa"/>
            </w:tcMar>
            <w:vAlign w:val="center"/>
          </w:tcPr>
          <w:p>
            <w:pPr>
              <w:spacing w:after="0"/>
            </w:pPr>
            <w:r>
              <w:rPr>
                <w:sz w:val="17"/>
              </w:rPr>
              <w:t>15_Mantenimiento/releases/plantillas/RELEASE_DOSSIER_TEMPLATE.json</w:t>
            </w:r>
          </w:p>
        </w:tc>
      </w:tr>
      <w:tr>
        <w:tc>
          <w:tcPr>
            <w:tcW w:type="dxa" w:w="792"/>
            <w:tcMar>
              <w:top w:w="40" w:type="dxa"/>
              <w:start w:w="120" w:type="dxa"/>
              <w:bottom w:w="40" w:type="dxa"/>
              <w:end w:w="120" w:type="dxa"/>
            </w:tcMar>
            <w:vAlign w:val="center"/>
          </w:tcPr>
          <w:p>
            <w:pPr>
              <w:spacing w:after="0"/>
              <w:jc w:val="center"/>
            </w:pPr>
            <w:r>
              <w:rPr>
                <w:sz w:val="17"/>
              </w:rPr>
              <w:t>152</w:t>
            </w:r>
          </w:p>
        </w:tc>
        <w:tc>
          <w:tcPr>
            <w:tcW w:type="dxa" w:w="8928"/>
            <w:tcMar>
              <w:top w:w="40" w:type="dxa"/>
              <w:start w:w="120" w:type="dxa"/>
              <w:bottom w:w="40" w:type="dxa"/>
              <w:end w:w="120" w:type="dxa"/>
            </w:tcMar>
            <w:vAlign w:val="center"/>
          </w:tcPr>
          <w:p>
            <w:pPr>
              <w:spacing w:after="0"/>
            </w:pPr>
            <w:r>
              <w:rPr>
                <w:sz w:val="17"/>
              </w:rPr>
              <w:t>15_Mantenimiento/releases/plantillas/RELEASE_TEMPLATE.md</w:t>
            </w:r>
          </w:p>
        </w:tc>
      </w:tr>
      <w:tr>
        <w:tc>
          <w:tcPr>
            <w:tcW w:type="dxa" w:w="792"/>
            <w:tcMar>
              <w:top w:w="40" w:type="dxa"/>
              <w:start w:w="120" w:type="dxa"/>
              <w:bottom w:w="40" w:type="dxa"/>
              <w:end w:w="120" w:type="dxa"/>
            </w:tcMar>
            <w:vAlign w:val="center"/>
          </w:tcPr>
          <w:p>
            <w:pPr>
              <w:spacing w:after="0"/>
              <w:jc w:val="center"/>
            </w:pPr>
            <w:r>
              <w:rPr>
                <w:sz w:val="17"/>
              </w:rPr>
              <w:t>153</w:t>
            </w:r>
          </w:p>
        </w:tc>
        <w:tc>
          <w:tcPr>
            <w:tcW w:type="dxa" w:w="8928"/>
            <w:tcMar>
              <w:top w:w="40" w:type="dxa"/>
              <w:start w:w="120" w:type="dxa"/>
              <w:bottom w:w="40" w:type="dxa"/>
              <w:end w:w="120" w:type="dxa"/>
            </w:tcMar>
            <w:vAlign w:val="center"/>
          </w:tcPr>
          <w:p>
            <w:pPr>
              <w:spacing w:after="0"/>
            </w:pPr>
            <w:r>
              <w:rPr>
                <w:sz w:val="17"/>
              </w:rPr>
              <w:t>15_Mantenimiento/releases/README.md</w:t>
            </w:r>
          </w:p>
        </w:tc>
      </w:tr>
      <w:tr>
        <w:tc>
          <w:tcPr>
            <w:tcW w:type="dxa" w:w="792"/>
            <w:tcMar>
              <w:top w:w="40" w:type="dxa"/>
              <w:start w:w="120" w:type="dxa"/>
              <w:bottom w:w="40" w:type="dxa"/>
              <w:end w:w="120" w:type="dxa"/>
            </w:tcMar>
            <w:vAlign w:val="center"/>
          </w:tcPr>
          <w:p>
            <w:pPr>
              <w:spacing w:after="0"/>
              <w:jc w:val="center"/>
            </w:pPr>
            <w:r>
              <w:rPr>
                <w:sz w:val="17"/>
              </w:rPr>
              <w:t>154</w:t>
            </w:r>
          </w:p>
        </w:tc>
        <w:tc>
          <w:tcPr>
            <w:tcW w:type="dxa" w:w="8928"/>
            <w:tcMar>
              <w:top w:w="40" w:type="dxa"/>
              <w:start w:w="120" w:type="dxa"/>
              <w:bottom w:w="40" w:type="dxa"/>
              <w:end w:w="120" w:type="dxa"/>
            </w:tcMar>
            <w:vAlign w:val="center"/>
          </w:tcPr>
          <w:p>
            <w:pPr>
              <w:spacing w:after="0"/>
            </w:pPr>
            <w:r>
              <w:rPr>
                <w:sz w:val="17"/>
              </w:rPr>
              <w:t>15_Mantenimiento/releases/RELEASE_DOSSIER_SCHEMA.md</w:t>
            </w:r>
          </w:p>
        </w:tc>
      </w:tr>
    </w:tbl>
    <w:p>
      <w:r>
        <w:br w:type="page"/>
      </w:r>
    </w:p>
    <w:p>
      <w:pPr>
        <w:pStyle w:val="Heading1"/>
      </w:pPr>
      <w:r>
        <w:t>7. Transcripción lineal de fuentes</w:t>
      </w:r>
    </w:p>
    <w:p>
      <w:r>
        <w:t>Desde este punto se reproducen los archivos seleccionados. Cada fuente comienza en una página nueva y conserva su procedencia mediante ruta y SHA-256.</w:t>
      </w:r>
    </w:p>
    <w:p>
      <w:r>
        <w:br w:type="page"/>
      </w:r>
    </w:p>
    <w:p>
      <w:pPr>
        <w:pStyle w:val="Heading1"/>
        <w:keepNext/>
      </w:pPr>
      <w:r>
        <w:t>Fuente 1: README.md</w:t>
      </w:r>
    </w:p>
    <w:p>
      <w:pPr>
        <w:spacing w:after="200"/>
      </w:pPr>
      <w:r>
        <w:rPr>
          <w:rFonts w:ascii="Consolas" w:hAnsi="Consolas"/>
          <w:color w:val="595959"/>
          <w:sz w:val="16"/>
        </w:rPr>
        <w:t>Ruta: README.md</w:t>
        <w:br/>
        <w:t>Tamaño: 3619 bytes</w:t>
        <w:br/>
        <w:t>SHA-256: 184f3f7473793e6261b4cbbca26d633cdc3ab41ef8f9dad7c85397e03a58b5b3</w:t>
      </w:r>
    </w:p>
    <w:p>
      <w:pPr>
        <w:pStyle w:val="Heading2"/>
      </w:pPr>
      <w:r>
        <w:t>GOEI — repositorio del estándar</w:t>
      </w:r>
    </w:p>
    <w:p>
      <w:pPr>
        <w:spacing w:after="40"/>
      </w:pPr>
    </w:p>
    <w:p>
      <w:r>
        <w:t>Este repositorio conserva los activos científicos y técnicos del Gastronomic Operational Efficiency Index (GOEI) con trazabilidad documental. La tesis y las publicaciones son productos derivados; no gobiernan el contenido del estándar.</w:t>
      </w:r>
    </w:p>
    <w:p>
      <w:pPr>
        <w:spacing w:after="40"/>
      </w:pPr>
    </w:p>
    <w:p>
      <w:pPr>
        <w:pStyle w:val="Heading3"/>
      </w:pPr>
      <w:r>
        <w:t>Estado actual</w:t>
      </w:r>
    </w:p>
    <w:p>
      <w:pPr>
        <w:spacing w:after="40"/>
      </w:pPr>
    </w:p>
    <w:p>
      <w:pPr>
        <w:pStyle w:val="ListBullet"/>
      </w:pPr>
      <w:r>
        <w:t>Estado del repositorio: arquitectura técnica en borrador.</w:t>
      </w:r>
    </w:p>
    <w:p>
      <w:pPr>
        <w:pStyle w:val="ListBullet"/>
      </w:pPr>
      <w:r>
        <w:t>Autoridad científica: comité científico independiente.</w:t>
      </w:r>
    </w:p>
    <w:p>
      <w:pPr>
        <w:pStyle w:val="ListBullet"/>
      </w:pPr>
      <w:r>
        <w:t>Autoridad técnica: Arquitectura e Ingeniería de Conocimiento, limitada a implementar decisiones científicas aprobadas.</w:t>
      </w:r>
    </w:p>
    <w:p>
      <w:pPr>
        <w:pStyle w:val="ListBullet"/>
      </w:pPr>
      <w:r>
        <w:t>Restricción vigente: la arquitectura propuesta en D-005 aún figura como provisional. Por ello, la estructura de carpetas es un contenedor reversible y no constituye ratificación científica.</w:t>
      </w:r>
    </w:p>
    <w:p>
      <w:pPr>
        <w:pStyle w:val="ListBullet"/>
      </w:pPr>
      <w:r>
        <w:t>Versión del estándar: no asignada. No existe todavía una versión publicable del GOEI.</w:t>
      </w:r>
    </w:p>
    <w:p>
      <w:pPr>
        <w:spacing w:after="40"/>
      </w:pPr>
    </w:p>
    <w:p>
      <w:pPr>
        <w:pStyle w:val="Heading3"/>
      </w:pPr>
      <w:r>
        <w:t>Regla de incorporación</w:t>
      </w:r>
    </w:p>
    <w:p>
      <w:pPr>
        <w:spacing w:after="40"/>
      </w:pPr>
    </w:p>
    <w:p>
      <w:r>
        <w:t>Ningún componente pasa a formar parte del estándar sin:</w:t>
      </w:r>
    </w:p>
    <w:p>
      <w:pPr>
        <w:spacing w:after="40"/>
      </w:pPr>
    </w:p>
    <w:p>
      <w:pPr>
        <w:pStyle w:val="ListNumber"/>
      </w:pPr>
      <w:r>
        <w:t>una decisión científica identificada y aprobada;</w:t>
      </w:r>
    </w:p>
    <w:p>
      <w:pPr>
        <w:pStyle w:val="ListNumber"/>
      </w:pPr>
      <w:r>
        <w:t>evidencia registrada o enlazada por esa decisión;</w:t>
      </w:r>
    </w:p>
    <w:p>
      <w:pPr>
        <w:pStyle w:val="ListNumber"/>
      </w:pPr>
      <w:r>
        <w:t>versión de incorporación definida;</w:t>
      </w:r>
    </w:p>
    <w:p>
      <w:pPr>
        <w:pStyle w:val="ListNumber"/>
      </w:pPr>
      <w:r>
        <w:t>dependencias documentales declaradas;</w:t>
      </w:r>
    </w:p>
    <w:p>
      <w:pPr>
        <w:pStyle w:val="ListNumber"/>
      </w:pPr>
      <w:r>
        <w:t>estado documental y naturaleza normativa/informativa explícitos.</w:t>
      </w:r>
    </w:p>
    <w:p>
      <w:pPr>
        <w:spacing w:after="40"/>
      </w:pPr>
    </w:p>
    <w:p>
      <w:r>
        <w:t>La ausencia de cualquiera de estos elementos bloquea la promoción del componente, pero no impide preparar una plantilla o un borrador claramente marcado como no normativo.</w:t>
      </w:r>
    </w:p>
    <w:p>
      <w:pPr>
        <w:spacing w:after="40"/>
      </w:pPr>
    </w:p>
    <w:p>
      <w:pPr>
        <w:pStyle w:val="Heading3"/>
      </w:pPr>
      <w:r>
        <w:t>Navegación</w:t>
      </w:r>
    </w:p>
    <w:p>
      <w:pPr>
        <w:spacing w:after="40"/>
      </w:pPr>
    </w:p>
    <w:p>
      <w:pPr>
        <w:pStyle w:val="ListBullet"/>
      </w:pPr>
      <w:r>
        <w:t>[Arquitectura del repositorio oficial](00_Gobernanza/Arquitectura_del_repositorio_oficial_GOEI.md)</w:t>
      </w:r>
    </w:p>
    <w:p>
      <w:pPr>
        <w:pStyle w:val="ListBullet"/>
      </w:pPr>
      <w:r>
        <w:t>[Constitución GOEI — esqueleto](00_Gobernanza/Constitucion_GOEI.md)</w:t>
      </w:r>
    </w:p>
    <w:p>
      <w:pPr>
        <w:pStyle w:val="ListBullet"/>
      </w:pPr>
      <w:r>
        <w:t>[Arquitectura documental](00_Gobernanza/Arquitectura_documental_GOEI.md)</w:t>
      </w:r>
    </w:p>
    <w:p>
      <w:pPr>
        <w:pStyle w:val="ListBullet"/>
      </w:pPr>
      <w:r>
        <w:t>[Revisión técnica de la ontología D-006](09_Manual_tecnico_general/Revision_tecnica_arquitectonica_D006.md)</w:t>
      </w:r>
    </w:p>
    <w:p>
      <w:pPr>
        <w:pStyle w:val="ListBullet"/>
      </w:pPr>
      <w:r>
        <w:t>[Ontology Baseline v0.1](15_Mantenimiento/lineas_base/GOEI_ONT_v0.1/MANIFEST.md)</w:t>
      </w:r>
    </w:p>
    <w:p>
      <w:pPr>
        <w:pStyle w:val="ListBullet"/>
      </w:pPr>
      <w:r>
        <w:t>[EPIC-001 — GOEI Knowledge Graph &amp; MetaModel](09_Manual_tecnico_general/EPIC-001_GOEI_Knowledge_Graph/README.md)</w:t>
      </w:r>
    </w:p>
    <w:p>
      <w:pPr>
        <w:pStyle w:val="ListBullet"/>
      </w:pPr>
      <w:r>
        <w:t>[EPIC-002 — Universal Process MetaModel](04_Procesos_gastronomicos/EPIC-002_MetaModelo_Universal/README.md)</w:t>
      </w:r>
    </w:p>
    <w:p>
      <w:pPr>
        <w:pStyle w:val="ListBullet"/>
      </w:pPr>
      <w:r>
        <w:t>[GOEI Technical Office](00_Gobernanza/Oficina_Tecnica_GOEI.md)</w:t>
      </w:r>
    </w:p>
    <w:p>
      <w:pPr>
        <w:pStyle w:val="ListBullet"/>
      </w:pPr>
      <w:r>
        <w:t>[Coordinación automática GOEI](00_Gobernanza/coordinacion/README.md)</w:t>
      </w:r>
    </w:p>
    <w:p>
      <w:pPr>
        <w:pStyle w:val="ListBullet"/>
      </w:pPr>
      <w:r>
        <w:t>[Estado maestro](00_Gobernanza/coordinacion/ESTADO_MAESTRO.md)</w:t>
      </w:r>
    </w:p>
    <w:p>
      <w:pPr>
        <w:pStyle w:val="ListBullet"/>
      </w:pPr>
      <w:r>
        <w:t>[Roadmap técnico](00_Gobernanza/Roadmap_tecnico_GOEI.md)</w:t>
      </w:r>
    </w:p>
    <w:p>
      <w:pPr>
        <w:pStyle w:val="ListBullet"/>
      </w:pPr>
      <w:r>
        <w:t>[Política Git y contribución](00_Gobernanza/Politica_Git_y_contribucion.md)</w:t>
      </w:r>
    </w:p>
    <w:p>
      <w:pPr>
        <w:pStyle w:val="ListBullet"/>
      </w:pPr>
      <w:r>
        <w:t>[Guía de contribución](CONTRIBUTING.md)</w:t>
      </w:r>
    </w:p>
    <w:p>
      <w:pPr>
        <w:pStyle w:val="ListBullet"/>
      </w:pPr>
      <w:r>
        <w:t>[CHANGELOG](CHANGELOG.md)</w:t>
      </w:r>
    </w:p>
    <w:p>
      <w:pPr>
        <w:pStyle w:val="ListBullet"/>
      </w:pPr>
      <w:r>
        <w:t>[Matriz de trazabilidad](00_Gobernanza/Matriz_de_trazabilidad.md)</w:t>
      </w:r>
    </w:p>
    <w:p>
      <w:pPr>
        <w:pStyle w:val="ListBullet"/>
      </w:pPr>
      <w:r>
        <w:t>[Registro de componentes](00_Gobernanza/Registro_de_componentes.md)</w:t>
      </w:r>
    </w:p>
    <w:p>
      <w:pPr>
        <w:pStyle w:val="ListBullet"/>
      </w:pPr>
      <w:r>
        <w:t>[Preguntas y bloqueos](00_Gobernanza/Preguntas_abiertas.md)</w:t>
      </w:r>
    </w:p>
    <w:p>
      <w:pPr>
        <w:pStyle w:val="ListBullet"/>
      </w:pPr>
      <w:r>
        <w:t>[Política de versionado](00_Gobernanza/Politica_de_versionado.md)</w:t>
      </w:r>
    </w:p>
    <w:p>
      <w:pPr>
        <w:pStyle w:val="ListBullet"/>
      </w:pPr>
      <w:r>
        <w:t>[Convenciones documentales](00_Gobernanza/Convenciones_documentales.md)</w:t>
      </w:r>
    </w:p>
    <w:p>
      <w:pPr>
        <w:pStyle w:val="ListBullet"/>
      </w:pPr>
      <w:r>
        <w:t>[Plantillas](./_Plantillas/README.md)</w:t>
      </w:r>
    </w:p>
    <w:p>
      <w:pPr>
        <w:spacing w:after="40"/>
      </w:pPr>
    </w:p>
    <w:p>
      <w:pPr>
        <w:pStyle w:val="Heading3"/>
      </w:pPr>
      <w:r>
        <w:t>Fuentes de autoridad</w:t>
      </w:r>
    </w:p>
    <w:p>
      <w:pPr>
        <w:spacing w:after="40"/>
      </w:pPr>
    </w:p>
    <w:p>
      <w:r>
        <w:t>El orden de precedencia es:</w:t>
      </w:r>
    </w:p>
    <w:p>
      <w:pPr>
        <w:spacing w:after="40"/>
      </w:pPr>
    </w:p>
    <w:p>
      <w:pPr>
        <w:pStyle w:val="ListNumber"/>
      </w:pPr>
      <w:r>
        <w:t>decisión científica aprobada en 00_Gobernanza/Registro_de_decisiones.md;</w:t>
      </w:r>
    </w:p>
    <w:p>
      <w:pPr>
        <w:pStyle w:val="ListNumber"/>
      </w:pPr>
      <w:r>
        <w:t>expediente de la decisión y evidencia que esta cite;</w:t>
      </w:r>
    </w:p>
    <w:p>
      <w:pPr>
        <w:pStyle w:val="ListNumber"/>
      </w:pPr>
      <w:r>
        <w:t>especificación técnica derivada;</w:t>
      </w:r>
    </w:p>
    <w:p>
      <w:pPr>
        <w:pStyle w:val="ListNumber"/>
      </w:pPr>
      <w:r>
        <w:t>manuales, formularios y otros productos de aplicación;</w:t>
      </w:r>
    </w:p>
    <w:p>
      <w:pPr>
        <w:pStyle w:val="ListNumber"/>
      </w:pPr>
      <w:r>
        <w:t>tesis, artículos y materiales de comunicación.</w:t>
      </w:r>
    </w:p>
    <w:p>
      <w:pPr>
        <w:spacing w:after="40"/>
      </w:pPr>
    </w:p>
    <w:p>
      <w:r>
        <w:t>Un documento derivado nunca modifica por sí mismo una decisión científica.</w:t>
      </w:r>
    </w:p>
    <w:p>
      <w:pPr>
        <w:spacing w:after="40"/>
      </w:pPr>
    </w:p>
    <w:p>
      <w:pPr>
        <w:pStyle w:val="Heading3"/>
      </w:pPr>
      <w:r>
        <w:t>Controles locales</w:t>
      </w:r>
    </w:p>
    <w:p>
      <w:pPr>
        <w:spacing w:after="40"/>
      </w:pPr>
    </w:p>
    <w:p>
      <w:pPr>
        <w:spacing w:after="20" w:line="240" w:lineRule="auto"/>
        <w:ind w:left="259"/>
      </w:pPr>
      <w:r>
        <w:rPr>
          <w:rFonts w:ascii="Consolas" w:hAnsi="Consolas"/>
          <w:sz w:val="15"/>
        </w:rPr>
        <w:t>python3 16_Herramientas/validadores/validate_repository.py</w:t>
      </w:r>
    </w:p>
    <w:p>
      <w:pPr>
        <w:spacing w:after="20" w:line="240" w:lineRule="auto"/>
        <w:ind w:left="259"/>
      </w:pPr>
      <w:r>
        <w:rPr>
          <w:rFonts w:ascii="Consolas" w:hAnsi="Consolas"/>
          <w:sz w:val="15"/>
        </w:rPr>
        <w:t>cd 16_Herramientas/validadores</w:t>
      </w:r>
    </w:p>
    <w:p>
      <w:pPr>
        <w:spacing w:after="20" w:line="240" w:lineRule="auto"/>
        <w:ind w:left="259"/>
      </w:pPr>
      <w:r>
        <w:rPr>
          <w:rFonts w:ascii="Consolas" w:hAnsi="Consolas"/>
          <w:sz w:val="15"/>
        </w:rPr>
        <w:t>python3 -m unittest discover -s tests -v</w:t>
      </w:r>
    </w:p>
    <w:p>
      <w:pPr>
        <w:spacing w:after="20" w:line="240" w:lineRule="auto"/>
        <w:ind w:left="259"/>
      </w:pPr>
      <w:r>
        <w:rPr>
          <w:rFonts w:ascii="Consolas" w:hAnsi="Consolas"/>
          <w:sz w:val="15"/>
        </w:rPr>
        <w:t>python3 validate_technical_roadmap.py</w:t>
      </w:r>
    </w:p>
    <w:p>
      <w:pPr>
        <w:spacing w:after="40"/>
      </w:pPr>
    </w:p>
    <w:p>
      <w:r>
        <w:t>Los evaluadores de preparación devuelven código 2 mientras existan compuertas pendientes; esto no equivale a un fallo técnico.</w:t>
      </w:r>
    </w:p>
    <w:p>
      <w:r>
        <w:br w:type="page"/>
      </w:r>
    </w:p>
    <w:p>
      <w:pPr>
        <w:pStyle w:val="Heading1"/>
        <w:keepNext/>
      </w:pPr>
      <w:r>
        <w:t>Fuente 2: AGENTS.md</w:t>
      </w:r>
    </w:p>
    <w:p>
      <w:pPr>
        <w:spacing w:after="200"/>
      </w:pPr>
      <w:r>
        <w:rPr>
          <w:rFonts w:ascii="Consolas" w:hAnsi="Consolas"/>
          <w:color w:val="595959"/>
          <w:sz w:val="16"/>
        </w:rPr>
        <w:t>Ruta: AGENTS.md</w:t>
        <w:br/>
        <w:t>Tamaño: 5074 bytes</w:t>
        <w:br/>
        <w:t>SHA-256: b35d29931ee14c4757acb1fca7c5cd82cd8e016aac241fde9b4134f1d0e14f60</w:t>
      </w:r>
    </w:p>
    <w:p>
      <w:pPr>
        <w:pStyle w:val="Heading3"/>
      </w:pPr>
      <w:r>
        <w:t>Imported Claude Cowork project instructions</w:t>
      </w:r>
    </w:p>
    <w:p>
      <w:pPr>
        <w:spacing w:after="40"/>
      </w:pPr>
    </w:p>
    <w:p>
      <w:r>
        <w:t>Este proyecto está dedicado al desarrollo científico y técnico del GOEI (Gastronomic Operational Efficiency Index), un protocolo estandarizado para medir la salud operacional de establecimientos gastronómicos mediante indicadores cuantificables, reproducibles, auditables y comparables.</w:t>
      </w:r>
    </w:p>
    <w:p>
      <w:pPr>
        <w:spacing w:after="40"/>
      </w:pPr>
    </w:p>
    <w:p>
      <w:r>
        <w:t>Actúa como un equipo interdisciplinario integrado por especialistas en gestión gastronómica, ingeniería industrial, operaciones, estadística, construcción de índices compuestos, control de costos, inocuidad alimentaria, calidad, servicio, inventarios, recursos humanos, sostenibilidad y metodología de investigación.</w:t>
      </w:r>
    </w:p>
    <w:p>
      <w:pPr>
        <w:spacing w:after="40"/>
      </w:pPr>
    </w:p>
    <w:p>
      <w:r>
        <w:t>Principios obligatorios:</w:t>
      </w:r>
    </w:p>
    <w:p>
      <w:pPr>
        <w:spacing w:after="40"/>
      </w:pPr>
    </w:p>
    <w:p>
      <w:pPr>
        <w:pStyle w:val="ListNumber"/>
      </w:pPr>
      <w:r>
        <w:t>No inventes KPI, fórmulas, ponderaciones, rangos, umbrales, clasificaciones ni referencias.</w:t>
      </w:r>
    </w:p>
    <w:p>
      <w:pPr>
        <w:pStyle w:val="ListNumber"/>
      </w:pPr>
      <w:r>
        <w:t>Toda afirmación técnica debe distinguir entre:</w:t>
      </w:r>
    </w:p>
    <w:p>
      <w:pPr>
        <w:pStyle w:val="ListBullet"/>
      </w:pPr>
      <w:r>
        <w:t>evidencia bibliográfica;</w:t>
      </w:r>
    </w:p>
    <w:p>
      <w:pPr>
        <w:pStyle w:val="ListBullet"/>
      </w:pPr>
      <w:r>
        <w:t>norma o regulación;</w:t>
      </w:r>
    </w:p>
    <w:p>
      <w:pPr>
        <w:pStyle w:val="ListBullet"/>
      </w:pPr>
      <w:r>
        <w:t>dato empírico;</w:t>
      </w:r>
    </w:p>
    <w:p>
      <w:pPr>
        <w:pStyle w:val="ListBullet"/>
      </w:pPr>
      <w:r>
        <w:t>consenso de expertos;</w:t>
      </w:r>
    </w:p>
    <w:p>
      <w:pPr>
        <w:pStyle w:val="ListBullet"/>
      </w:pPr>
      <w:r>
        <w:t>propuesta provisional aún no validada.</w:t>
      </w:r>
    </w:p>
    <w:p>
      <w:pPr>
        <w:pStyle w:val="ListNumber"/>
      </w:pPr>
      <w:r>
        <w:t>Cita siempre las fuentes utilizadas con autor, año, título y enlace o identificador verificable cuando esté disponible.</w:t>
      </w:r>
    </w:p>
    <w:p>
      <w:pPr>
        <w:pStyle w:val="ListNumber"/>
      </w:pPr>
      <w:r>
        <w:t>Prioriza fuentes primarias y confiables: artículos revisados por pares, libros académicos, normas ISO, Codex Alimentarius, FAO, OCDE, organismos públicos y asociaciones profesionales reconocidas.</w:t>
      </w:r>
    </w:p>
    <w:p>
      <w:pPr>
        <w:pStyle w:val="ListNumber"/>
      </w:pPr>
      <w:r>
        <w:t>No presentes como definitivo ningún número que no haya sido validado.</w:t>
      </w:r>
    </w:p>
    <w:p>
      <w:pPr>
        <w:pStyle w:val="ListNumber"/>
      </w:pPr>
      <w:r>
        <w:t>El GOEI debe ser independiente de la tecnología y calculable manualmente con formularios, tablas y una calculadora básica.</w:t>
      </w:r>
    </w:p>
    <w:p>
      <w:pPr>
        <w:pStyle w:val="ListNumber"/>
      </w:pPr>
      <w:r>
        <w:t>Los datos originales pueden utilizar distintas unidades, pero todos los KPI incorporados a la fórmula global deben transformarse mediante reglas justificadas a una escala común.</w:t>
      </w:r>
    </w:p>
    <w:p>
      <w:pPr>
        <w:pStyle w:val="ListNumber"/>
      </w:pPr>
      <w:r>
        <w:t>Cada KPI debe ser definible, medible, trazable, repetible, auditable y realizable por cualquier negocio de la categoría correspondiente.</w:t>
      </w:r>
    </w:p>
    <w:p>
      <w:pPr>
        <w:pStyle w:val="ListNumber"/>
      </w:pPr>
      <w:r>
        <w:t>Distingue entre:</w:t>
      </w:r>
    </w:p>
    <w:p>
      <w:pPr>
        <w:pStyle w:val="ListBullet"/>
      </w:pPr>
      <w:r>
        <w:t>núcleo universal GOEI;</w:t>
      </w:r>
    </w:p>
    <w:p>
      <w:pPr>
        <w:pStyle w:val="ListBullet"/>
      </w:pPr>
      <w:r>
        <w:t>KPI específicos por categoría;</w:t>
      </w:r>
    </w:p>
    <w:p>
      <w:pPr>
        <w:pStyle w:val="ListBullet"/>
      </w:pPr>
      <w:r>
        <w:t>módulos complementarios.</w:t>
      </w:r>
    </w:p>
    <w:p>
      <w:pPr>
        <w:pStyle w:val="ListNumber"/>
      </w:pPr>
      <w:r>
        <w:t>Considera reglas de no compensación: un resultado financiero alto no puede ocultar incumplimientos críticos de inocuidad, seguridad o legalidad.</w:t>
      </w:r>
    </w:p>
    <w:p>
      <w:pPr>
        <w:pStyle w:val="ListNumber"/>
      </w:pPr>
      <w:r>
        <w:t>Analiza críticamente cada propuesta, indicando fortalezas, limitaciones, sesgos, requisitos de datos y método de validación.</w:t>
      </w:r>
    </w:p>
    <w:p>
      <w:pPr>
        <w:pStyle w:val="ListNumber"/>
      </w:pPr>
      <w:r>
        <w:t>Conserva coherencia terminológica y registra las decisiones metodológicas del proyecto.</w:t>
      </w:r>
    </w:p>
    <w:p>
      <w:pPr>
        <w:pStyle w:val="ListNumber"/>
      </w:pPr>
      <w:r>
        <w:t>No redactes la tesis completa de inmediato. Trabaja por fases: revisión documental, definición conceptual, selección de KPI, normalización, ponderación, agregación, interpretación, manual piloto y validación.</w:t>
      </w:r>
    </w:p>
    <w:p>
      <w:pPr>
        <w:pStyle w:val="ListNumber"/>
      </w:pPr>
      <w:r>
        <w:t>Antes de aceptar una propuesta como parte oficial del GOEI, sométela a revisión metodológica y señala qué evidencia falta.</w:t>
      </w:r>
    </w:p>
    <w:p>
      <w:pPr>
        <w:spacing w:after="40"/>
      </w:pPr>
    </w:p>
    <w:p>
      <w:r>
        <w:t>Productos esperados:</w:t>
      </w:r>
    </w:p>
    <w:p>
      <w:pPr>
        <w:spacing w:after="40"/>
      </w:pPr>
    </w:p>
    <w:p>
      <w:pPr>
        <w:pStyle w:val="ListBullet"/>
      </w:pPr>
      <w:r>
        <w:t>modelo conceptual GOEI;</w:t>
      </w:r>
    </w:p>
    <w:p>
      <w:pPr>
        <w:pStyle w:val="ListBullet"/>
      </w:pPr>
      <w:r>
        <w:t>glosario técnico;</w:t>
      </w:r>
    </w:p>
    <w:p>
      <w:pPr>
        <w:pStyle w:val="ListBullet"/>
      </w:pPr>
      <w:r>
        <w:t>taxonomía de establecimientos gastronómicos;</w:t>
      </w:r>
    </w:p>
    <w:p>
      <w:pPr>
        <w:pStyle w:val="ListBullet"/>
      </w:pPr>
      <w:r>
        <w:t>matriz de procesos;</w:t>
      </w:r>
    </w:p>
    <w:p>
      <w:pPr>
        <w:pStyle w:val="ListBullet"/>
      </w:pPr>
      <w:r>
        <w:t>catálogo de KPI;</w:t>
      </w:r>
    </w:p>
    <w:p>
      <w:pPr>
        <w:pStyle w:val="ListBullet"/>
      </w:pPr>
      <w:r>
        <w:t>matriz de admisibilidad de KPI;</w:t>
      </w:r>
    </w:p>
    <w:p>
      <w:pPr>
        <w:pStyle w:val="ListBullet"/>
      </w:pPr>
      <w:r>
        <w:t>Manual Técnico General;</w:t>
      </w:r>
    </w:p>
    <w:p>
      <w:pPr>
        <w:pStyle w:val="ListBullet"/>
      </w:pPr>
      <w:r>
        <w:t>sistema de normalización;</w:t>
      </w:r>
    </w:p>
    <w:p>
      <w:pPr>
        <w:pStyle w:val="ListBullet"/>
      </w:pPr>
      <w:r>
        <w:t>fórmula global;</w:t>
      </w:r>
    </w:p>
    <w:p>
      <w:pPr>
        <w:pStyle w:val="ListBullet"/>
      </w:pPr>
      <w:r>
        <w:t>reglas críticas y de validez;</w:t>
      </w:r>
    </w:p>
    <w:p>
      <w:pPr>
        <w:pStyle w:val="ListBullet"/>
      </w:pPr>
      <w:r>
        <w:t>tabla de interpretación;</w:t>
      </w:r>
    </w:p>
    <w:p>
      <w:pPr>
        <w:pStyle w:val="ListBullet"/>
      </w:pPr>
      <w:r>
        <w:t>formularios para aplicación manual;</w:t>
      </w:r>
    </w:p>
    <w:p>
      <w:pPr>
        <w:pStyle w:val="ListBullet"/>
      </w:pPr>
      <w:r>
        <w:t>manual piloto por categoría;</w:t>
      </w:r>
    </w:p>
    <w:p>
      <w:pPr>
        <w:pStyle w:val="ListBullet"/>
      </w:pPr>
      <w:r>
        <w:t>diseño de validación con expertos y casos reales;</w:t>
      </w:r>
    </w:p>
    <w:p>
      <w:pPr>
        <w:pStyle w:val="ListBullet"/>
      </w:pPr>
      <w:r>
        <w:t>estructura de tesis y artículos académicos.</w:t>
      </w:r>
    </w:p>
    <w:p>
      <w:pPr>
        <w:spacing w:after="40"/>
      </w:pPr>
    </w:p>
    <w:p>
      <w:r>
        <w:t>Responde en español académico claro. Utiliza tablas cuando faciliten comparar fuentes, KPI o decisiones. Mantén separados los hechos comprobados de las propuestas de diseño.</w:t>
      </w:r>
    </w:p>
    <w:p>
      <w:pPr>
        <w:spacing w:after="40"/>
      </w:pPr>
    </w:p>
    <w:p>
      <w:r>
        <w:t>Carpeta local recomendada</w:t>
      </w:r>
    </w:p>
    <w:p>
      <w:pPr>
        <w:spacing w:after="40"/>
      </w:pPr>
    </w:p>
    <w:p>
      <w:r>
        <w:t>Dentro de /Users/ptoledos/GOEI, crea esta estructura:</w:t>
      </w:r>
    </w:p>
    <w:p>
      <w:pPr>
        <w:spacing w:after="40"/>
      </w:pPr>
    </w:p>
    <w:p>
      <w:r>
        <w:t>GOEI/</w:t>
      </w:r>
    </w:p>
    <w:p>
      <w:r>
        <w:t>├── 00_Gobernanza/</w:t>
      </w:r>
    </w:p>
    <w:p>
      <w:r>
        <w:t>├── 01_Estado_del_arte/</w:t>
      </w:r>
    </w:p>
    <w:p>
      <w:r>
        <w:t>├── 02_Bibliografia/</w:t>
      </w:r>
    </w:p>
    <w:p>
      <w:r>
        <w:t>├── 03_Taxonomia_negocios/</w:t>
      </w:r>
    </w:p>
    <w:p>
      <w:r>
        <w:t>├── 04_Procesos_gastronomicos/</w:t>
      </w:r>
    </w:p>
    <w:p>
      <w:r>
        <w:t>├── 05_Catalogo_KPI/</w:t>
      </w:r>
    </w:p>
    <w:p>
      <w:r>
        <w:t>├── 06_Normalizacion/</w:t>
      </w:r>
    </w:p>
    <w:p>
      <w:r>
        <w:t>├── 07_Ponderacion_y_formula/</w:t>
      </w:r>
    </w:p>
    <w:p>
      <w:r>
        <w:t>├── 08_Interpretacion/</w:t>
      </w:r>
    </w:p>
    <w:p>
      <w:r>
        <w:t>├── 09_Manual_tecnico_general/</w:t>
      </w:r>
    </w:p>
    <w:p>
      <w:r>
        <w:t>├── 10_Manual_piloto/</w:t>
      </w:r>
    </w:p>
    <w:p>
      <w:r>
        <w:t>├── 11_Validacion/</w:t>
      </w:r>
    </w:p>
    <w:p>
      <w:r>
        <w:t>├── 12_Tesis/</w:t>
      </w:r>
    </w:p>
    <w:p>
      <w:r>
        <w:t>└── 13_Publicaciones/</w:t>
      </w:r>
    </w:p>
    <w:p>
      <w:pPr>
        <w:spacing w:after="40"/>
      </w:pPr>
    </w:p>
    <w:p>
      <w:r>
        <w:t>En 00_Gobernanza conviene crear desde el inicio:</w:t>
      </w:r>
    </w:p>
    <w:p>
      <w:pPr>
        <w:spacing w:after="40"/>
      </w:pPr>
    </w:p>
    <w:p>
      <w:pPr>
        <w:pStyle w:val="ListBullet"/>
      </w:pPr>
      <w:r>
        <w:t>Definicion_GO向EI.md</w:t>
      </w:r>
    </w:p>
    <w:p>
      <w:pPr>
        <w:pStyle w:val="ListBullet"/>
      </w:pPr>
      <w:r>
        <w:t>Principios_metodologicos.md</w:t>
      </w:r>
    </w:p>
    <w:p>
      <w:pPr>
        <w:pStyle w:val="ListBullet"/>
      </w:pPr>
      <w:r>
        <w:t>Registro_de_decisiones.md</w:t>
      </w:r>
    </w:p>
    <w:p>
      <w:pPr>
        <w:pStyle w:val="ListBullet"/>
      </w:pPr>
      <w:r>
        <w:t>Preguntas_abiertas.md</w:t>
      </w:r>
    </w:p>
    <w:p>
      <w:pPr>
        <w:pStyle w:val="ListBullet"/>
      </w:pPr>
      <w:r>
        <w:t>Fuentes_descartadas.md</w:t>
      </w:r>
    </w:p>
    <w:p>
      <w:pPr>
        <w:spacing w:after="40"/>
      </w:pPr>
    </w:p>
    <w:p>
      <w:r>
        <w:t>El registro de decisiones será especialmente importante. Cada vez que acepten o descarten una dimensión, KPI, fórmula o método, deberán registrar:</w:t>
      </w:r>
    </w:p>
    <w:p>
      <w:r>
        <w:t>Decisión:</w:t>
      </w:r>
    </w:p>
    <w:p>
      <w:r>
        <w:t>Fecha:</w:t>
      </w:r>
    </w:p>
    <w:p>
      <w:r>
        <w:t>Problema analizado:</w:t>
      </w:r>
    </w:p>
    <w:p>
      <w:r>
        <w:t>Alternativas consideradas:</w:t>
      </w:r>
    </w:p>
    <w:p>
      <w:r>
        <w:t>Evidencia utilizada:</w:t>
      </w:r>
    </w:p>
    <w:p>
      <w:r>
        <w:t>Decisión adoptada:</w:t>
      </w:r>
    </w:p>
    <w:p>
      <w:r>
        <w:t>Justificación:</w:t>
      </w:r>
    </w:p>
    <w:p>
      <w:r>
        <w:t>Limitaciones:</w:t>
      </w:r>
    </w:p>
    <w:p>
      <w:r>
        <w:t>Pendiente de validación:</w:t>
      </w:r>
    </w:p>
    <w:p>
      <w:r>
        <w:t>Archivos que deberías agregar inicialmente</w:t>
      </w:r>
    </w:p>
    <w:p>
      <w:pPr>
        <w:spacing w:after="40"/>
      </w:pPr>
    </w:p>
    <w:p>
      <w:r>
        <w:t>No cargues veinte libros sin orden. Comienza con las referencias centrales que ya tengas legalmente disponibles:</w:t>
      </w:r>
    </w:p>
    <w:p>
      <w:pPr>
        <w:spacing w:after="40"/>
      </w:pPr>
    </w:p>
    <w:p>
      <w:pPr>
        <w:pStyle w:val="ListNumber"/>
      </w:pPr>
      <w:r>
        <w:t>Manual OCDE/JRC sobre construcción de indicadores compuestos.</w:t>
      </w:r>
    </w:p>
    <w:p>
      <w:pPr>
        <w:pStyle w:val="ListNumber"/>
      </w:pPr>
      <w:r>
        <w:t>Materiales sobre Balanced Scorecard.</w:t>
      </w:r>
    </w:p>
    <w:p>
      <w:pPr>
        <w:pStyle w:val="ListNumber"/>
      </w:pPr>
      <w:r>
        <w:t>Libros o documentos de KPI.</w:t>
      </w:r>
    </w:p>
    <w:p>
      <w:pPr>
        <w:pStyle w:val="ListNumber"/>
      </w:pPr>
      <w:r>
        <w:t>Manual FAO de HACCP.</w:t>
      </w:r>
    </w:p>
    <w:p>
      <w:pPr>
        <w:pStyle w:val="ListNumber"/>
      </w:pPr>
      <w:r>
        <w:t>Codex Alimentarius sobre higiene de alimentos.</w:t>
      </w:r>
    </w:p>
    <w:p>
      <w:pPr>
        <w:pStyle w:val="ListNumber"/>
      </w:pPr>
      <w:r>
        <w:t>Reglamento Sanitario de los Alimentos de Chile.</w:t>
      </w:r>
    </w:p>
    <w:p>
      <w:pPr>
        <w:pStyle w:val="ListNumber"/>
      </w:pPr>
      <w:r>
        <w:t>Materiales de costos gastronómicos.</w:t>
      </w:r>
    </w:p>
    <w:p>
      <w:pPr>
        <w:pStyle w:val="ListNumber"/>
      </w:pPr>
      <w:r>
        <w:t>Materiales de gestión hotelera y restaurantes que has utilizado en la universidad.</w:t>
      </w:r>
    </w:p>
    <w:p>
      <w:pPr>
        <w:pStyle w:val="ListNumber"/>
      </w:pPr>
      <w:r>
        <w:t>Documentos de operaciones, inventario, yield management y control.</w:t>
      </w:r>
    </w:p>
    <w:p>
      <w:pPr>
        <w:pStyle w:val="ListNumber"/>
      </w:pPr>
      <w:r>
        <w:t>La conversación o un documento resumen con todo lo que ya definimos del GOEI.</w:t>
      </w:r>
    </w:p>
    <w:p>
      <w:r>
        <w:br w:type="page"/>
      </w:r>
    </w:p>
    <w:p>
      <w:pPr>
        <w:pStyle w:val="Heading1"/>
        <w:keepNext/>
      </w:pPr>
      <w:r>
        <w:t>Fuente 3: CHANGELOG.md</w:t>
      </w:r>
    </w:p>
    <w:p>
      <w:pPr>
        <w:spacing w:after="200"/>
      </w:pPr>
      <w:r>
        <w:rPr>
          <w:rFonts w:ascii="Consolas" w:hAnsi="Consolas"/>
          <w:color w:val="595959"/>
          <w:sz w:val="16"/>
        </w:rPr>
        <w:t>Ruta: CHANGELOG.md</w:t>
        <w:br/>
        <w:t>Tamaño: 3886 bytes</w:t>
        <w:br/>
        <w:t>SHA-256: 8b75871378898c0a3b20b2b12282e1b4f69acbd9c6e5552f9da16805e1df1bba</w:t>
      </w:r>
    </w:p>
    <w:p>
      <w:pPr>
        <w:pStyle w:val="Heading2"/>
      </w:pPr>
      <w:r>
        <w:t>Changelog</w:t>
      </w:r>
    </w:p>
    <w:p>
      <w:pPr>
        <w:spacing w:after="40"/>
      </w:pPr>
    </w:p>
    <w:p>
      <w:r>
        <w:t>Todos los cambios relevantes del GOEI se documentarán en este archivo siguiendo Keep a Changelog y versionado semántico. La entrada Unreleased no confiere vigencia científica ni institucional.</w:t>
      </w:r>
    </w:p>
    <w:p>
      <w:pPr>
        <w:spacing w:after="40"/>
      </w:pPr>
    </w:p>
    <w:p>
      <w:pPr>
        <w:pStyle w:val="Heading3"/>
      </w:pPr>
      <w:r>
        <w:t>[Unreleased]</w:t>
      </w:r>
    </w:p>
    <w:p>
      <w:pPr>
        <w:spacing w:after="40"/>
      </w:pPr>
    </w:p>
    <w:p>
      <w:pPr>
        <w:pStyle w:val="ListBullet"/>
      </w:pPr>
      <w:r>
        <w:t>Ratificada D-018 mediante GOEI-DIR-RES-0003; B3 queda cerrada en su pregunta nuclear y se congela GOEI-BSL-KPI-C-0001 v0.1.0 con 31 indicadores candidatos, sin aprobar ningún KPI.</w:t>
      </w:r>
    </w:p>
    <w:p>
      <w:pPr>
        <w:pStyle w:val="ListBullet"/>
      </w:pPr>
      <w:r>
        <w:t>C-032 se preserva como marco contextual BSC y se excluye expresamente de la cola de admisibilidad B4; abiertos GOEI-ISS-055–058 y habilitada B4.</w:t>
      </w:r>
    </w:p>
    <w:p>
      <w:pPr>
        <w:spacing w:after="40"/>
      </w:pPr>
    </w:p>
    <w:p>
      <w:pPr>
        <w:pStyle w:val="ListBullet"/>
      </w:pPr>
      <w:r>
        <w:t>Ratificada D-017 con alcance limitado mediante GOEI-DIR-RES-0002; B2 queda cerrada en su pregunta nuclear y se congela GOEI-BSL-TAX-0001 v0.1.0 sin catálogo de valores, facetas opcionales, crosswalks ni reglas multiunidad.</w:t>
      </w:r>
    </w:p>
    <w:p>
      <w:pPr>
        <w:pStyle w:val="ListBullet"/>
      </w:pPr>
      <w:r>
        <w:t>Emitida GOEI-AUDIT-0005, cerrado GOEI-ISS-014, abierto GOEI-ISS-054 y habilitada B3 sin creación de KPI.</w:t>
      </w:r>
    </w:p>
    <w:p>
      <w:pPr>
        <w:spacing w:after="40"/>
      </w:pPr>
    </w:p>
    <w:p>
      <w:pPr>
        <w:pStyle w:val="ListBullet"/>
      </w:pPr>
      <w:r>
        <w:t>Ratificación directiva D-008 y cierre limitado de B1 mediante GOEI-DIR-RES-0001.</w:t>
      </w:r>
    </w:p>
    <w:p>
      <w:pPr>
        <w:pStyle w:val="ListBullet"/>
      </w:pPr>
      <w:r>
        <w:t>Creación de GOEI-BSL-PROC-0001 v0.1.0, con residuos/merma excluido de clasificación normativa mientras GOEI-ISS-043 permanezca abierto.</w:t>
      </w:r>
    </w:p>
    <w:p>
      <w:pPr>
        <w:pStyle w:val="ListBullet"/>
      </w:pPr>
      <w:r>
        <w:t>Activación del paquete científico B2; PRISMA completa y Delphi se conservan como validaciones posteriores.</w:t>
      </w:r>
    </w:p>
    <w:p>
      <w:pPr>
        <w:pStyle w:val="ListBullet"/>
      </w:pPr>
      <w:r>
        <w:t>Incorporación del marco científico GTRM como D-009–D-016, sin emitir GTRM reales ni alterar D-006.</w:t>
      </w:r>
    </w:p>
    <w:p>
      <w:pPr>
        <w:spacing w:after="40"/>
      </w:pPr>
    </w:p>
    <w:p>
      <w:pPr>
        <w:pStyle w:val="Heading4"/>
      </w:pPr>
      <w:r>
        <w:t>Added</w:t>
      </w:r>
    </w:p>
    <w:p>
      <w:pPr>
        <w:spacing w:after="40"/>
      </w:pPr>
    </w:p>
    <w:p>
      <w:pPr>
        <w:pStyle w:val="ListBullet"/>
      </w:pPr>
      <w:r>
        <w:t>Arquitectura documental, registros maestros y Constitución estructural.</w:t>
      </w:r>
    </w:p>
    <w:p>
      <w:pPr>
        <w:pStyle w:val="ListBullet"/>
      </w:pPr>
      <w:r>
        <w:t>Ontology Baseline v0.1 congelada con política Issue-only.</w:t>
      </w:r>
    </w:p>
    <w:p>
      <w:pPr>
        <w:pStyle w:val="ListBullet"/>
      </w:pPr>
      <w:r>
        <w:t>EPIC-001 GOEI Knowledge Graph &amp; MetaModel.</w:t>
      </w:r>
    </w:p>
    <w:p>
      <w:pPr>
        <w:pStyle w:val="ListBullet"/>
      </w:pPr>
      <w:r>
        <w:t>EPIC-002 Universal Process MetaModel como candidato técnico.</w:t>
      </w:r>
    </w:p>
    <w:p>
      <w:pPr>
        <w:pStyle w:val="ListBullet"/>
      </w:pPr>
      <w:r>
        <w:t>Oficina Técnica y coordinación sistemática científico–técnica.</w:t>
      </w:r>
    </w:p>
    <w:p>
      <w:pPr>
        <w:pStyle w:val="ListBullet"/>
      </w:pPr>
      <w:r>
        <w:t>Política de releases, manifiestos, comparación y compuertas G0–G5.</w:t>
      </w:r>
    </w:p>
    <w:p>
      <w:pPr>
        <w:pStyle w:val="ListBullet"/>
      </w:pPr>
      <w:r>
        <w:t>Plan Maestro Directoral y control de 64 requisitos mínimos de tesis.</w:t>
      </w:r>
    </w:p>
    <w:p>
      <w:pPr>
        <w:pStyle w:val="ListBullet"/>
      </w:pPr>
      <w:r>
        <w:t>Roadmap técnico procesable de 15 paquetes.</w:t>
      </w:r>
    </w:p>
    <w:p>
      <w:pPr>
        <w:pStyle w:val="ListBullet"/>
      </w:pPr>
      <w:r>
        <w:t>Validadores y pruebas automáticas del repositorio.</w:t>
      </w:r>
    </w:p>
    <w:p>
      <w:pPr>
        <w:pStyle w:val="ListBullet"/>
      </w:pPr>
      <w:r>
        <w:t>Mandato de dirección operativa ampliada y coordinación paralela asistida, sin transferencia de autoridad científica.</w:t>
      </w:r>
    </w:p>
    <w:p>
      <w:pPr>
        <w:pStyle w:val="ListBullet"/>
      </w:pPr>
      <w:r>
        <w:t>Pipeline científico–técnico B2–B10, matriz capítulo–evidencia y especificación editorial APA 7 orientada a UDLA.</w:t>
      </w:r>
    </w:p>
    <w:p>
      <w:pPr>
        <w:pStyle w:val="ListBullet"/>
      </w:pPr>
      <w:r>
        <w:t>Borrador controlado de resolución D-008/B1 y paquete vacío de activación científica B2, ambos sin efectos normativos.</w:t>
      </w:r>
    </w:p>
    <w:p>
      <w:pPr>
        <w:pStyle w:val="ListBullet"/>
      </w:pPr>
      <w:r>
        <w:t>Expediente consultivo GTRM con fuente preservada, dictamen científico B, auditoría arquitectónica, matriz de controles e Issue de adopción, sin modificar D-006 ni el pipeline oficial.</w:t>
      </w:r>
    </w:p>
    <w:p>
      <w:pPr>
        <w:pStyle w:val="ListBullet"/>
      </w:pPr>
      <w:r>
        <w:t>Auditoría de preparación D-008/B1 y migración de tres fuentes ya cotejadas por el Comité al catálogo bibliográfico, conservadas como under_review hasta decisión científica y directiva.</w:t>
      </w:r>
    </w:p>
    <w:p>
      <w:pPr>
        <w:pStyle w:val="ListBullet"/>
      </w:pPr>
      <w:r>
        <w:t>Expediente formal GOEI-ISS-044 con resolución directiva A/B/C, ocho slots científicos y plantilla reutilizable, sin seleccionar decisiones ni modificar D-006.</w:t>
      </w:r>
    </w:p>
    <w:p>
      <w:pPr>
        <w:pStyle w:val="ListBullet"/>
      </w:pPr>
      <w:r>
        <w:t>Delegación ejecutiva GOEI-DIR-0004 y resolución final GOEI-DIR-RES-GTRM-0001: Opción A, cierre del destino de GOEI-ISS-044 y apertura de GOEI-ISS-045–052, sin aprobar soluciones científicas ni modificar D-006/B5/B6.</w:t>
      </w:r>
    </w:p>
    <w:p>
      <w:pPr>
        <w:pStyle w:val="ListBullet"/>
      </w:pPr>
      <w:r>
        <w:t>Auditoría técnica GOEI-AUDIT-0004, cierre acotado de GOEI-ISS-045–052, apertura de GOEI-ISS-053 y creación de candidatas ontológica v0.2.0 y arquitectónica B5/B6, ambas no normativas.</w:t>
      </w:r>
    </w:p>
    <w:p>
      <w:pPr>
        <w:spacing w:after="40"/>
      </w:pPr>
    </w:p>
    <w:p>
      <w:pPr>
        <w:pStyle w:val="Heading4"/>
      </w:pPr>
      <w:r>
        <w:t>Changed</w:t>
      </w:r>
    </w:p>
    <w:p>
      <w:pPr>
        <w:spacing w:after="40"/>
      </w:pPr>
    </w:p>
    <w:p>
      <w:pPr>
        <w:pStyle w:val="ListBullet"/>
      </w:pPr>
      <w:r>
        <w:t>Normalización de IDs de Issues del EPIC-001 para eliminar colisiones.</w:t>
      </w:r>
    </w:p>
    <w:p>
      <w:pPr>
        <w:pStyle w:val="ListBullet"/>
      </w:pPr>
      <w:r>
        <w:t>Arquitectura de tesis actualizada a cuatro tomos y 17 capítulos.</w:t>
      </w:r>
    </w:p>
    <w:p>
      <w:pPr>
        <w:spacing w:after="40"/>
      </w:pPr>
    </w:p>
    <w:p>
      <w:pPr>
        <w:pStyle w:val="Heading4"/>
      </w:pPr>
      <w:r>
        <w:t>Security</w:t>
      </w:r>
    </w:p>
    <w:p>
      <w:pPr>
        <w:spacing w:after="40"/>
      </w:pPr>
    </w:p>
    <w:p>
      <w:pPr>
        <w:pStyle w:val="ListBullet"/>
      </w:pPr>
      <w:r>
        <w:t>Exclusión de secretos, archivos temporales y metadatos locales mediante .gitignore.</w:t>
      </w:r>
    </w:p>
    <w:p>
      <w:pPr>
        <w:spacing w:after="40"/>
      </w:pPr>
    </w:p>
    <w:p>
      <w:pPr>
        <w:pStyle w:val="Heading3"/>
      </w:pPr>
      <w:r>
        <w:t>Política</w:t>
      </w:r>
    </w:p>
    <w:p>
      <w:pPr>
        <w:spacing w:after="40"/>
      </w:pPr>
    </w:p>
    <w:p>
      <w:pPr>
        <w:pStyle w:val="ListBullet"/>
      </w:pPr>
      <w:r>
        <w:t>Las releases publicadas usan enlaces comparativos cuando exista historia remota.</w:t>
      </w:r>
    </w:p>
    <w:p>
      <w:pPr>
        <w:pStyle w:val="ListBullet"/>
      </w:pPr>
      <w:r>
        <w:t>Una decisión científica se menciona aquí únicamente después de su registro aprobado.</w:t>
      </w:r>
    </w:p>
    <w:p>
      <w:pPr>
        <w:pStyle w:val="ListBullet"/>
      </w:pPr>
      <w:r>
        <w:t>Las correcciones de una baseline se publican como nueva versión o errata; no se reescriben.</w:t>
      </w:r>
    </w:p>
    <w:p>
      <w:pPr>
        <w:spacing w:after="40"/>
      </w:pPr>
    </w:p>
    <w:p>
      <w:r>
        <w:t>[Unreleased]: https://github.com/PabloGoup/GOEI/compare/HEAD...HEAD</w:t>
      </w:r>
    </w:p>
    <w:p>
      <w:r>
        <w:br w:type="page"/>
      </w:r>
    </w:p>
    <w:p>
      <w:pPr>
        <w:pStyle w:val="Heading1"/>
        <w:keepNext/>
      </w:pPr>
      <w:r>
        <w:t>Fuente 4: 00_Gobernanza/Constitucion_GOEI.md</w:t>
      </w:r>
    </w:p>
    <w:p>
      <w:pPr>
        <w:spacing w:after="200"/>
      </w:pPr>
      <w:r>
        <w:rPr>
          <w:rFonts w:ascii="Consolas" w:hAnsi="Consolas"/>
          <w:color w:val="595959"/>
          <w:sz w:val="16"/>
        </w:rPr>
        <w:t>Ruta: 00_Gobernanza/Constitucion_GOEI.md</w:t>
        <w:br/>
        <w:t>Tamaño: 7320 bytes</w:t>
        <w:br/>
        <w:t>SHA-256: 116be1f1525554833e7c292943ca8ba117f14740808b2d79b7ca0f670a878d24</w:t>
      </w:r>
    </w:p>
    <w:p>
      <w:pPr>
        <w:pStyle w:val="Heading2"/>
      </w:pPr>
      <w:r>
        <w:t>Constitución del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GOEI-CON-0001 |</w:t>
      </w:r>
    </w:p>
    <w:p>
      <w:pPr>
        <w:spacing w:after="20" w:line="240" w:lineRule="auto"/>
      </w:pPr>
      <w:r>
        <w:rPr>
          <w:rFonts w:ascii="Consolas" w:hAnsi="Consolas"/>
          <w:sz w:val="14"/>
        </w:rPr>
        <w:t>| Tipo | Documento fundador |</w:t>
      </w:r>
    </w:p>
    <w:p>
      <w:pPr>
        <w:spacing w:after="20" w:line="240" w:lineRule="auto"/>
      </w:pPr>
      <w:r>
        <w:rPr>
          <w:rFonts w:ascii="Consolas" w:hAnsi="Consolas"/>
          <w:sz w:val="14"/>
        </w:rPr>
        <w:t>| Estado | Esqueleto estructural; contenido pendiente |</w:t>
      </w:r>
    </w:p>
    <w:p>
      <w:pPr>
        <w:spacing w:after="20" w:line="240" w:lineRule="auto"/>
      </w:pPr>
      <w:r>
        <w:rPr>
          <w:rFonts w:ascii="Consolas" w:hAnsi="Consolas"/>
          <w:sz w:val="14"/>
        </w:rPr>
        <w:t>| Naturaleza | Pendiente de determinación |</w:t>
      </w:r>
    </w:p>
    <w:p>
      <w:pPr>
        <w:spacing w:after="20" w:line="240" w:lineRule="auto"/>
      </w:pPr>
      <w:r>
        <w:rPr>
          <w:rFonts w:ascii="Consolas" w:hAnsi="Consolas"/>
          <w:sz w:val="14"/>
        </w:rPr>
        <w:t>| Versión documental | 0.1.0-draft |</w:t>
      </w:r>
    </w:p>
    <w:p>
      <w:pPr>
        <w:spacing w:after="20" w:line="240" w:lineRule="auto"/>
      </w:pPr>
      <w:r>
        <w:rPr>
          <w:rFonts w:ascii="Consolas" w:hAnsi="Consolas"/>
          <w:sz w:val="14"/>
        </w:rPr>
        <w:t>| Autoridad de aprobación | PENDIENTE |</w:t>
      </w:r>
    </w:p>
    <w:p>
      <w:pPr>
        <w:spacing w:after="20" w:line="240" w:lineRule="auto"/>
      </w:pPr>
      <w:r>
        <w:rPr>
          <w:rFonts w:ascii="Consolas" w:hAnsi="Consolas"/>
          <w:sz w:val="14"/>
        </w:rPr>
        <w:t>| Versión GOEI de incorporación | No asignada |</w:t>
      </w:r>
    </w:p>
    <w:p>
      <w:pPr>
        <w:spacing w:after="40"/>
      </w:pPr>
    </w:p>
    <w:p>
      <w:pPr>
        <w:spacing w:after="100"/>
        <w:ind w:left="360" w:right="216"/>
      </w:pPr>
      <w:r>
        <w:rPr>
          <w:i/>
          <w:color w:val="595959"/>
        </w:rPr>
        <w:t>Este archivo define únicamente la estructura de la futura Constitución. Los textos entre corchetes son instrucciones editoriales y no constituyen decisiones, principios ni requisitos del GOEI.</w:t>
      </w:r>
    </w:p>
    <w:p>
      <w:pPr>
        <w:spacing w:after="40"/>
      </w:pPr>
    </w:p>
    <w:p>
      <w:pPr>
        <w:pStyle w:val="Heading3"/>
      </w:pPr>
      <w:r>
        <w:t>Preámbulo</w:t>
      </w:r>
    </w:p>
    <w:p>
      <w:pPr>
        <w:spacing w:after="40"/>
      </w:pPr>
    </w:p>
    <w:p>
      <w:r>
        <w:t>[Contexto fundador, legitimidad del proyecto y naturaleza del documento.]</w:t>
      </w:r>
    </w:p>
    <w:p>
      <w:pPr>
        <w:spacing w:after="40"/>
      </w:pPr>
    </w:p>
    <w:p>
      <w:pPr>
        <w:pStyle w:val="Heading3"/>
      </w:pPr>
      <w:r>
        <w:t>1. Visión</w:t>
      </w:r>
    </w:p>
    <w:p>
      <w:pPr>
        <w:spacing w:after="40"/>
      </w:pPr>
    </w:p>
    <w:p>
      <w:r>
        <w:t>[Declaración breve del futuro que el GOEI pretende contribuir a construir.]</w:t>
      </w:r>
    </w:p>
    <w:p>
      <w:pPr>
        <w:spacing w:after="40"/>
      </w:pPr>
    </w:p>
    <w:p>
      <w:pPr>
        <w:pStyle w:val="Heading3"/>
      </w:pPr>
      <w:r>
        <w:t>2. Misión</w:t>
      </w:r>
    </w:p>
    <w:p>
      <w:pPr>
        <w:spacing w:after="40"/>
      </w:pPr>
    </w:p>
    <w:p>
      <w:r>
        <w:t>[Función permanente del proyecto y modo general de cumplirla.]</w:t>
      </w:r>
    </w:p>
    <w:p>
      <w:pPr>
        <w:spacing w:after="40"/>
      </w:pPr>
    </w:p>
    <w:p>
      <w:pPr>
        <w:pStyle w:val="Heading3"/>
      </w:pPr>
      <w:r>
        <w:t>3. Propósito</w:t>
      </w:r>
    </w:p>
    <w:p>
      <w:pPr>
        <w:spacing w:after="40"/>
      </w:pPr>
    </w:p>
    <w:p>
      <w:r>
        <w:t>[Razón de existencia del GOEI y problema general que aborda, sin definir todavía su modelo científico.]</w:t>
      </w:r>
    </w:p>
    <w:p>
      <w:pPr>
        <w:spacing w:after="40"/>
      </w:pPr>
    </w:p>
    <w:p>
      <w:pPr>
        <w:pStyle w:val="Heading3"/>
      </w:pPr>
      <w:r>
        <w:t>4. Filosofía institucional</w:t>
      </w:r>
    </w:p>
    <w:p>
      <w:pPr>
        <w:spacing w:after="40"/>
      </w:pPr>
    </w:p>
    <w:p>
      <w:pPr>
        <w:pStyle w:val="Heading4"/>
      </w:pPr>
      <w:r>
        <w:t>4.1 Concepción del estándar</w:t>
      </w:r>
    </w:p>
    <w:p>
      <w:pPr>
        <w:spacing w:after="40"/>
      </w:pPr>
    </w:p>
    <w:p>
      <w:r>
        <w:t>[Cómo entiende el proyecto la relación entre conocimiento científico, normalización y aplicación.]</w:t>
      </w:r>
    </w:p>
    <w:p>
      <w:pPr>
        <w:spacing w:after="40"/>
      </w:pPr>
    </w:p>
    <w:p>
      <w:pPr>
        <w:pStyle w:val="Heading4"/>
      </w:pPr>
      <w:r>
        <w:t>4.2 Independencia científica</w:t>
      </w:r>
    </w:p>
    <w:p>
      <w:pPr>
        <w:spacing w:after="40"/>
      </w:pPr>
    </w:p>
    <w:p>
      <w:r>
        <w:t>[Separación entre autoridad científica, arquitectura técnica, intereses comerciales y aplicación.]</w:t>
      </w:r>
    </w:p>
    <w:p>
      <w:pPr>
        <w:spacing w:after="40"/>
      </w:pPr>
    </w:p>
    <w:p>
      <w:pPr>
        <w:pStyle w:val="Heading4"/>
      </w:pPr>
      <w:r>
        <w:t>4.3 Orientación internacional y pluralidad contextual</w:t>
      </w:r>
    </w:p>
    <w:p>
      <w:pPr>
        <w:spacing w:after="40"/>
      </w:pPr>
    </w:p>
    <w:p>
      <w:r>
        <w:t>[Criterios generales para relevancia internacional, traducción y adaptación sin fragmentar el estándar.]</w:t>
      </w:r>
    </w:p>
    <w:p>
      <w:pPr>
        <w:spacing w:after="40"/>
      </w:pPr>
    </w:p>
    <w:p>
      <w:pPr>
        <w:pStyle w:val="Heading3"/>
      </w:pPr>
      <w:r>
        <w:t>5. Principios fundacionales</w:t>
      </w:r>
    </w:p>
    <w:p>
      <w:pPr>
        <w:spacing w:after="40"/>
      </w:pPr>
    </w:p>
    <w:p>
      <w:r>
        <w:t>[Listado futuro de principios aprobados. Cada principio deberá tener ID, formulación, alcance, consecuencias y decisión de origen.]</w:t>
      </w:r>
    </w:p>
    <w:p>
      <w:pPr>
        <w:spacing w:after="40"/>
      </w:pPr>
    </w:p>
    <w:p>
      <w:pPr>
        <w:pStyle w:val="Heading3"/>
      </w:pPr>
      <w:r>
        <w:t>6. Alcance constitucional</w:t>
      </w:r>
    </w:p>
    <w:p>
      <w:pPr>
        <w:spacing w:after="40"/>
      </w:pPr>
    </w:p>
    <w:p>
      <w:pPr>
        <w:pStyle w:val="Heading4"/>
      </w:pPr>
      <w:r>
        <w:t>6.1 Materias reguladas por la Constitución</w:t>
      </w:r>
    </w:p>
    <w:p>
      <w:pPr>
        <w:spacing w:after="40"/>
      </w:pPr>
    </w:p>
    <w:p>
      <w:r>
        <w:t>[Gobernanza, autoridad, jerarquía documental y procesos de cambio.]</w:t>
      </w:r>
    </w:p>
    <w:p>
      <w:pPr>
        <w:spacing w:after="40"/>
      </w:pPr>
    </w:p>
    <w:p>
      <w:pPr>
        <w:pStyle w:val="Heading4"/>
      </w:pPr>
      <w:r>
        <w:t>6.2 Materias excluidas</w:t>
      </w:r>
    </w:p>
    <w:p>
      <w:pPr>
        <w:spacing w:after="40"/>
      </w:pPr>
    </w:p>
    <w:p>
      <w:r>
        <w:t>[Contenido científico y técnico que corresponde a decisiones o módulos posteriores.]</w:t>
      </w:r>
    </w:p>
    <w:p>
      <w:pPr>
        <w:spacing w:after="40"/>
      </w:pPr>
    </w:p>
    <w:p>
      <w:pPr>
        <w:pStyle w:val="Heading4"/>
      </w:pPr>
      <w:r>
        <w:t>6.3 Sujetos y comunidades alcanzadas</w:t>
      </w:r>
    </w:p>
    <w:p>
      <w:pPr>
        <w:spacing w:after="40"/>
      </w:pPr>
    </w:p>
    <w:p>
      <w:r>
        <w:t>[Órganos, colaboradores, evaluadores, usuarios y terceros alcanzados.]</w:t>
      </w:r>
    </w:p>
    <w:p>
      <w:pPr>
        <w:spacing w:after="40"/>
      </w:pPr>
    </w:p>
    <w:p>
      <w:pPr>
        <w:pStyle w:val="Heading3"/>
      </w:pPr>
      <w:r>
        <w:t>7. Objetivos institucionales</w:t>
      </w:r>
    </w:p>
    <w:p>
      <w:pPr>
        <w:spacing w:after="40"/>
      </w:pPr>
    </w:p>
    <w:p>
      <w:r>
        <w:t>[Objetivos de largo plazo. No incorporar KPI ni metas cuantitativas sin decisión aprobada.]</w:t>
      </w:r>
    </w:p>
    <w:p>
      <w:pPr>
        <w:spacing w:after="40"/>
      </w:pPr>
    </w:p>
    <w:p>
      <w:pPr>
        <w:pStyle w:val="Heading3"/>
      </w:pPr>
      <w:r>
        <w:t>8. Reglas metodológicas superiores</w:t>
      </w:r>
    </w:p>
    <w:p>
      <w:pPr>
        <w:spacing w:after="40"/>
      </w:pPr>
    </w:p>
    <w:p>
      <w:pPr>
        <w:pStyle w:val="Heading4"/>
      </w:pPr>
      <w:r>
        <w:t>8.1 Trazabilidad</w:t>
      </w:r>
    </w:p>
    <w:p>
      <w:pPr>
        <w:spacing w:after="40"/>
      </w:pPr>
    </w:p>
    <w:p>
      <w:r>
        <w:t>[Regla de procedencia entre evidencia, decisión y componente.]</w:t>
      </w:r>
    </w:p>
    <w:p>
      <w:pPr>
        <w:spacing w:after="40"/>
      </w:pPr>
    </w:p>
    <w:p>
      <w:pPr>
        <w:pStyle w:val="Heading4"/>
      </w:pPr>
      <w:r>
        <w:t>8.2 Clasificación del conocimiento</w:t>
      </w:r>
    </w:p>
    <w:p>
      <w:pPr>
        <w:spacing w:after="40"/>
      </w:pPr>
    </w:p>
    <w:p>
      <w:r>
        <w:t>[Distinción entre evidencia, norma, dato, consenso, propuesta y decisión.]</w:t>
      </w:r>
    </w:p>
    <w:p>
      <w:pPr>
        <w:spacing w:after="40"/>
      </w:pPr>
    </w:p>
    <w:p>
      <w:pPr>
        <w:pStyle w:val="Heading4"/>
      </w:pPr>
      <w:r>
        <w:t>8.3 Separación de funciones</w:t>
      </w:r>
    </w:p>
    <w:p>
      <w:pPr>
        <w:spacing w:after="40"/>
      </w:pPr>
    </w:p>
    <w:p>
      <w:r>
        <w:t>[Fronteras entre investigación, decisión científica, ingeniería y aprobación.]</w:t>
      </w:r>
    </w:p>
    <w:p>
      <w:pPr>
        <w:spacing w:after="40"/>
      </w:pPr>
    </w:p>
    <w:p>
      <w:pPr>
        <w:pStyle w:val="Heading4"/>
      </w:pPr>
      <w:r>
        <w:t>8.4 Reproducibilidad y auditabilidad</w:t>
      </w:r>
    </w:p>
    <w:p>
      <w:pPr>
        <w:spacing w:after="40"/>
      </w:pPr>
    </w:p>
    <w:p>
      <w:r>
        <w:t>[Principio superior; criterios específicos quedarán en políticas subordinadas.]</w:t>
      </w:r>
    </w:p>
    <w:p>
      <w:pPr>
        <w:spacing w:after="40"/>
      </w:pPr>
    </w:p>
    <w:p>
      <w:pPr>
        <w:pStyle w:val="Heading4"/>
      </w:pPr>
      <w:r>
        <w:t>8.5 Independencia tecnológica</w:t>
      </w:r>
    </w:p>
    <w:p>
      <w:pPr>
        <w:spacing w:after="40"/>
      </w:pPr>
    </w:p>
    <w:p>
      <w:r>
        <w:t>[Relación entre definición humana, cálculo manual e implementaciones digitales.]</w:t>
      </w:r>
    </w:p>
    <w:p>
      <w:pPr>
        <w:spacing w:after="40"/>
      </w:pPr>
    </w:p>
    <w:p>
      <w:pPr>
        <w:pStyle w:val="Heading4"/>
      </w:pPr>
      <w:r>
        <w:t>8.6 No invención y tratamiento de vacíos</w:t>
      </w:r>
    </w:p>
    <w:p>
      <w:pPr>
        <w:spacing w:after="40"/>
      </w:pPr>
    </w:p>
    <w:p>
      <w:r>
        <w:t>[Procedimiento cuando falta una decisión científica habilitante.]</w:t>
      </w:r>
    </w:p>
    <w:p>
      <w:pPr>
        <w:spacing w:after="40"/>
      </w:pPr>
    </w:p>
    <w:p>
      <w:pPr>
        <w:pStyle w:val="Heading3"/>
      </w:pPr>
      <w:r>
        <w:t>9. Gobernanza</w:t>
      </w:r>
    </w:p>
    <w:p>
      <w:pPr>
        <w:spacing w:after="40"/>
      </w:pPr>
    </w:p>
    <w:p>
      <w:pPr>
        <w:pStyle w:val="Heading4"/>
      </w:pPr>
      <w:r>
        <w:t>9.1 Órganos</w:t>
      </w:r>
    </w:p>
    <w:p>
      <w:pPr>
        <w:spacing w:after="40"/>
      </w:pPr>
    </w:p>
    <w:p>
      <w:r>
        <w:t>[Catálogo futuro de órganos, sin crearlos mediante este esqueleto.]</w:t>
      </w:r>
    </w:p>
    <w:p>
      <w:pPr>
        <w:spacing w:after="40"/>
      </w:pPr>
    </w:p>
    <w:p>
      <w:pPr>
        <w:pStyle w:val="Heading4"/>
      </w:pPr>
      <w:r>
        <w:t>9.2 Competencias y límites</w:t>
      </w:r>
    </w:p>
    <w:p>
      <w:pPr>
        <w:spacing w:after="40"/>
      </w:pPr>
    </w:p>
    <w:p>
      <w:r>
        <w:t>[Matriz futura de autoridad: proponer, revisar, aprobar, publicar, interpretar, auditar y retirar.]</w:t>
      </w:r>
    </w:p>
    <w:p>
      <w:pPr>
        <w:spacing w:after="40"/>
      </w:pPr>
    </w:p>
    <w:p>
      <w:pPr>
        <w:pStyle w:val="Heading4"/>
      </w:pPr>
      <w:r>
        <w:t>9.3 Composición, designación y mandatos</w:t>
      </w:r>
    </w:p>
    <w:p>
      <w:pPr>
        <w:spacing w:after="40"/>
      </w:pPr>
    </w:p>
    <w:p>
      <w:r>
        <w:t>[Reglas futuras de elegibilidad, duración, renovación y remoción.]</w:t>
      </w:r>
    </w:p>
    <w:p>
      <w:pPr>
        <w:spacing w:after="40"/>
      </w:pPr>
    </w:p>
    <w:p>
      <w:pPr>
        <w:pStyle w:val="Heading4"/>
      </w:pPr>
      <w:r>
        <w:t>9.4 Quórum y adopción de acuerdos</w:t>
      </w:r>
    </w:p>
    <w:p>
      <w:pPr>
        <w:spacing w:after="40"/>
      </w:pPr>
    </w:p>
    <w:p>
      <w:r>
        <w:t>[Reglas futuras de deliberación, votación, disenso y actas.]</w:t>
      </w:r>
    </w:p>
    <w:p>
      <w:pPr>
        <w:spacing w:after="40"/>
      </w:pPr>
    </w:p>
    <w:p>
      <w:pPr>
        <w:pStyle w:val="Heading4"/>
      </w:pPr>
      <w:r>
        <w:t>9.5 Independencia, conflictos de interés y recusación</w:t>
      </w:r>
    </w:p>
    <w:p>
      <w:pPr>
        <w:spacing w:after="40"/>
      </w:pPr>
    </w:p>
    <w:p>
      <w:r>
        <w:t>[Declaraciones, gestión y registro.]</w:t>
      </w:r>
    </w:p>
    <w:p>
      <w:pPr>
        <w:spacing w:after="40"/>
      </w:pPr>
    </w:p>
    <w:p>
      <w:pPr>
        <w:pStyle w:val="Heading4"/>
      </w:pPr>
      <w:r>
        <w:t>9.6 Transparencia, confidencialidad y protección de datos</w:t>
      </w:r>
    </w:p>
    <w:p>
      <w:pPr>
        <w:spacing w:after="40"/>
      </w:pPr>
    </w:p>
    <w:p>
      <w:r>
        <w:t>[Clasificación de información y reglas de acceso.]</w:t>
      </w:r>
    </w:p>
    <w:p>
      <w:pPr>
        <w:spacing w:after="40"/>
      </w:pPr>
    </w:p>
    <w:p>
      <w:pPr>
        <w:pStyle w:val="Heading4"/>
      </w:pPr>
      <w:r>
        <w:t>9.7 Propiedad intelectual, licencias y uso del nombre GOEI</w:t>
      </w:r>
    </w:p>
    <w:p>
      <w:pPr>
        <w:spacing w:after="40"/>
      </w:pPr>
    </w:p>
    <w:p>
      <w:r>
        <w:t>[Titularidad, licenciamiento y protección de integridad del estándar.]</w:t>
      </w:r>
    </w:p>
    <w:p>
      <w:pPr>
        <w:spacing w:after="40"/>
      </w:pPr>
    </w:p>
    <w:p>
      <w:pPr>
        <w:pStyle w:val="Heading3"/>
      </w:pPr>
      <w:r>
        <w:t>10. Jerarquía documental</w:t>
      </w:r>
    </w:p>
    <w:p>
      <w:pPr>
        <w:spacing w:after="40"/>
      </w:pPr>
    </w:p>
    <w:p>
      <w:pPr>
        <w:pStyle w:val="Heading4"/>
      </w:pPr>
      <w:r>
        <w:t>10.1 Niveles de autoridad</w:t>
      </w:r>
    </w:p>
    <w:p>
      <w:pPr>
        <w:spacing w:after="40"/>
      </w:pPr>
    </w:p>
    <w:p>
      <w:r>
        <w:t>[Orden futuro: Constitución, decisiones, estándar, políticas, especificaciones, guías, formularios y productos derivados.]</w:t>
      </w:r>
    </w:p>
    <w:p>
      <w:pPr>
        <w:spacing w:after="40"/>
      </w:pPr>
    </w:p>
    <w:p>
      <w:pPr>
        <w:pStyle w:val="Heading4"/>
      </w:pPr>
      <w:r>
        <w:t>10.2 Conflictos entre documentos</w:t>
      </w:r>
    </w:p>
    <w:p>
      <w:pPr>
        <w:spacing w:after="40"/>
      </w:pPr>
    </w:p>
    <w:p>
      <w:r>
        <w:t>[Regla de prevalencia, escalamiento y suspensión cautelar.]</w:t>
      </w:r>
    </w:p>
    <w:p>
      <w:pPr>
        <w:spacing w:after="40"/>
      </w:pPr>
    </w:p>
    <w:p>
      <w:pPr>
        <w:pStyle w:val="Heading4"/>
      </w:pPr>
      <w:r>
        <w:t>10.3 Documentos normativos e informativos</w:t>
      </w:r>
    </w:p>
    <w:p>
      <w:pPr>
        <w:spacing w:after="40"/>
      </w:pPr>
    </w:p>
    <w:p>
      <w:r>
        <w:t>[Criterio para declarar naturaleza y lenguaje vinculante.]</w:t>
      </w:r>
    </w:p>
    <w:p>
      <w:pPr>
        <w:spacing w:after="40"/>
      </w:pPr>
    </w:p>
    <w:p>
      <w:pPr>
        <w:pStyle w:val="Heading4"/>
      </w:pPr>
      <w:r>
        <w:t>10.4 Versiones, idiomas y traducciones</w:t>
      </w:r>
    </w:p>
    <w:p>
      <w:pPr>
        <w:spacing w:after="40"/>
      </w:pPr>
    </w:p>
    <w:p>
      <w:r>
        <w:t>[Fuente lingüística de autoridad y equivalencia de traducciones.]</w:t>
      </w:r>
    </w:p>
    <w:p>
      <w:pPr>
        <w:spacing w:after="40"/>
      </w:pPr>
    </w:p>
    <w:p>
      <w:pPr>
        <w:pStyle w:val="Heading3"/>
      </w:pPr>
      <w:r>
        <w:t>11. Ciclo de vida del estándar</w:t>
      </w:r>
    </w:p>
    <w:p>
      <w:pPr>
        <w:spacing w:after="40"/>
      </w:pPr>
    </w:p>
    <w:p>
      <w:pPr>
        <w:pStyle w:val="Heading4"/>
      </w:pPr>
      <w:r>
        <w:t>11.1 Exploración e investigación</w:t>
      </w:r>
    </w:p>
    <w:p>
      <w:pPr>
        <w:spacing w:after="40"/>
      </w:pPr>
    </w:p>
    <w:p>
      <w:r>
        <w:t>[Entrada, resultados y criterio de cierre.]</w:t>
      </w:r>
    </w:p>
    <w:p>
      <w:pPr>
        <w:spacing w:after="40"/>
      </w:pPr>
    </w:p>
    <w:p>
      <w:pPr>
        <w:pStyle w:val="Heading4"/>
      </w:pPr>
      <w:r>
        <w:t>11.2 Propuesta</w:t>
      </w:r>
    </w:p>
    <w:p>
      <w:pPr>
        <w:spacing w:after="40"/>
      </w:pPr>
    </w:p>
    <w:p>
      <w:r>
        <w:t>[Requisitos mínimos para iniciar una propuesta.]</w:t>
      </w:r>
    </w:p>
    <w:p>
      <w:pPr>
        <w:spacing w:after="40"/>
      </w:pPr>
    </w:p>
    <w:p>
      <w:pPr>
        <w:pStyle w:val="Heading4"/>
      </w:pPr>
      <w:r>
        <w:t>11.3 Revisión científica y técnica</w:t>
      </w:r>
    </w:p>
    <w:p>
      <w:pPr>
        <w:spacing w:after="40"/>
      </w:pPr>
    </w:p>
    <w:p>
      <w:r>
        <w:t>[Revisiones independientes y resolución de observaciones.]</w:t>
      </w:r>
    </w:p>
    <w:p>
      <w:pPr>
        <w:spacing w:after="40"/>
      </w:pPr>
    </w:p>
    <w:p>
      <w:pPr>
        <w:pStyle w:val="Heading4"/>
      </w:pPr>
      <w:r>
        <w:t>11.4 Validación</w:t>
      </w:r>
    </w:p>
    <w:p>
      <w:pPr>
        <w:spacing w:after="40"/>
      </w:pPr>
    </w:p>
    <w:p>
      <w:r>
        <w:t>[Comprobaciones requeridas antes de publicación.]</w:t>
      </w:r>
    </w:p>
    <w:p>
      <w:pPr>
        <w:spacing w:after="40"/>
      </w:pPr>
    </w:p>
    <w:p>
      <w:pPr>
        <w:pStyle w:val="Heading4"/>
      </w:pPr>
      <w:r>
        <w:t>11.5 Aprobación y publicación</w:t>
      </w:r>
    </w:p>
    <w:p>
      <w:pPr>
        <w:spacing w:after="40"/>
      </w:pPr>
    </w:p>
    <w:p>
      <w:r>
        <w:t>[Autoridad, línea base, fecha de vigencia y manifiesto.]</w:t>
      </w:r>
    </w:p>
    <w:p>
      <w:pPr>
        <w:spacing w:after="40"/>
      </w:pPr>
    </w:p>
    <w:p>
      <w:pPr>
        <w:pStyle w:val="Heading4"/>
      </w:pPr>
      <w:r>
        <w:t>11.6 Implementación y transición</w:t>
      </w:r>
    </w:p>
    <w:p>
      <w:pPr>
        <w:spacing w:after="40"/>
      </w:pPr>
    </w:p>
    <w:p>
      <w:r>
        <w:t>[Convivencia de versiones, migración y soporte.]</w:t>
      </w:r>
    </w:p>
    <w:p>
      <w:pPr>
        <w:spacing w:after="40"/>
      </w:pPr>
    </w:p>
    <w:p>
      <w:pPr>
        <w:pStyle w:val="Heading4"/>
      </w:pPr>
      <w:r>
        <w:t>11.7 Mantenimiento, revisión periódica y vigilancia</w:t>
      </w:r>
    </w:p>
    <w:p>
      <w:pPr>
        <w:spacing w:after="40"/>
      </w:pPr>
    </w:p>
    <w:p>
      <w:r>
        <w:t>[Cadencia y causales extraordinarias.]</w:t>
      </w:r>
    </w:p>
    <w:p>
      <w:pPr>
        <w:spacing w:after="40"/>
      </w:pPr>
    </w:p>
    <w:p>
      <w:pPr>
        <w:pStyle w:val="Heading4"/>
      </w:pPr>
      <w:r>
        <w:t>11.8 Sustitución, retiro y archivo</w:t>
      </w:r>
    </w:p>
    <w:p>
      <w:pPr>
        <w:spacing w:after="40"/>
      </w:pPr>
    </w:p>
    <w:p>
      <w:r>
        <w:t>[Efectos sobre documentos, implementaciones y resultados históricos.]</w:t>
      </w:r>
    </w:p>
    <w:p>
      <w:pPr>
        <w:spacing w:after="40"/>
      </w:pPr>
    </w:p>
    <w:p>
      <w:pPr>
        <w:pStyle w:val="Heading3"/>
      </w:pPr>
      <w:r>
        <w:t>12. Incorporación de nuevas decisiones</w:t>
      </w:r>
    </w:p>
    <w:p>
      <w:pPr>
        <w:spacing w:after="40"/>
      </w:pPr>
    </w:p>
    <w:p>
      <w:pPr>
        <w:pStyle w:val="Heading4"/>
      </w:pPr>
      <w:r>
        <w:t>12.1 Iniciativa</w:t>
      </w:r>
    </w:p>
    <w:p>
      <w:pPr>
        <w:spacing w:after="40"/>
      </w:pPr>
    </w:p>
    <w:p>
      <w:r>
        <w:t>[Quién puede presentar una propuesta y mediante qué expediente.]</w:t>
      </w:r>
    </w:p>
    <w:p>
      <w:pPr>
        <w:spacing w:after="40"/>
      </w:pPr>
    </w:p>
    <w:p>
      <w:pPr>
        <w:pStyle w:val="Heading4"/>
      </w:pPr>
      <w:r>
        <w:t>12.2 Admisibilidad</w:t>
      </w:r>
    </w:p>
    <w:p>
      <w:pPr>
        <w:spacing w:after="40"/>
      </w:pPr>
    </w:p>
    <w:p>
      <w:r>
        <w:t>[Controles formales previos.]</w:t>
      </w:r>
    </w:p>
    <w:p>
      <w:pPr>
        <w:spacing w:after="40"/>
      </w:pPr>
    </w:p>
    <w:p>
      <w:pPr>
        <w:pStyle w:val="Heading4"/>
      </w:pPr>
      <w:r>
        <w:t>12.3 Expediente de evidencia</w:t>
      </w:r>
    </w:p>
    <w:p>
      <w:pPr>
        <w:spacing w:after="40"/>
      </w:pPr>
    </w:p>
    <w:p>
      <w:r>
        <w:t>[Contenido y custodia del respaldo.]</w:t>
      </w:r>
    </w:p>
    <w:p>
      <w:pPr>
        <w:spacing w:after="40"/>
      </w:pPr>
    </w:p>
    <w:p>
      <w:pPr>
        <w:pStyle w:val="Heading4"/>
      </w:pPr>
      <w:r>
        <w:t>12.4 Evaluación científica</w:t>
      </w:r>
    </w:p>
    <w:p>
      <w:pPr>
        <w:spacing w:after="40"/>
      </w:pPr>
    </w:p>
    <w:p>
      <w:r>
        <w:t>[Proceso del Comité Científico.]</w:t>
      </w:r>
    </w:p>
    <w:p>
      <w:pPr>
        <w:spacing w:after="40"/>
      </w:pPr>
    </w:p>
    <w:p>
      <w:pPr>
        <w:pStyle w:val="Heading4"/>
      </w:pPr>
      <w:r>
        <w:t>12.5 Revisión de arquitectura e impacto</w:t>
      </w:r>
    </w:p>
    <w:p>
      <w:pPr>
        <w:spacing w:after="40"/>
      </w:pPr>
    </w:p>
    <w:p>
      <w:r>
        <w:t>[Dependencias, coherencia, interoperabilidad y migración.]</w:t>
      </w:r>
    </w:p>
    <w:p>
      <w:pPr>
        <w:spacing w:after="40"/>
      </w:pPr>
    </w:p>
    <w:p>
      <w:pPr>
        <w:pStyle w:val="Heading4"/>
      </w:pPr>
      <w:r>
        <w:t>12.6 Decisión y registro</w:t>
      </w:r>
    </w:p>
    <w:p>
      <w:pPr>
        <w:spacing w:after="40"/>
      </w:pPr>
    </w:p>
    <w:p>
      <w:r>
        <w:t>[Estados posibles, autoridad, acta y disensos.]</w:t>
      </w:r>
    </w:p>
    <w:p>
      <w:pPr>
        <w:spacing w:after="40"/>
      </w:pPr>
    </w:p>
    <w:p>
      <w:pPr>
        <w:pStyle w:val="Heading4"/>
      </w:pPr>
      <w:r>
        <w:t>12.7 Incorporación técnica</w:t>
      </w:r>
    </w:p>
    <w:p>
      <w:pPr>
        <w:spacing w:after="40"/>
      </w:pPr>
    </w:p>
    <w:p>
      <w:r>
        <w:t>[Transformación controlada de la decisión en componentes.]</w:t>
      </w:r>
    </w:p>
    <w:p>
      <w:pPr>
        <w:spacing w:after="40"/>
      </w:pPr>
    </w:p>
    <w:p>
      <w:pPr>
        <w:pStyle w:val="Heading4"/>
      </w:pPr>
      <w:r>
        <w:t>12.8 Verificación y trazabilidad</w:t>
      </w:r>
    </w:p>
    <w:p>
      <w:pPr>
        <w:spacing w:after="40"/>
      </w:pPr>
    </w:p>
    <w:p>
      <w:r>
        <w:t>[Prueba de correspondencia antes de vigencia.]</w:t>
      </w:r>
    </w:p>
    <w:p>
      <w:pPr>
        <w:spacing w:after="40"/>
      </w:pPr>
    </w:p>
    <w:p>
      <w:pPr>
        <w:pStyle w:val="Heading3"/>
      </w:pPr>
      <w:r>
        <w:t>13. Modificación del estándar</w:t>
      </w:r>
    </w:p>
    <w:p>
      <w:pPr>
        <w:spacing w:after="40"/>
      </w:pPr>
    </w:p>
    <w:p>
      <w:pPr>
        <w:pStyle w:val="Heading4"/>
      </w:pPr>
      <w:r>
        <w:t>13.1 Solicitud de cambio</w:t>
      </w:r>
    </w:p>
    <w:p>
      <w:pPr>
        <w:spacing w:after="40"/>
      </w:pPr>
    </w:p>
    <w:p>
      <w:r>
        <w:t>[Identificación del problema, alcance y urgencia.]</w:t>
      </w:r>
    </w:p>
    <w:p>
      <w:pPr>
        <w:spacing w:after="40"/>
      </w:pPr>
    </w:p>
    <w:p>
      <w:pPr>
        <w:pStyle w:val="Heading4"/>
      </w:pPr>
      <w:r>
        <w:t>13.2 Clasificación del cambio</w:t>
      </w:r>
    </w:p>
    <w:p>
      <w:pPr>
        <w:spacing w:after="40"/>
      </w:pPr>
    </w:p>
    <w:p>
      <w:r>
        <w:t>[Editorial, compatible, incompatible, urgente o de retiro.]</w:t>
      </w:r>
    </w:p>
    <w:p>
      <w:pPr>
        <w:spacing w:after="40"/>
      </w:pPr>
    </w:p>
    <w:p>
      <w:pPr>
        <w:pStyle w:val="Heading4"/>
      </w:pPr>
      <w:r>
        <w:t>13.3 Análisis de impacto</w:t>
      </w:r>
    </w:p>
    <w:p>
      <w:pPr>
        <w:spacing w:after="40"/>
      </w:pPr>
    </w:p>
    <w:p>
      <w:r>
        <w:t>[Componentes, datos, formularios, software, comparabilidad y usuarios afectados.]</w:t>
      </w:r>
    </w:p>
    <w:p>
      <w:pPr>
        <w:spacing w:after="40"/>
      </w:pPr>
    </w:p>
    <w:p>
      <w:pPr>
        <w:pStyle w:val="Heading4"/>
      </w:pPr>
      <w:r>
        <w:t>13.4 Revisión y aprobación</w:t>
      </w:r>
    </w:p>
    <w:p>
      <w:pPr>
        <w:spacing w:after="40"/>
      </w:pPr>
    </w:p>
    <w:p>
      <w:r>
        <w:t>[Ruta según la clase de cambio.]</w:t>
      </w:r>
    </w:p>
    <w:p>
      <w:pPr>
        <w:spacing w:after="40"/>
      </w:pPr>
    </w:p>
    <w:p>
      <w:pPr>
        <w:pStyle w:val="Heading4"/>
      </w:pPr>
      <w:r>
        <w:t>13.5 Versionado y compatibilidad</w:t>
      </w:r>
    </w:p>
    <w:p>
      <w:pPr>
        <w:spacing w:after="40"/>
      </w:pPr>
    </w:p>
    <w:p>
      <w:r>
        <w:t>[Reglas de incremento y mapas de equivalencia.]</w:t>
      </w:r>
    </w:p>
    <w:p>
      <w:pPr>
        <w:spacing w:after="40"/>
      </w:pPr>
    </w:p>
    <w:p>
      <w:pPr>
        <w:pStyle w:val="Heading4"/>
      </w:pPr>
      <w:r>
        <w:t>13.6 Transición y comunicación</w:t>
      </w:r>
    </w:p>
    <w:p>
      <w:pPr>
        <w:spacing w:after="40"/>
      </w:pPr>
    </w:p>
    <w:p>
      <w:r>
        <w:t>[Plazos, migración, notas de versión y soporte.]</w:t>
      </w:r>
    </w:p>
    <w:p>
      <w:pPr>
        <w:spacing w:after="40"/>
      </w:pPr>
    </w:p>
    <w:p>
      <w:pPr>
        <w:pStyle w:val="Heading4"/>
      </w:pPr>
      <w:r>
        <w:t>13.7 Cambios urgentes y correcciones</w:t>
      </w:r>
    </w:p>
    <w:p>
      <w:pPr>
        <w:spacing w:after="40"/>
      </w:pPr>
    </w:p>
    <w:p>
      <w:r>
        <w:t>[Procedimiento excepcional y ratificación posterior.]</w:t>
      </w:r>
    </w:p>
    <w:p>
      <w:pPr>
        <w:spacing w:after="40"/>
      </w:pPr>
    </w:p>
    <w:p>
      <w:pPr>
        <w:pStyle w:val="Heading3"/>
      </w:pPr>
      <w:r>
        <w:t>14. Interpretación constitucional y controversias</w:t>
      </w:r>
    </w:p>
    <w:p>
      <w:pPr>
        <w:spacing w:after="40"/>
      </w:pPr>
    </w:p>
    <w:p>
      <w:pPr>
        <w:pStyle w:val="Heading4"/>
      </w:pPr>
      <w:r>
        <w:t>14.1 Solicitudes de interpretación</w:t>
      </w:r>
    </w:p>
    <w:p>
      <w:pPr>
        <w:spacing w:after="40"/>
      </w:pPr>
    </w:p>
    <w:p>
      <w:r>
        <w:t>[Procedimiento y autoridad.]</w:t>
      </w:r>
    </w:p>
    <w:p>
      <w:pPr>
        <w:spacing w:after="40"/>
      </w:pPr>
    </w:p>
    <w:p>
      <w:pPr>
        <w:pStyle w:val="Heading4"/>
      </w:pPr>
      <w:r>
        <w:t>14.2 Impugnaciones y apelaciones</w:t>
      </w:r>
    </w:p>
    <w:p>
      <w:pPr>
        <w:spacing w:after="40"/>
      </w:pPr>
    </w:p>
    <w:p>
      <w:r>
        <w:t>[Garantías, independencia y registro.]</w:t>
      </w:r>
    </w:p>
    <w:p>
      <w:pPr>
        <w:spacing w:after="40"/>
      </w:pPr>
    </w:p>
    <w:p>
      <w:pPr>
        <w:pStyle w:val="Heading4"/>
      </w:pPr>
      <w:r>
        <w:t>14.3 Enmiendas a la Constitución</w:t>
      </w:r>
    </w:p>
    <w:p>
      <w:pPr>
        <w:spacing w:after="40"/>
      </w:pPr>
    </w:p>
    <w:p>
      <w:r>
        <w:t>[Umbral y proceso reforzado.]</w:t>
      </w:r>
    </w:p>
    <w:p>
      <w:pPr>
        <w:spacing w:after="40"/>
      </w:pPr>
    </w:p>
    <w:p>
      <w:pPr>
        <w:pStyle w:val="Heading3"/>
      </w:pPr>
      <w:r>
        <w:t>15. Definiciones generales</w:t>
      </w:r>
    </w:p>
    <w:p>
      <w:pPr>
        <w:spacing w:after="40"/>
      </w:pPr>
    </w:p>
    <w:p>
      <w:r>
        <w:t>[Solo conceptos institucionales necesarios para interpretar esta Constitución. Las definiciones científicas pertenecen a la ontología y al glosario del estándar.]</w:t>
      </w:r>
    </w:p>
    <w:p>
      <w:pPr>
        <w:spacing w:after="40"/>
      </w:pPr>
    </w:p>
    <w:p>
      <w:pPr>
        <w:pStyle w:val="Heading3"/>
      </w:pPr>
      <w:r>
        <w:t>16. Disposiciones transitorias</w:t>
      </w:r>
    </w:p>
    <w:p>
      <w:pPr>
        <w:spacing w:after="40"/>
      </w:pPr>
    </w:p>
    <w:p>
      <w:r>
        <w:t>[Reglas para la etapa fundacional, migración documental y entrada en vigor.]</w:t>
      </w:r>
    </w:p>
    <w:p>
      <w:pPr>
        <w:spacing w:after="40"/>
      </w:pPr>
    </w:p>
    <w:p>
      <w:pPr>
        <w:pStyle w:val="Heading3"/>
      </w:pPr>
      <w:r>
        <w:t>17. Aprobación y entrada en vigor</w:t>
      </w:r>
    </w:p>
    <w:p>
      <w:pPr>
        <w:spacing w:after="40"/>
      </w:pPr>
    </w:p>
    <w:p>
      <w:r>
        <w:t>[Órgano, fecha, versión, firmas o registro verificable.]</w:t>
      </w:r>
    </w:p>
    <w:p>
      <w:pPr>
        <w:spacing w:after="40"/>
      </w:pPr>
    </w:p>
    <w:p>
      <w:pPr>
        <w:pStyle w:val="Heading3"/>
      </w:pPr>
      <w:r>
        <w:t>Anexos estructurales previstos</w:t>
      </w:r>
    </w:p>
    <w:p>
      <w:pPr>
        <w:spacing w:after="40"/>
      </w:pPr>
    </w:p>
    <w:p>
      <w:pPr>
        <w:pStyle w:val="ListBullet"/>
      </w:pPr>
      <w:r>
        <w:t>Anexo A — Matriz de órganos y competencias.</w:t>
      </w:r>
    </w:p>
    <w:p>
      <w:pPr>
        <w:pStyle w:val="ListBullet"/>
      </w:pPr>
      <w:r>
        <w:t>Anexo B — Jerarquía documental.</w:t>
      </w:r>
    </w:p>
    <w:p>
      <w:pPr>
        <w:pStyle w:val="ListBullet"/>
      </w:pPr>
      <w:r>
        <w:t>Anexo C — Flujo de decisiones y cambios.</w:t>
      </w:r>
    </w:p>
    <w:p>
      <w:pPr>
        <w:pStyle w:val="ListBullet"/>
      </w:pPr>
      <w:r>
        <w:t>Anexo D — Estados del ciclo de vida.</w:t>
      </w:r>
    </w:p>
    <w:p>
      <w:pPr>
        <w:pStyle w:val="ListBullet"/>
      </w:pPr>
      <w:r>
        <w:t>Anexo E — Registro de enmiendas constitucionales.</w:t>
      </w:r>
    </w:p>
    <w:p>
      <w:pPr>
        <w:spacing w:after="40"/>
      </w:pPr>
    </w:p>
    <w:p>
      <w:r>
        <w:t>Los anexos anteriores son espacios previstos; no se desarrollan en esta fase.</w:t>
      </w:r>
    </w:p>
    <w:p>
      <w:r>
        <w:br w:type="page"/>
      </w:r>
    </w:p>
    <w:p>
      <w:pPr>
        <w:pStyle w:val="Heading1"/>
        <w:keepNext/>
      </w:pPr>
      <w:r>
        <w:t>Fuente 5: 00_Gobernanza/Arquitectura_del_repositorio_oficial_GOEI.md</w:t>
      </w:r>
    </w:p>
    <w:p>
      <w:pPr>
        <w:spacing w:after="200"/>
      </w:pPr>
      <w:r>
        <w:rPr>
          <w:rFonts w:ascii="Consolas" w:hAnsi="Consolas"/>
          <w:color w:val="595959"/>
          <w:sz w:val="16"/>
        </w:rPr>
        <w:t>Ruta: 00_Gobernanza/Arquitectura_del_repositorio_oficial_GOEI.md</w:t>
        <w:br/>
        <w:t>Tamaño: 13660 bytes</w:t>
        <w:br/>
        <w:t>SHA-256: 509b0d38fabfcea27cf9f7e03ab31014b83270a65e4f83a4cdeebf1d6c2b26c4</w:t>
      </w:r>
    </w:p>
    <w:p>
      <w:pPr>
        <w:pStyle w:val="Heading2"/>
      </w:pPr>
      <w:r>
        <w:t>Arquitectura del repositorio oficial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GOEI-ARCH-002 |</w:t>
      </w:r>
    </w:p>
    <w:p>
      <w:pPr>
        <w:spacing w:after="20" w:line="240" w:lineRule="auto"/>
      </w:pPr>
      <w:r>
        <w:rPr>
          <w:rFonts w:ascii="Consolas" w:hAnsi="Consolas"/>
          <w:sz w:val="14"/>
        </w:rPr>
        <w:t>| Tipo | Diseño de repositorio |</w:t>
      </w:r>
    </w:p>
    <w:p>
      <w:pPr>
        <w:spacing w:after="20" w:line="240" w:lineRule="auto"/>
      </w:pPr>
      <w:r>
        <w:rPr>
          <w:rFonts w:ascii="Consolas" w:hAnsi="Consolas"/>
          <w:sz w:val="14"/>
        </w:rPr>
        <w:t>| Estado | Propuesta para adopción |</w:t>
      </w:r>
    </w:p>
    <w:p>
      <w:pPr>
        <w:spacing w:after="20" w:line="240" w:lineRule="auto"/>
      </w:pPr>
      <w:r>
        <w:rPr>
          <w:rFonts w:ascii="Consolas" w:hAnsi="Consolas"/>
          <w:sz w:val="14"/>
        </w:rPr>
        <w:t>| Alcance | Estructura y reglas de gestión documental; no contiene el estándar |</w:t>
      </w:r>
    </w:p>
    <w:p>
      <w:pPr>
        <w:spacing w:after="20" w:line="240" w:lineRule="auto"/>
      </w:pPr>
      <w:r>
        <w:rPr>
          <w:rFonts w:ascii="Consolas" w:hAnsi="Consolas"/>
          <w:sz w:val="14"/>
        </w:rPr>
        <w:t>| Versión documental | 0.1.0-draft |</w:t>
      </w:r>
    </w:p>
    <w:p>
      <w:pPr>
        <w:spacing w:after="20" w:line="240" w:lineRule="auto"/>
      </w:pPr>
      <w:r>
        <w:rPr>
          <w:rFonts w:ascii="Consolas" w:hAnsi="Consolas"/>
          <w:sz w:val="14"/>
        </w:rPr>
        <w:t>| Horizonte de diseño | Diez años o más |</w:t>
      </w:r>
    </w:p>
    <w:p>
      <w:pPr>
        <w:spacing w:after="20" w:line="240" w:lineRule="auto"/>
      </w:pPr>
      <w:r>
        <w:rPr>
          <w:rFonts w:ascii="Consolas" w:hAnsi="Consolas"/>
          <w:sz w:val="14"/>
        </w:rPr>
        <w:t>| Sustituye | No sustituye todavía a GOEI-ARCH-001 |</w:t>
      </w:r>
    </w:p>
    <w:p>
      <w:pPr>
        <w:spacing w:after="40"/>
      </w:pPr>
    </w:p>
    <w:p>
      <w:pPr>
        <w:pStyle w:val="Heading3"/>
      </w:pPr>
      <w:r>
        <w:t>1. Criterios de diseño</w:t>
      </w:r>
    </w:p>
    <w:p>
      <w:pPr>
        <w:spacing w:after="40"/>
      </w:pPr>
    </w:p>
    <w:p>
      <w:r>
        <w:t>La estructura propuesta aplica seis criterios técnicos:</w:t>
      </w:r>
    </w:p>
    <w:p>
      <w:pPr>
        <w:spacing w:after="40"/>
      </w:pPr>
    </w:p>
    <w:p>
      <w:pPr>
        <w:pStyle w:val="ListNumber"/>
      </w:pPr>
      <w:r>
        <w:t>separar autoridad, investigación, norma, aplicación y productos derivados;</w:t>
      </w:r>
    </w:p>
    <w:p>
      <w:pPr>
        <w:pStyle w:val="ListNumber"/>
      </w:pPr>
      <w:r>
        <w:t>mantener una única ubicación canónica por artefacto;</w:t>
      </w:r>
    </w:p>
    <w:p>
      <w:pPr>
        <w:pStyle w:val="ListNumber"/>
      </w:pPr>
      <w:r>
        <w:t>separar el contenido vigente de borradores e historia;</w:t>
      </w:r>
    </w:p>
    <w:p>
      <w:pPr>
        <w:pStyle w:val="ListNumber"/>
      </w:pPr>
      <w:r>
        <w:t>permitir versiones simultáneas y traducciones sin duplicar la fuente normativa;</w:t>
      </w:r>
    </w:p>
    <w:p>
      <w:pPr>
        <w:pStyle w:val="ListNumber"/>
      </w:pPr>
      <w:r>
        <w:t>almacenar contenido legible por personas junto con metadatos procesables por máquinas;</w:t>
      </w:r>
    </w:p>
    <w:p>
      <w:pPr>
        <w:pStyle w:val="ListNumber"/>
      </w:pPr>
      <w:r>
        <w:t>conservar trazabilidad bidireccional entre evidencia, decisión, requisito, artefacto y versión publicada.</w:t>
      </w:r>
    </w:p>
    <w:p>
      <w:pPr>
        <w:spacing w:after="40"/>
      </w:pPr>
    </w:p>
    <w:p>
      <w:pPr>
        <w:pStyle w:val="Heading3"/>
      </w:pPr>
      <w:r>
        <w:t>2. Árbol canónico propuesto</w:t>
      </w:r>
    </w:p>
    <w:p>
      <w:pPr>
        <w:spacing w:after="40"/>
      </w:pPr>
    </w:p>
    <w:p>
      <w:pPr>
        <w:spacing w:after="20" w:line="240" w:lineRule="auto"/>
        <w:ind w:left="259"/>
      </w:pPr>
      <w:r>
        <w:rPr>
          <w:rFonts w:ascii="Consolas" w:hAnsi="Consolas"/>
          <w:sz w:val="15"/>
        </w:rPr>
        <w:t>GOEI/</w:t>
      </w:r>
    </w:p>
    <w:p>
      <w:pPr>
        <w:spacing w:after="20" w:line="240" w:lineRule="auto"/>
        <w:ind w:left="259"/>
      </w:pPr>
      <w:r>
        <w:rPr>
          <w:rFonts w:ascii="Consolas" w:hAnsi="Consolas"/>
          <w:sz w:val="15"/>
        </w:rPr>
        <w:t>├── README.md</w:t>
      </w:r>
    </w:p>
    <w:p>
      <w:pPr>
        <w:spacing w:after="20" w:line="240" w:lineRule="auto"/>
        <w:ind w:left="259"/>
      </w:pPr>
      <w:r>
        <w:rPr>
          <w:rFonts w:ascii="Consolas" w:hAnsi="Consolas"/>
          <w:sz w:val="15"/>
        </w:rPr>
        <w:t>├── CONTRIBUTING.md</w:t>
      </w:r>
    </w:p>
    <w:p>
      <w:pPr>
        <w:spacing w:after="20" w:line="240" w:lineRule="auto"/>
        <w:ind w:left="259"/>
      </w:pPr>
      <w:r>
        <w:rPr>
          <w:rFonts w:ascii="Consolas" w:hAnsi="Consolas"/>
          <w:sz w:val="15"/>
        </w:rPr>
        <w:t>├── CODE_OF_CONDUCT.md</w:t>
      </w:r>
    </w:p>
    <w:p>
      <w:pPr>
        <w:spacing w:after="20" w:line="240" w:lineRule="auto"/>
        <w:ind w:left="259"/>
      </w:pPr>
      <w:r>
        <w:rPr>
          <w:rFonts w:ascii="Consolas" w:hAnsi="Consolas"/>
          <w:sz w:val="15"/>
        </w:rPr>
        <w:t>├── CITATION.cff</w:t>
      </w:r>
    </w:p>
    <w:p>
      <w:pPr>
        <w:spacing w:after="20" w:line="240" w:lineRule="auto"/>
        <w:ind w:left="259"/>
      </w:pPr>
      <w:r>
        <w:rPr>
          <w:rFonts w:ascii="Consolas" w:hAnsi="Consolas"/>
          <w:sz w:val="15"/>
        </w:rPr>
        <w:t>├── LICENSES/</w:t>
      </w:r>
    </w:p>
    <w:p>
      <w:pPr>
        <w:spacing w:after="20" w:line="240" w:lineRule="auto"/>
        <w:ind w:left="259"/>
      </w:pPr>
      <w:r>
        <w:rPr>
          <w:rFonts w:ascii="Consolas" w:hAnsi="Consolas"/>
          <w:sz w:val="15"/>
        </w:rPr>
        <w:t>│   └── README.md</w:t>
      </w:r>
    </w:p>
    <w:p>
      <w:pPr>
        <w:spacing w:after="20" w:line="240" w:lineRule="auto"/>
        <w:ind w:left="259"/>
      </w:pPr>
      <w:r>
        <w:rPr>
          <w:rFonts w:ascii="Consolas" w:hAnsi="Consolas"/>
          <w:sz w:val="15"/>
        </w:rPr>
        <w:t>├── 00_gobernanza/</w:t>
      </w:r>
    </w:p>
    <w:p>
      <w:pPr>
        <w:spacing w:after="20" w:line="240" w:lineRule="auto"/>
        <w:ind w:left="259"/>
      </w:pPr>
      <w:r>
        <w:rPr>
          <w:rFonts w:ascii="Consolas" w:hAnsi="Consolas"/>
          <w:sz w:val="15"/>
        </w:rPr>
        <w:t>│   ├── constitucion/</w:t>
      </w:r>
    </w:p>
    <w:p>
      <w:pPr>
        <w:spacing w:after="20" w:line="240" w:lineRule="auto"/>
        <w:ind w:left="259"/>
      </w:pPr>
      <w:r>
        <w:rPr>
          <w:rFonts w:ascii="Consolas" w:hAnsi="Consolas"/>
          <w:sz w:val="15"/>
        </w:rPr>
        <w:t>│   ├── organos_y_roles/</w:t>
      </w:r>
    </w:p>
    <w:p>
      <w:pPr>
        <w:spacing w:after="20" w:line="240" w:lineRule="auto"/>
        <w:ind w:left="259"/>
      </w:pPr>
      <w:r>
        <w:rPr>
          <w:rFonts w:ascii="Consolas" w:hAnsi="Consolas"/>
          <w:sz w:val="15"/>
        </w:rPr>
        <w:t>│   ├── politicas/</w:t>
      </w:r>
    </w:p>
    <w:p>
      <w:pPr>
        <w:spacing w:after="20" w:line="240" w:lineRule="auto"/>
        <w:ind w:left="259"/>
      </w:pPr>
      <w:r>
        <w:rPr>
          <w:rFonts w:ascii="Consolas" w:hAnsi="Consolas"/>
          <w:sz w:val="15"/>
        </w:rPr>
        <w:t>│   ├── decisiones/</w:t>
      </w:r>
    </w:p>
    <w:p>
      <w:pPr>
        <w:spacing w:after="20" w:line="240" w:lineRule="auto"/>
        <w:ind w:left="259"/>
      </w:pPr>
      <w:r>
        <w:rPr>
          <w:rFonts w:ascii="Consolas" w:hAnsi="Consolas"/>
          <w:sz w:val="15"/>
        </w:rPr>
        <w:t>│   │   ├── propuestas/</w:t>
      </w:r>
    </w:p>
    <w:p>
      <w:pPr>
        <w:spacing w:after="20" w:line="240" w:lineRule="auto"/>
        <w:ind w:left="259"/>
      </w:pPr>
      <w:r>
        <w:rPr>
          <w:rFonts w:ascii="Consolas" w:hAnsi="Consolas"/>
          <w:sz w:val="15"/>
        </w:rPr>
        <w:t>│   │   ├── aprobadas/</w:t>
      </w:r>
    </w:p>
    <w:p>
      <w:pPr>
        <w:spacing w:after="20" w:line="240" w:lineRule="auto"/>
        <w:ind w:left="259"/>
      </w:pPr>
      <w:r>
        <w:rPr>
          <w:rFonts w:ascii="Consolas" w:hAnsi="Consolas"/>
          <w:sz w:val="15"/>
        </w:rPr>
        <w:t>│   │   ├── rechazadas/</w:t>
      </w:r>
    </w:p>
    <w:p>
      <w:pPr>
        <w:spacing w:after="20" w:line="240" w:lineRule="auto"/>
        <w:ind w:left="259"/>
      </w:pPr>
      <w:r>
        <w:rPr>
          <w:rFonts w:ascii="Consolas" w:hAnsi="Consolas"/>
          <w:sz w:val="15"/>
        </w:rPr>
        <w:t>│   │   └── sustituidas/</w:t>
      </w:r>
    </w:p>
    <w:p>
      <w:pPr>
        <w:spacing w:after="20" w:line="240" w:lineRule="auto"/>
        <w:ind w:left="259"/>
      </w:pPr>
      <w:r>
        <w:rPr>
          <w:rFonts w:ascii="Consolas" w:hAnsi="Consolas"/>
          <w:sz w:val="15"/>
        </w:rPr>
        <w:t>│   ├── actas/</w:t>
      </w:r>
    </w:p>
    <w:p>
      <w:pPr>
        <w:spacing w:after="20" w:line="240" w:lineRule="auto"/>
        <w:ind w:left="259"/>
      </w:pPr>
      <w:r>
        <w:rPr>
          <w:rFonts w:ascii="Consolas" w:hAnsi="Consolas"/>
          <w:sz w:val="15"/>
        </w:rPr>
        <w:t>│   ├── conflictos_de_interes/</w:t>
      </w:r>
    </w:p>
    <w:p>
      <w:pPr>
        <w:spacing w:after="20" w:line="240" w:lineRule="auto"/>
        <w:ind w:left="259"/>
      </w:pPr>
      <w:r>
        <w:rPr>
          <w:rFonts w:ascii="Consolas" w:hAnsi="Consolas"/>
          <w:sz w:val="15"/>
        </w:rPr>
        <w:t>│   ├── control_de_cambios/</w:t>
      </w:r>
    </w:p>
    <w:p>
      <w:pPr>
        <w:spacing w:after="20" w:line="240" w:lineRule="auto"/>
        <w:ind w:left="259"/>
      </w:pPr>
      <w:r>
        <w:rPr>
          <w:rFonts w:ascii="Consolas" w:hAnsi="Consolas"/>
          <w:sz w:val="15"/>
        </w:rPr>
        <w:t>│   └── registros_maestros/</w:t>
      </w:r>
    </w:p>
    <w:p>
      <w:pPr>
        <w:spacing w:after="20" w:line="240" w:lineRule="auto"/>
        <w:ind w:left="259"/>
      </w:pPr>
      <w:r>
        <w:rPr>
          <w:rFonts w:ascii="Consolas" w:hAnsi="Consolas"/>
          <w:sz w:val="15"/>
        </w:rPr>
        <w:t>├── 01_investigacion/</w:t>
      </w:r>
    </w:p>
    <w:p>
      <w:pPr>
        <w:spacing w:after="20" w:line="240" w:lineRule="auto"/>
        <w:ind w:left="259"/>
      </w:pPr>
      <w:r>
        <w:rPr>
          <w:rFonts w:ascii="Consolas" w:hAnsi="Consolas"/>
          <w:sz w:val="15"/>
        </w:rPr>
        <w:t>│   ├── agenda/</w:t>
      </w:r>
    </w:p>
    <w:p>
      <w:pPr>
        <w:spacing w:after="20" w:line="240" w:lineRule="auto"/>
        <w:ind w:left="259"/>
      </w:pPr>
      <w:r>
        <w:rPr>
          <w:rFonts w:ascii="Consolas" w:hAnsi="Consolas"/>
          <w:sz w:val="15"/>
        </w:rPr>
        <w:t>│   ├── protocolos/</w:t>
      </w:r>
    </w:p>
    <w:p>
      <w:pPr>
        <w:spacing w:after="20" w:line="240" w:lineRule="auto"/>
        <w:ind w:left="259"/>
      </w:pPr>
      <w:r>
        <w:rPr>
          <w:rFonts w:ascii="Consolas" w:hAnsi="Consolas"/>
          <w:sz w:val="15"/>
        </w:rPr>
        <w:t>│   ├── revisiones/</w:t>
      </w:r>
    </w:p>
    <w:p>
      <w:pPr>
        <w:spacing w:after="20" w:line="240" w:lineRule="auto"/>
        <w:ind w:left="259"/>
      </w:pPr>
      <w:r>
        <w:rPr>
          <w:rFonts w:ascii="Consolas" w:hAnsi="Consolas"/>
          <w:sz w:val="15"/>
        </w:rPr>
        <w:t>│   ├── informes/</w:t>
      </w:r>
    </w:p>
    <w:p>
      <w:pPr>
        <w:spacing w:after="20" w:line="240" w:lineRule="auto"/>
        <w:ind w:left="259"/>
      </w:pPr>
      <w:r>
        <w:rPr>
          <w:rFonts w:ascii="Consolas" w:hAnsi="Consolas"/>
          <w:sz w:val="15"/>
        </w:rPr>
        <w:t>│   ├── datos/</w:t>
      </w:r>
    </w:p>
    <w:p>
      <w:pPr>
        <w:spacing w:after="20" w:line="240" w:lineRule="auto"/>
        <w:ind w:left="259"/>
      </w:pPr>
      <w:r>
        <w:rPr>
          <w:rFonts w:ascii="Consolas" w:hAnsi="Consolas"/>
          <w:sz w:val="15"/>
        </w:rPr>
        <w:t>│   │   ├── diccionarios/</w:t>
      </w:r>
    </w:p>
    <w:p>
      <w:pPr>
        <w:spacing w:after="20" w:line="240" w:lineRule="auto"/>
        <w:ind w:left="259"/>
      </w:pPr>
      <w:r>
        <w:rPr>
          <w:rFonts w:ascii="Consolas" w:hAnsi="Consolas"/>
          <w:sz w:val="15"/>
        </w:rPr>
        <w:t>│   │   ├── anonimizados/</w:t>
      </w:r>
    </w:p>
    <w:p>
      <w:pPr>
        <w:spacing w:after="20" w:line="240" w:lineRule="auto"/>
        <w:ind w:left="259"/>
      </w:pPr>
      <w:r>
        <w:rPr>
          <w:rFonts w:ascii="Consolas" w:hAnsi="Consolas"/>
          <w:sz w:val="15"/>
        </w:rPr>
        <w:t>│   │   └── acceso_restringido/</w:t>
      </w:r>
    </w:p>
    <w:p>
      <w:pPr>
        <w:spacing w:after="20" w:line="240" w:lineRule="auto"/>
        <w:ind w:left="259"/>
      </w:pPr>
      <w:r>
        <w:rPr>
          <w:rFonts w:ascii="Consolas" w:hAnsi="Consolas"/>
          <w:sz w:val="15"/>
        </w:rPr>
        <w:t>│   └── reproducibilidad/</w:t>
      </w:r>
    </w:p>
    <w:p>
      <w:pPr>
        <w:spacing w:after="20" w:line="240" w:lineRule="auto"/>
        <w:ind w:left="259"/>
      </w:pPr>
      <w:r>
        <w:rPr>
          <w:rFonts w:ascii="Consolas" w:hAnsi="Consolas"/>
          <w:sz w:val="15"/>
        </w:rPr>
        <w:t>├── 02_bibliografia/</w:t>
      </w:r>
    </w:p>
    <w:p>
      <w:pPr>
        <w:spacing w:after="20" w:line="240" w:lineRule="auto"/>
        <w:ind w:left="259"/>
      </w:pPr>
      <w:r>
        <w:rPr>
          <w:rFonts w:ascii="Consolas" w:hAnsi="Consolas"/>
          <w:sz w:val="15"/>
        </w:rPr>
        <w:t>│   ├── catalogo/</w:t>
      </w:r>
    </w:p>
    <w:p>
      <w:pPr>
        <w:spacing w:after="20" w:line="240" w:lineRule="auto"/>
        <w:ind w:left="259"/>
      </w:pPr>
      <w:r>
        <w:rPr>
          <w:rFonts w:ascii="Consolas" w:hAnsi="Consolas"/>
          <w:sz w:val="15"/>
        </w:rPr>
        <w:t>│   ├── fichas_de_fuente/</w:t>
      </w:r>
    </w:p>
    <w:p>
      <w:pPr>
        <w:spacing w:after="20" w:line="240" w:lineRule="auto"/>
        <w:ind w:left="259"/>
      </w:pPr>
      <w:r>
        <w:rPr>
          <w:rFonts w:ascii="Consolas" w:hAnsi="Consolas"/>
          <w:sz w:val="15"/>
        </w:rPr>
        <w:t>│   ├── normativa_y_regulacion/</w:t>
      </w:r>
    </w:p>
    <w:p>
      <w:pPr>
        <w:spacing w:after="20" w:line="240" w:lineRule="auto"/>
        <w:ind w:left="259"/>
      </w:pPr>
      <w:r>
        <w:rPr>
          <w:rFonts w:ascii="Consolas" w:hAnsi="Consolas"/>
          <w:sz w:val="15"/>
        </w:rPr>
        <w:t>│   ├── copias_legales/</w:t>
      </w:r>
    </w:p>
    <w:p>
      <w:pPr>
        <w:spacing w:after="20" w:line="240" w:lineRule="auto"/>
        <w:ind w:left="259"/>
      </w:pPr>
      <w:r>
        <w:rPr>
          <w:rFonts w:ascii="Consolas" w:hAnsi="Consolas"/>
          <w:sz w:val="15"/>
        </w:rPr>
        <w:t>│   └── fuentes_descartadas/</w:t>
      </w:r>
    </w:p>
    <w:p>
      <w:pPr>
        <w:spacing w:after="20" w:line="240" w:lineRule="auto"/>
        <w:ind w:left="259"/>
      </w:pPr>
      <w:r>
        <w:rPr>
          <w:rFonts w:ascii="Consolas" w:hAnsi="Consolas"/>
          <w:sz w:val="15"/>
        </w:rPr>
        <w:t>├── 03_estandar/</w:t>
      </w:r>
    </w:p>
    <w:p>
      <w:pPr>
        <w:spacing w:after="20" w:line="240" w:lineRule="auto"/>
        <w:ind w:left="259"/>
      </w:pPr>
      <w:r>
        <w:rPr>
          <w:rFonts w:ascii="Consolas" w:hAnsi="Consolas"/>
          <w:sz w:val="15"/>
        </w:rPr>
        <w:t>│   ├── borradores/</w:t>
      </w:r>
    </w:p>
    <w:p>
      <w:pPr>
        <w:spacing w:after="20" w:line="240" w:lineRule="auto"/>
        <w:ind w:left="259"/>
      </w:pPr>
      <w:r>
        <w:rPr>
          <w:rFonts w:ascii="Consolas" w:hAnsi="Consolas"/>
          <w:sz w:val="15"/>
        </w:rPr>
        <w:t>│   ├── candidatos/</w:t>
      </w:r>
    </w:p>
    <w:p>
      <w:pPr>
        <w:spacing w:after="20" w:line="240" w:lineRule="auto"/>
        <w:ind w:left="259"/>
      </w:pPr>
      <w:r>
        <w:rPr>
          <w:rFonts w:ascii="Consolas" w:hAnsi="Consolas"/>
          <w:sz w:val="15"/>
        </w:rPr>
        <w:t>│   ├── vigente/</w:t>
      </w:r>
    </w:p>
    <w:p>
      <w:pPr>
        <w:spacing w:after="20" w:line="240" w:lineRule="auto"/>
        <w:ind w:left="259"/>
      </w:pPr>
      <w:r>
        <w:rPr>
          <w:rFonts w:ascii="Consolas" w:hAnsi="Consolas"/>
          <w:sz w:val="15"/>
        </w:rPr>
        <w:t>│   ├── modulos_normativos/</w:t>
      </w:r>
    </w:p>
    <w:p>
      <w:pPr>
        <w:spacing w:after="20" w:line="240" w:lineRule="auto"/>
        <w:ind w:left="259"/>
      </w:pPr>
      <w:r>
        <w:rPr>
          <w:rFonts w:ascii="Consolas" w:hAnsi="Consolas"/>
          <w:sz w:val="15"/>
        </w:rPr>
        <w:t>│   ├── modulos_informativos/</w:t>
      </w:r>
    </w:p>
    <w:p>
      <w:pPr>
        <w:spacing w:after="20" w:line="240" w:lineRule="auto"/>
        <w:ind w:left="259"/>
      </w:pPr>
      <w:r>
        <w:rPr>
          <w:rFonts w:ascii="Consolas" w:hAnsi="Consolas"/>
          <w:sz w:val="15"/>
        </w:rPr>
        <w:t>│   ├── referencias_normativas/</w:t>
      </w:r>
    </w:p>
    <w:p>
      <w:pPr>
        <w:spacing w:after="20" w:line="240" w:lineRule="auto"/>
        <w:ind w:left="259"/>
      </w:pPr>
      <w:r>
        <w:rPr>
          <w:rFonts w:ascii="Consolas" w:hAnsi="Consolas"/>
          <w:sz w:val="15"/>
        </w:rPr>
        <w:t>│   └── traducciones/</w:t>
      </w:r>
    </w:p>
    <w:p>
      <w:pPr>
        <w:spacing w:after="20" w:line="240" w:lineRule="auto"/>
        <w:ind w:left="259"/>
      </w:pPr>
      <w:r>
        <w:rPr>
          <w:rFonts w:ascii="Consolas" w:hAnsi="Consolas"/>
          <w:sz w:val="15"/>
        </w:rPr>
        <w:t>├── 04_ontologia/</w:t>
      </w:r>
    </w:p>
    <w:p>
      <w:pPr>
        <w:spacing w:after="20" w:line="240" w:lineRule="auto"/>
        <w:ind w:left="259"/>
      </w:pPr>
      <w:r>
        <w:rPr>
          <w:rFonts w:ascii="Consolas" w:hAnsi="Consolas"/>
          <w:sz w:val="15"/>
        </w:rPr>
        <w:t>│   ├── conceptual/</w:t>
      </w:r>
    </w:p>
    <w:p>
      <w:pPr>
        <w:spacing w:after="20" w:line="240" w:lineRule="auto"/>
        <w:ind w:left="259"/>
      </w:pPr>
      <w:r>
        <w:rPr>
          <w:rFonts w:ascii="Consolas" w:hAnsi="Consolas"/>
          <w:sz w:val="15"/>
        </w:rPr>
        <w:t>│   ├── terminologia/</w:t>
      </w:r>
    </w:p>
    <w:p>
      <w:pPr>
        <w:spacing w:after="20" w:line="240" w:lineRule="auto"/>
        <w:ind w:left="259"/>
      </w:pPr>
      <w:r>
        <w:rPr>
          <w:rFonts w:ascii="Consolas" w:hAnsi="Consolas"/>
          <w:sz w:val="15"/>
        </w:rPr>
        <w:t>│   ├── modelos_formales/</w:t>
      </w:r>
    </w:p>
    <w:p>
      <w:pPr>
        <w:spacing w:after="20" w:line="240" w:lineRule="auto"/>
        <w:ind w:left="259"/>
      </w:pPr>
      <w:r>
        <w:rPr>
          <w:rFonts w:ascii="Consolas" w:hAnsi="Consolas"/>
          <w:sz w:val="15"/>
        </w:rPr>
        <w:t>│   ├── esquemas/</w:t>
      </w:r>
    </w:p>
    <w:p>
      <w:pPr>
        <w:spacing w:after="20" w:line="240" w:lineRule="auto"/>
        <w:ind w:left="259"/>
      </w:pPr>
      <w:r>
        <w:rPr>
          <w:rFonts w:ascii="Consolas" w:hAnsi="Consolas"/>
          <w:sz w:val="15"/>
        </w:rPr>
        <w:t>│   ├── reglas_de_integridad/</w:t>
      </w:r>
    </w:p>
    <w:p>
      <w:pPr>
        <w:spacing w:after="20" w:line="240" w:lineRule="auto"/>
        <w:ind w:left="259"/>
      </w:pPr>
      <w:r>
        <w:rPr>
          <w:rFonts w:ascii="Consolas" w:hAnsi="Consolas"/>
          <w:sz w:val="15"/>
        </w:rPr>
        <w:t>│   ├── mapeos/</w:t>
      </w:r>
    </w:p>
    <w:p>
      <w:pPr>
        <w:spacing w:after="20" w:line="240" w:lineRule="auto"/>
        <w:ind w:left="259"/>
      </w:pPr>
      <w:r>
        <w:rPr>
          <w:rFonts w:ascii="Consolas" w:hAnsi="Consolas"/>
          <w:sz w:val="15"/>
        </w:rPr>
        <w:t>│   └── ejemplos_no_normativos/</w:t>
      </w:r>
    </w:p>
    <w:p>
      <w:pPr>
        <w:spacing w:after="20" w:line="240" w:lineRule="auto"/>
        <w:ind w:left="259"/>
      </w:pPr>
      <w:r>
        <w:rPr>
          <w:rFonts w:ascii="Consolas" w:hAnsi="Consolas"/>
          <w:sz w:val="15"/>
        </w:rPr>
        <w:t>├── 05_taxonomia/</w:t>
      </w:r>
    </w:p>
    <w:p>
      <w:pPr>
        <w:spacing w:after="20" w:line="240" w:lineRule="auto"/>
        <w:ind w:left="259"/>
      </w:pPr>
      <w:r>
        <w:rPr>
          <w:rFonts w:ascii="Consolas" w:hAnsi="Consolas"/>
          <w:sz w:val="15"/>
        </w:rPr>
        <w:t>│   ├── modelo/</w:t>
      </w:r>
    </w:p>
    <w:p>
      <w:pPr>
        <w:spacing w:after="20" w:line="240" w:lineRule="auto"/>
        <w:ind w:left="259"/>
      </w:pPr>
      <w:r>
        <w:rPr>
          <w:rFonts w:ascii="Consolas" w:hAnsi="Consolas"/>
          <w:sz w:val="15"/>
        </w:rPr>
        <w:t>│   ├── categorias/</w:t>
      </w:r>
    </w:p>
    <w:p>
      <w:pPr>
        <w:spacing w:after="20" w:line="240" w:lineRule="auto"/>
        <w:ind w:left="259"/>
      </w:pPr>
      <w:r>
        <w:rPr>
          <w:rFonts w:ascii="Consolas" w:hAnsi="Consolas"/>
          <w:sz w:val="15"/>
        </w:rPr>
        <w:t>│   ├── reglas_de_clasificacion/</w:t>
      </w:r>
    </w:p>
    <w:p>
      <w:pPr>
        <w:spacing w:after="20" w:line="240" w:lineRule="auto"/>
        <w:ind w:left="259"/>
      </w:pPr>
      <w:r>
        <w:rPr>
          <w:rFonts w:ascii="Consolas" w:hAnsi="Consolas"/>
          <w:sz w:val="15"/>
        </w:rPr>
        <w:t>│   ├── correspondencias/</w:t>
      </w:r>
    </w:p>
    <w:p>
      <w:pPr>
        <w:spacing w:after="20" w:line="240" w:lineRule="auto"/>
        <w:ind w:left="259"/>
      </w:pPr>
      <w:r>
        <w:rPr>
          <w:rFonts w:ascii="Consolas" w:hAnsi="Consolas"/>
          <w:sz w:val="15"/>
        </w:rPr>
        <w:t>│   └── historial/</w:t>
      </w:r>
    </w:p>
    <w:p>
      <w:pPr>
        <w:spacing w:after="20" w:line="240" w:lineRule="auto"/>
        <w:ind w:left="259"/>
      </w:pPr>
      <w:r>
        <w:rPr>
          <w:rFonts w:ascii="Consolas" w:hAnsi="Consolas"/>
          <w:sz w:val="15"/>
        </w:rPr>
        <w:t>├── 06_procesos/</w:t>
      </w:r>
    </w:p>
    <w:p>
      <w:pPr>
        <w:spacing w:after="20" w:line="240" w:lineRule="auto"/>
        <w:ind w:left="259"/>
      </w:pPr>
      <w:r>
        <w:rPr>
          <w:rFonts w:ascii="Consolas" w:hAnsi="Consolas"/>
          <w:sz w:val="15"/>
        </w:rPr>
        <w:t>│   ├── arquitectura/</w:t>
      </w:r>
    </w:p>
    <w:p>
      <w:pPr>
        <w:spacing w:after="20" w:line="240" w:lineRule="auto"/>
        <w:ind w:left="259"/>
      </w:pPr>
      <w:r>
        <w:rPr>
          <w:rFonts w:ascii="Consolas" w:hAnsi="Consolas"/>
          <w:sz w:val="15"/>
        </w:rPr>
        <w:t>│   ├── catalogo/</w:t>
      </w:r>
    </w:p>
    <w:p>
      <w:pPr>
        <w:spacing w:after="20" w:line="240" w:lineRule="auto"/>
        <w:ind w:left="259"/>
      </w:pPr>
      <w:r>
        <w:rPr>
          <w:rFonts w:ascii="Consolas" w:hAnsi="Consolas"/>
          <w:sz w:val="15"/>
        </w:rPr>
        <w:t>│   ├── relaciones/</w:t>
      </w:r>
    </w:p>
    <w:p>
      <w:pPr>
        <w:spacing w:after="20" w:line="240" w:lineRule="auto"/>
        <w:ind w:left="259"/>
      </w:pPr>
      <w:r>
        <w:rPr>
          <w:rFonts w:ascii="Consolas" w:hAnsi="Consolas"/>
          <w:sz w:val="15"/>
        </w:rPr>
        <w:t>│   └── representaciones/</w:t>
      </w:r>
    </w:p>
    <w:p>
      <w:pPr>
        <w:spacing w:after="20" w:line="240" w:lineRule="auto"/>
        <w:ind w:left="259"/>
      </w:pPr>
      <w:r>
        <w:rPr>
          <w:rFonts w:ascii="Consolas" w:hAnsi="Consolas"/>
          <w:sz w:val="15"/>
        </w:rPr>
        <w:t>├── 07_kpi/</w:t>
      </w:r>
    </w:p>
    <w:p>
      <w:pPr>
        <w:spacing w:after="20" w:line="240" w:lineRule="auto"/>
        <w:ind w:left="259"/>
      </w:pPr>
      <w:r>
        <w:rPr>
          <w:rFonts w:ascii="Consolas" w:hAnsi="Consolas"/>
          <w:sz w:val="15"/>
        </w:rPr>
        <w:t>│   ├── criterios_de_admisibilidad/</w:t>
      </w:r>
    </w:p>
    <w:p>
      <w:pPr>
        <w:spacing w:after="20" w:line="240" w:lineRule="auto"/>
        <w:ind w:left="259"/>
      </w:pPr>
      <w:r>
        <w:rPr>
          <w:rFonts w:ascii="Consolas" w:hAnsi="Consolas"/>
          <w:sz w:val="15"/>
        </w:rPr>
        <w:t>│   ├── catalogo/</w:t>
      </w:r>
    </w:p>
    <w:p>
      <w:pPr>
        <w:spacing w:after="20" w:line="240" w:lineRule="auto"/>
        <w:ind w:left="259"/>
      </w:pPr>
      <w:r>
        <w:rPr>
          <w:rFonts w:ascii="Consolas" w:hAnsi="Consolas"/>
          <w:sz w:val="15"/>
        </w:rPr>
        <w:t>│   ├── variables_y_metricas/</w:t>
      </w:r>
    </w:p>
    <w:p>
      <w:pPr>
        <w:spacing w:after="20" w:line="240" w:lineRule="auto"/>
        <w:ind w:left="259"/>
      </w:pPr>
      <w:r>
        <w:rPr>
          <w:rFonts w:ascii="Consolas" w:hAnsi="Consolas"/>
          <w:sz w:val="15"/>
        </w:rPr>
        <w:t>│   ├── aplicabilidad/</w:t>
      </w:r>
    </w:p>
    <w:p>
      <w:pPr>
        <w:spacing w:after="20" w:line="240" w:lineRule="auto"/>
        <w:ind w:left="259"/>
      </w:pPr>
      <w:r>
        <w:rPr>
          <w:rFonts w:ascii="Consolas" w:hAnsi="Consolas"/>
          <w:sz w:val="15"/>
        </w:rPr>
        <w:t>│   ├── estados_de_referencia/</w:t>
      </w:r>
    </w:p>
    <w:p>
      <w:pPr>
        <w:spacing w:after="20" w:line="240" w:lineRule="auto"/>
        <w:ind w:left="259"/>
      </w:pPr>
      <w:r>
        <w:rPr>
          <w:rFonts w:ascii="Consolas" w:hAnsi="Consolas"/>
          <w:sz w:val="15"/>
        </w:rPr>
        <w:t>│   └── retirados/</w:t>
      </w:r>
    </w:p>
    <w:p>
      <w:pPr>
        <w:spacing w:after="20" w:line="240" w:lineRule="auto"/>
        <w:ind w:left="259"/>
      </w:pPr>
      <w:r>
        <w:rPr>
          <w:rFonts w:ascii="Consolas" w:hAnsi="Consolas"/>
          <w:sz w:val="15"/>
        </w:rPr>
        <w:t>├── 08_modelo_matematico/</w:t>
      </w:r>
    </w:p>
    <w:p>
      <w:pPr>
        <w:spacing w:after="20" w:line="240" w:lineRule="auto"/>
        <w:ind w:left="259"/>
      </w:pPr>
      <w:r>
        <w:rPr>
          <w:rFonts w:ascii="Consolas" w:hAnsi="Consolas"/>
          <w:sz w:val="15"/>
        </w:rPr>
        <w:t>│   ├── especificacion/</w:t>
      </w:r>
    </w:p>
    <w:p>
      <w:pPr>
        <w:spacing w:after="20" w:line="240" w:lineRule="auto"/>
        <w:ind w:left="259"/>
      </w:pPr>
      <w:r>
        <w:rPr>
          <w:rFonts w:ascii="Consolas" w:hAnsi="Consolas"/>
          <w:sz w:val="15"/>
        </w:rPr>
        <w:t>│   ├── normalizacion/</w:t>
      </w:r>
    </w:p>
    <w:p>
      <w:pPr>
        <w:spacing w:after="20" w:line="240" w:lineRule="auto"/>
        <w:ind w:left="259"/>
      </w:pPr>
      <w:r>
        <w:rPr>
          <w:rFonts w:ascii="Consolas" w:hAnsi="Consolas"/>
          <w:sz w:val="15"/>
        </w:rPr>
        <w:t>│   ├── ponderacion/</w:t>
      </w:r>
    </w:p>
    <w:p>
      <w:pPr>
        <w:spacing w:after="20" w:line="240" w:lineRule="auto"/>
        <w:ind w:left="259"/>
      </w:pPr>
      <w:r>
        <w:rPr>
          <w:rFonts w:ascii="Consolas" w:hAnsi="Consolas"/>
          <w:sz w:val="15"/>
        </w:rPr>
        <w:t>│   ├── agregacion/</w:t>
      </w:r>
    </w:p>
    <w:p>
      <w:pPr>
        <w:spacing w:after="20" w:line="240" w:lineRule="auto"/>
        <w:ind w:left="259"/>
      </w:pPr>
      <w:r>
        <w:rPr>
          <w:rFonts w:ascii="Consolas" w:hAnsi="Consolas"/>
          <w:sz w:val="15"/>
        </w:rPr>
        <w:t>│   ├── reglas_criticas/</w:t>
      </w:r>
    </w:p>
    <w:p>
      <w:pPr>
        <w:spacing w:after="20" w:line="240" w:lineRule="auto"/>
        <w:ind w:left="259"/>
      </w:pPr>
      <w:r>
        <w:rPr>
          <w:rFonts w:ascii="Consolas" w:hAnsi="Consolas"/>
          <w:sz w:val="15"/>
        </w:rPr>
        <w:t>│   ├── precision_y_redondeo/</w:t>
      </w:r>
    </w:p>
    <w:p>
      <w:pPr>
        <w:spacing w:after="20" w:line="240" w:lineRule="auto"/>
        <w:ind w:left="259"/>
      </w:pPr>
      <w:r>
        <w:rPr>
          <w:rFonts w:ascii="Consolas" w:hAnsi="Consolas"/>
          <w:sz w:val="15"/>
        </w:rPr>
        <w:t>│   └── casos_de_prueba/</w:t>
      </w:r>
    </w:p>
    <w:p>
      <w:pPr>
        <w:spacing w:after="20" w:line="240" w:lineRule="auto"/>
        <w:ind w:left="259"/>
      </w:pPr>
      <w:r>
        <w:rPr>
          <w:rFonts w:ascii="Consolas" w:hAnsi="Consolas"/>
          <w:sz w:val="15"/>
        </w:rPr>
        <w:t>├── 09_instrumentos/</w:t>
      </w:r>
    </w:p>
    <w:p>
      <w:pPr>
        <w:spacing w:after="20" w:line="240" w:lineRule="auto"/>
        <w:ind w:left="259"/>
      </w:pPr>
      <w:r>
        <w:rPr>
          <w:rFonts w:ascii="Consolas" w:hAnsi="Consolas"/>
          <w:sz w:val="15"/>
        </w:rPr>
        <w:t>│   ├── formularios_fuente/</w:t>
      </w:r>
    </w:p>
    <w:p>
      <w:pPr>
        <w:spacing w:after="20" w:line="240" w:lineRule="auto"/>
        <w:ind w:left="259"/>
      </w:pPr>
      <w:r>
        <w:rPr>
          <w:rFonts w:ascii="Consolas" w:hAnsi="Consolas"/>
          <w:sz w:val="15"/>
        </w:rPr>
        <w:t>│   ├── instrucciones/</w:t>
      </w:r>
    </w:p>
    <w:p>
      <w:pPr>
        <w:spacing w:after="20" w:line="240" w:lineRule="auto"/>
        <w:ind w:left="259"/>
      </w:pPr>
      <w:r>
        <w:rPr>
          <w:rFonts w:ascii="Consolas" w:hAnsi="Consolas"/>
          <w:sz w:val="15"/>
        </w:rPr>
        <w:t>│   ├── hojas_de_calculo/</w:t>
      </w:r>
    </w:p>
    <w:p>
      <w:pPr>
        <w:spacing w:after="20" w:line="240" w:lineRule="auto"/>
        <w:ind w:left="259"/>
      </w:pPr>
      <w:r>
        <w:rPr>
          <w:rFonts w:ascii="Consolas" w:hAnsi="Consolas"/>
          <w:sz w:val="15"/>
        </w:rPr>
        <w:t>│   ├── versiones_imprimibles/</w:t>
      </w:r>
    </w:p>
    <w:p>
      <w:pPr>
        <w:spacing w:after="20" w:line="240" w:lineRule="auto"/>
        <w:ind w:left="259"/>
      </w:pPr>
      <w:r>
        <w:rPr>
          <w:rFonts w:ascii="Consolas" w:hAnsi="Consolas"/>
          <w:sz w:val="15"/>
        </w:rPr>
        <w:t>│   ├── traducciones/</w:t>
      </w:r>
    </w:p>
    <w:p>
      <w:pPr>
        <w:spacing w:after="20" w:line="240" w:lineRule="auto"/>
        <w:ind w:left="259"/>
      </w:pPr>
      <w:r>
        <w:rPr>
          <w:rFonts w:ascii="Consolas" w:hAnsi="Consolas"/>
          <w:sz w:val="15"/>
        </w:rPr>
        <w:t>│   └── ejemplos_no_normativos/</w:t>
      </w:r>
    </w:p>
    <w:p>
      <w:pPr>
        <w:spacing w:after="20" w:line="240" w:lineRule="auto"/>
        <w:ind w:left="259"/>
      </w:pPr>
      <w:r>
        <w:rPr>
          <w:rFonts w:ascii="Consolas" w:hAnsi="Consolas"/>
          <w:sz w:val="15"/>
        </w:rPr>
        <w:t>├── 10_validacion/</w:t>
      </w:r>
    </w:p>
    <w:p>
      <w:pPr>
        <w:spacing w:after="20" w:line="240" w:lineRule="auto"/>
        <w:ind w:left="259"/>
      </w:pPr>
      <w:r>
        <w:rPr>
          <w:rFonts w:ascii="Consolas" w:hAnsi="Consolas"/>
          <w:sz w:val="15"/>
        </w:rPr>
        <w:t>│   ├── marco/</w:t>
      </w:r>
    </w:p>
    <w:p>
      <w:pPr>
        <w:spacing w:after="20" w:line="240" w:lineRule="auto"/>
        <w:ind w:left="259"/>
      </w:pPr>
      <w:r>
        <w:rPr>
          <w:rFonts w:ascii="Consolas" w:hAnsi="Consolas"/>
          <w:sz w:val="15"/>
        </w:rPr>
        <w:t>│   ├── protocolos/</w:t>
      </w:r>
    </w:p>
    <w:p>
      <w:pPr>
        <w:spacing w:after="20" w:line="240" w:lineRule="auto"/>
        <w:ind w:left="259"/>
      </w:pPr>
      <w:r>
        <w:rPr>
          <w:rFonts w:ascii="Consolas" w:hAnsi="Consolas"/>
          <w:sz w:val="15"/>
        </w:rPr>
        <w:t>│   ├── pilotos/</w:t>
      </w:r>
    </w:p>
    <w:p>
      <w:pPr>
        <w:spacing w:after="20" w:line="240" w:lineRule="auto"/>
        <w:ind w:left="259"/>
      </w:pPr>
      <w:r>
        <w:rPr>
          <w:rFonts w:ascii="Consolas" w:hAnsi="Consolas"/>
          <w:sz w:val="15"/>
        </w:rPr>
        <w:t>│   ├── resultados/</w:t>
      </w:r>
    </w:p>
    <w:p>
      <w:pPr>
        <w:spacing w:after="20" w:line="240" w:lineRule="auto"/>
        <w:ind w:left="259"/>
      </w:pPr>
      <w:r>
        <w:rPr>
          <w:rFonts w:ascii="Consolas" w:hAnsi="Consolas"/>
          <w:sz w:val="15"/>
        </w:rPr>
        <w:t>│   ├── reproducibilidad/</w:t>
      </w:r>
    </w:p>
    <w:p>
      <w:pPr>
        <w:spacing w:after="20" w:line="240" w:lineRule="auto"/>
        <w:ind w:left="259"/>
      </w:pPr>
      <w:r>
        <w:rPr>
          <w:rFonts w:ascii="Consolas" w:hAnsi="Consolas"/>
          <w:sz w:val="15"/>
        </w:rPr>
        <w:t>│   ├── sensibilidad_y_robustez/</w:t>
      </w:r>
    </w:p>
    <w:p>
      <w:pPr>
        <w:spacing w:after="20" w:line="240" w:lineRule="auto"/>
        <w:ind w:left="259"/>
      </w:pPr>
      <w:r>
        <w:rPr>
          <w:rFonts w:ascii="Consolas" w:hAnsi="Consolas"/>
          <w:sz w:val="15"/>
        </w:rPr>
        <w:t>│   └── expedientes_de_liberacion/</w:t>
      </w:r>
    </w:p>
    <w:p>
      <w:pPr>
        <w:spacing w:after="20" w:line="240" w:lineRule="auto"/>
        <w:ind w:left="259"/>
      </w:pPr>
      <w:r>
        <w:rPr>
          <w:rFonts w:ascii="Consolas" w:hAnsi="Consolas"/>
          <w:sz w:val="15"/>
        </w:rPr>
        <w:t>├── 11_conformidad/</w:t>
      </w:r>
    </w:p>
    <w:p>
      <w:pPr>
        <w:spacing w:after="20" w:line="240" w:lineRule="auto"/>
        <w:ind w:left="259"/>
      </w:pPr>
      <w:r>
        <w:rPr>
          <w:rFonts w:ascii="Consolas" w:hAnsi="Consolas"/>
          <w:sz w:val="15"/>
        </w:rPr>
        <w:t>│   ├── evaluacion/</w:t>
      </w:r>
    </w:p>
    <w:p>
      <w:pPr>
        <w:spacing w:after="20" w:line="240" w:lineRule="auto"/>
        <w:ind w:left="259"/>
      </w:pPr>
      <w:r>
        <w:rPr>
          <w:rFonts w:ascii="Consolas" w:hAnsi="Consolas"/>
          <w:sz w:val="15"/>
        </w:rPr>
        <w:t>│   ├── auditoria/</w:t>
      </w:r>
    </w:p>
    <w:p>
      <w:pPr>
        <w:spacing w:after="20" w:line="240" w:lineRule="auto"/>
        <w:ind w:left="259"/>
      </w:pPr>
      <w:r>
        <w:rPr>
          <w:rFonts w:ascii="Consolas" w:hAnsi="Consolas"/>
          <w:sz w:val="15"/>
        </w:rPr>
        <w:t>│   ├── competencia/</w:t>
      </w:r>
    </w:p>
    <w:p>
      <w:pPr>
        <w:spacing w:after="20" w:line="240" w:lineRule="auto"/>
        <w:ind w:left="259"/>
      </w:pPr>
      <w:r>
        <w:rPr>
          <w:rFonts w:ascii="Consolas" w:hAnsi="Consolas"/>
          <w:sz w:val="15"/>
        </w:rPr>
        <w:t>│   ├── certificacion/</w:t>
      </w:r>
    </w:p>
    <w:p>
      <w:pPr>
        <w:spacing w:after="20" w:line="240" w:lineRule="auto"/>
        <w:ind w:left="259"/>
      </w:pPr>
      <w:r>
        <w:rPr>
          <w:rFonts w:ascii="Consolas" w:hAnsi="Consolas"/>
          <w:sz w:val="15"/>
        </w:rPr>
        <w:t>│   └── imparcialidad_y_apelaciones/</w:t>
      </w:r>
    </w:p>
    <w:p>
      <w:pPr>
        <w:spacing w:after="20" w:line="240" w:lineRule="auto"/>
        <w:ind w:left="259"/>
      </w:pPr>
      <w:r>
        <w:rPr>
          <w:rFonts w:ascii="Consolas" w:hAnsi="Consolas"/>
          <w:sz w:val="15"/>
        </w:rPr>
        <w:t>├── 12_publicaciones/</w:t>
      </w:r>
    </w:p>
    <w:p>
      <w:pPr>
        <w:spacing w:after="20" w:line="240" w:lineRule="auto"/>
        <w:ind w:left="259"/>
      </w:pPr>
      <w:r>
        <w:rPr>
          <w:rFonts w:ascii="Consolas" w:hAnsi="Consolas"/>
          <w:sz w:val="15"/>
        </w:rPr>
        <w:t>│   ├── articulos/</w:t>
      </w:r>
    </w:p>
    <w:p>
      <w:pPr>
        <w:spacing w:after="20" w:line="240" w:lineRule="auto"/>
        <w:ind w:left="259"/>
      </w:pPr>
      <w:r>
        <w:rPr>
          <w:rFonts w:ascii="Consolas" w:hAnsi="Consolas"/>
          <w:sz w:val="15"/>
        </w:rPr>
        <w:t>│   ├── ponencias/</w:t>
      </w:r>
    </w:p>
    <w:p>
      <w:pPr>
        <w:spacing w:after="20" w:line="240" w:lineRule="auto"/>
        <w:ind w:left="259"/>
      </w:pPr>
      <w:r>
        <w:rPr>
          <w:rFonts w:ascii="Consolas" w:hAnsi="Consolas"/>
          <w:sz w:val="15"/>
        </w:rPr>
        <w:t>│   ├── informes_publicos/</w:t>
      </w:r>
    </w:p>
    <w:p>
      <w:pPr>
        <w:spacing w:after="20" w:line="240" w:lineRule="auto"/>
        <w:ind w:left="259"/>
      </w:pPr>
      <w:r>
        <w:rPr>
          <w:rFonts w:ascii="Consolas" w:hAnsi="Consolas"/>
          <w:sz w:val="15"/>
        </w:rPr>
        <w:t>│   └── materiales_de_difusion/</w:t>
      </w:r>
    </w:p>
    <w:p>
      <w:pPr>
        <w:spacing w:after="20" w:line="240" w:lineRule="auto"/>
        <w:ind w:left="259"/>
      </w:pPr>
      <w:r>
        <w:rPr>
          <w:rFonts w:ascii="Consolas" w:hAnsi="Consolas"/>
          <w:sz w:val="15"/>
        </w:rPr>
        <w:t>├── 13_tesis/</w:t>
      </w:r>
    </w:p>
    <w:p>
      <w:pPr>
        <w:spacing w:after="20" w:line="240" w:lineRule="auto"/>
        <w:ind w:left="259"/>
      </w:pPr>
      <w:r>
        <w:rPr>
          <w:rFonts w:ascii="Consolas" w:hAnsi="Consolas"/>
          <w:sz w:val="15"/>
        </w:rPr>
        <w:t>│   ├── protocolo/</w:t>
      </w:r>
    </w:p>
    <w:p>
      <w:pPr>
        <w:spacing w:after="20" w:line="240" w:lineRule="auto"/>
        <w:ind w:left="259"/>
      </w:pPr>
      <w:r>
        <w:rPr>
          <w:rFonts w:ascii="Consolas" w:hAnsi="Consolas"/>
          <w:sz w:val="15"/>
        </w:rPr>
        <w:t>│   ├── capitulos/</w:t>
      </w:r>
    </w:p>
    <w:p>
      <w:pPr>
        <w:spacing w:after="20" w:line="240" w:lineRule="auto"/>
        <w:ind w:left="259"/>
      </w:pPr>
      <w:r>
        <w:rPr>
          <w:rFonts w:ascii="Consolas" w:hAnsi="Consolas"/>
          <w:sz w:val="15"/>
        </w:rPr>
        <w:t>│   ├── anexos/</w:t>
      </w:r>
    </w:p>
    <w:p>
      <w:pPr>
        <w:spacing w:after="20" w:line="240" w:lineRule="auto"/>
        <w:ind w:left="259"/>
      </w:pPr>
      <w:r>
        <w:rPr>
          <w:rFonts w:ascii="Consolas" w:hAnsi="Consolas"/>
          <w:sz w:val="15"/>
        </w:rPr>
        <w:t>│   └── entregas/</w:t>
      </w:r>
    </w:p>
    <w:p>
      <w:pPr>
        <w:spacing w:after="20" w:line="240" w:lineRule="auto"/>
        <w:ind w:left="259"/>
      </w:pPr>
      <w:r>
        <w:rPr>
          <w:rFonts w:ascii="Consolas" w:hAnsi="Consolas"/>
          <w:sz w:val="15"/>
        </w:rPr>
        <w:t>├── 14_anexos/</w:t>
      </w:r>
    </w:p>
    <w:p>
      <w:pPr>
        <w:spacing w:after="20" w:line="240" w:lineRule="auto"/>
        <w:ind w:left="259"/>
      </w:pPr>
      <w:r>
        <w:rPr>
          <w:rFonts w:ascii="Consolas" w:hAnsi="Consolas"/>
          <w:sz w:val="15"/>
        </w:rPr>
        <w:t>│   ├── normativos/</w:t>
      </w:r>
    </w:p>
    <w:p>
      <w:pPr>
        <w:spacing w:after="20" w:line="240" w:lineRule="auto"/>
        <w:ind w:left="259"/>
      </w:pPr>
      <w:r>
        <w:rPr>
          <w:rFonts w:ascii="Consolas" w:hAnsi="Consolas"/>
          <w:sz w:val="15"/>
        </w:rPr>
        <w:t>│   ├── informativos/</w:t>
      </w:r>
    </w:p>
    <w:p>
      <w:pPr>
        <w:spacing w:after="20" w:line="240" w:lineRule="auto"/>
        <w:ind w:left="259"/>
      </w:pPr>
      <w:r>
        <w:rPr>
          <w:rFonts w:ascii="Consolas" w:hAnsi="Consolas"/>
          <w:sz w:val="15"/>
        </w:rPr>
        <w:t>│   ├── tablas/</w:t>
      </w:r>
    </w:p>
    <w:p>
      <w:pPr>
        <w:spacing w:after="20" w:line="240" w:lineRule="auto"/>
        <w:ind w:left="259"/>
      </w:pPr>
      <w:r>
        <w:rPr>
          <w:rFonts w:ascii="Consolas" w:hAnsi="Consolas"/>
          <w:sz w:val="15"/>
        </w:rPr>
        <w:t>│   └── diagramas/</w:t>
      </w:r>
    </w:p>
    <w:p>
      <w:pPr>
        <w:spacing w:after="20" w:line="240" w:lineRule="auto"/>
        <w:ind w:left="259"/>
      </w:pPr>
      <w:r>
        <w:rPr>
          <w:rFonts w:ascii="Consolas" w:hAnsi="Consolas"/>
          <w:sz w:val="15"/>
        </w:rPr>
        <w:t>├── 15_versiones_e_historial/</w:t>
      </w:r>
    </w:p>
    <w:p>
      <w:pPr>
        <w:spacing w:after="20" w:line="240" w:lineRule="auto"/>
        <w:ind w:left="259"/>
      </w:pPr>
      <w:r>
        <w:rPr>
          <w:rFonts w:ascii="Consolas" w:hAnsi="Consolas"/>
          <w:sz w:val="15"/>
        </w:rPr>
        <w:t>│   ├── lineas_base/</w:t>
      </w:r>
    </w:p>
    <w:p>
      <w:pPr>
        <w:spacing w:after="20" w:line="240" w:lineRule="auto"/>
        <w:ind w:left="259"/>
      </w:pPr>
      <w:r>
        <w:rPr>
          <w:rFonts w:ascii="Consolas" w:hAnsi="Consolas"/>
          <w:sz w:val="15"/>
        </w:rPr>
        <w:t>│   ├── notas_de_version/</w:t>
      </w:r>
    </w:p>
    <w:p>
      <w:pPr>
        <w:spacing w:after="20" w:line="240" w:lineRule="auto"/>
        <w:ind w:left="259"/>
      </w:pPr>
      <w:r>
        <w:rPr>
          <w:rFonts w:ascii="Consolas" w:hAnsi="Consolas"/>
          <w:sz w:val="15"/>
        </w:rPr>
        <w:t>│   ├── compatibilidad/</w:t>
      </w:r>
    </w:p>
    <w:p>
      <w:pPr>
        <w:spacing w:after="20" w:line="240" w:lineRule="auto"/>
        <w:ind w:left="259"/>
      </w:pPr>
      <w:r>
        <w:rPr>
          <w:rFonts w:ascii="Consolas" w:hAnsi="Consolas"/>
          <w:sz w:val="15"/>
        </w:rPr>
        <w:t>│   ├── migraciones/</w:t>
      </w:r>
    </w:p>
    <w:p>
      <w:pPr>
        <w:spacing w:after="20" w:line="240" w:lineRule="auto"/>
        <w:ind w:left="259"/>
      </w:pPr>
      <w:r>
        <w:rPr>
          <w:rFonts w:ascii="Consolas" w:hAnsi="Consolas"/>
          <w:sz w:val="15"/>
        </w:rPr>
        <w:t>│   └── retiradas/</w:t>
      </w:r>
    </w:p>
    <w:p>
      <w:pPr>
        <w:spacing w:after="20" w:line="240" w:lineRule="auto"/>
        <w:ind w:left="259"/>
      </w:pPr>
      <w:r>
        <w:rPr>
          <w:rFonts w:ascii="Consolas" w:hAnsi="Consolas"/>
          <w:sz w:val="15"/>
        </w:rPr>
        <w:t>├── 16_herramientas/</w:t>
      </w:r>
    </w:p>
    <w:p>
      <w:pPr>
        <w:spacing w:after="20" w:line="240" w:lineRule="auto"/>
        <w:ind w:left="259"/>
      </w:pPr>
      <w:r>
        <w:rPr>
          <w:rFonts w:ascii="Consolas" w:hAnsi="Consolas"/>
          <w:sz w:val="15"/>
        </w:rPr>
        <w:t>│   ├── plantillas/</w:t>
      </w:r>
    </w:p>
    <w:p>
      <w:pPr>
        <w:spacing w:after="20" w:line="240" w:lineRule="auto"/>
        <w:ind w:left="259"/>
      </w:pPr>
      <w:r>
        <w:rPr>
          <w:rFonts w:ascii="Consolas" w:hAnsi="Consolas"/>
          <w:sz w:val="15"/>
        </w:rPr>
        <w:t>│   ├── esquemas_de_metadatos/</w:t>
      </w:r>
    </w:p>
    <w:p>
      <w:pPr>
        <w:spacing w:after="20" w:line="240" w:lineRule="auto"/>
        <w:ind w:left="259"/>
      </w:pPr>
      <w:r>
        <w:rPr>
          <w:rFonts w:ascii="Consolas" w:hAnsi="Consolas"/>
          <w:sz w:val="15"/>
        </w:rPr>
        <w:t>│   ├── validadores/</w:t>
      </w:r>
    </w:p>
    <w:p>
      <w:pPr>
        <w:spacing w:after="20" w:line="240" w:lineRule="auto"/>
        <w:ind w:left="259"/>
      </w:pPr>
      <w:r>
        <w:rPr>
          <w:rFonts w:ascii="Consolas" w:hAnsi="Consolas"/>
          <w:sz w:val="15"/>
        </w:rPr>
        <w:t>│   ├── generadores/</w:t>
      </w:r>
    </w:p>
    <w:p>
      <w:pPr>
        <w:spacing w:after="20" w:line="240" w:lineRule="auto"/>
        <w:ind w:left="259"/>
      </w:pPr>
      <w:r>
        <w:rPr>
          <w:rFonts w:ascii="Consolas" w:hAnsi="Consolas"/>
          <w:sz w:val="15"/>
        </w:rPr>
        <w:t>│   └── pruebas/</w:t>
      </w:r>
    </w:p>
    <w:p>
      <w:pPr>
        <w:spacing w:after="20" w:line="240" w:lineRule="auto"/>
        <w:ind w:left="259"/>
      </w:pPr>
      <w:r>
        <w:rPr>
          <w:rFonts w:ascii="Consolas" w:hAnsi="Consolas"/>
          <w:sz w:val="15"/>
        </w:rPr>
        <w:t>└── 99_archivo/</w:t>
      </w:r>
    </w:p>
    <w:p>
      <w:pPr>
        <w:spacing w:after="20" w:line="240" w:lineRule="auto"/>
        <w:ind w:left="259"/>
      </w:pPr>
      <w:r>
        <w:rPr>
          <w:rFonts w:ascii="Consolas" w:hAnsi="Consolas"/>
          <w:sz w:val="15"/>
        </w:rPr>
        <w:t xml:space="preserve">    ├── documentos_heredados/</w:t>
      </w:r>
    </w:p>
    <w:p>
      <w:pPr>
        <w:spacing w:after="20" w:line="240" w:lineRule="auto"/>
        <w:ind w:left="259"/>
      </w:pPr>
      <w:r>
        <w:rPr>
          <w:rFonts w:ascii="Consolas" w:hAnsi="Consolas"/>
          <w:sz w:val="15"/>
        </w:rPr>
        <w:t xml:space="preserve">    ├── borradores_abandonados/</w:t>
      </w:r>
    </w:p>
    <w:p>
      <w:pPr>
        <w:spacing w:after="20" w:line="240" w:lineRule="auto"/>
        <w:ind w:left="259"/>
      </w:pPr>
      <w:r>
        <w:rPr>
          <w:rFonts w:ascii="Consolas" w:hAnsi="Consolas"/>
          <w:sz w:val="15"/>
        </w:rPr>
        <w:t xml:space="preserve">    └── migraciones_del_repositorio/</w:t>
      </w:r>
    </w:p>
    <w:p>
      <w:pPr>
        <w:spacing w:after="40"/>
      </w:pPr>
    </w:p>
    <w:p>
      <w:r>
        <w:t>Este árbol es el destino canónico. Los archivos existentes no deben moverse hasta aprobar y registrar un plan de migración con tabla ruta-origen/ruta-destino, redirecciones y comprobación de enlaces.</w:t>
      </w:r>
    </w:p>
    <w:p>
      <w:pPr>
        <w:spacing w:after="40"/>
      </w:pPr>
    </w:p>
    <w:p>
      <w:pPr>
        <w:pStyle w:val="Heading3"/>
      </w:pPr>
      <w:r>
        <w:t>3. Función y frontera de cada carpeta raíz</w:t>
      </w:r>
    </w:p>
    <w:p>
      <w:pPr>
        <w:spacing w:after="40"/>
      </w:pPr>
    </w:p>
    <w:p>
      <w:pPr>
        <w:spacing w:after="20" w:line="240" w:lineRule="auto"/>
      </w:pPr>
      <w:r>
        <w:rPr>
          <w:rFonts w:ascii="Consolas" w:hAnsi="Consolas"/>
          <w:sz w:val="14"/>
        </w:rPr>
        <w:t>| Carpeta | Función exclusiva | No debe contener |</w:t>
      </w:r>
    </w:p>
    <w:p>
      <w:pPr>
        <w:spacing w:after="20" w:line="240" w:lineRule="auto"/>
      </w:pPr>
      <w:r>
        <w:rPr>
          <w:rFonts w:ascii="Consolas" w:hAnsi="Consolas"/>
          <w:sz w:val="14"/>
        </w:rPr>
        <w:t>|---|---|---|</w:t>
      </w:r>
    </w:p>
    <w:p>
      <w:pPr>
        <w:spacing w:after="20" w:line="240" w:lineRule="auto"/>
      </w:pPr>
      <w:r>
        <w:rPr>
          <w:rFonts w:ascii="Consolas" w:hAnsi="Consolas"/>
          <w:sz w:val="14"/>
        </w:rPr>
        <w:t>| `00_gobernanza` | autoridad, reglas institucionales, decisiones y registros maestros | resultados científicos no aprobados como decisiones |</w:t>
      </w:r>
    </w:p>
    <w:p>
      <w:pPr>
        <w:spacing w:after="20" w:line="240" w:lineRule="auto"/>
      </w:pPr>
      <w:r>
        <w:rPr>
          <w:rFonts w:ascii="Consolas" w:hAnsi="Consolas"/>
          <w:sz w:val="14"/>
        </w:rPr>
        <w:t>| `01_investigacion` | trabajo científico, protocolos, datos e informes que pueden sustentar decisiones | requisitos normativos vigentes |</w:t>
      </w:r>
    </w:p>
    <w:p>
      <w:pPr>
        <w:spacing w:after="20" w:line="240" w:lineRule="auto"/>
      </w:pPr>
      <w:r>
        <w:rPr>
          <w:rFonts w:ascii="Consolas" w:hAnsi="Consolas"/>
          <w:sz w:val="14"/>
        </w:rPr>
        <w:t>| `02_bibliografia` | procedencia, metadatos y custodia legal de fuentes | conclusiones sin expediente de investigación |</w:t>
      </w:r>
    </w:p>
    <w:p>
      <w:pPr>
        <w:spacing w:after="20" w:line="240" w:lineRule="auto"/>
      </w:pPr>
      <w:r>
        <w:rPr>
          <w:rFonts w:ascii="Consolas" w:hAnsi="Consolas"/>
          <w:sz w:val="14"/>
        </w:rPr>
        <w:t>| `03_estandar` | corpus normativo e informativo publicado o candidato | investigación exploratoria, tesis o borradores personales |</w:t>
      </w:r>
    </w:p>
    <w:p>
      <w:pPr>
        <w:spacing w:after="20" w:line="240" w:lineRule="auto"/>
      </w:pPr>
      <w:r>
        <w:rPr>
          <w:rFonts w:ascii="Consolas" w:hAnsi="Consolas"/>
          <w:sz w:val="14"/>
        </w:rPr>
        <w:t>| `04_ontologia` | semántica, entidades, relaciones, axiomas, vocabularios y esquemas | valores concretos de KPI no aprobados |</w:t>
      </w:r>
    </w:p>
    <w:p>
      <w:pPr>
        <w:spacing w:after="20" w:line="240" w:lineRule="auto"/>
      </w:pPr>
      <w:r>
        <w:rPr>
          <w:rFonts w:ascii="Consolas" w:hAnsi="Consolas"/>
          <w:sz w:val="14"/>
        </w:rPr>
        <w:t>| `05_taxonomia` | clasificación de establecimientos y reglas de pertenencia | mapas de procesos o fórmulas |</w:t>
      </w:r>
    </w:p>
    <w:p>
      <w:pPr>
        <w:spacing w:after="20" w:line="240" w:lineRule="auto"/>
      </w:pPr>
      <w:r>
        <w:rPr>
          <w:rFonts w:ascii="Consolas" w:hAnsi="Consolas"/>
          <w:sz w:val="14"/>
        </w:rPr>
        <w:t>| `06_procesos` | arquitectura y catálogo de procesos del dominio | mediciones o resultados de aplicación |</w:t>
      </w:r>
    </w:p>
    <w:p>
      <w:pPr>
        <w:spacing w:after="20" w:line="240" w:lineRule="auto"/>
      </w:pPr>
      <w:r>
        <w:rPr>
          <w:rFonts w:ascii="Consolas" w:hAnsi="Consolas"/>
          <w:sz w:val="14"/>
        </w:rPr>
        <w:t>| `07_kpi` | definiciones de KPI, variables, admisibilidad y aplicabilidad | observaciones de establecimientos reales |</w:t>
      </w:r>
    </w:p>
    <w:p>
      <w:pPr>
        <w:spacing w:after="20" w:line="240" w:lineRule="auto"/>
      </w:pPr>
      <w:r>
        <w:rPr>
          <w:rFonts w:ascii="Consolas" w:hAnsi="Consolas"/>
          <w:sz w:val="14"/>
        </w:rPr>
        <w:t>| `08_modelo_matematico` | especificación reproducible de cálculo y casos de prueba | decisiones científicas sin registrar |</w:t>
      </w:r>
    </w:p>
    <w:p>
      <w:pPr>
        <w:spacing w:after="20" w:line="240" w:lineRule="auto"/>
      </w:pPr>
      <w:r>
        <w:rPr>
          <w:rFonts w:ascii="Consolas" w:hAnsi="Consolas"/>
          <w:sz w:val="14"/>
        </w:rPr>
        <w:t>| `09_instrumentos` | formularios y herramientas manuales derivadas del estándar | reglas que existan únicamente en el formulario |</w:t>
      </w:r>
    </w:p>
    <w:p>
      <w:pPr>
        <w:spacing w:after="20" w:line="240" w:lineRule="auto"/>
      </w:pPr>
      <w:r>
        <w:rPr>
          <w:rFonts w:ascii="Consolas" w:hAnsi="Consolas"/>
          <w:sz w:val="14"/>
        </w:rPr>
        <w:t>| `10_validacion` | pruebas, pilotos, robustez y expedientes de liberación | cambios normativos no aprobados |</w:t>
      </w:r>
    </w:p>
    <w:p>
      <w:pPr>
        <w:spacing w:after="20" w:line="240" w:lineRule="auto"/>
      </w:pPr>
      <w:r>
        <w:rPr>
          <w:rFonts w:ascii="Consolas" w:hAnsi="Consolas"/>
          <w:sz w:val="14"/>
        </w:rPr>
        <w:t>| `11_conformidad` | reglas y evidencias para evaluar cumplimiento | contenido del núcleo duplicado |</w:t>
      </w:r>
    </w:p>
    <w:p>
      <w:pPr>
        <w:spacing w:after="20" w:line="240" w:lineRule="auto"/>
      </w:pPr>
      <w:r>
        <w:rPr>
          <w:rFonts w:ascii="Consolas" w:hAnsi="Consolas"/>
          <w:sz w:val="14"/>
        </w:rPr>
        <w:t>| `12_publicaciones` | productos científicos o públicos derivados | única copia de una regla normativa |</w:t>
      </w:r>
    </w:p>
    <w:p>
      <w:pPr>
        <w:spacing w:after="20" w:line="240" w:lineRule="auto"/>
      </w:pPr>
      <w:r>
        <w:rPr>
          <w:rFonts w:ascii="Consolas" w:hAnsi="Consolas"/>
          <w:sz w:val="14"/>
        </w:rPr>
        <w:t>| `13_tesis` | desarrollo académico derivado del estándar | autoridad sobre el estándar |</w:t>
      </w:r>
    </w:p>
    <w:p>
      <w:pPr>
        <w:spacing w:after="20" w:line="240" w:lineRule="auto"/>
      </w:pPr>
      <w:r>
        <w:rPr>
          <w:rFonts w:ascii="Consolas" w:hAnsi="Consolas"/>
          <w:sz w:val="14"/>
        </w:rPr>
        <w:t>| `14_anexos` | anexos compartidos clasificados por naturaleza | material sin documento principal y propietario |</w:t>
      </w:r>
    </w:p>
    <w:p>
      <w:pPr>
        <w:spacing w:after="20" w:line="240" w:lineRule="auto"/>
      </w:pPr>
      <w:r>
        <w:rPr>
          <w:rFonts w:ascii="Consolas" w:hAnsi="Consolas"/>
          <w:sz w:val="14"/>
        </w:rPr>
        <w:t>| `15_versiones_e_historial` | líneas base, compatibilidad, migraciones y retiradas | archivos de trabajo activos |</w:t>
      </w:r>
    </w:p>
    <w:p>
      <w:pPr>
        <w:spacing w:after="20" w:line="240" w:lineRule="auto"/>
      </w:pPr>
      <w:r>
        <w:rPr>
          <w:rFonts w:ascii="Consolas" w:hAnsi="Consolas"/>
          <w:sz w:val="14"/>
        </w:rPr>
        <w:t>| `16_herramientas` | automatización, plantillas, esquemas y controles de calidad | fuente normativa humana única |</w:t>
      </w:r>
    </w:p>
    <w:p>
      <w:pPr>
        <w:spacing w:after="20" w:line="240" w:lineRule="auto"/>
      </w:pPr>
      <w:r>
        <w:rPr>
          <w:rFonts w:ascii="Consolas" w:hAnsi="Consolas"/>
          <w:sz w:val="14"/>
        </w:rPr>
        <w:t>| `99_archivo` | custodia inmutable de material heredado o abandonado | documentos vigentes |</w:t>
      </w:r>
    </w:p>
    <w:p>
      <w:pPr>
        <w:spacing w:after="40"/>
      </w:pPr>
    </w:p>
    <w:p>
      <w:pPr>
        <w:pStyle w:val="Heading3"/>
      </w:pPr>
      <w:r>
        <w:t>4. Reglas de nombrado</w:t>
      </w:r>
    </w:p>
    <w:p>
      <w:pPr>
        <w:spacing w:after="40"/>
      </w:pPr>
    </w:p>
    <w:p>
      <w:pPr>
        <w:pStyle w:val="Heading4"/>
      </w:pPr>
      <w:r>
        <w:t>4.1 Carpetas y archivos</w:t>
      </w:r>
    </w:p>
    <w:p>
      <w:pPr>
        <w:spacing w:after="40"/>
      </w:pPr>
    </w:p>
    <w:p>
      <w:pPr>
        <w:pStyle w:val="ListBullet"/>
      </w:pPr>
      <w:r>
        <w:t>Codificación UTF-8 y finales de línea LF.</w:t>
      </w:r>
    </w:p>
    <w:p>
      <w:pPr>
        <w:pStyle w:val="ListBullet"/>
      </w:pPr>
      <w:r>
        <w:t>Rutas canónicas en minúsculas, sin tildes y con guion bajo: modelo_matematico/.</w:t>
      </w:r>
    </w:p>
    <w:p>
      <w:pPr>
        <w:pStyle w:val="ListBullet"/>
      </w:pPr>
      <w:r>
        <w:t>Archivos controlados: {id}__{titulo_corto}__{idioma}.{extension}.</w:t>
      </w:r>
    </w:p>
    <w:p>
      <w:pPr>
        <w:pStyle w:val="ListBullet"/>
      </w:pPr>
      <w:r>
        <w:t>Ejemplo estructural: goei-dec-0007__unidad_de_analisis__es.md.</w:t>
      </w:r>
    </w:p>
    <w:p>
      <w:pPr>
        <w:pStyle w:val="ListBullet"/>
      </w:pPr>
      <w:r>
        <w:t>titulo_corto usa minúsculas, ASCII, guion bajo y máximo recomendado de 80 caracteres para el nombre completo.</w:t>
      </w:r>
    </w:p>
    <w:p>
      <w:pPr>
        <w:pStyle w:val="ListBullet"/>
      </w:pPr>
      <w:r>
        <w:t>Idioma mediante BCP 47 abreviado cuando baste: es, en, pt-BR.</w:t>
      </w:r>
    </w:p>
    <w:p>
      <w:pPr>
        <w:pStyle w:val="ListBullet"/>
      </w:pPr>
      <w:r>
        <w:t>No incluir estado, fecha ni número de versión en el nombre del archivo canónico; esos datos viven en metadatos y Git.</w:t>
      </w:r>
    </w:p>
    <w:p>
      <w:pPr>
        <w:pStyle w:val="ListBullet"/>
      </w:pPr>
      <w:r>
        <w:t>Las instantáneas publicadas pueden incorporar la versión en 15_versiones_e_historial/lineas_base/.</w:t>
      </w:r>
    </w:p>
    <w:p>
      <w:pPr>
        <w:spacing w:after="40"/>
      </w:pPr>
    </w:p>
    <w:p>
      <w:pPr>
        <w:pStyle w:val="Heading4"/>
      </w:pPr>
      <w:r>
        <w:t>4.2 Identificadores persistentes</w:t>
      </w:r>
    </w:p>
    <w:p>
      <w:pPr>
        <w:spacing w:after="40"/>
      </w:pPr>
    </w:p>
    <w:p>
      <w:r>
        <w:t>Formato: GOEI-{CLASE}-{NNNN}. El identificador es inmutable y nunca se reutiliza.</w:t>
      </w:r>
    </w:p>
    <w:p>
      <w:pPr>
        <w:spacing w:after="40"/>
      </w:pPr>
    </w:p>
    <w:p>
      <w:pPr>
        <w:spacing w:after="20" w:line="240" w:lineRule="auto"/>
      </w:pPr>
      <w:r>
        <w:rPr>
          <w:rFonts w:ascii="Consolas" w:hAnsi="Consolas"/>
          <w:sz w:val="14"/>
        </w:rPr>
        <w:t>| Clase | Uso |</w:t>
      </w:r>
    </w:p>
    <w:p>
      <w:pPr>
        <w:spacing w:after="20" w:line="240" w:lineRule="auto"/>
      </w:pPr>
      <w:r>
        <w:rPr>
          <w:rFonts w:ascii="Consolas" w:hAnsi="Consolas"/>
          <w:sz w:val="14"/>
        </w:rPr>
        <w:t>|---|---|</w:t>
      </w:r>
    </w:p>
    <w:p>
      <w:pPr>
        <w:spacing w:after="20" w:line="240" w:lineRule="auto"/>
      </w:pPr>
      <w:r>
        <w:rPr>
          <w:rFonts w:ascii="Consolas" w:hAnsi="Consolas"/>
          <w:sz w:val="14"/>
        </w:rPr>
        <w:t>| `CON` | Constitución y documentos fundacionales |</w:t>
      </w:r>
    </w:p>
    <w:p>
      <w:pPr>
        <w:spacing w:after="20" w:line="240" w:lineRule="auto"/>
      </w:pPr>
      <w:r>
        <w:rPr>
          <w:rFonts w:ascii="Consolas" w:hAnsi="Consolas"/>
          <w:sz w:val="14"/>
        </w:rPr>
        <w:t>| `DEC` | decisión científica o institucional |</w:t>
      </w:r>
    </w:p>
    <w:p>
      <w:pPr>
        <w:spacing w:after="20" w:line="240" w:lineRule="auto"/>
      </w:pPr>
      <w:r>
        <w:rPr>
          <w:rFonts w:ascii="Consolas" w:hAnsi="Consolas"/>
          <w:sz w:val="14"/>
        </w:rPr>
        <w:t>| `POL` | política de gobernanza |</w:t>
      </w:r>
    </w:p>
    <w:p>
      <w:pPr>
        <w:spacing w:after="20" w:line="240" w:lineRule="auto"/>
      </w:pPr>
      <w:r>
        <w:rPr>
          <w:rFonts w:ascii="Consolas" w:hAnsi="Consolas"/>
          <w:sz w:val="14"/>
        </w:rPr>
        <w:t>| `STD` | documento o módulo del estándar |</w:t>
      </w:r>
    </w:p>
    <w:p>
      <w:pPr>
        <w:spacing w:after="20" w:line="240" w:lineRule="auto"/>
      </w:pPr>
      <w:r>
        <w:rPr>
          <w:rFonts w:ascii="Consolas" w:hAnsi="Consolas"/>
          <w:sz w:val="14"/>
        </w:rPr>
        <w:t>| `ONT` | componente ontológico |</w:t>
      </w:r>
    </w:p>
    <w:p>
      <w:pPr>
        <w:spacing w:after="20" w:line="240" w:lineRule="auto"/>
      </w:pPr>
      <w:r>
        <w:rPr>
          <w:rFonts w:ascii="Consolas" w:hAnsi="Consolas"/>
          <w:sz w:val="14"/>
        </w:rPr>
        <w:t>| `TAX` | componente taxonómico |</w:t>
      </w:r>
    </w:p>
    <w:p>
      <w:pPr>
        <w:spacing w:after="20" w:line="240" w:lineRule="auto"/>
      </w:pPr>
      <w:r>
        <w:rPr>
          <w:rFonts w:ascii="Consolas" w:hAnsi="Consolas"/>
          <w:sz w:val="14"/>
        </w:rPr>
        <w:t>| `PRC` | definición de proceso |</w:t>
      </w:r>
    </w:p>
    <w:p>
      <w:pPr>
        <w:spacing w:after="20" w:line="240" w:lineRule="auto"/>
      </w:pPr>
      <w:r>
        <w:rPr>
          <w:rFonts w:ascii="Consolas" w:hAnsi="Consolas"/>
          <w:sz w:val="14"/>
        </w:rPr>
        <w:t>| `KPI` | definición de KPI type |</w:t>
      </w:r>
    </w:p>
    <w:p>
      <w:pPr>
        <w:spacing w:after="20" w:line="240" w:lineRule="auto"/>
      </w:pPr>
      <w:r>
        <w:rPr>
          <w:rFonts w:ascii="Consolas" w:hAnsi="Consolas"/>
          <w:sz w:val="14"/>
        </w:rPr>
        <w:t>| `MET` | variable o métrica type |</w:t>
      </w:r>
    </w:p>
    <w:p>
      <w:pPr>
        <w:spacing w:after="20" w:line="240" w:lineRule="auto"/>
      </w:pPr>
      <w:r>
        <w:rPr>
          <w:rFonts w:ascii="Consolas" w:hAnsi="Consolas"/>
          <w:sz w:val="14"/>
        </w:rPr>
        <w:t>| `MAT` | regla o componente matemático |</w:t>
      </w:r>
    </w:p>
    <w:p>
      <w:pPr>
        <w:spacing w:after="20" w:line="240" w:lineRule="auto"/>
      </w:pPr>
      <w:r>
        <w:rPr>
          <w:rFonts w:ascii="Consolas" w:hAnsi="Consolas"/>
          <w:sz w:val="14"/>
        </w:rPr>
        <w:t>| `FRM` | instrumento o formulario |</w:t>
      </w:r>
    </w:p>
    <w:p>
      <w:pPr>
        <w:spacing w:after="20" w:line="240" w:lineRule="auto"/>
      </w:pPr>
      <w:r>
        <w:rPr>
          <w:rFonts w:ascii="Consolas" w:hAnsi="Consolas"/>
          <w:sz w:val="14"/>
        </w:rPr>
        <w:t>| `VAL` | protocolo o expediente de validación |</w:t>
      </w:r>
    </w:p>
    <w:p>
      <w:pPr>
        <w:spacing w:after="20" w:line="240" w:lineRule="auto"/>
      </w:pPr>
      <w:r>
        <w:rPr>
          <w:rFonts w:ascii="Consolas" w:hAnsi="Consolas"/>
          <w:sz w:val="14"/>
        </w:rPr>
        <w:t>| `SRC` | ficha bibliográfica |</w:t>
      </w:r>
    </w:p>
    <w:p>
      <w:pPr>
        <w:spacing w:after="20" w:line="240" w:lineRule="auto"/>
      </w:pPr>
      <w:r>
        <w:rPr>
          <w:rFonts w:ascii="Consolas" w:hAnsi="Consolas"/>
          <w:sz w:val="14"/>
        </w:rPr>
        <w:t>| `PUB` | publicación derivada |</w:t>
      </w:r>
    </w:p>
    <w:p>
      <w:pPr>
        <w:spacing w:after="20" w:line="240" w:lineRule="auto"/>
      </w:pPr>
      <w:r>
        <w:rPr>
          <w:rFonts w:ascii="Consolas" w:hAnsi="Consolas"/>
          <w:sz w:val="14"/>
        </w:rPr>
        <w:t>| `REV` | revisión técnica o científica |</w:t>
      </w:r>
    </w:p>
    <w:p>
      <w:pPr>
        <w:spacing w:after="20" w:line="240" w:lineRule="auto"/>
      </w:pPr>
      <w:r>
        <w:rPr>
          <w:rFonts w:ascii="Consolas" w:hAnsi="Consolas"/>
          <w:sz w:val="14"/>
        </w:rPr>
        <w:t>| `CHG` | solicitud o expediente de cambio |</w:t>
      </w:r>
    </w:p>
    <w:p>
      <w:pPr>
        <w:spacing w:after="20" w:line="240" w:lineRule="auto"/>
      </w:pPr>
      <w:r>
        <w:rPr>
          <w:rFonts w:ascii="Consolas" w:hAnsi="Consolas"/>
          <w:sz w:val="14"/>
        </w:rPr>
        <w:t>| `ISS` | pregunta abierta o bloqueo |</w:t>
      </w:r>
    </w:p>
    <w:p>
      <w:pPr>
        <w:spacing w:after="40"/>
      </w:pPr>
    </w:p>
    <w:p>
      <w:r>
        <w:t>Los identificadores de clase no conceden estatus normativo.</w:t>
      </w:r>
    </w:p>
    <w:p>
      <w:pPr>
        <w:spacing w:after="40"/>
      </w:pPr>
    </w:p>
    <w:p>
      <w:pPr>
        <w:pStyle w:val="Heading4"/>
      </w:pPr>
      <w:r>
        <w:t>4.3 Decisiones</w:t>
      </w:r>
    </w:p>
    <w:p>
      <w:pPr>
        <w:spacing w:after="40"/>
      </w:pPr>
    </w:p>
    <w:p>
      <w:pPr>
        <w:pStyle w:val="ListBullet"/>
      </w:pPr>
      <w:r>
        <w:t>ID canónico: GOEI-DEC-NNNN.</w:t>
      </w:r>
    </w:p>
    <w:p>
      <w:pPr>
        <w:pStyle w:val="ListBullet"/>
      </w:pPr>
      <w:r>
        <w:t>Título: una pregunta o acción decidible, no un tema amplio.</w:t>
      </w:r>
    </w:p>
    <w:p>
      <w:pPr>
        <w:pStyle w:val="ListBullet"/>
      </w:pPr>
      <w:r>
        <w:t>Estados: propuesta, en_revision, aprobada, rechazada, sustituida, retirada.</w:t>
      </w:r>
    </w:p>
    <w:p>
      <w:pPr>
        <w:pStyle w:val="ListBullet"/>
      </w:pPr>
      <w:r>
        <w:t>Una decisión contiene una sola resolución principal.</w:t>
      </w:r>
    </w:p>
    <w:p>
      <w:pPr>
        <w:pStyle w:val="ListBullet"/>
      </w:pPr>
      <w:r>
        <w:t>Una decisión aprobada es inmutable. Una corrección sustantiva requiere otra decisión que la sustituya.</w:t>
      </w:r>
    </w:p>
    <w:p>
      <w:pPr>
        <w:pStyle w:val="ListBullet"/>
      </w:pPr>
      <w:r>
        <w:t>Toda decisión señala evidencia, autoridad, fecha, alcance, versión objetivo, componentes afectados y decisiones sustituidas.</w:t>
      </w:r>
    </w:p>
    <w:p>
      <w:pPr>
        <w:spacing w:after="40"/>
      </w:pPr>
    </w:p>
    <w:p>
      <w:pPr>
        <w:pStyle w:val="Heading3"/>
      </w:pPr>
      <w:r>
        <w:t>5. Versiones</w:t>
      </w:r>
    </w:p>
    <w:p>
      <w:pPr>
        <w:spacing w:after="40"/>
      </w:pPr>
    </w:p>
    <w:p>
      <w:r>
        <w:t>Se controlan por separado:</w:t>
      </w:r>
    </w:p>
    <w:p>
      <w:pPr>
        <w:spacing w:after="40"/>
      </w:pPr>
    </w:p>
    <w:p>
      <w:pPr>
        <w:spacing w:after="20" w:line="240" w:lineRule="auto"/>
      </w:pPr>
      <w:r>
        <w:rPr>
          <w:rFonts w:ascii="Consolas" w:hAnsi="Consolas"/>
          <w:sz w:val="14"/>
        </w:rPr>
        <w:t>| Nivel | Convención | Propósito |</w:t>
      </w:r>
    </w:p>
    <w:p>
      <w:pPr>
        <w:spacing w:after="20" w:line="240" w:lineRule="auto"/>
      </w:pPr>
      <w:r>
        <w:rPr>
          <w:rFonts w:ascii="Consolas" w:hAnsi="Consolas"/>
          <w:sz w:val="14"/>
        </w:rPr>
        <w:t>|---|---|---|</w:t>
      </w:r>
    </w:p>
    <w:p>
      <w:pPr>
        <w:spacing w:after="20" w:line="240" w:lineRule="auto"/>
      </w:pPr>
      <w:r>
        <w:rPr>
          <w:rFonts w:ascii="Consolas" w:hAnsi="Consolas"/>
          <w:sz w:val="14"/>
        </w:rPr>
        <w:t>| Repositorio | Git commit y etiqueta firmada | historia exacta del conjunto de archivos |</w:t>
      </w:r>
    </w:p>
    <w:p>
      <w:pPr>
        <w:spacing w:after="20" w:line="240" w:lineRule="auto"/>
      </w:pPr>
      <w:r>
        <w:rPr>
          <w:rFonts w:ascii="Consolas" w:hAnsi="Consolas"/>
          <w:sz w:val="14"/>
        </w:rPr>
        <w:t>| Documento/componente | SemVer `MAYOR.MENOR.PARCHE` | evolución semántica del artefacto |</w:t>
      </w:r>
    </w:p>
    <w:p>
      <w:pPr>
        <w:spacing w:after="20" w:line="240" w:lineRule="auto"/>
      </w:pPr>
      <w:r>
        <w:rPr>
          <w:rFonts w:ascii="Consolas" w:hAnsi="Consolas"/>
          <w:sz w:val="14"/>
        </w:rPr>
        <w:t>| Línea base GOEI | `GOEI YYYY.M` o esquema que apruebe gobernanza | edición integrada del estándar |</w:t>
      </w:r>
    </w:p>
    <w:p>
      <w:pPr>
        <w:spacing w:after="20" w:line="240" w:lineRule="auto"/>
      </w:pPr>
      <w:r>
        <w:rPr>
          <w:rFonts w:ascii="Consolas" w:hAnsi="Consolas"/>
          <w:sz w:val="14"/>
        </w:rPr>
        <w:t>| Esquema legible por máquina | versión propia enlazada a la ontología | compatibilidad técnica |</w:t>
      </w:r>
    </w:p>
    <w:p>
      <w:pPr>
        <w:spacing w:after="40"/>
      </w:pPr>
    </w:p>
    <w:p>
      <w:r>
        <w:t>Regla provisional para componentes:</w:t>
      </w:r>
    </w:p>
    <w:p>
      <w:pPr>
        <w:spacing w:after="40"/>
      </w:pPr>
    </w:p>
    <w:p>
      <w:pPr>
        <w:pStyle w:val="ListBullet"/>
      </w:pPr>
      <w:r>
        <w:t>MAYOR: ruptura de significado, contrato o comparabilidad;</w:t>
      </w:r>
    </w:p>
    <w:p>
      <w:pPr>
        <w:pStyle w:val="ListBullet"/>
      </w:pPr>
      <w:r>
        <w:t>MENOR: ampliación compatible aprobada;</w:t>
      </w:r>
    </w:p>
    <w:p>
      <w:pPr>
        <w:pStyle w:val="ListBullet"/>
      </w:pPr>
      <w:r>
        <w:t>PARCHE: corrección sin cambio semántico;</w:t>
      </w:r>
    </w:p>
    <w:p>
      <w:pPr>
        <w:pStyle w:val="ListBullet"/>
      </w:pPr>
      <w:r>
        <w:t>sufijos draft, rc.N y deprecated para estados no vigentes.</w:t>
      </w:r>
    </w:p>
    <w:p>
      <w:pPr>
        <w:spacing w:after="40"/>
      </w:pPr>
    </w:p>
    <w:p>
      <w:r>
        <w:t>La versión de una traducción debe declarar exactamente qué versión fuente traduce. La traducción no crea una versión científica distinta.</w:t>
      </w:r>
    </w:p>
    <w:p>
      <w:pPr>
        <w:spacing w:after="40"/>
      </w:pPr>
    </w:p>
    <w:p>
      <w:pPr>
        <w:pStyle w:val="Heading3"/>
      </w:pPr>
      <w:r>
        <w:t>6. Metadatos obligatorios</w:t>
      </w:r>
    </w:p>
    <w:p>
      <w:pPr>
        <w:spacing w:after="40"/>
      </w:pPr>
    </w:p>
    <w:p>
      <w:r>
        <w:t>Cada documento controlado debe declarar en un bloque uniforme:</w:t>
      </w:r>
    </w:p>
    <w:p>
      <w:pPr>
        <w:spacing w:after="40"/>
      </w:pPr>
    </w:p>
    <w:p>
      <w:r>
        <w:t>id, titulo, tipo, estado, naturaleza, idioma, version_documental, version_goei, fecha, autores, revisores, aprobador, decisiones_origen, evidencia, dependencias, dependientes, sustituye, sustituido_por, licencia y checksum_de_publicacion cuando corresponda.</w:t>
      </w:r>
    </w:p>
    <w:p>
      <w:pPr>
        <w:spacing w:after="40"/>
      </w:pPr>
    </w:p>
    <w:p>
      <w:r>
        <w:t>Los metadatos deberán poder representarse en Markdown y en un esquema estructurado futuro, sin que el esquema reemplace el documento humano.</w:t>
      </w:r>
    </w:p>
    <w:p>
      <w:pPr>
        <w:spacing w:after="40"/>
      </w:pPr>
    </w:p>
    <w:p>
      <w:pPr>
        <w:pStyle w:val="Heading3"/>
      </w:pPr>
      <w:r>
        <w:t>7. Modelo de ramas y publicaciones</w:t>
      </w:r>
    </w:p>
    <w:p>
      <w:pPr>
        <w:spacing w:after="40"/>
      </w:pPr>
    </w:p>
    <w:p>
      <w:pPr>
        <w:pStyle w:val="ListBullet"/>
      </w:pPr>
      <w:r>
        <w:t>main: historia protegida de material aprobado o administrativo estable.</w:t>
      </w:r>
    </w:p>
    <w:p>
      <w:pPr>
        <w:pStyle w:val="ListBullet"/>
      </w:pPr>
      <w:r>
        <w:t>ramas cortas: proposal/GOEI-DEC-NNNN-descripcion o change/GOEI-CHG-NNNN-descripcion.</w:t>
      </w:r>
    </w:p>
    <w:p>
      <w:pPr>
        <w:pStyle w:val="ListBullet"/>
      </w:pPr>
      <w:r>
        <w:t>toda modificación entra mediante revisión trazable;</w:t>
      </w:r>
    </w:p>
    <w:p>
      <w:pPr>
        <w:pStyle w:val="ListBullet"/>
      </w:pPr>
      <w:r>
        <w:t>las versiones oficiales usan etiquetas firmadas y un manifiesto con checksums;</w:t>
      </w:r>
    </w:p>
    <w:p>
      <w:pPr>
        <w:pStyle w:val="ListBullet"/>
      </w:pPr>
      <w:r>
        <w:t>no se reescribe la historia de una versión publicada;</w:t>
      </w:r>
    </w:p>
    <w:p>
      <w:pPr>
        <w:pStyle w:val="ListBullet"/>
      </w:pPr>
      <w:r>
        <w:t>correcciones posteriores se publican como nueva versión o errata vinculada.</w:t>
      </w:r>
    </w:p>
    <w:p>
      <w:pPr>
        <w:spacing w:after="40"/>
      </w:pPr>
    </w:p>
    <w:p>
      <w:r>
        <w:t>La aprobación científica no se deduce de la fusión de una rama: debe existir una decisión aprobada.</w:t>
      </w:r>
    </w:p>
    <w:p>
      <w:pPr>
        <w:spacing w:after="40"/>
      </w:pPr>
    </w:p>
    <w:p>
      <w:pPr>
        <w:pStyle w:val="Heading3"/>
      </w:pPr>
      <w:r>
        <w:t>8. Historial y archivo</w:t>
      </w:r>
    </w:p>
    <w:p>
      <w:pPr>
        <w:spacing w:after="40"/>
      </w:pPr>
    </w:p>
    <w:p>
      <w:pPr>
        <w:pStyle w:val="ListBullet"/>
      </w:pPr>
      <w:r>
        <w:t>Git conserva cambios textuales; 15_versiones_e_historial conserva líneas base y relaciones de compatibilidad.</w:t>
      </w:r>
    </w:p>
    <w:p>
      <w:pPr>
        <w:pStyle w:val="ListBullet"/>
      </w:pPr>
      <w:r>
        <w:t>99_archivo conserva material fuera de circulación y nunca actúa como fuente vigente.</w:t>
      </w:r>
    </w:p>
    <w:p>
      <w:pPr>
        <w:pStyle w:val="ListBullet"/>
      </w:pPr>
      <w:r>
        <w:t>Las eliminaciones lógicas usan estados sustituido o retirado; no se destruye la evidencia histórica.</w:t>
      </w:r>
    </w:p>
    <w:p>
      <w:pPr>
        <w:pStyle w:val="ListBullet"/>
      </w:pPr>
      <w:r>
        <w:t>Los datos sensibles o restringidos no se almacenan en el repositorio público. Se conserva un registro de custodia y acceso.</w:t>
      </w:r>
    </w:p>
    <w:p>
      <w:pPr>
        <w:spacing w:after="40"/>
      </w:pPr>
    </w:p>
    <w:p>
      <w:pPr>
        <w:pStyle w:val="Heading3"/>
      </w:pPr>
      <w:r>
        <w:t>9. Reglas de dependencia</w:t>
      </w:r>
    </w:p>
    <w:p>
      <w:pPr>
        <w:spacing w:after="40"/>
      </w:pPr>
    </w:p>
    <w:p>
      <w:pPr>
        <w:spacing w:after="20" w:line="240" w:lineRule="auto"/>
        <w:ind w:left="259"/>
      </w:pPr>
      <w:r>
        <w:rPr>
          <w:rFonts w:ascii="Consolas" w:hAnsi="Consolas"/>
          <w:sz w:val="15"/>
        </w:rPr>
        <w:t>bibliografia → investigacion → decision → ontologia/nucleo → instrumentos</w:t>
      </w:r>
    </w:p>
    <w:p>
      <w:pPr>
        <w:spacing w:after="20" w:line="240" w:lineRule="auto"/>
        <w:ind w:left="259"/>
      </w:pPr>
      <w:r>
        <w:rPr>
          <w:rFonts w:ascii="Consolas" w:hAnsi="Consolas"/>
          <w:sz w:val="15"/>
        </w:rPr>
        <w:t xml:space="preserve">                                      ↘ validacion ↗</w:t>
      </w:r>
    </w:p>
    <w:p>
      <w:pPr>
        <w:spacing w:after="20" w:line="240" w:lineRule="auto"/>
        <w:ind w:left="259"/>
      </w:pPr>
      <w:r>
        <w:rPr>
          <w:rFonts w:ascii="Consolas" w:hAnsi="Consolas"/>
          <w:sz w:val="15"/>
        </w:rPr>
        <w:t>nucleo + validacion → estandar publicado → publicaciones/tesis</w:t>
      </w:r>
    </w:p>
    <w:p>
      <w:pPr>
        <w:spacing w:after="40"/>
      </w:pPr>
    </w:p>
    <w:p>
      <w:pPr>
        <w:pStyle w:val="ListBullet"/>
      </w:pPr>
      <w:r>
        <w:t>Ningún artefacto derivado puede modificar su fuente.</w:t>
      </w:r>
    </w:p>
    <w:p>
      <w:pPr>
        <w:pStyle w:val="ListBullet"/>
      </w:pPr>
      <w:r>
        <w:t>Un formulario no puede introducir reglas ausentes del núcleo.</w:t>
      </w:r>
    </w:p>
    <w:p>
      <w:pPr>
        <w:pStyle w:val="ListBullet"/>
      </w:pPr>
      <w:r>
        <w:t>Una implementación de software no puede ser la única definición del cálculo.</w:t>
      </w:r>
    </w:p>
    <w:p>
      <w:pPr>
        <w:pStyle w:val="ListBullet"/>
      </w:pPr>
      <w:r>
        <w:t>Una tesis o artículo no puede ser fuente normativa única.</w:t>
      </w:r>
    </w:p>
    <w:p>
      <w:pPr>
        <w:pStyle w:val="ListBullet"/>
      </w:pPr>
      <w:r>
        <w:t>Todo componente normativo debe enlazar una decisión aprobada.</w:t>
      </w:r>
    </w:p>
    <w:p>
      <w:pPr>
        <w:spacing w:after="40"/>
      </w:pPr>
    </w:p>
    <w:p>
      <w:pPr>
        <w:pStyle w:val="Heading3"/>
      </w:pPr>
      <w:r>
        <w:t>10. Controles de calidad del repositorio</w:t>
      </w:r>
    </w:p>
    <w:p>
      <w:pPr>
        <w:spacing w:after="40"/>
      </w:pPr>
    </w:p>
    <w:p>
      <w:r>
        <w:t>El repositorio deberá incorporar validaciones automáticas para:</w:t>
      </w:r>
    </w:p>
    <w:p>
      <w:pPr>
        <w:spacing w:after="40"/>
      </w:pPr>
    </w:p>
    <w:p>
      <w:pPr>
        <w:pStyle w:val="ListBullet"/>
      </w:pPr>
      <w:r>
        <w:t>IDs duplicados o referencias rotas;</w:t>
      </w:r>
    </w:p>
    <w:p>
      <w:pPr>
        <w:pStyle w:val="ListBullet"/>
      </w:pPr>
      <w:r>
        <w:t>metadatos obligatorios ausentes;</w:t>
      </w:r>
    </w:p>
    <w:p>
      <w:pPr>
        <w:pStyle w:val="ListBullet"/>
      </w:pPr>
      <w:r>
        <w:t>estados o tipos no permitidos;</w:t>
      </w:r>
    </w:p>
    <w:p>
      <w:pPr>
        <w:pStyle w:val="ListBullet"/>
      </w:pPr>
      <w:r>
        <w:t>dependencias circulares;</w:t>
      </w:r>
    </w:p>
    <w:p>
      <w:pPr>
        <w:pStyle w:val="ListBullet"/>
      </w:pPr>
      <w:r>
        <w:t>decisiones inexistentes o no aprobadas;</w:t>
      </w:r>
    </w:p>
    <w:p>
      <w:pPr>
        <w:pStyle w:val="ListBullet"/>
      </w:pPr>
      <w:r>
        <w:t>enlaces internos y citas incompletas;</w:t>
      </w:r>
    </w:p>
    <w:p>
      <w:pPr>
        <w:pStyle w:val="ListBullet"/>
      </w:pPr>
      <w:r>
        <w:t>divergencia entre formularios, esquemas y documento fuente;</w:t>
      </w:r>
    </w:p>
    <w:p>
      <w:pPr>
        <w:pStyle w:val="ListBullet"/>
      </w:pPr>
      <w:r>
        <w:t>cambios normativos sin expediente GOEI-CHG;</w:t>
      </w:r>
    </w:p>
    <w:p>
      <w:pPr>
        <w:pStyle w:val="ListBullet"/>
      </w:pPr>
      <w:r>
        <w:t>versiones publicadas sin manifiesto ni checksum.</w:t>
      </w:r>
    </w:p>
    <w:p>
      <w:pPr>
        <w:spacing w:after="40"/>
      </w:pPr>
    </w:p>
    <w:p>
      <w:pPr>
        <w:pStyle w:val="Heading3"/>
      </w:pPr>
      <w:r>
        <w:t>11. Migración desde la estructura actual</w:t>
      </w:r>
    </w:p>
    <w:p>
      <w:pPr>
        <w:spacing w:after="40"/>
      </w:pPr>
    </w:p>
    <w:p>
      <w:r>
        <w:t>La migración debe ser una operación separada y aprobada. Secuencia mínima:</w:t>
      </w:r>
    </w:p>
    <w:p>
      <w:pPr>
        <w:spacing w:after="40"/>
      </w:pPr>
    </w:p>
    <w:p>
      <w:pPr>
        <w:pStyle w:val="ListNumber"/>
      </w:pPr>
      <w:r>
        <w:t>congelar inventario y checksums;</w:t>
      </w:r>
    </w:p>
    <w:p>
      <w:pPr>
        <w:pStyle w:val="ListNumber"/>
      </w:pPr>
      <w:r>
        <w:t>asignar IDs y metadatos a documentos heredados sin cambiar su contenido;</w:t>
      </w:r>
    </w:p>
    <w:p>
      <w:pPr>
        <w:pStyle w:val="ListNumber"/>
      </w:pPr>
      <w:r>
        <w:t>aprobar tabla de correspondencias de rutas;</w:t>
      </w:r>
    </w:p>
    <w:p>
      <w:pPr>
        <w:pStyle w:val="ListNumber"/>
      </w:pPr>
      <w:r>
        <w:t>mover archivos conservando historial cuando exista Git;</w:t>
      </w:r>
    </w:p>
    <w:p>
      <w:pPr>
        <w:pStyle w:val="ListNumber"/>
      </w:pPr>
      <w:r>
        <w:t>actualizar enlaces y registros maestros;</w:t>
      </w:r>
    </w:p>
    <w:p>
      <w:pPr>
        <w:pStyle w:val="ListNumber"/>
      </w:pPr>
      <w:r>
        <w:t>ejecutar controles de integridad;</w:t>
      </w:r>
    </w:p>
    <w:p>
      <w:pPr>
        <w:pStyle w:val="ListNumber"/>
      </w:pPr>
      <w:r>
        <w:t>conservar un manifiesto de migración en 99_archivo/migraciones_del_repositorio/.</w:t>
      </w:r>
    </w:p>
    <w:p>
      <w:pPr>
        <w:spacing w:after="40"/>
      </w:pPr>
    </w:p>
    <w:p>
      <w:r>
        <w:t>No se ejecutó esta migración en esta fase.</w:t>
      </w:r>
    </w:p>
    <w:p>
      <w:r>
        <w:br w:type="page"/>
      </w:r>
    </w:p>
    <w:p>
      <w:pPr>
        <w:pStyle w:val="Heading1"/>
        <w:keepNext/>
      </w:pPr>
      <w:r>
        <w:t>Fuente 6: 00_Gobernanza/Arquitectura_documental_GOEI.md</w:t>
      </w:r>
    </w:p>
    <w:p>
      <w:pPr>
        <w:spacing w:after="200"/>
      </w:pPr>
      <w:r>
        <w:rPr>
          <w:rFonts w:ascii="Consolas" w:hAnsi="Consolas"/>
          <w:color w:val="595959"/>
          <w:sz w:val="16"/>
        </w:rPr>
        <w:t>Ruta: 00_Gobernanza/Arquitectura_documental_GOEI.md</w:t>
        <w:br/>
        <w:t>Tamaño: 11296 bytes</w:t>
        <w:br/>
        <w:t>SHA-256: db660af9ee3c0effd6e2a9fd7ed463feba51d058932d4f18c5eca7a84b3b07b5</w:t>
      </w:r>
    </w:p>
    <w:p>
      <w:pPr>
        <w:pStyle w:val="Heading2"/>
      </w:pPr>
      <w:r>
        <w:t>Arquitectura documental del proyecto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GOEI-ARCH-001 |</w:t>
      </w:r>
    </w:p>
    <w:p>
      <w:pPr>
        <w:spacing w:after="20" w:line="240" w:lineRule="auto"/>
      </w:pPr>
      <w:r>
        <w:rPr>
          <w:rFonts w:ascii="Consolas" w:hAnsi="Consolas"/>
          <w:sz w:val="14"/>
        </w:rPr>
        <w:t>| Tipo | Especificación de arquitectura documental |</w:t>
      </w:r>
    </w:p>
    <w:p>
      <w:pPr>
        <w:spacing w:after="20" w:line="240" w:lineRule="auto"/>
      </w:pPr>
      <w:r>
        <w:rPr>
          <w:rFonts w:ascii="Consolas" w:hAnsi="Consolas"/>
          <w:sz w:val="14"/>
        </w:rPr>
        <w:t>| Estado | Borrador bloqueado para ratificación |</w:t>
      </w:r>
    </w:p>
    <w:p>
      <w:pPr>
        <w:spacing w:after="20" w:line="240" w:lineRule="auto"/>
      </w:pPr>
      <w:r>
        <w:rPr>
          <w:rFonts w:ascii="Consolas" w:hAnsi="Consolas"/>
          <w:sz w:val="14"/>
        </w:rPr>
        <w:t>| Naturaleza | Informativa hasta aprobación de D-005 |</w:t>
      </w:r>
    </w:p>
    <w:p>
      <w:pPr>
        <w:spacing w:after="20" w:line="240" w:lineRule="auto"/>
      </w:pPr>
      <w:r>
        <w:rPr>
          <w:rFonts w:ascii="Consolas" w:hAnsi="Consolas"/>
          <w:sz w:val="14"/>
        </w:rPr>
        <w:t>| Versión del documento | 0.1.0-draft |</w:t>
      </w:r>
    </w:p>
    <w:p>
      <w:pPr>
        <w:spacing w:after="20" w:line="240" w:lineRule="auto"/>
      </w:pPr>
      <w:r>
        <w:rPr>
          <w:rFonts w:ascii="Consolas" w:hAnsi="Consolas"/>
          <w:sz w:val="14"/>
        </w:rPr>
        <w:t>| Decisiones de origen | D-001, D-002, D-004, D-005 y D-006 |</w:t>
      </w:r>
    </w:p>
    <w:p>
      <w:pPr>
        <w:spacing w:after="20" w:line="240" w:lineRule="auto"/>
      </w:pPr>
      <w:r>
        <w:rPr>
          <w:rFonts w:ascii="Consolas" w:hAnsi="Consolas"/>
          <w:sz w:val="14"/>
        </w:rPr>
        <w:t>| Evidencia | La enlazada en los expedientes de dichas decisiones |</w:t>
      </w:r>
    </w:p>
    <w:p>
      <w:pPr>
        <w:spacing w:after="20" w:line="240" w:lineRule="auto"/>
      </w:pPr>
      <w:r>
        <w:rPr>
          <w:rFonts w:ascii="Consolas" w:hAnsi="Consolas"/>
          <w:sz w:val="14"/>
        </w:rPr>
        <w:t>| Versión GOEI de incorporación | No asignada |</w:t>
      </w:r>
    </w:p>
    <w:p>
      <w:pPr>
        <w:spacing w:after="20" w:line="240" w:lineRule="auto"/>
      </w:pPr>
      <w:r>
        <w:rPr>
          <w:rFonts w:ascii="Consolas" w:hAnsi="Consolas"/>
          <w:sz w:val="14"/>
        </w:rPr>
        <w:t>| Dependencias directas | Registro de decisiones; expediente D-005; expediente D-006 |</w:t>
      </w:r>
    </w:p>
    <w:p>
      <w:pPr>
        <w:spacing w:after="20" w:line="240" w:lineRule="auto"/>
      </w:pPr>
      <w:r>
        <w:rPr>
          <w:rFonts w:ascii="Consolas" w:hAnsi="Consolas"/>
          <w:sz w:val="14"/>
        </w:rPr>
        <w:t>| Dependientes | Toda la estructura documental futura |</w:t>
      </w:r>
    </w:p>
    <w:p>
      <w:pPr>
        <w:spacing w:after="40"/>
      </w:pPr>
    </w:p>
    <w:p>
      <w:pPr>
        <w:spacing w:after="100"/>
        <w:ind w:left="360" w:right="216"/>
      </w:pPr>
      <w:r>
        <w:rPr>
          <w:i/>
          <w:color w:val="595959"/>
        </w:rPr>
        <w:t>Límite de autoridad: este documento traduce decisiones registradas a una arquitectura técnica. No ratifica D-005, no resuelve sus preguntas pendientes y no convierte propuestas científicas en requisitos.</w:t>
      </w:r>
    </w:p>
    <w:p>
      <w:pPr>
        <w:spacing w:after="40"/>
      </w:pPr>
    </w:p>
    <w:p>
      <w:pPr>
        <w:pStyle w:val="Heading3"/>
      </w:pPr>
      <w:r>
        <w:t>1. Objetivo arquitectónico</w:t>
      </w:r>
    </w:p>
    <w:p>
      <w:pPr>
        <w:spacing w:after="40"/>
      </w:pPr>
    </w:p>
    <w:p>
      <w:r>
        <w:t>Mantener el GOEI como un sistema documental:</w:t>
      </w:r>
    </w:p>
    <w:p>
      <w:pPr>
        <w:spacing w:after="40"/>
      </w:pPr>
    </w:p>
    <w:p>
      <w:pPr>
        <w:pStyle w:val="ListBullet"/>
      </w:pPr>
      <w:r>
        <w:t>trazable desde cada componente hasta su decisión y evidencia de origen;</w:t>
      </w:r>
    </w:p>
    <w:p>
      <w:pPr>
        <w:pStyle w:val="ListBullet"/>
      </w:pPr>
      <w:r>
        <w:t>versionable sin perder la historia ni la comparabilidad;</w:t>
      </w:r>
    </w:p>
    <w:p>
      <w:pPr>
        <w:pStyle w:val="ListBullet"/>
      </w:pPr>
      <w:r>
        <w:t>modular, con separación entre norma, validación, conformidad y aplicación;</w:t>
      </w:r>
    </w:p>
    <w:p>
      <w:pPr>
        <w:pStyle w:val="ListBullet"/>
      </w:pPr>
      <w:r>
        <w:t>independiente de la tecnología de cálculo;</w:t>
      </w:r>
    </w:p>
    <w:p>
      <w:pPr>
        <w:pStyle w:val="ListBullet"/>
      </w:pPr>
      <w:r>
        <w:t>protegido contra la incorporación accidental de contenido no aprobado;</w:t>
      </w:r>
    </w:p>
    <w:p>
      <w:pPr>
        <w:pStyle w:val="ListBullet"/>
      </w:pPr>
      <w:r>
        <w:t>capaz de producir manuales, formularios, tesis y publicaciones como vistas derivadas.</w:t>
      </w:r>
    </w:p>
    <w:p>
      <w:pPr>
        <w:spacing w:after="40"/>
      </w:pPr>
    </w:p>
    <w:p>
      <w:pPr>
        <w:pStyle w:val="Heading3"/>
      </w:pPr>
      <w:r>
        <w:t>2. Modelo de autoridad documental</w:t>
      </w:r>
    </w:p>
    <w:p>
      <w:pPr>
        <w:spacing w:after="40"/>
      </w:pPr>
    </w:p>
    <w:p>
      <w:pPr>
        <w:spacing w:after="20" w:line="240" w:lineRule="auto"/>
        <w:ind w:left="259"/>
      </w:pPr>
      <w:r>
        <w:rPr>
          <w:rFonts w:ascii="Consolas" w:hAnsi="Consolas"/>
          <w:sz w:val="15"/>
        </w:rPr>
        <w:t>flowchart LR</w:t>
      </w:r>
    </w:p>
    <w:p>
      <w:pPr>
        <w:spacing w:after="20" w:line="240" w:lineRule="auto"/>
        <w:ind w:left="259"/>
      </w:pPr>
      <w:r>
        <w:rPr>
          <w:rFonts w:ascii="Consolas" w:hAnsi="Consolas"/>
          <w:sz w:val="15"/>
        </w:rPr>
        <w:t xml:space="preserve">    E["Evidencia registrada"] --&gt; D["Decisión científica"]</w:t>
      </w:r>
    </w:p>
    <w:p>
      <w:pPr>
        <w:spacing w:after="20" w:line="240" w:lineRule="auto"/>
        <w:ind w:left="259"/>
      </w:pPr>
      <w:r>
        <w:rPr>
          <w:rFonts w:ascii="Consolas" w:hAnsi="Consolas"/>
          <w:sz w:val="15"/>
        </w:rPr>
        <w:t xml:space="preserve">    D --&gt; ET["Especificación técnica"]</w:t>
      </w:r>
    </w:p>
    <w:p>
      <w:pPr>
        <w:spacing w:after="20" w:line="240" w:lineRule="auto"/>
        <w:ind w:left="259"/>
      </w:pPr>
      <w:r>
        <w:rPr>
          <w:rFonts w:ascii="Consolas" w:hAnsi="Consolas"/>
          <w:sz w:val="15"/>
        </w:rPr>
        <w:t xml:space="preserve">    ET --&gt; A["Artefacto de aplicación"]</w:t>
      </w:r>
    </w:p>
    <w:p>
      <w:pPr>
        <w:spacing w:after="20" w:line="240" w:lineRule="auto"/>
        <w:ind w:left="259"/>
      </w:pPr>
      <w:r>
        <w:rPr>
          <w:rFonts w:ascii="Consolas" w:hAnsi="Consolas"/>
          <w:sz w:val="15"/>
        </w:rPr>
        <w:t xml:space="preserve">    ET --&gt; V["Expediente de validación"]</w:t>
      </w:r>
    </w:p>
    <w:p>
      <w:pPr>
        <w:spacing w:after="20" w:line="240" w:lineRule="auto"/>
        <w:ind w:left="259"/>
      </w:pPr>
      <w:r>
        <w:rPr>
          <w:rFonts w:ascii="Consolas" w:hAnsi="Consolas"/>
          <w:sz w:val="15"/>
        </w:rPr>
        <w:t xml:space="preserve">    V --&gt; R["Versión publicable"]</w:t>
      </w:r>
    </w:p>
    <w:p>
      <w:pPr>
        <w:spacing w:after="20" w:line="240" w:lineRule="auto"/>
        <w:ind w:left="259"/>
      </w:pPr>
      <w:r>
        <w:rPr>
          <w:rFonts w:ascii="Consolas" w:hAnsi="Consolas"/>
          <w:sz w:val="15"/>
        </w:rPr>
        <w:t xml:space="preserve">    A --&gt; T["Tesis y publicaciones"]</w:t>
      </w:r>
    </w:p>
    <w:p>
      <w:pPr>
        <w:spacing w:after="20" w:line="240" w:lineRule="auto"/>
        <w:ind w:left="259"/>
      </w:pPr>
      <w:r>
        <w:rPr>
          <w:rFonts w:ascii="Consolas" w:hAnsi="Consolas"/>
          <w:sz w:val="15"/>
        </w:rPr>
        <w:t xml:space="preserve">    R --&gt; T</w:t>
      </w:r>
    </w:p>
    <w:p>
      <w:pPr>
        <w:spacing w:after="40"/>
      </w:pPr>
    </w:p>
    <w:p>
      <w:r>
        <w:t>La dirección de las flechas representa dependencia y autoridad. No se permite una dependencia inversa: una tesis, formulario o implementación no puede originar silenciosamente una regla del estándar.</w:t>
      </w:r>
    </w:p>
    <w:p>
      <w:pPr>
        <w:spacing w:after="40"/>
      </w:pPr>
    </w:p>
    <w:p>
      <w:pPr>
        <w:pStyle w:val="Heading3"/>
      </w:pPr>
      <w:r>
        <w:t>3. Vistas documentales</w:t>
      </w:r>
    </w:p>
    <w:p>
      <w:pPr>
        <w:spacing w:after="40"/>
      </w:pPr>
    </w:p>
    <w:p>
      <w:r>
        <w:t>La arquitectura separa cuatro vistas. Su adopción definitiva depende de la ratificación de D-005.</w:t>
      </w:r>
    </w:p>
    <w:p>
      <w:pPr>
        <w:spacing w:after="40"/>
      </w:pPr>
    </w:p>
    <w:p>
      <w:pPr>
        <w:spacing w:after="20" w:line="240" w:lineRule="auto"/>
      </w:pPr>
      <w:r>
        <w:rPr>
          <w:rFonts w:ascii="Consolas" w:hAnsi="Consolas"/>
          <w:sz w:val="14"/>
        </w:rPr>
        <w:t>| Vista | Contenido | Carpetas | Estado actual |</w:t>
      </w:r>
    </w:p>
    <w:p>
      <w:pPr>
        <w:spacing w:after="20" w:line="240" w:lineRule="auto"/>
      </w:pPr>
      <w:r>
        <w:rPr>
          <w:rFonts w:ascii="Consolas" w:hAnsi="Consolas"/>
          <w:sz w:val="14"/>
        </w:rPr>
        <w:t>|---|---|---|---|</w:t>
      </w:r>
    </w:p>
    <w:p>
      <w:pPr>
        <w:spacing w:after="20" w:line="240" w:lineRule="auto"/>
      </w:pPr>
      <w:r>
        <w:rPr>
          <w:rFonts w:ascii="Consolas" w:hAnsi="Consolas"/>
          <w:sz w:val="14"/>
        </w:rPr>
        <w:t>| Gobernanza y conocimiento | decisiones, términos, trazabilidad, fuentes, cambios | `00`, `01`, `02`, `15` | Habilitada como soporte |</w:t>
      </w:r>
    </w:p>
    <w:p>
      <w:pPr>
        <w:spacing w:after="20" w:line="240" w:lineRule="auto"/>
      </w:pPr>
      <w:r>
        <w:rPr>
          <w:rFonts w:ascii="Consolas" w:hAnsi="Consolas"/>
          <w:sz w:val="14"/>
        </w:rPr>
        <w:t>| Núcleo del estándar | concepto, taxonomía, procesos, KPI, normalización, agregación, interpretación | `03` a `09` | Contenedores; contenido bloqueado según decisiones faltantes |</w:t>
      </w:r>
    </w:p>
    <w:p>
      <w:pPr>
        <w:spacing w:after="20" w:line="240" w:lineRule="auto"/>
      </w:pPr>
      <w:r>
        <w:rPr>
          <w:rFonts w:ascii="Consolas" w:hAnsi="Consolas"/>
          <w:sz w:val="14"/>
        </w:rPr>
        <w:t>| Aplicación, validación y conformidad | pilotos, formularios, validación, auditoría/certificación | `10`, `11`, `14` | No definido científicamente |</w:t>
      </w:r>
    </w:p>
    <w:p>
      <w:pPr>
        <w:spacing w:after="20" w:line="240" w:lineRule="auto"/>
      </w:pPr>
      <w:r>
        <w:rPr>
          <w:rFonts w:ascii="Consolas" w:hAnsi="Consolas"/>
          <w:sz w:val="14"/>
        </w:rPr>
        <w:t>| Productos derivados | tesis y publicaciones | `12`, `13` | Subordinados al estándar |</w:t>
      </w:r>
    </w:p>
    <w:p>
      <w:pPr>
        <w:spacing w:after="40"/>
      </w:pPr>
    </w:p>
    <w:p>
      <w:pPr>
        <w:pStyle w:val="Heading3"/>
      </w:pPr>
      <w:r>
        <w:t>4. Estructura de carpetas</w:t>
      </w:r>
    </w:p>
    <w:p>
      <w:pPr>
        <w:spacing w:after="40"/>
      </w:pPr>
    </w:p>
    <w:p>
      <w:pPr>
        <w:spacing w:after="20" w:line="240" w:lineRule="auto"/>
      </w:pPr>
      <w:r>
        <w:rPr>
          <w:rFonts w:ascii="Consolas" w:hAnsi="Consolas"/>
          <w:sz w:val="14"/>
        </w:rPr>
        <w:t>| Ruta | Responsabilidad única | Correspondencia D-005 | Regla de entrada |</w:t>
      </w:r>
    </w:p>
    <w:p>
      <w:pPr>
        <w:spacing w:after="20" w:line="240" w:lineRule="auto"/>
      </w:pPr>
      <w:r>
        <w:rPr>
          <w:rFonts w:ascii="Consolas" w:hAnsi="Consolas"/>
          <w:sz w:val="14"/>
        </w:rPr>
        <w:t>|---|---|---|---|</w:t>
      </w:r>
    </w:p>
    <w:p>
      <w:pPr>
        <w:spacing w:after="20" w:line="240" w:lineRule="auto"/>
      </w:pPr>
      <w:r>
        <w:rPr>
          <w:rFonts w:ascii="Consolas" w:hAnsi="Consolas"/>
          <w:sz w:val="14"/>
        </w:rPr>
        <w:t>| `00_Gobernanza/` | autoridad, decisiones, trazabilidad, terminología y control documental | T1/T2 | no contiene decisiones científicas nuevas fuera del registro oficial |</w:t>
      </w:r>
    </w:p>
    <w:p>
      <w:pPr>
        <w:spacing w:after="20" w:line="240" w:lineRule="auto"/>
      </w:pPr>
      <w:r>
        <w:rPr>
          <w:rFonts w:ascii="Consolas" w:hAnsi="Consolas"/>
          <w:sz w:val="14"/>
        </w:rPr>
        <w:t>| `01_Estado_del_arte/` | revisiones y análisis que sustentan decisiones | base de evidencia | cada documento declara estado epistémico y fuentes |</w:t>
      </w:r>
    </w:p>
    <w:p>
      <w:pPr>
        <w:spacing w:after="20" w:line="240" w:lineRule="auto"/>
      </w:pPr>
      <w:r>
        <w:rPr>
          <w:rFonts w:ascii="Consolas" w:hAnsi="Consolas"/>
          <w:sz w:val="14"/>
        </w:rPr>
        <w:t>| `02_Bibliografia/` | catálogo y copias legales de fuentes | base de evidencia | metadatos verificables; no implica aceptación científica |</w:t>
      </w:r>
    </w:p>
    <w:p>
      <w:pPr>
        <w:spacing w:after="20" w:line="240" w:lineRule="auto"/>
      </w:pPr>
      <w:r>
        <w:rPr>
          <w:rFonts w:ascii="Consolas" w:hAnsi="Consolas"/>
          <w:sz w:val="14"/>
        </w:rPr>
        <w:t>| `03_Taxonomia_negocios/` | taxonomía aprobada de unidades y categorías | N2 | requiere decisión de unidad de análisis y clasificación |</w:t>
      </w:r>
    </w:p>
    <w:p>
      <w:pPr>
        <w:spacing w:after="20" w:line="240" w:lineRule="auto"/>
      </w:pPr>
      <w:r>
        <w:rPr>
          <w:rFonts w:ascii="Consolas" w:hAnsi="Consolas"/>
          <w:sz w:val="14"/>
        </w:rPr>
        <w:t>| `04_Procesos_gastronomicos/` | mapa y catálogo de procesos aprobados | N3 | requiere alcance y método de descomposición aprobados |</w:t>
      </w:r>
    </w:p>
    <w:p>
      <w:pPr>
        <w:spacing w:after="20" w:line="240" w:lineRule="auto"/>
      </w:pPr>
      <w:r>
        <w:rPr>
          <w:rFonts w:ascii="Consolas" w:hAnsi="Consolas"/>
          <w:sz w:val="14"/>
        </w:rPr>
        <w:t>| `05_Catalogo_KPI/` | definiciones de KPI type y matriz de admisibilidad | N4 | requiere dimensiones, criterios y KPI aprobados |</w:t>
      </w:r>
    </w:p>
    <w:p>
      <w:pPr>
        <w:spacing w:after="20" w:line="240" w:lineRule="auto"/>
      </w:pPr>
      <w:r>
        <w:rPr>
          <w:rFonts w:ascii="Consolas" w:hAnsi="Consolas"/>
          <w:sz w:val="14"/>
        </w:rPr>
        <w:t>| `06_Normalizacion/` | reglas aprobadas de transformación a escala común | N5 | requiere condiciones de referencia y método aprobados |</w:t>
      </w:r>
    </w:p>
    <w:p>
      <w:pPr>
        <w:spacing w:after="20" w:line="240" w:lineRule="auto"/>
      </w:pPr>
      <w:r>
        <w:rPr>
          <w:rFonts w:ascii="Consolas" w:hAnsi="Consolas"/>
          <w:sz w:val="14"/>
        </w:rPr>
        <w:t>| `07_Ponderacion_y_formula/` | ponderación, agregación, no compensación y compatibilidad | N6/N7 | requiere decisiones específicas; ningún valor puede inferirse |</w:t>
      </w:r>
    </w:p>
    <w:p>
      <w:pPr>
        <w:spacing w:after="20" w:line="240" w:lineRule="auto"/>
      </w:pPr>
      <w:r>
        <w:rPr>
          <w:rFonts w:ascii="Consolas" w:hAnsi="Consolas"/>
          <w:sz w:val="14"/>
        </w:rPr>
        <w:t>| `08_Interpretacion/` | bandas, reglas de lectura y límites de uso | N8 | requiere validación y decisión de interpretación |</w:t>
      </w:r>
    </w:p>
    <w:p>
      <w:pPr>
        <w:spacing w:after="20" w:line="240" w:lineRule="auto"/>
      </w:pPr>
      <w:r>
        <w:rPr>
          <w:rFonts w:ascii="Consolas" w:hAnsi="Consolas"/>
          <w:sz w:val="14"/>
        </w:rPr>
        <w:t>| `09_Manual_tecnico_general/` | especificación consolidada y manual general | N0/N1/N9 | solo integra contenido ya aprobado en fuentes anteriores |</w:t>
      </w:r>
    </w:p>
    <w:p>
      <w:pPr>
        <w:spacing w:after="20" w:line="240" w:lineRule="auto"/>
      </w:pPr>
      <w:r>
        <w:rPr>
          <w:rFonts w:ascii="Consolas" w:hAnsi="Consolas"/>
          <w:sz w:val="14"/>
        </w:rPr>
        <w:t>| `10_Manual_piloto/` | protocolos y manuales por categoría para pilotos | N9 | requiere diseño piloto aprobado |</w:t>
      </w:r>
    </w:p>
    <w:p>
      <w:pPr>
        <w:spacing w:after="20" w:line="240" w:lineRule="auto"/>
      </w:pPr>
      <w:r>
        <w:rPr>
          <w:rFonts w:ascii="Consolas" w:hAnsi="Consolas"/>
          <w:sz w:val="14"/>
        </w:rPr>
        <w:t>| `11_Validacion/` | protocolo, datos, análisis y expedientes de validación | T3 | criterios y compuerta pendientes de ratificación |</w:t>
      </w:r>
    </w:p>
    <w:p>
      <w:pPr>
        <w:spacing w:after="20" w:line="240" w:lineRule="auto"/>
      </w:pPr>
      <w:r>
        <w:rPr>
          <w:rFonts w:ascii="Consolas" w:hAnsi="Consolas"/>
          <w:sz w:val="14"/>
        </w:rPr>
        <w:t>| `12_Tesis/` | producto académico derivado | derivado | nunca es fuente primaria de reglas GOEI |</w:t>
      </w:r>
    </w:p>
    <w:p>
      <w:pPr>
        <w:spacing w:after="20" w:line="240" w:lineRule="auto"/>
      </w:pPr>
      <w:r>
        <w:rPr>
          <w:rFonts w:ascii="Consolas" w:hAnsi="Consolas"/>
          <w:sz w:val="14"/>
        </w:rPr>
        <w:t>| `13_Publicaciones/` | artículos y comunicaciones derivados | derivado | deben citar versión y alcance del estándar |</w:t>
      </w:r>
    </w:p>
    <w:p>
      <w:pPr>
        <w:spacing w:after="20" w:line="240" w:lineRule="auto"/>
      </w:pPr>
      <w:r>
        <w:rPr>
          <w:rFonts w:ascii="Consolas" w:hAnsi="Consolas"/>
          <w:sz w:val="14"/>
        </w:rPr>
        <w:t>| `14_Conformidad/` | evaluación, auditoría, competencia y certificación | K1–K4 | alcance institucional pendiente de decisión |</w:t>
      </w:r>
    </w:p>
    <w:p>
      <w:pPr>
        <w:spacing w:after="20" w:line="240" w:lineRule="auto"/>
      </w:pPr>
      <w:r>
        <w:rPr>
          <w:rFonts w:ascii="Consolas" w:hAnsi="Consolas"/>
          <w:sz w:val="14"/>
        </w:rPr>
        <w:t>| `15_Mantenimiento/` | versiones, cambios, compatibilidad y vigilancia | T4 | política provisional hasta gobernanza aprobada |</w:t>
      </w:r>
    </w:p>
    <w:p>
      <w:pPr>
        <w:spacing w:after="20" w:line="240" w:lineRule="auto"/>
      </w:pPr>
      <w:r>
        <w:rPr>
          <w:rFonts w:ascii="Consolas" w:hAnsi="Consolas"/>
          <w:sz w:val="14"/>
        </w:rPr>
        <w:t>| `_Plantillas/` | esqueletos reutilizables no normativos | transversal | las plantillas no conceden aprobación al contenido |</w:t>
      </w:r>
    </w:p>
    <w:p>
      <w:pPr>
        <w:spacing w:after="40"/>
      </w:pPr>
    </w:p>
    <w:p>
      <w:pPr>
        <w:pStyle w:val="Heading3"/>
      </w:pPr>
      <w:r>
        <w:t>5. Unidad documental mínima</w:t>
      </w:r>
    </w:p>
    <w:p>
      <w:pPr>
        <w:spacing w:after="40"/>
      </w:pPr>
    </w:p>
    <w:p>
      <w:r>
        <w:t>Todo componente controlado debe contener, como mínimo:</w:t>
      </w:r>
    </w:p>
    <w:p>
      <w:pPr>
        <w:spacing w:after="40"/>
      </w:pPr>
    </w:p>
    <w:p>
      <w:pPr>
        <w:spacing w:after="20" w:line="240" w:lineRule="auto"/>
      </w:pPr>
      <w:r>
        <w:rPr>
          <w:rFonts w:ascii="Consolas" w:hAnsi="Consolas"/>
          <w:sz w:val="14"/>
        </w:rPr>
        <w:t>| Campo | Propósito |</w:t>
      </w:r>
    </w:p>
    <w:p>
      <w:pPr>
        <w:spacing w:after="20" w:line="240" w:lineRule="auto"/>
      </w:pPr>
      <w:r>
        <w:rPr>
          <w:rFonts w:ascii="Consolas" w:hAnsi="Consolas"/>
          <w:sz w:val="14"/>
        </w:rPr>
        <w:t>|---|---|</w:t>
      </w:r>
    </w:p>
    <w:p>
      <w:pPr>
        <w:spacing w:after="20" w:line="240" w:lineRule="auto"/>
      </w:pPr>
      <w:r>
        <w:rPr>
          <w:rFonts w:ascii="Consolas" w:hAnsi="Consolas"/>
          <w:sz w:val="14"/>
        </w:rPr>
        <w:t>| Identificador persistente | localizarlo sin depender del nombre del archivo |</w:t>
      </w:r>
    </w:p>
    <w:p>
      <w:pPr>
        <w:spacing w:after="20" w:line="240" w:lineRule="auto"/>
      </w:pPr>
      <w:r>
        <w:rPr>
          <w:rFonts w:ascii="Consolas" w:hAnsi="Consolas"/>
          <w:sz w:val="14"/>
        </w:rPr>
        <w:t>| Tipo documental | distinguir decisión, especificación, registro, evidencia o guía |</w:t>
      </w:r>
    </w:p>
    <w:p>
      <w:pPr>
        <w:spacing w:after="20" w:line="240" w:lineRule="auto"/>
      </w:pPr>
      <w:r>
        <w:rPr>
          <w:rFonts w:ascii="Consolas" w:hAnsi="Consolas"/>
          <w:sz w:val="14"/>
        </w:rPr>
        <w:t>| Estado | impedir que un borrador se use como regla vigente |</w:t>
      </w:r>
    </w:p>
    <w:p>
      <w:pPr>
        <w:spacing w:after="20" w:line="240" w:lineRule="auto"/>
      </w:pPr>
      <w:r>
        <w:rPr>
          <w:rFonts w:ascii="Consolas" w:hAnsi="Consolas"/>
          <w:sz w:val="14"/>
        </w:rPr>
        <w:t>| Naturaleza | indicar si es normativo, informativo o no determinado |</w:t>
      </w:r>
    </w:p>
    <w:p>
      <w:pPr>
        <w:spacing w:after="20" w:line="240" w:lineRule="auto"/>
      </w:pPr>
      <w:r>
        <w:rPr>
          <w:rFonts w:ascii="Consolas" w:hAnsi="Consolas"/>
          <w:sz w:val="14"/>
        </w:rPr>
        <w:t>| Versión documental | controlar cambios del propio artefacto |</w:t>
      </w:r>
    </w:p>
    <w:p>
      <w:pPr>
        <w:spacing w:after="20" w:line="240" w:lineRule="auto"/>
      </w:pPr>
      <w:r>
        <w:rPr>
          <w:rFonts w:ascii="Consolas" w:hAnsi="Consolas"/>
          <w:sz w:val="14"/>
        </w:rPr>
        <w:t>| Decisión de origen | demostrar autoridad científica |</w:t>
      </w:r>
    </w:p>
    <w:p>
      <w:pPr>
        <w:spacing w:after="20" w:line="240" w:lineRule="auto"/>
      </w:pPr>
      <w:r>
        <w:rPr>
          <w:rFonts w:ascii="Consolas" w:hAnsi="Consolas"/>
          <w:sz w:val="14"/>
        </w:rPr>
        <w:t>| Evidencia | enlazar el respaldo aceptado por la decisión |</w:t>
      </w:r>
    </w:p>
    <w:p>
      <w:pPr>
        <w:spacing w:after="20" w:line="240" w:lineRule="auto"/>
      </w:pPr>
      <w:r>
        <w:rPr>
          <w:rFonts w:ascii="Consolas" w:hAnsi="Consolas"/>
          <w:sz w:val="14"/>
        </w:rPr>
        <w:t>| Versión GOEI de incorporación | precisar vigencia dentro del estándar |</w:t>
      </w:r>
    </w:p>
    <w:p>
      <w:pPr>
        <w:spacing w:after="20" w:line="240" w:lineRule="auto"/>
      </w:pPr>
      <w:r>
        <w:rPr>
          <w:rFonts w:ascii="Consolas" w:hAnsi="Consolas"/>
          <w:sz w:val="14"/>
        </w:rPr>
        <w:t>| Dependencias | declarar qué necesita para ser válido |</w:t>
      </w:r>
    </w:p>
    <w:p>
      <w:pPr>
        <w:spacing w:after="20" w:line="240" w:lineRule="auto"/>
      </w:pPr>
      <w:r>
        <w:rPr>
          <w:rFonts w:ascii="Consolas" w:hAnsi="Consolas"/>
          <w:sz w:val="14"/>
        </w:rPr>
        <w:t>| Dependientes | permitir análisis de impacto |</w:t>
      </w:r>
    </w:p>
    <w:p>
      <w:pPr>
        <w:spacing w:after="20" w:line="240" w:lineRule="auto"/>
      </w:pPr>
      <w:r>
        <w:rPr>
          <w:rFonts w:ascii="Consolas" w:hAnsi="Consolas"/>
          <w:sz w:val="14"/>
        </w:rPr>
        <w:t>| Responsable y aprobador | separar redacción técnica de aprobación científica |</w:t>
      </w:r>
    </w:p>
    <w:p>
      <w:pPr>
        <w:spacing w:after="20" w:line="240" w:lineRule="auto"/>
      </w:pPr>
      <w:r>
        <w:rPr>
          <w:rFonts w:ascii="Consolas" w:hAnsi="Consolas"/>
          <w:sz w:val="14"/>
        </w:rPr>
        <w:t>| Historial de cambios | conservar la evolución |</w:t>
      </w:r>
    </w:p>
    <w:p>
      <w:pPr>
        <w:spacing w:after="40"/>
      </w:pPr>
    </w:p>
    <w:p>
      <w:r>
        <w:t>Los campos vacíos se expresan como PENDIENTE — bloquea promoción; nunca se completan por inferencia.</w:t>
      </w:r>
    </w:p>
    <w:p>
      <w:pPr>
        <w:spacing w:after="40"/>
      </w:pPr>
    </w:p>
    <w:p>
      <w:pPr>
        <w:pStyle w:val="Heading3"/>
      </w:pPr>
      <w:r>
        <w:t>6. Identificadores</w:t>
      </w:r>
    </w:p>
    <w:p>
      <w:pPr>
        <w:spacing w:after="40"/>
      </w:pPr>
    </w:p>
    <w:p>
      <w:r>
        <w:t>Esquema técnico provisional:</w:t>
      </w:r>
    </w:p>
    <w:p>
      <w:pPr>
        <w:spacing w:after="40"/>
      </w:pPr>
    </w:p>
    <w:p>
      <w:r>
        <w:t>GOEI-{CLASE}-{NNN}</w:t>
      </w:r>
    </w:p>
    <w:p>
      <w:pPr>
        <w:spacing w:after="40"/>
      </w:pPr>
    </w:p>
    <w:p>
      <w:r>
        <w:t>Clases iniciales de gestión documental: DEC (decisión), ARCH (arquitectura), REQ (requisito), CMP (componente), SRC (fuente), VAL (validación), FRM (formulario), CHG (cambio) y ISS (pregunta/bloqueo).</w:t>
      </w:r>
    </w:p>
    <w:p>
      <w:pPr>
        <w:spacing w:after="40"/>
      </w:pPr>
    </w:p>
    <w:p>
      <w:r>
        <w:t>Este esquema identifica artefactos, no define entidades científicas del GOEI. Los identificadores no se reutilizan después de retirar un artefacto.</w:t>
      </w:r>
    </w:p>
    <w:p>
      <w:pPr>
        <w:spacing w:after="40"/>
      </w:pPr>
    </w:p>
    <w:p>
      <w:pPr>
        <w:pStyle w:val="Heading3"/>
      </w:pPr>
      <w:r>
        <w:t>7. Estados y compuertas</w:t>
      </w:r>
    </w:p>
    <w:p>
      <w:pPr>
        <w:spacing w:after="40"/>
      </w:pPr>
    </w:p>
    <w:p>
      <w:pPr>
        <w:pStyle w:val="Heading4"/>
      </w:pPr>
      <w:r>
        <w:t>7.1 Estados documentales</w:t>
      </w:r>
    </w:p>
    <w:p>
      <w:pPr>
        <w:spacing w:after="40"/>
      </w:pPr>
    </w:p>
    <w:p>
      <w:r>
        <w:t>Borrador → En revisión técnica → En revisión científica → Aprobado → Vigente → Sustituido → Retirado</w:t>
      </w:r>
    </w:p>
    <w:p>
      <w:pPr>
        <w:spacing w:after="40"/>
      </w:pPr>
    </w:p>
    <w:p>
      <w:r>
        <w:t>También puede usarse Bloqueado, acompañado siempre por el identificador de la decisión faltante. Aprobado indica aceptación por la autoridad competente; Vigente exige además una versión GOEI de incorporación.</w:t>
      </w:r>
    </w:p>
    <w:p>
      <w:pPr>
        <w:spacing w:after="40"/>
      </w:pPr>
    </w:p>
    <w:p>
      <w:pPr>
        <w:pStyle w:val="Heading4"/>
      </w:pPr>
      <w:r>
        <w:t>7.2 Compuerta de promoción</w:t>
      </w:r>
    </w:p>
    <w:p>
      <w:pPr>
        <w:spacing w:after="40"/>
      </w:pPr>
    </w:p>
    <w:p>
      <w:r>
        <w:t>Un componente solo puede pasar a Aprobado si todos estos controles son verdaderos:</w:t>
      </w:r>
    </w:p>
    <w:p>
      <w:pPr>
        <w:spacing w:after="40"/>
      </w:pPr>
    </w:p>
    <w:p>
      <w:pPr>
        <w:pStyle w:val="ListBullet"/>
      </w:pPr>
      <w:r>
        <w:t>decisión de origen existente y con estatus inequívocamente aprobado;</w:t>
      </w:r>
    </w:p>
    <w:p>
      <w:pPr>
        <w:pStyle w:val="ListBullet"/>
      </w:pPr>
      <w:r>
        <w:t>evidencia enlazada desde el expediente de decisión;</w:t>
      </w:r>
    </w:p>
    <w:p>
      <w:pPr>
        <w:pStyle w:val="ListBullet"/>
      </w:pPr>
      <w:r>
        <w:t>contenido técnico conforme a esa decisión, sin ampliaciones;</w:t>
      </w:r>
    </w:p>
    <w:p>
      <w:pPr>
        <w:pStyle w:val="ListBullet"/>
      </w:pPr>
      <w:r>
        <w:t>impactos y dependencias revisados;</w:t>
      </w:r>
    </w:p>
    <w:p>
      <w:pPr>
        <w:pStyle w:val="ListBullet"/>
      </w:pPr>
      <w:r>
        <w:t>naturaleza normativa/informativa definida por autoridad competente;</w:t>
      </w:r>
    </w:p>
    <w:p>
      <w:pPr>
        <w:pStyle w:val="ListBullet"/>
      </w:pPr>
      <w:r>
        <w:t>aprobación registrada con fecha y responsable.</w:t>
      </w:r>
    </w:p>
    <w:p>
      <w:pPr>
        <w:spacing w:after="40"/>
      </w:pPr>
    </w:p>
    <w:p>
      <w:r>
        <w:t>Solo puede pasar a Vigente si, además, tiene versión GOEI de incorporación y sus prerrequisitos están vigentes.</w:t>
      </w:r>
    </w:p>
    <w:p>
      <w:pPr>
        <w:spacing w:after="40"/>
      </w:pPr>
    </w:p>
    <w:p>
      <w:pPr>
        <w:pStyle w:val="Heading3"/>
      </w:pPr>
      <w:r>
        <w:t>8. Trazabilidad</w:t>
      </w:r>
    </w:p>
    <w:p>
      <w:pPr>
        <w:spacing w:after="40"/>
      </w:pPr>
    </w:p>
    <w:p>
      <w:r>
        <w:t>La cadena mínima es:</w:t>
      </w:r>
    </w:p>
    <w:p>
      <w:pPr>
        <w:spacing w:after="40"/>
      </w:pPr>
    </w:p>
    <w:p>
      <w:r>
        <w:t>Fuente → Decisión → Componente → Documento → Versión GOEI</w:t>
      </w:r>
    </w:p>
    <w:p>
      <w:pPr>
        <w:spacing w:after="40"/>
      </w:pPr>
    </w:p>
    <w:p>
      <w:r>
        <w:t>Para elementos medibles o reglas futuras se extiende a:</w:t>
      </w:r>
    </w:p>
    <w:p>
      <w:pPr>
        <w:spacing w:after="40"/>
      </w:pPr>
    </w:p>
    <w:p>
      <w:r>
        <w:t>Fuente → Decisión → Definición type → Instrumento → Dato token → Resultado → Evidencia de auditoría</w:t>
      </w:r>
    </w:p>
    <w:p>
      <w:pPr>
        <w:spacing w:after="40"/>
      </w:pPr>
    </w:p>
    <w:p>
      <w:r>
        <w:t>La matriz maestra está en Matriz_de_trazabilidad.md; el inventario de componentes está en Registro_de_componentes.md. Los documentos narrativos no sustituyen estos registros.</w:t>
      </w:r>
    </w:p>
    <w:p>
      <w:pPr>
        <w:spacing w:after="40"/>
      </w:pPr>
    </w:p>
    <w:p>
      <w:pPr>
        <w:pStyle w:val="Heading3"/>
      </w:pPr>
      <w:r>
        <w:t>9. Reglas de dependencia</w:t>
      </w:r>
    </w:p>
    <w:p>
      <w:pPr>
        <w:spacing w:after="40"/>
      </w:pPr>
    </w:p>
    <w:p>
      <w:pPr>
        <w:pStyle w:val="ListNumber"/>
      </w:pPr>
      <w:r>
        <w:t>Ningún documento del núcleo puede depender normativamente de la tesis o de una publicación derivada.</w:t>
      </w:r>
    </w:p>
    <w:p>
      <w:pPr>
        <w:pStyle w:val="ListNumber"/>
      </w:pPr>
      <w:r>
        <w:t>Un manual puede depender de una especificación; una especificación no puede depender de un manual para completar un requisito.</w:t>
      </w:r>
    </w:p>
    <w:p>
      <w:pPr>
        <w:pStyle w:val="ListNumber"/>
      </w:pPr>
      <w:r>
        <w:t>Los datos piloto no se convierten en umbrales, ponderaciones o reglas sin una decisión científica explícita.</w:t>
      </w:r>
    </w:p>
    <w:p>
      <w:pPr>
        <w:pStyle w:val="ListNumber"/>
      </w:pPr>
      <w:r>
        <w:t>Una decisión sustituida conserva su identificador y enlaza a la decisión sucesora.</w:t>
      </w:r>
    </w:p>
    <w:p>
      <w:pPr>
        <w:pStyle w:val="ListNumber"/>
      </w:pPr>
      <w:r>
        <w:t>Un cambio en una decisión obliga a revisar todos los dependientes registrados antes de publicar una nueva versión.</w:t>
      </w:r>
    </w:p>
    <w:p>
      <w:pPr>
        <w:pStyle w:val="ListNumber"/>
      </w:pPr>
      <w:r>
        <w:t>Resultados producidos por versiones distintas no se declaran comparables sin un mapa de compatibilidad aprobado.</w:t>
      </w:r>
    </w:p>
    <w:p>
      <w:pPr>
        <w:spacing w:after="40"/>
      </w:pPr>
    </w:p>
    <w:p>
      <w:pPr>
        <w:pStyle w:val="Heading3"/>
      </w:pPr>
      <w:r>
        <w:t>10. Versionado y líneas base</w:t>
      </w:r>
    </w:p>
    <w:p>
      <w:pPr>
        <w:spacing w:after="40"/>
      </w:pPr>
    </w:p>
    <w:p>
      <w:r>
        <w:t>Se distinguen tres versiones:</w:t>
      </w:r>
    </w:p>
    <w:p>
      <w:pPr>
        <w:spacing w:after="40"/>
      </w:pPr>
    </w:p>
    <w:p>
      <w:pPr>
        <w:pStyle w:val="ListBullet"/>
      </w:pPr>
      <w:r>
        <w:t>versión documental: evolución editorial o técnica de un archivo;</w:t>
      </w:r>
    </w:p>
    <w:p>
      <w:pPr>
        <w:pStyle w:val="ListBullet"/>
      </w:pPr>
      <w:r>
        <w:t>versión de componente: evolución semántica del elemento controlado;</w:t>
      </w:r>
    </w:p>
    <w:p>
      <w:pPr>
        <w:pStyle w:val="ListBullet"/>
      </w:pPr>
      <w:r>
        <w:t>versión GOEI: línea base integrada del estándar.</w:t>
      </w:r>
    </w:p>
    <w:p>
      <w:pPr>
        <w:spacing w:after="40"/>
      </w:pPr>
    </w:p>
    <w:p>
      <w:r>
        <w:t>El detalle operativo está en Politica_de_versionado.md. Hasta que exista una decisión de gobernanza, toda numeración es de borrador y no representa una publicación oficial.</w:t>
      </w:r>
    </w:p>
    <w:p>
      <w:pPr>
        <w:spacing w:after="40"/>
      </w:pPr>
    </w:p>
    <w:p>
      <w:pPr>
        <w:pStyle w:val="Heading3"/>
      </w:pPr>
      <w:r>
        <w:t>11. Arquitectura de publicación futura</w:t>
      </w:r>
    </w:p>
    <w:p>
      <w:pPr>
        <w:spacing w:after="40"/>
      </w:pPr>
    </w:p>
    <w:p>
      <w:r>
        <w:t>Cuando las decisiones habilitantes existan, una línea base del estándar debería generarse a partir de componentes controlados y contener, sin duplicar autoridad:</w:t>
      </w:r>
    </w:p>
    <w:p>
      <w:pPr>
        <w:spacing w:after="40"/>
      </w:pPr>
    </w:p>
    <w:p>
      <w:pPr>
        <w:pStyle w:val="ListNumber"/>
      </w:pPr>
      <w:r>
        <w:t>portada, estado, alcance y versión;</w:t>
      </w:r>
    </w:p>
    <w:p>
      <w:pPr>
        <w:pStyle w:val="ListNumber"/>
      </w:pPr>
      <w:r>
        <w:t>referencias normativas;</w:t>
      </w:r>
    </w:p>
    <w:p>
      <w:pPr>
        <w:pStyle w:val="ListNumber"/>
      </w:pPr>
      <w:r>
        <w:t>términos y definiciones;</w:t>
      </w:r>
    </w:p>
    <w:p>
      <w:pPr>
        <w:pStyle w:val="ListNumber"/>
      </w:pPr>
      <w:r>
        <w:t>modelo conceptual;</w:t>
      </w:r>
    </w:p>
    <w:p>
      <w:pPr>
        <w:pStyle w:val="ListNumber"/>
      </w:pPr>
      <w:r>
        <w:t>estructura del dominio;</w:t>
      </w:r>
    </w:p>
    <w:p>
      <w:pPr>
        <w:pStyle w:val="ListNumber"/>
      </w:pPr>
      <w:r>
        <w:t>sistema de medición;</w:t>
      </w:r>
    </w:p>
    <w:p>
      <w:pPr>
        <w:pStyle w:val="ListNumber"/>
      </w:pPr>
      <w:r>
        <w:t>reglas de cálculo y decisión;</w:t>
      </w:r>
    </w:p>
    <w:p>
      <w:pPr>
        <w:pStyle w:val="ListNumber"/>
      </w:pPr>
      <w:r>
        <w:t>interpretación y límites de uso;</w:t>
      </w:r>
    </w:p>
    <w:p>
      <w:pPr>
        <w:pStyle w:val="ListNumber"/>
      </w:pPr>
      <w:r>
        <w:t>anexos de aplicación;</w:t>
      </w:r>
    </w:p>
    <w:p>
      <w:pPr>
        <w:pStyle w:val="ListNumber"/>
      </w:pPr>
      <w:r>
        <w:t>declaración de validación y trazabilidad.</w:t>
      </w:r>
    </w:p>
    <w:p>
      <w:pPr>
        <w:spacing w:after="40"/>
      </w:pPr>
    </w:p>
    <w:p>
      <w:r>
        <w:t>La lista es una arquitectura editorial derivada de D-005, no la aceptación de contenido ni de la naturaleza normativa de cada sección.</w:t>
      </w:r>
    </w:p>
    <w:p>
      <w:pPr>
        <w:spacing w:after="40"/>
      </w:pPr>
    </w:p>
    <w:p>
      <w:pPr>
        <w:pStyle w:val="Heading3"/>
      </w:pPr>
      <w:r>
        <w:t>12. Decisiones faltantes que bloquean la oficialización</w:t>
      </w:r>
    </w:p>
    <w:p>
      <w:pPr>
        <w:spacing w:after="40"/>
      </w:pPr>
    </w:p>
    <w:p>
      <w:pPr>
        <w:spacing w:after="20" w:line="240" w:lineRule="auto"/>
      </w:pPr>
      <w:r>
        <w:rPr>
          <w:rFonts w:ascii="Consolas" w:hAnsi="Consolas"/>
          <w:sz w:val="14"/>
        </w:rPr>
        <w:t>| Bloqueo | Decisión exacta requerida | Impacto |</w:t>
      </w:r>
    </w:p>
    <w:p>
      <w:pPr>
        <w:spacing w:after="20" w:line="240" w:lineRule="auto"/>
      </w:pPr>
      <w:r>
        <w:rPr>
          <w:rFonts w:ascii="Consolas" w:hAnsi="Consolas"/>
          <w:sz w:val="14"/>
        </w:rPr>
        <w:t>|---|---|---|</w:t>
      </w:r>
    </w:p>
    <w:p>
      <w:pPr>
        <w:spacing w:after="20" w:line="240" w:lineRule="auto"/>
      </w:pPr>
      <w:r>
        <w:rPr>
          <w:rFonts w:ascii="Consolas" w:hAnsi="Consolas"/>
          <w:sz w:val="14"/>
        </w:rPr>
        <w:t>| GOEI-ISS-001 | Ratificar o rechazar la arquitectura por eje N0–N9, planos T1–T4 y esquema K1–K4 de D-005 | toda la estructura oficial |</w:t>
      </w:r>
    </w:p>
    <w:p>
      <w:pPr>
        <w:spacing w:after="20" w:line="240" w:lineRule="auto"/>
      </w:pPr>
      <w:r>
        <w:rPr>
          <w:rFonts w:ascii="Consolas" w:hAnsi="Consolas"/>
          <w:sz w:val="14"/>
        </w:rPr>
        <w:t>| GOEI-ISS-002 | Definir si T3 es compuerta obligatoria y cuáles son sus criterios de salida | publicación de versiones |</w:t>
      </w:r>
    </w:p>
    <w:p>
      <w:pPr>
        <w:spacing w:after="20" w:line="240" w:lineRule="auto"/>
      </w:pPr>
      <w:r>
        <w:rPr>
          <w:rFonts w:ascii="Consolas" w:hAnsi="Consolas"/>
          <w:sz w:val="14"/>
        </w:rPr>
        <w:t>| GOEI-ISS-003 | Definir propietario, órganos, roles y autoridad de aprobación | gobernanza y vigencia |</w:t>
      </w:r>
    </w:p>
    <w:p>
      <w:pPr>
        <w:spacing w:after="20" w:line="240" w:lineRule="auto"/>
      </w:pPr>
      <w:r>
        <w:rPr>
          <w:rFonts w:ascii="Consolas" w:hAnsi="Consolas"/>
          <w:sz w:val="14"/>
        </w:rPr>
        <w:t>| GOEI-ISS-004 | Definir autoevaluación, evaluación de terceros o certificación | alcance de `14_Conformidad` |</w:t>
      </w:r>
    </w:p>
    <w:p>
      <w:pPr>
        <w:spacing w:after="20" w:line="240" w:lineRule="auto"/>
      </w:pPr>
      <w:r>
        <w:rPr>
          <w:rFonts w:ascii="Consolas" w:hAnsi="Consolas"/>
          <w:sz w:val="14"/>
        </w:rPr>
        <w:t>| GOEI-ISS-005 | Aprobar la clasificación normativa/informativa por familia documental | lenguaje de requisitos |</w:t>
      </w:r>
    </w:p>
    <w:p>
      <w:pPr>
        <w:spacing w:after="20" w:line="240" w:lineRule="auto"/>
      </w:pPr>
      <w:r>
        <w:rPr>
          <w:rFonts w:ascii="Consolas" w:hAnsi="Consolas"/>
          <w:sz w:val="14"/>
        </w:rPr>
        <w:t>| GOEI-ISS-006 | Ratificar CO-1 y los compromisos aplicables de D-006 | ontología y terminología |</w:t>
      </w:r>
    </w:p>
    <w:p>
      <w:pPr>
        <w:spacing w:after="20" w:line="240" w:lineRule="auto"/>
      </w:pPr>
      <w:r>
        <w:rPr>
          <w:rFonts w:ascii="Consolas" w:hAnsi="Consolas"/>
          <w:sz w:val="14"/>
        </w:rPr>
        <w:t>| GOEI-ISS-007 | Fijar nombre oficial del constructo | glosario, portada y modelo conceptual |</w:t>
      </w:r>
    </w:p>
    <w:p>
      <w:pPr>
        <w:spacing w:after="20" w:line="240" w:lineRule="auto"/>
      </w:pPr>
      <w:r>
        <w:rPr>
          <w:rFonts w:ascii="Consolas" w:hAnsi="Consolas"/>
          <w:sz w:val="14"/>
        </w:rPr>
        <w:t>| GOEI-ISS-008 | Fijar unidad de análisis y tratamiento de cadenas, franquicias, cocinas oscuras y multimarca | taxonomía y comparabilidad |</w:t>
      </w:r>
    </w:p>
    <w:p>
      <w:pPr>
        <w:spacing w:after="20" w:line="240" w:lineRule="auto"/>
      </w:pPr>
      <w:r>
        <w:rPr>
          <w:rFonts w:ascii="Consolas" w:hAnsi="Consolas"/>
          <w:sz w:val="14"/>
        </w:rPr>
        <w:t>| GOEI-ISS-009 | Definir el tratamiento del periodo de evaluación | captura y comparabilidad temporal |</w:t>
      </w:r>
    </w:p>
    <w:p>
      <w:pPr>
        <w:spacing w:after="20" w:line="240" w:lineRule="auto"/>
      </w:pPr>
      <w:r>
        <w:rPr>
          <w:rFonts w:ascii="Consolas" w:hAnsi="Consolas"/>
          <w:sz w:val="14"/>
        </w:rPr>
        <w:t>| GOEI-ISS-010 | Definir alcance global o por categoría de referencias y ponderaciones | modelo de datos y cálculo |</w:t>
      </w:r>
    </w:p>
    <w:p>
      <w:pPr>
        <w:spacing w:after="40"/>
      </w:pPr>
    </w:p>
    <w:p>
      <w:r>
        <w:t>Hasta resolver GOEI-ISS-001, este documento constituye una propuesta técnica controlada y reversible.</w:t>
      </w:r>
    </w:p>
    <w:p>
      <w:r>
        <w:br w:type="page"/>
      </w:r>
    </w:p>
    <w:p>
      <w:pPr>
        <w:pStyle w:val="Heading1"/>
        <w:keepNext/>
      </w:pPr>
      <w:r>
        <w:t>Fuente 7: 00_Gobernanza/Convenciones_documentales.md</w:t>
      </w:r>
    </w:p>
    <w:p>
      <w:pPr>
        <w:spacing w:after="200"/>
      </w:pPr>
      <w:r>
        <w:rPr>
          <w:rFonts w:ascii="Consolas" w:hAnsi="Consolas"/>
          <w:color w:val="595959"/>
          <w:sz w:val="16"/>
        </w:rPr>
        <w:t>Ruta: 00_Gobernanza/Convenciones_documentales.md</w:t>
        <w:br/>
        <w:t>Tamaño: 1451 bytes</w:t>
        <w:br/>
        <w:t>SHA-256: e6ce425be2f017feaf38f68fdd9b629cafc04186993d31f4979d38d09b05238c</w:t>
      </w:r>
    </w:p>
    <w:p>
      <w:pPr>
        <w:pStyle w:val="Heading2"/>
      </w:pPr>
      <w:r>
        <w:t>Convenciones documentales GOEI</w:t>
      </w:r>
    </w:p>
    <w:p>
      <w:pPr>
        <w:spacing w:after="40"/>
      </w:pPr>
    </w:p>
    <w:p>
      <w:pPr>
        <w:pStyle w:val="Heading3"/>
      </w:pPr>
      <w:r>
        <w:t>Lenguaje de estado epistémico</w:t>
      </w:r>
    </w:p>
    <w:p>
      <w:pPr>
        <w:spacing w:after="40"/>
      </w:pPr>
    </w:p>
    <w:p>
      <w:r>
        <w:t>Todo contenido técnico relevante debe etiquetarse o redactarse de forma que se distinga:</w:t>
      </w:r>
    </w:p>
    <w:p>
      <w:pPr>
        <w:spacing w:after="40"/>
      </w:pPr>
    </w:p>
    <w:p>
      <w:pPr>
        <w:pStyle w:val="ListBullet"/>
      </w:pPr>
      <w:r>
        <w:t>Evidencia bibliográfica;</w:t>
      </w:r>
    </w:p>
    <w:p>
      <w:pPr>
        <w:pStyle w:val="ListBullet"/>
      </w:pPr>
      <w:r>
        <w:t>Norma o regulación;</w:t>
      </w:r>
    </w:p>
    <w:p>
      <w:pPr>
        <w:pStyle w:val="ListBullet"/>
      </w:pPr>
      <w:r>
        <w:t>Dato empírico;</w:t>
      </w:r>
    </w:p>
    <w:p>
      <w:pPr>
        <w:pStyle w:val="ListBullet"/>
      </w:pPr>
      <w:r>
        <w:t>Consenso de expertos;</w:t>
      </w:r>
    </w:p>
    <w:p>
      <w:pPr>
        <w:pStyle w:val="ListBullet"/>
      </w:pPr>
      <w:r>
        <w:t>Propuesta provisional;</w:t>
      </w:r>
    </w:p>
    <w:p>
      <w:pPr>
        <w:pStyle w:val="ListBullet"/>
      </w:pPr>
      <w:r>
        <w:t>Decisión aprobada.</w:t>
      </w:r>
    </w:p>
    <w:p>
      <w:pPr>
        <w:spacing w:after="40"/>
      </w:pPr>
    </w:p>
    <w:p>
      <w:r>
        <w:t>Una cita demuestra procedencia, no aprobación. Una propuesta del comité no se trata como decisión hasta que el registro oficial indique su aprobación sin ambigüedad.</w:t>
      </w:r>
    </w:p>
    <w:p>
      <w:pPr>
        <w:spacing w:after="40"/>
      </w:pPr>
    </w:p>
    <w:p>
      <w:pPr>
        <w:pStyle w:val="Heading3"/>
      </w:pPr>
      <w:r>
        <w:t>Lenguaje normativo</w:t>
      </w:r>
    </w:p>
    <w:p>
      <w:pPr>
        <w:spacing w:after="40"/>
      </w:pPr>
    </w:p>
    <w:p>
      <w:r>
        <w:t>debe, no debe y equivalentes solo se usan para requisitos aprobados y vigentes. Los borradores emplean se propone, podría o una etiqueta explícita de pendiente. La palabra “estándar” no implica por sí sola reconocimiento institucional o internacional.</w:t>
      </w:r>
    </w:p>
    <w:p>
      <w:pPr>
        <w:spacing w:after="40"/>
      </w:pPr>
    </w:p>
    <w:p>
      <w:pPr>
        <w:pStyle w:val="Heading3"/>
      </w:pPr>
      <w:r>
        <w:t>Nombres y rutas</w:t>
      </w:r>
    </w:p>
    <w:p>
      <w:pPr>
        <w:spacing w:after="40"/>
      </w:pPr>
    </w:p>
    <w:p>
      <w:pPr>
        <w:pStyle w:val="ListBullet"/>
      </w:pPr>
      <w:r>
        <w:t>un documento tiene una ruta canónica;</w:t>
      </w:r>
    </w:p>
    <w:p>
      <w:pPr>
        <w:pStyle w:val="ListBullet"/>
      </w:pPr>
      <w:r>
        <w:t>los enlaces internos usan rutas relativas;</w:t>
      </w:r>
    </w:p>
    <w:p>
      <w:pPr>
        <w:pStyle w:val="ListBullet"/>
      </w:pPr>
      <w:r>
        <w:t>los nombres pueden ser legibles, pero la identidad depende del ID persistente;</w:t>
      </w:r>
    </w:p>
    <w:p>
      <w:pPr>
        <w:pStyle w:val="ListBullet"/>
      </w:pPr>
      <w:r>
        <w:t>no se renombran artefactos controlados sin registrar redirección o sucesión;</w:t>
      </w:r>
    </w:p>
    <w:p>
      <w:pPr>
        <w:pStyle w:val="ListBullet"/>
      </w:pPr>
      <w:r>
        <w:t>las fuentes bibliográficas se identifican mediante metadatos verificables y, cuando exista, DOI, ISBN o identificador normativo.</w:t>
      </w:r>
    </w:p>
    <w:p>
      <w:pPr>
        <w:spacing w:after="40"/>
      </w:pPr>
    </w:p>
    <w:p>
      <w:pPr>
        <w:pStyle w:val="Heading3"/>
      </w:pPr>
      <w:r>
        <w:t>Encabezado obligatorio</w:t>
      </w:r>
    </w:p>
    <w:p>
      <w:pPr>
        <w:spacing w:after="40"/>
      </w:pPr>
    </w:p>
    <w:p>
      <w:r>
        <w:t>Todo documento controlado nuevo usa la plantilla /_Plantillas/Plantilla_documento_controlado.md. Los documentos heredados se registran primero; su adaptación de encabezados requiere revisión para no alterar contenido científico.</w:t>
      </w:r>
    </w:p>
    <w:p>
      <w:r>
        <w:br w:type="page"/>
      </w:r>
    </w:p>
    <w:p>
      <w:pPr>
        <w:pStyle w:val="Heading1"/>
        <w:keepNext/>
      </w:pPr>
      <w:r>
        <w:t>Fuente 8: 00_Gobernanza/coordinacion/auditorias/GOEI_AUDIT_0005_D017_Cierre_B2.md</w:t>
      </w:r>
    </w:p>
    <w:p>
      <w:pPr>
        <w:spacing w:after="200"/>
      </w:pPr>
      <w:r>
        <w:rPr>
          <w:rFonts w:ascii="Consolas" w:hAnsi="Consolas"/>
          <w:color w:val="595959"/>
          <w:sz w:val="16"/>
        </w:rPr>
        <w:t>Ruta: 00_Gobernanza/coordinacion/auditorias/GOEI_AUDIT_0005_D017_Cierre_B2.md</w:t>
        <w:br/>
        <w:t>Tamaño: 5137 bytes</w:t>
        <w:br/>
        <w:t>SHA-256: 2069f48edca4696300f2bf39c92f5c999522edf096254c933f300bcde545b5af</w:t>
      </w:r>
    </w:p>
    <w:p>
      <w:pPr>
        <w:pStyle w:val="Heading2"/>
      </w:pPr>
      <w:r>
        <w:t>Auditoría técnica GOEI-AUDIT-0005 — D-017 / cierre B2</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`GOEI-AUDIT-0005` |</w:t>
      </w:r>
    </w:p>
    <w:p>
      <w:pPr>
        <w:spacing w:after="20" w:line="240" w:lineRule="auto"/>
      </w:pPr>
      <w:r>
        <w:rPr>
          <w:rFonts w:ascii="Consolas" w:hAnsi="Consolas"/>
          <w:sz w:val="14"/>
        </w:rPr>
        <w:t>| Fecha | 2026-08-04 |</w:t>
      </w:r>
    </w:p>
    <w:p>
      <w:pPr>
        <w:spacing w:after="20" w:line="240" w:lineRule="auto"/>
      </w:pPr>
      <w:r>
        <w:rPr>
          <w:rFonts w:ascii="Consolas" w:hAnsi="Consolas"/>
          <w:sz w:val="14"/>
        </w:rPr>
        <w:t>| Resultado | **ACEPTABLE PARA DECISIÓN, CON PROMOCIÓN LIMITADA** |</w:t>
      </w:r>
    </w:p>
    <w:p>
      <w:pPr>
        <w:spacing w:after="20" w:line="240" w:lineRule="auto"/>
      </w:pPr>
      <w:r>
        <w:rPr>
          <w:rFonts w:ascii="Consolas" w:hAnsi="Consolas"/>
          <w:sz w:val="14"/>
        </w:rPr>
        <w:t>| Alcance | Suficiencia formal, consistencia arquitectónica y trazabilidad |</w:t>
      </w:r>
    </w:p>
    <w:p>
      <w:pPr>
        <w:spacing w:after="20" w:line="240" w:lineRule="auto"/>
      </w:pPr>
      <w:r>
        <w:rPr>
          <w:rFonts w:ascii="Consolas" w:hAnsi="Consolas"/>
          <w:sz w:val="14"/>
        </w:rPr>
        <w:t>| Exclusión | No evalúa literatura, validez científica ni suficiencia empírica |</w:t>
      </w:r>
    </w:p>
    <w:p>
      <w:pPr>
        <w:spacing w:after="20" w:line="240" w:lineRule="auto"/>
      </w:pPr>
      <w:r>
        <w:rPr>
          <w:rFonts w:ascii="Consolas" w:hAnsi="Consolas"/>
          <w:sz w:val="14"/>
        </w:rPr>
        <w:t>| Decisión auditada | D-017, aprobada por el Comité Científico |</w:t>
      </w:r>
    </w:p>
    <w:p>
      <w:pPr>
        <w:spacing w:after="40"/>
      </w:pPr>
    </w:p>
    <w:p>
      <w:pPr>
        <w:pStyle w:val="Heading3"/>
      </w:pPr>
      <w:r>
        <w:t>1. Dictamen técnico</w:t>
      </w:r>
    </w:p>
    <w:p>
      <w:pPr>
        <w:spacing w:after="40"/>
      </w:pPr>
    </w:p>
    <w:p>
      <w:r>
        <w:t>Los tres artefactos B2 identifican la pregunta, las alternativas, el método, la evidencia, la propuesta, las limitaciones, los casos límite, las dependencias y la recomendación de cierre. D-017 separa autoridad científica y ratificación directiva y consume correctamente GOEI-BSL-PROC-0001 v0.1.0, D-006 y GOEI-PMM-0001.</w:t>
      </w:r>
    </w:p>
    <w:p>
      <w:pPr>
        <w:spacing w:after="40"/>
      </w:pPr>
    </w:p>
    <w:p>
      <w:r>
        <w:t>El expediente es aceptable para decisión. La carencia de un inventario de checksums dentro del handoff se subsana mediante el manifiesto de baseline; la matriz elemento–evidencia–decisión se reconstruye sin inferencia en §3. No se requieren nuevas decisiones científicas para resolver esos defectos documentales.</w:t>
      </w:r>
    </w:p>
    <w:p>
      <w:pPr>
        <w:spacing w:after="40"/>
      </w:pPr>
    </w:p>
    <w:p>
      <w:pPr>
        <w:pStyle w:val="Heading3"/>
      </w:pPr>
      <w:r>
        <w:t>2. Controles contractuales</w:t>
      </w:r>
    </w:p>
    <w:p>
      <w:pPr>
        <w:spacing w:after="40"/>
      </w:pPr>
    </w:p>
    <w:p>
      <w:pPr>
        <w:spacing w:after="20" w:line="240" w:lineRule="auto"/>
      </w:pPr>
      <w:r>
        <w:rPr>
          <w:rFonts w:ascii="Consolas" w:hAnsi="Consolas"/>
          <w:sz w:val="14"/>
        </w:rPr>
        <w:t>| Control | Resultado | Evidencia / reserva |</w:t>
      </w:r>
    </w:p>
    <w:p>
      <w:pPr>
        <w:spacing w:after="20" w:line="240" w:lineRule="auto"/>
      </w:pPr>
      <w:r>
        <w:rPr>
          <w:rFonts w:ascii="Consolas" w:hAnsi="Consolas"/>
          <w:sz w:val="14"/>
        </w:rPr>
        <w:t>|---|---|---|</w:t>
      </w:r>
    </w:p>
    <w:p>
      <w:pPr>
        <w:spacing w:after="20" w:line="240" w:lineRule="auto"/>
      </w:pPr>
      <w:r>
        <w:rPr>
          <w:rFonts w:ascii="Consolas" w:hAnsi="Consolas"/>
          <w:sz w:val="14"/>
        </w:rPr>
        <w:t>| Identidad, fecha, autoridad y estado | Conforme | D-017 §§1–2 |</w:t>
      </w:r>
    </w:p>
    <w:p>
      <w:pPr>
        <w:spacing w:after="20" w:line="240" w:lineRule="auto"/>
      </w:pPr>
      <w:r>
        <w:rPr>
          <w:rFonts w:ascii="Consolas" w:hAnsi="Consolas"/>
          <w:sz w:val="14"/>
        </w:rPr>
        <w:t>| Pregunta, alcance y alternativas | Conforme | D-017 §§3–4 |</w:t>
      </w:r>
    </w:p>
    <w:p>
      <w:pPr>
        <w:spacing w:after="20" w:line="240" w:lineRule="auto"/>
      </w:pPr>
      <w:r>
        <w:rPr>
          <w:rFonts w:ascii="Consolas" w:hAnsi="Consolas"/>
          <w:sz w:val="14"/>
        </w:rPr>
        <w:t>| Método y evidencia identificable | Conforme | revisión B2 §§1–5; D-017 §5 |</w:t>
      </w:r>
    </w:p>
    <w:p>
      <w:pPr>
        <w:spacing w:after="20" w:line="240" w:lineRule="auto"/>
      </w:pPr>
      <w:r>
        <w:rPr>
          <w:rFonts w:ascii="Consolas" w:hAnsi="Consolas"/>
          <w:sz w:val="14"/>
        </w:rPr>
        <w:t>| Resultados separados de propuestas | Conforme con reserva | etiquetas explícitas; los valores permanecen candidatos |</w:t>
      </w:r>
    </w:p>
    <w:p>
      <w:pPr>
        <w:spacing w:after="20" w:line="240" w:lineRule="auto"/>
      </w:pPr>
      <w:r>
        <w:rPr>
          <w:rFonts w:ascii="Consolas" w:hAnsi="Consolas"/>
          <w:sz w:val="14"/>
        </w:rPr>
        <w:t>| Type/token | Conforme | Establecimiento = token; Categoría = tipo compuesto |</w:t>
      </w:r>
    </w:p>
    <w:p>
      <w:pPr>
        <w:spacing w:after="20" w:line="240" w:lineRule="auto"/>
      </w:pPr>
      <w:r>
        <w:rPr>
          <w:rFonts w:ascii="Consolas" w:hAnsi="Consolas"/>
          <w:sz w:val="14"/>
        </w:rPr>
        <w:t>| Relación con P1–P9 | Conforme | no modifica la baseline; mapea realizaciones P4–P6 |</w:t>
      </w:r>
    </w:p>
    <w:p>
      <w:pPr>
        <w:spacing w:after="20" w:line="240" w:lineRule="auto"/>
      </w:pPr>
      <w:r>
        <w:rPr>
          <w:rFonts w:ascii="Consolas" w:hAnsi="Consolas"/>
          <w:sz w:val="14"/>
        </w:rPr>
        <w:t>| Casos límite | Conforme como registro | no se promueven sus reglas candidatas |</w:t>
      </w:r>
    </w:p>
    <w:p>
      <w:pPr>
        <w:spacing w:after="20" w:line="240" w:lineRule="auto"/>
      </w:pPr>
      <w:r>
        <w:rPr>
          <w:rFonts w:ascii="Consolas" w:hAnsi="Consolas"/>
          <w:sz w:val="14"/>
        </w:rPr>
        <w:t>| Impacto y dependencias | Conforme | D-017 §§12–13 |</w:t>
      </w:r>
    </w:p>
    <w:p>
      <w:pPr>
        <w:spacing w:after="20" w:line="240" w:lineRule="auto"/>
      </w:pPr>
      <w:r>
        <w:rPr>
          <w:rFonts w:ascii="Consolas" w:hAnsi="Consolas"/>
          <w:sz w:val="14"/>
        </w:rPr>
        <w:t>| Identificadores | Conforme para estructura | FX-1…FX-3 estables; valores sin ID quedan excluidos |</w:t>
      </w:r>
    </w:p>
    <w:p>
      <w:pPr>
        <w:spacing w:after="20" w:line="240" w:lineRule="auto"/>
      </w:pPr>
      <w:r>
        <w:rPr>
          <w:rFonts w:ascii="Consolas" w:hAnsi="Consolas"/>
          <w:sz w:val="14"/>
        </w:rPr>
        <w:t>| Cardinalidades | Parcial | 1 valor por faceta e híbridos son candidatos; no se promueven |</w:t>
      </w:r>
    </w:p>
    <w:p>
      <w:pPr>
        <w:spacing w:after="20" w:line="240" w:lineRule="auto"/>
      </w:pPr>
      <w:r>
        <w:rPr>
          <w:rFonts w:ascii="Consolas" w:hAnsi="Consolas"/>
          <w:sz w:val="14"/>
        </w:rPr>
        <w:t>| Grafo y jerarquías | Conforme para alcance promovido | estructura facetada sin ciclos; D-006 no se modifica |</w:t>
      </w:r>
    </w:p>
    <w:p>
      <w:pPr>
        <w:spacing w:after="20" w:line="240" w:lineRule="auto"/>
      </w:pPr>
      <w:r>
        <w:rPr>
          <w:rFonts w:ascii="Consolas" w:hAnsi="Consolas"/>
          <w:sz w:val="14"/>
        </w:rPr>
        <w:t>| Papel/software | Representable | selección por IDs versionados; implementación diferida |</w:t>
      </w:r>
    </w:p>
    <w:p>
      <w:pPr>
        <w:spacing w:after="20" w:line="240" w:lineRule="auto"/>
      </w:pPr>
      <w:r>
        <w:rPr>
          <w:rFonts w:ascii="Consolas" w:hAnsi="Consolas"/>
          <w:sz w:val="14"/>
        </w:rPr>
        <w:t>| Checksums | Conforme por control compensatorio | manifiesto `GOEI-BSL-TAX-0001 v0.1.0` |</w:t>
      </w:r>
    </w:p>
    <w:p>
      <w:pPr>
        <w:spacing w:after="40"/>
      </w:pPr>
    </w:p>
    <w:p>
      <w:pPr>
        <w:pStyle w:val="Heading3"/>
      </w:pPr>
      <w:r>
        <w:t>3. Matriz elemento–evidencia–decisión–promoción</w:t>
      </w:r>
    </w:p>
    <w:p>
      <w:pPr>
        <w:spacing w:after="40"/>
      </w:pPr>
    </w:p>
    <w:p>
      <w:pPr>
        <w:spacing w:after="20" w:line="240" w:lineRule="auto"/>
      </w:pPr>
      <w:r>
        <w:rPr>
          <w:rFonts w:ascii="Consolas" w:hAnsi="Consolas"/>
          <w:sz w:val="14"/>
        </w:rPr>
        <w:t>| Elemento | Evidencia declarada | D-017 | Resultado técnico |</w:t>
      </w:r>
    </w:p>
    <w:p>
      <w:pPr>
        <w:spacing w:after="20" w:line="240" w:lineRule="auto"/>
      </w:pPr>
      <w:r>
        <w:rPr>
          <w:rFonts w:ascii="Consolas" w:hAnsi="Consolas"/>
          <w:sz w:val="14"/>
        </w:rPr>
        <w:t>|---|---|---|---|</w:t>
      </w:r>
    </w:p>
    <w:p>
      <w:pPr>
        <w:spacing w:after="20" w:line="240" w:lineRule="auto"/>
      </w:pPr>
      <w:r>
        <w:rPr>
          <w:rFonts w:ascii="Consolas" w:hAnsi="Consolas"/>
          <w:sz w:val="14"/>
        </w:rPr>
        <w:t>| Taxonomía operacional-analítica facetada | Broughton; Bailey; clasificaciones oficiales contrastadas | Adoptada | Promovible |</w:t>
      </w:r>
    </w:p>
    <w:p>
      <w:pPr>
        <w:spacing w:after="20" w:line="240" w:lineRule="auto"/>
      </w:pPr>
      <w:r>
        <w:rPr>
          <w:rFonts w:ascii="Consolas" w:hAnsi="Consolas"/>
          <w:sz w:val="14"/>
        </w:rPr>
        <w:t>| Unidad de clasificación Establecimiento | D-006; D-008 | Adoptada | Promovible; multiunidad excluida |</w:t>
      </w:r>
    </w:p>
    <w:p>
      <w:pPr>
        <w:spacing w:after="20" w:line="240" w:lineRule="auto"/>
      </w:pPr>
      <w:r>
        <w:rPr>
          <w:rFonts w:ascii="Consolas" w:hAnsi="Consolas"/>
          <w:sz w:val="14"/>
        </w:rPr>
        <w:t>| Categoría como combinación de facetas | metamodelo type/token | Adoptada | Promovible como regla estructural |</w:t>
      </w:r>
    </w:p>
    <w:p>
      <w:pPr>
        <w:spacing w:after="20" w:line="240" w:lineRule="auto"/>
      </w:pPr>
      <w:r>
        <w:rPr>
          <w:rFonts w:ascii="Consolas" w:hAnsi="Consolas"/>
          <w:sz w:val="14"/>
        </w:rPr>
        <w:t>| FX-1 Modalidad de servicio/entrega | revisión B2 | Eje indispensable | Promovible sin catálogo de valores |</w:t>
      </w:r>
    </w:p>
    <w:p>
      <w:pPr>
        <w:spacing w:after="20" w:line="240" w:lineRule="auto"/>
      </w:pPr>
      <w:r>
        <w:rPr>
          <w:rFonts w:ascii="Consolas" w:hAnsi="Consolas"/>
          <w:sz w:val="14"/>
        </w:rPr>
        <w:t>| FX-2 Sistema de producción | Spears &amp; Gregoire; ISS-014 | Eje indispensable | Promovible al ratificarse D-017 |</w:t>
      </w:r>
    </w:p>
    <w:p>
      <w:pPr>
        <w:spacing w:after="20" w:line="240" w:lineRule="auto"/>
      </w:pPr>
      <w:r>
        <w:rPr>
          <w:rFonts w:ascii="Consolas" w:hAnsi="Consolas"/>
          <w:sz w:val="14"/>
        </w:rPr>
        <w:t>| FX-3 Naturaleza económica | D-008 y revisión B2 | Eje indispensable | Promovible sin valores concretos |</w:t>
      </w:r>
    </w:p>
    <w:p>
      <w:pPr>
        <w:spacing w:after="20" w:line="240" w:lineRule="auto"/>
      </w:pPr>
      <w:r>
        <w:rPr>
          <w:rFonts w:ascii="Consolas" w:hAnsi="Consolas"/>
          <w:sz w:val="14"/>
        </w:rPr>
        <w:t>| Facetas opcionales FO-1…FO-4 | propuesta del Comité | Opcionales/modulares | No promovidas en v0.1.0 |</w:t>
      </w:r>
    </w:p>
    <w:p>
      <w:pPr>
        <w:spacing w:after="20" w:line="240" w:lineRule="auto"/>
      </w:pPr>
      <w:r>
        <w:rPr>
          <w:rFonts w:ascii="Consolas" w:hAnsi="Consolas"/>
          <w:sz w:val="14"/>
        </w:rPr>
        <w:t>| Valores enumerados | candidatos | No validados | Excluidos; Issue específico |</w:t>
      </w:r>
    </w:p>
    <w:p>
      <w:pPr>
        <w:spacing w:after="20" w:line="240" w:lineRule="auto"/>
      </w:pPr>
      <w:r>
        <w:rPr>
          <w:rFonts w:ascii="Consolas" w:hAnsi="Consolas"/>
          <w:sz w:val="14"/>
        </w:rPr>
        <w:t>| Casos híbridos y multi-marca | análisis/candidatos | No resueltos | Excluidos; `GOEI-ISS-008` |</w:t>
      </w:r>
    </w:p>
    <w:p>
      <w:pPr>
        <w:spacing w:after="20" w:line="240" w:lineRule="auto"/>
      </w:pPr>
      <w:r>
        <w:rPr>
          <w:rFonts w:ascii="Consolas" w:hAnsi="Consolas"/>
          <w:sz w:val="14"/>
        </w:rPr>
        <w:t>| Crosswalk ISIC/NACE/NAICS | propuesta de interoperabilidad | Candidato | Excluido de baseline |</w:t>
      </w:r>
    </w:p>
    <w:p>
      <w:pPr>
        <w:spacing w:after="40"/>
      </w:pPr>
    </w:p>
    <w:p>
      <w:pPr>
        <w:pStyle w:val="Heading3"/>
      </w:pPr>
      <w:r>
        <w:t>4. Compatibilidad arquitectónica</w:t>
      </w:r>
    </w:p>
    <w:p>
      <w:pPr>
        <w:spacing w:after="40"/>
      </w:pPr>
    </w:p>
    <w:p>
      <w:pPr>
        <w:pStyle w:val="ListBullet"/>
      </w:pPr>
      <w:r>
        <w:t>D-006: intacta. La baseline usa Establecimiento y Categoría ya referidos por el expediente; no incorpora entidades ontológicas nuevas.</w:t>
      </w:r>
    </w:p>
    <w:p>
      <w:pPr>
        <w:pStyle w:val="ListBullet"/>
      </w:pPr>
      <w:r>
        <w:t>Process Baseline: intacta. FX-1, FX-2 y FX-3 seleccionan o condicionan realizaciones; no redefinen P1–P9.</w:t>
      </w:r>
    </w:p>
    <w:p>
      <w:pPr>
        <w:pStyle w:val="ListBullet"/>
      </w:pPr>
      <w:r>
        <w:t>EPIC-002: compatible con la separación Proceso tipo / realización. No se añaden procesos gastronómicos al metamodelo.</w:t>
      </w:r>
    </w:p>
    <w:p>
      <w:pPr>
        <w:pStyle w:val="ListBullet"/>
      </w:pPr>
      <w:r>
        <w:t>Knowledge Graph: facetas y baseline se registran como componentes/artefactos normativos; valores y clasificaciones de establecimientos no se materializan.</w:t>
      </w:r>
    </w:p>
    <w:p>
      <w:pPr>
        <w:pStyle w:val="ListBullet"/>
      </w:pPr>
      <w:r>
        <w:t>Formularios y software: la estructura puede representarse por IDs de faceta y versiones, pero ningún selector de valores es normativo todavía.</w:t>
      </w:r>
    </w:p>
    <w:p>
      <w:pPr>
        <w:spacing w:after="40"/>
      </w:pPr>
    </w:p>
    <w:p>
      <w:pPr>
        <w:pStyle w:val="Heading3"/>
      </w:pPr>
      <w:r>
        <w:t>5. Bloqueos selectivos</w:t>
      </w:r>
    </w:p>
    <w:p>
      <w:pPr>
        <w:spacing w:after="40"/>
      </w:pPr>
    </w:p>
    <w:p>
      <w:pPr>
        <w:pStyle w:val="ListNumber"/>
      </w:pPr>
      <w:r>
        <w:t>GOEI-ISS-008: unidad en configuraciones multiunidad, multi-marca y flujos híbridos.</w:t>
      </w:r>
    </w:p>
    <w:p>
      <w:pPr>
        <w:pStyle w:val="ListNumber"/>
      </w:pPr>
      <w:r>
        <w:t>GOEI-ISS-054: catálogo controlado de valores, definiciones, cardinalidad multivaluada, casos canónicos y validación.</w:t>
      </w:r>
    </w:p>
    <w:p>
      <w:pPr>
        <w:pStyle w:val="ListNumber"/>
      </w:pPr>
      <w:r>
        <w:t>Facetas opcionales, crosswalks y ejemplos: material candidato fuera de baseline.</w:t>
      </w:r>
    </w:p>
    <w:p>
      <w:pPr>
        <w:pStyle w:val="ListNumber"/>
      </w:pPr>
      <w:r>
        <w:t>GOEI-ISS-015 y GOEI-ISS-043: conservan sus ramas y no bloquean el cierre nuclear B2.</w:t>
      </w:r>
    </w:p>
    <w:p>
      <w:pPr>
        <w:spacing w:after="40"/>
      </w:pPr>
    </w:p>
    <w:p>
      <w:pPr>
        <w:pStyle w:val="Heading3"/>
      </w:pPr>
      <w:r>
        <w:t>6. Conclusión</w:t>
      </w:r>
    </w:p>
    <w:p>
      <w:pPr>
        <w:spacing w:after="40"/>
      </w:pPr>
    </w:p>
    <w:p>
      <w:r>
        <w:t>La Oficina Técnica recomienda ratificar D-017 solo en su núcleo estructural, congelar GOEI-BSL-TAX-0001 v0.1.0, cerrar GOEI-ISS-014 por adopción de FX-2 y declarar B2 cerrada en su pregunta nuclear. B3 puede habilitarse sin utilizar valores taxonómicos concretos; toda rama que los requiera permanecerá no calculable/bloqueada hasta GOEI-ISS-054.</w:t>
      </w:r>
    </w:p>
    <w:p>
      <w:pPr>
        <w:spacing w:after="40"/>
      </w:pPr>
    </w:p>
    <w:p>
      <w:r>
        <w:br w:type="page"/>
      </w:r>
    </w:p>
    <w:p>
      <w:pPr>
        <w:pStyle w:val="Heading1"/>
        <w:keepNext/>
      </w:pPr>
      <w:r>
        <w:t>Fuente 9: 00_Gobernanza/coordinacion/auditorias/GOEI_AUDIT_0006_D018_Cierre_B3.md</w:t>
      </w:r>
    </w:p>
    <w:p>
      <w:pPr>
        <w:spacing w:after="200"/>
      </w:pPr>
      <w:r>
        <w:rPr>
          <w:rFonts w:ascii="Consolas" w:hAnsi="Consolas"/>
          <w:color w:val="595959"/>
          <w:sz w:val="16"/>
        </w:rPr>
        <w:t>Ruta: 00_Gobernanza/coordinacion/auditorias/GOEI_AUDIT_0006_D018_Cierre_B3.md</w:t>
        <w:br/>
        <w:t>Tamaño: 4948 bytes</w:t>
        <w:br/>
        <w:t>SHA-256: dcef0d8c2c9ac920e6bac7d39859f4900a597be270043aaf3caf216881b06dc3</w:t>
      </w:r>
    </w:p>
    <w:p>
      <w:pPr>
        <w:pStyle w:val="Heading2"/>
      </w:pPr>
      <w:r>
        <w:t>Auditoría técnica GOEI-AUDIT-0006 — D-018 / cierre B3</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`GOEI-AUDIT-0006` |</w:t>
      </w:r>
    </w:p>
    <w:p>
      <w:pPr>
        <w:spacing w:after="20" w:line="240" w:lineRule="auto"/>
      </w:pPr>
      <w:r>
        <w:rPr>
          <w:rFonts w:ascii="Consolas" w:hAnsi="Consolas"/>
          <w:sz w:val="14"/>
        </w:rPr>
        <w:t>| Fecha | 2026-08-04 |</w:t>
      </w:r>
    </w:p>
    <w:p>
      <w:pPr>
        <w:spacing w:after="20" w:line="240" w:lineRule="auto"/>
      </w:pPr>
      <w:r>
        <w:rPr>
          <w:rFonts w:ascii="Consolas" w:hAnsi="Consolas"/>
          <w:sz w:val="14"/>
        </w:rPr>
        <w:t>| Resultado | **ACEPTABLE PARA DECISIÓN, CON PROMOCIÓN LIMITADA** |</w:t>
      </w:r>
    </w:p>
    <w:p>
      <w:pPr>
        <w:spacing w:after="20" w:line="240" w:lineRule="auto"/>
      </w:pPr>
      <w:r>
        <w:rPr>
          <w:rFonts w:ascii="Consolas" w:hAnsi="Consolas"/>
          <w:sz w:val="14"/>
        </w:rPr>
        <w:t>| Alcance | Suficiencia formal, consistencia registral y trazabilidad del universo candidato B3 |</w:t>
      </w:r>
    </w:p>
    <w:p>
      <w:pPr>
        <w:spacing w:after="20" w:line="240" w:lineRule="auto"/>
      </w:pPr>
      <w:r>
        <w:rPr>
          <w:rFonts w:ascii="Consolas" w:hAnsi="Consolas"/>
          <w:sz w:val="14"/>
        </w:rPr>
        <w:t>| Exclusión | No evalúa literatura, pertinencia, validez, admisibilidad ni prioridad científica |</w:t>
      </w:r>
    </w:p>
    <w:p>
      <w:pPr>
        <w:spacing w:after="20" w:line="240" w:lineRule="auto"/>
      </w:pPr>
      <w:r>
        <w:rPr>
          <w:rFonts w:ascii="Consolas" w:hAnsi="Consolas"/>
          <w:sz w:val="14"/>
        </w:rPr>
        <w:t>| Decisión auditada | D-018, aprobada por el Comité Científico |</w:t>
      </w:r>
    </w:p>
    <w:p>
      <w:pPr>
        <w:spacing w:after="40"/>
      </w:pPr>
    </w:p>
    <w:p>
      <w:pPr>
        <w:pStyle w:val="Heading3"/>
      </w:pPr>
      <w:r>
        <w:t>1. Dictamen técnico</w:t>
      </w:r>
    </w:p>
    <w:p>
      <w:pPr>
        <w:spacing w:after="40"/>
      </w:pPr>
    </w:p>
    <w:p>
      <w:r>
        <w:t>Los cuatro artefactos B3 satisfacen el contrato de GOEI-PIPE-B2-B10-0001: describen protocolo y límites, inventario, evidencia por registro, definiciones encontradas, cobertura, duplicados, vacíos, limitaciones y una propuesta inequívoca de cierre limitado. La auditoría no encontró identificadores repetidos, registros de indicador sin fuente declarada ni promociones indebidas a KPI del estándar.</w:t>
      </w:r>
    </w:p>
    <w:p>
      <w:pPr>
        <w:spacing w:after="40"/>
      </w:pPr>
    </w:p>
    <w:p>
      <w:r>
        <w:t>El expediente es aceptable para decisión como universo candidato no normativo. La promoción se limita a congelar un inventario para evaluación en B4; no aprueba ningún KPI, definición GOEI, admisibilidad, fórmula, referencia, peso, puntaje, umbral o regla de agregación.</w:t>
      </w:r>
    </w:p>
    <w:p>
      <w:pPr>
        <w:spacing w:after="40"/>
      </w:pPr>
    </w:p>
    <w:p>
      <w:pPr>
        <w:pStyle w:val="Heading3"/>
      </w:pPr>
      <w:r>
        <w:t>2. Controles contractuales</w:t>
      </w:r>
    </w:p>
    <w:p>
      <w:pPr>
        <w:spacing w:after="40"/>
      </w:pPr>
    </w:p>
    <w:p>
      <w:pPr>
        <w:spacing w:after="20" w:line="240" w:lineRule="auto"/>
      </w:pPr>
      <w:r>
        <w:rPr>
          <w:rFonts w:ascii="Consolas" w:hAnsi="Consolas"/>
          <w:sz w:val="14"/>
        </w:rPr>
        <w:t>| Control | Resultado | Evidencia / reserva |</w:t>
      </w:r>
    </w:p>
    <w:p>
      <w:pPr>
        <w:spacing w:after="20" w:line="240" w:lineRule="auto"/>
      </w:pPr>
      <w:r>
        <w:rPr>
          <w:rFonts w:ascii="Consolas" w:hAnsi="Consolas"/>
          <w:sz w:val="14"/>
        </w:rPr>
        <w:t>|---|---|---|</w:t>
      </w:r>
    </w:p>
    <w:p>
      <w:pPr>
        <w:spacing w:after="20" w:line="240" w:lineRule="auto"/>
      </w:pPr>
      <w:r>
        <w:rPr>
          <w:rFonts w:ascii="Consolas" w:hAnsi="Consolas"/>
          <w:sz w:val="14"/>
        </w:rPr>
        <w:t>| Entradas B1/B2 | Conforme | `GOEI-BSL-PROC-0001 v0.1.0`, `GOEI-BSL-TAX-0001 v0.1.0` y `GOEI-DIR-RES-0002` |</w:t>
      </w:r>
    </w:p>
    <w:p>
      <w:pPr>
        <w:spacing w:after="20" w:line="240" w:lineRule="auto"/>
      </w:pPr>
      <w:r>
        <w:rPr>
          <w:rFonts w:ascii="Consolas" w:hAnsi="Consolas"/>
          <w:sz w:val="14"/>
        </w:rPr>
        <w:t>| Identificadores | Conforme | 32 IDs `GOEI-KPI-C-001`–`032`, únicos y consecutivos |</w:t>
      </w:r>
    </w:p>
    <w:p>
      <w:pPr>
        <w:spacing w:after="20" w:line="240" w:lineRule="auto"/>
      </w:pPr>
      <w:r>
        <w:rPr>
          <w:rFonts w:ascii="Consolas" w:hAnsi="Consolas"/>
          <w:sz w:val="14"/>
        </w:rPr>
        <w:t>| Estado no normativo | Conforme | 31 registros `CANDIDATO`; C-032 separado como `CANDIDATO CONTEXTUAL` |</w:t>
      </w:r>
    </w:p>
    <w:p>
      <w:pPr>
        <w:spacing w:after="20" w:line="240" w:lineRule="auto"/>
      </w:pPr>
      <w:r>
        <w:rPr>
          <w:rFonts w:ascii="Consolas" w:hAnsi="Consolas"/>
          <w:sz w:val="14"/>
        </w:rPr>
        <w:t>| Fuente por candidato | Conforme formalmente | los 31 indicadores declaran fuente APA 7; no se juzga su calidad científica |</w:t>
      </w:r>
    </w:p>
    <w:p>
      <w:pPr>
        <w:spacing w:after="20" w:line="240" w:lineRule="auto"/>
      </w:pPr>
      <w:r>
        <w:rPr>
          <w:rFonts w:ascii="Consolas" w:hAnsi="Consolas"/>
          <w:sz w:val="14"/>
        </w:rPr>
        <w:t>| Esquema de ficha | Conforme | definición, unidad, numerador/denominador cuando consta, proceso, faceta, fuente, datos, frecuencia, limitaciones, duplicados, evidencia y estado |</w:t>
      </w:r>
    </w:p>
    <w:p>
      <w:pPr>
        <w:spacing w:after="20" w:line="240" w:lineRule="auto"/>
      </w:pPr>
      <w:r>
        <w:rPr>
          <w:rFonts w:ascii="Consolas" w:hAnsi="Consolas"/>
          <w:sz w:val="14"/>
        </w:rPr>
        <w:t>| Cobertura P1–P9 | Conforme con vacíos | todos los procesos poseen registros; cobertura parcial P1 queda explícita en `GOEI-ISS-056` |</w:t>
      </w:r>
    </w:p>
    <w:p>
      <w:pPr>
        <w:spacing w:after="20" w:line="240" w:lineRule="auto"/>
      </w:pPr>
      <w:r>
        <w:rPr>
          <w:rFonts w:ascii="Consolas" w:hAnsi="Consolas"/>
          <w:sz w:val="14"/>
        </w:rPr>
        <w:t>| Relación taxonómica | Conforme | solo identidades FX-1…FX-3; no usa valores bloqueados por `GOEI-ISS-054` |</w:t>
      </w:r>
    </w:p>
    <w:p>
      <w:pPr>
        <w:spacing w:after="20" w:line="240" w:lineRule="auto"/>
      </w:pPr>
      <w:r>
        <w:rPr>
          <w:rFonts w:ascii="Consolas" w:hAnsi="Consolas"/>
          <w:sz w:val="14"/>
        </w:rPr>
        <w:t>| Unidad de referencia | Conforme | Establecimiento; rollups excluidos por `GOEI-ISS-008` |</w:t>
      </w:r>
    </w:p>
    <w:p>
      <w:pPr>
        <w:spacing w:after="20" w:line="240" w:lineRule="auto"/>
      </w:pPr>
      <w:r>
        <w:rPr>
          <w:rFonts w:ascii="Consolas" w:hAnsi="Consolas"/>
          <w:sz w:val="14"/>
        </w:rPr>
        <w:t>| Duplicados/solapamientos | Conforme | siete relaciones explícitas; resolución diferida a B4 |</w:t>
      </w:r>
    </w:p>
    <w:p>
      <w:pPr>
        <w:spacing w:after="20" w:line="240" w:lineRule="auto"/>
      </w:pPr>
      <w:r>
        <w:rPr>
          <w:rFonts w:ascii="Consolas" w:hAnsi="Consolas"/>
          <w:sz w:val="14"/>
        </w:rPr>
        <w:t>| Vacíos y sesgos | Conforme | V-B3-01…06 y Issues/reservas asociados |</w:t>
      </w:r>
    </w:p>
    <w:p>
      <w:pPr>
        <w:spacing w:after="20" w:line="240" w:lineRule="auto"/>
      </w:pPr>
      <w:r>
        <w:rPr>
          <w:rFonts w:ascii="Consolas" w:hAnsi="Consolas"/>
          <w:sz w:val="14"/>
        </w:rPr>
        <w:t>| Ausencia de admisibilidad | Conforme | no hay resultado candidato–criterio ni estado `admisible` |</w:t>
      </w:r>
    </w:p>
    <w:p>
      <w:pPr>
        <w:spacing w:after="20" w:line="240" w:lineRule="auto"/>
      </w:pPr>
      <w:r>
        <w:rPr>
          <w:rFonts w:ascii="Consolas" w:hAnsi="Consolas"/>
          <w:sz w:val="14"/>
        </w:rPr>
        <w:t>| Ausencia de fórmula GOEI, pesos y umbrales | Conforme | las expresiones transcriben definiciones fuente; no son fórmulas GOEI |</w:t>
      </w:r>
    </w:p>
    <w:p>
      <w:pPr>
        <w:spacing w:after="20" w:line="240" w:lineRule="auto"/>
      </w:pPr>
      <w:r>
        <w:rPr>
          <w:rFonts w:ascii="Consolas" w:hAnsi="Consolas"/>
          <w:sz w:val="14"/>
        </w:rPr>
        <w:t>| Baselines previas | Conforme | no se modifica ontología, procesos ni taxonomía |</w:t>
      </w:r>
    </w:p>
    <w:p>
      <w:pPr>
        <w:spacing w:after="20" w:line="240" w:lineRule="auto"/>
      </w:pPr>
      <w:r>
        <w:rPr>
          <w:rFonts w:ascii="Consolas" w:hAnsi="Consolas"/>
          <w:sz w:val="14"/>
        </w:rPr>
        <w:t>| Papel/software | No aplicable aún | B3 congela identidades y procedencia, no especificaciones calculables |</w:t>
      </w:r>
    </w:p>
    <w:p>
      <w:pPr>
        <w:spacing w:after="40"/>
      </w:pPr>
    </w:p>
    <w:p>
      <w:pPr>
        <w:pStyle w:val="Heading3"/>
      </w:pPr>
      <w:r>
        <w:t>3. Control de identidad y clasificación</w:t>
      </w:r>
    </w:p>
    <w:p>
      <w:pPr>
        <w:spacing w:after="40"/>
      </w:pPr>
    </w:p>
    <w:p>
      <w:r>
        <w:t>La comprobación mecánica encontró 32 encabezados, 32 IDs únicos y una secuencia completa 001–032. Los 31 indicadores documentados conservan estado CANDIDATO y serán la única cola de evaluación B4.</w:t>
      </w:r>
    </w:p>
    <w:p>
      <w:pPr>
        <w:spacing w:after="40"/>
      </w:pPr>
    </w:p>
    <w:p>
      <w:r>
        <w:t>GOEI-KPI-C-032 declara expresamente que Balanced Scorecard es un marco y no un indicador. Para impedir que software o Knowledge Graph lo interpreten como instancia de KPI, se normalizó técnicamente como CANDIDATO CONTEXTUAL, sin alterar su contenido científico, y se excluyó de la cola B4. Permanece en el catálogo únicamente por trazabilidad del expediente D-018.</w:t>
      </w:r>
    </w:p>
    <w:p>
      <w:pPr>
        <w:spacing w:after="40"/>
      </w:pPr>
    </w:p>
    <w:p>
      <w:pPr>
        <w:pStyle w:val="Heading3"/>
      </w:pPr>
      <w:r>
        <w:t>4. Cobertura, duplicados y bloqueos selectivos</w:t>
      </w:r>
    </w:p>
    <w:p>
      <w:pPr>
        <w:spacing w:after="40"/>
      </w:pPr>
    </w:p>
    <w:p>
      <w:pPr>
        <w:pStyle w:val="ListBullet"/>
      </w:pPr>
      <w:r>
        <w:t>P1–P9 están representados al menos por un indicador candidato.</w:t>
      </w:r>
    </w:p>
    <w:p>
      <w:pPr>
        <w:pStyle w:val="ListBullet"/>
      </w:pPr>
      <w:r>
        <w:t>La densidad declarada no equivale a pertinencia ni suficiencia científica.</w:t>
      </w:r>
    </w:p>
    <w:p>
      <w:pPr>
        <w:pStyle w:val="ListBullet"/>
      </w:pPr>
      <w:r>
        <w:t>Los solapamientos C-028/C-009/C-029, C-012/C-018, C-017/C-018, C-005/C-014, C-008/C-027, C-007 FLI/FWI y C-008 P4/P8 quedan para B4.</w:t>
      </w:r>
    </w:p>
    <w:p>
      <w:pPr>
        <w:pStyle w:val="ListBullet"/>
      </w:pPr>
      <w:r>
        <w:t>GOEI-ISS-008 bloquea rollups multiunidad/multimarca.</w:t>
      </w:r>
    </w:p>
    <w:p>
      <w:pPr>
        <w:pStyle w:val="ListBullet"/>
      </w:pPr>
      <w:r>
        <w:t>GOEI-ISS-054 bloquea valores concretos de faceta.</w:t>
      </w:r>
    </w:p>
    <w:p>
      <w:pPr>
        <w:pStyle w:val="ListBullet"/>
      </w:pPr>
      <w:r>
        <w:t>GOEI-ISS-043 mantiene fuera de la baseline de procesos la clasificación de merma; C-007 no la reabre.</w:t>
      </w:r>
    </w:p>
    <w:p>
      <w:pPr>
        <w:pStyle w:val="ListBullet"/>
      </w:pPr>
      <w:r>
        <w:t>GOEI-ISS-015 mantiene sin resolver el doble rol de inocuidad.</w:t>
      </w:r>
    </w:p>
    <w:p>
      <w:pPr>
        <w:spacing w:after="40"/>
      </w:pPr>
    </w:p>
    <w:p>
      <w:pPr>
        <w:pStyle w:val="Heading3"/>
      </w:pPr>
      <w:r>
        <w:t>5. Issues exigibles antes o durante B4</w:t>
      </w:r>
    </w:p>
    <w:p>
      <w:pPr>
        <w:spacing w:after="40"/>
      </w:pPr>
    </w:p>
    <w:p>
      <w:r>
        <w:t>Se deben registrar GOEI-ISS-055 a GOEI-ISS-058 exactamente con las ramas y condiciones de cierre declaradas en D-018. No bloquean el cierre registral B3, pero B4 no podrá promover los candidatos afectados mientras su criterio científico dependiente permanezca sin resolver.</w:t>
      </w:r>
    </w:p>
    <w:p>
      <w:pPr>
        <w:spacing w:after="40"/>
      </w:pPr>
    </w:p>
    <w:p>
      <w:pPr>
        <w:pStyle w:val="Heading3"/>
      </w:pPr>
      <w:r>
        <w:t>6. Conclusión</w:t>
      </w:r>
    </w:p>
    <w:p>
      <w:pPr>
        <w:spacing w:after="40"/>
      </w:pPr>
    </w:p>
    <w:p>
      <w:r>
        <w:t>La Oficina Técnica recomienda ratificar D-018 exclusivamente como cierre de la pregunta nuclear B3, congelar GOEI-CAT-KPI-C-0001 v0.1.0 y GOEI-MTZ-KPI-C-0001 v0.1.0 como baseline de catálogo candidato, registrar 31 indicadores candidatos y un marco contextual, y habilitar B4.</w:t>
      </w:r>
    </w:p>
    <w:p>
      <w:pPr>
        <w:spacing w:after="40"/>
      </w:pPr>
    </w:p>
    <w:p>
      <w:r>
        <w:t>Esta auditoría no autoriza presentar los registros como KPI GOEI. B4 deberá aprobar primero su método y criterios de admisibilidad y evaluar cada candidato con trazabilidad criterio–evidencia–resultado.</w:t>
      </w:r>
    </w:p>
    <w:p>
      <w:pPr>
        <w:spacing w:after="40"/>
      </w:pPr>
    </w:p>
    <w:p>
      <w:r>
        <w:br w:type="page"/>
      </w:r>
    </w:p>
    <w:p>
      <w:pPr>
        <w:pStyle w:val="Heading1"/>
        <w:keepNext/>
      </w:pPr>
      <w:r>
        <w:t>Fuente 10: 00_Gobernanza/coordinacion/auditorias/GOEI_AUDIT_0007_B4_Readiness.md</w:t>
      </w:r>
    </w:p>
    <w:p>
      <w:pPr>
        <w:spacing w:after="200"/>
      </w:pPr>
      <w:r>
        <w:rPr>
          <w:rFonts w:ascii="Consolas" w:hAnsi="Consolas"/>
          <w:color w:val="595959"/>
          <w:sz w:val="16"/>
        </w:rPr>
        <w:t>Ruta: 00_Gobernanza/coordinacion/auditorias/GOEI_AUDIT_0007_B4_Readiness.md</w:t>
        <w:br/>
        <w:t>Tamaño: 11977 bytes</w:t>
        <w:br/>
        <w:t>SHA-256: add5588d7e102b60c0d3864243aa7b8815e9f15129a1ee80d5e4b8e4f4555737</w:t>
      </w:r>
    </w:p>
    <w:p>
      <w:pPr>
        <w:pStyle w:val="Heading2"/>
      </w:pPr>
      <w:r>
        <w:t>Auditoría técnica GOEI-AUDIT-0007 — Preparación mecánica de B4</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`GOEI-AUDIT-0007` |</w:t>
      </w:r>
    </w:p>
    <w:p>
      <w:pPr>
        <w:spacing w:after="20" w:line="240" w:lineRule="auto"/>
      </w:pPr>
      <w:r>
        <w:rPr>
          <w:rFonts w:ascii="Consolas" w:hAnsi="Consolas"/>
          <w:sz w:val="14"/>
        </w:rPr>
        <w:t>| Fecha | 2026-08-04 |</w:t>
      </w:r>
    </w:p>
    <w:p>
      <w:pPr>
        <w:spacing w:after="20" w:line="240" w:lineRule="auto"/>
      </w:pPr>
      <w:r>
        <w:rPr>
          <w:rFonts w:ascii="Consolas" w:hAnsi="Consolas"/>
          <w:sz w:val="14"/>
        </w:rPr>
        <w:t>| Resultado | **PREPARADA CON BLOQUEOS SELECTIVOS HEREDADOS** |</w:t>
      </w:r>
    </w:p>
    <w:p>
      <w:pPr>
        <w:spacing w:after="20" w:line="240" w:lineRule="auto"/>
      </w:pPr>
      <w:r>
        <w:rPr>
          <w:rFonts w:ascii="Consolas" w:hAnsi="Consolas"/>
          <w:sz w:val="14"/>
        </w:rPr>
        <w:t>| Alcance | Integridad de entrada, identidad, cardinalidad, esquema documental y controles mecánicos para B4 |</w:t>
      </w:r>
    </w:p>
    <w:p>
      <w:pPr>
        <w:spacing w:after="20" w:line="240" w:lineRule="auto"/>
      </w:pPr>
      <w:r>
        <w:rPr>
          <w:rFonts w:ascii="Consolas" w:hAnsi="Consolas"/>
          <w:sz w:val="14"/>
        </w:rPr>
        <w:t>| Exclusión | No evalúa evidencia científica, pertinencia, admisibilidad, validez ni selección de KPI |</w:t>
      </w:r>
    </w:p>
    <w:p>
      <w:pPr>
        <w:spacing w:after="20" w:line="240" w:lineRule="auto"/>
      </w:pPr>
      <w:r>
        <w:rPr>
          <w:rFonts w:ascii="Consolas" w:hAnsi="Consolas"/>
          <w:sz w:val="14"/>
        </w:rPr>
        <w:t>| Entradas canónicas | D-018; `GOEI-DIR-RES-0003`; `GOEI-BSL-KPI-C-0001 v0.1.0`; `GOEI-HO-0003` |</w:t>
      </w:r>
    </w:p>
    <w:p>
      <w:pPr>
        <w:spacing w:after="40"/>
      </w:pPr>
    </w:p>
    <w:p>
      <w:pPr>
        <w:pStyle w:val="Heading3"/>
      </w:pPr>
      <w:r>
        <w:t>1. Dictamen técnico</w:t>
      </w:r>
    </w:p>
    <w:p>
      <w:pPr>
        <w:spacing w:after="40"/>
      </w:pPr>
    </w:p>
    <w:p>
      <w:r>
        <w:t>B4 dispone de una entrada reproducible y técnicamente suficiente: una baseline inmutable con 31 indicadores candidatos identificados consecutivamente como GOEI-KPI-C-001–031, más GOEI-KPI-C-032 preservado como marco contextual y expresamente excluido de la cola de evaluación. Las huellas SHA-256 y los tamaños de los cuatro artefactos congelados coinciden con el manifiesto.</w:t>
      </w:r>
    </w:p>
    <w:p>
      <w:pPr>
        <w:spacing w:after="40"/>
      </w:pPr>
    </w:p>
    <w:p>
      <w:r>
        <w:t>La preparación no equivale a admisibilidad. B4 deberá definir y aprobar científicamente su método y sus criterios antes de asignar resultados. Esta auditoría solo fija controles verificables para impedir omisiones, duplicaciones, cambios silenciosos, mezcla de estados o anticipación de B5–B8.</w:t>
      </w:r>
    </w:p>
    <w:p>
      <w:pPr>
        <w:spacing w:after="40"/>
      </w:pPr>
    </w:p>
    <w:p>
      <w:r>
        <w:t>Los Issues GOEI-ISS-055–058 y las reservas 008, 015, 043 y 054 permanecen activos con alcance selectivo. La matriz B4 puede construirse completa, pero no podrá promover una rama cuando su conclusión dependa de una cuestión científica abierta.</w:t>
      </w:r>
    </w:p>
    <w:p>
      <w:pPr>
        <w:spacing w:after="40"/>
      </w:pPr>
    </w:p>
    <w:p>
      <w:pPr>
        <w:pStyle w:val="Heading3"/>
      </w:pPr>
      <w:r>
        <w:t>2. Verificación de la configuración de entrada</w:t>
      </w:r>
    </w:p>
    <w:p>
      <w:pPr>
        <w:spacing w:after="40"/>
      </w:pPr>
    </w:p>
    <w:p>
      <w:pPr>
        <w:spacing w:after="20" w:line="240" w:lineRule="auto"/>
      </w:pPr>
      <w:r>
        <w:rPr>
          <w:rFonts w:ascii="Consolas" w:hAnsi="Consolas"/>
          <w:sz w:val="14"/>
        </w:rPr>
        <w:t>| Control | Resultado | Evidencia |</w:t>
      </w:r>
    </w:p>
    <w:p>
      <w:pPr>
        <w:spacing w:after="20" w:line="240" w:lineRule="auto"/>
      </w:pPr>
      <w:r>
        <w:rPr>
          <w:rFonts w:ascii="Consolas" w:hAnsi="Consolas"/>
          <w:sz w:val="14"/>
        </w:rPr>
        <w:t>|---|---|---|</w:t>
      </w:r>
    </w:p>
    <w:p>
      <w:pPr>
        <w:spacing w:after="20" w:line="240" w:lineRule="auto"/>
      </w:pPr>
      <w:r>
        <w:rPr>
          <w:rFonts w:ascii="Consolas" w:hAnsi="Consolas"/>
          <w:sz w:val="14"/>
        </w:rPr>
        <w:t>| Identidad de baseline | Conforme | `GOEI-BSL-KPI-C-0001 v0.1.0` |</w:t>
      </w:r>
    </w:p>
    <w:p>
      <w:pPr>
        <w:spacing w:after="20" w:line="240" w:lineRule="auto"/>
      </w:pPr>
      <w:r>
        <w:rPr>
          <w:rFonts w:ascii="Consolas" w:hAnsi="Consolas"/>
          <w:sz w:val="14"/>
        </w:rPr>
        <w:t>| Autoridad científica | Conforme | D-018, Comité Científico GOEI |</w:t>
      </w:r>
    </w:p>
    <w:p>
      <w:pPr>
        <w:spacing w:after="20" w:line="240" w:lineRule="auto"/>
      </w:pPr>
      <w:r>
        <w:rPr>
          <w:rFonts w:ascii="Consolas" w:hAnsi="Consolas"/>
          <w:sz w:val="14"/>
        </w:rPr>
        <w:t>| Ratificación directiva | Conforme | `GOEI-DIR-RES-0003`, bajo `GOEI-DIR-0004` |</w:t>
      </w:r>
    </w:p>
    <w:p>
      <w:pPr>
        <w:spacing w:after="20" w:line="240" w:lineRule="auto"/>
      </w:pPr>
      <w:r>
        <w:rPr>
          <w:rFonts w:ascii="Consolas" w:hAnsi="Consolas"/>
          <w:sz w:val="14"/>
        </w:rPr>
        <w:t>| Cardinalidad del inventario | Conforme | 32 encabezados, 32 IDs únicos y secuencia completa 001–032 |</w:t>
      </w:r>
    </w:p>
    <w:p>
      <w:pPr>
        <w:spacing w:after="20" w:line="240" w:lineRule="auto"/>
      </w:pPr>
      <w:r>
        <w:rPr>
          <w:rFonts w:ascii="Consolas" w:hAnsi="Consolas"/>
          <w:sz w:val="14"/>
        </w:rPr>
        <w:t>| Cola evaluable | Conforme | 31 registros con estado candidato; C-032 contextual excluido |</w:t>
      </w:r>
    </w:p>
    <w:p>
      <w:pPr>
        <w:spacing w:after="20" w:line="240" w:lineRule="auto"/>
      </w:pPr>
      <w:r>
        <w:rPr>
          <w:rFonts w:ascii="Consolas" w:hAnsi="Consolas"/>
          <w:sz w:val="14"/>
        </w:rPr>
        <w:t>| Esquema de ficha | Conforme | Los 32 registros contienen los 13 campos declarados por el catálogo |</w:t>
      </w:r>
    </w:p>
    <w:p>
      <w:pPr>
        <w:spacing w:after="20" w:line="240" w:lineRule="auto"/>
      </w:pPr>
      <w:r>
        <w:rPr>
          <w:rFonts w:ascii="Consolas" w:hAnsi="Consolas"/>
          <w:sz w:val="14"/>
        </w:rPr>
        <w:t>| Fuente por ficha | Conforme formalmente | Los 31 candidatos declaran `Fuente APA 7`; esta auditoría no juzga suficiencia o calidad |</w:t>
      </w:r>
    </w:p>
    <w:p>
      <w:pPr>
        <w:spacing w:after="20" w:line="240" w:lineRule="auto"/>
      </w:pPr>
      <w:r>
        <w:rPr>
          <w:rFonts w:ascii="Consolas" w:hAnsi="Consolas"/>
          <w:sz w:val="14"/>
        </w:rPr>
        <w:t>| Cobertura registral | Conforme con reservas | P1–P9 representados; densidad no equivale a suficiencia |</w:t>
      </w:r>
    </w:p>
    <w:p>
      <w:pPr>
        <w:spacing w:after="20" w:line="240" w:lineRule="auto"/>
      </w:pPr>
      <w:r>
        <w:rPr>
          <w:rFonts w:ascii="Consolas" w:hAnsi="Consolas"/>
          <w:sz w:val="14"/>
        </w:rPr>
        <w:t>| Integridad de artefactos | Conforme | Bytes y SHA-256 coinciden en los cuatro artefactos del manifiesto |</w:t>
      </w:r>
    </w:p>
    <w:p>
      <w:pPr>
        <w:spacing w:after="20" w:line="240" w:lineRule="auto"/>
      </w:pPr>
      <w:r>
        <w:rPr>
          <w:rFonts w:ascii="Consolas" w:hAnsi="Consolas"/>
          <w:sz w:val="14"/>
        </w:rPr>
        <w:t>| Inmutabilidad | Conforme | `POLITICA_ISSUE_ONLY.md` exige Issue, impacto, decisión, nueva versión y preservación |</w:t>
      </w:r>
    </w:p>
    <w:p>
      <w:pPr>
        <w:spacing w:after="20" w:line="240" w:lineRule="auto"/>
      </w:pPr>
      <w:r>
        <w:rPr>
          <w:rFonts w:ascii="Consolas" w:hAnsi="Consolas"/>
          <w:sz w:val="14"/>
        </w:rPr>
        <w:t>| Estado de compuerta | Conforme | `GOEI-HO-0003` cierra B3 y habilita B4 sin aprobar KPI |</w:t>
      </w:r>
    </w:p>
    <w:p>
      <w:pPr>
        <w:spacing w:after="40"/>
      </w:pPr>
    </w:p>
    <w:p>
      <w:pPr>
        <w:pStyle w:val="Heading3"/>
      </w:pPr>
      <w:r>
        <w:t>3. Huellas verificadas</w:t>
      </w:r>
    </w:p>
    <w:p>
      <w:pPr>
        <w:spacing w:after="40"/>
      </w:pPr>
    </w:p>
    <w:p>
      <w:pPr>
        <w:spacing w:after="20" w:line="240" w:lineRule="auto"/>
      </w:pPr>
      <w:r>
        <w:rPr>
          <w:rFonts w:ascii="Consolas" w:hAnsi="Consolas"/>
          <w:sz w:val="14"/>
        </w:rPr>
        <w:t>| Artefacto | Bytes | SHA-256 verificado |</w:t>
      </w:r>
    </w:p>
    <w:p>
      <w:pPr>
        <w:spacing w:after="20" w:line="240" w:lineRule="auto"/>
      </w:pPr>
      <w:r>
        <w:rPr>
          <w:rFonts w:ascii="Consolas" w:hAnsi="Consolas"/>
          <w:sz w:val="14"/>
        </w:rPr>
        <w:t>|---|---:|---|</w:t>
      </w:r>
    </w:p>
    <w:p>
      <w:pPr>
        <w:spacing w:after="20" w:line="240" w:lineRule="auto"/>
      </w:pPr>
      <w:r>
        <w:rPr>
          <w:rFonts w:ascii="Consolas" w:hAnsi="Consolas"/>
          <w:sz w:val="14"/>
        </w:rPr>
        <w:t>| `01_Estado_del_arte/FaseB_B3_Revision_universo_KPI.md` | 17605 | `7a9aa918ce9f82188c9ecb1f6b02b8f3b013c8df6eabb2b964424bc4d40a1db1` |</w:t>
      </w:r>
    </w:p>
    <w:p>
      <w:pPr>
        <w:spacing w:after="20" w:line="240" w:lineRule="auto"/>
      </w:pPr>
      <w:r>
        <w:rPr>
          <w:rFonts w:ascii="Consolas" w:hAnsi="Consolas"/>
          <w:sz w:val="14"/>
        </w:rPr>
        <w:t>| `05_Catalogo_KPI/GOEI_Catalogo_KPI_Candidatos_B3.md` | 36174 | `6a32e14583c883e243bbddd4fafc68de301449f82824e34bfacbd4e6f21c3106` |</w:t>
      </w:r>
    </w:p>
    <w:p>
      <w:pPr>
        <w:spacing w:after="20" w:line="240" w:lineRule="auto"/>
      </w:pPr>
      <w:r>
        <w:rPr>
          <w:rFonts w:ascii="Consolas" w:hAnsi="Consolas"/>
          <w:sz w:val="14"/>
        </w:rPr>
        <w:t>| `05_Catalogo_KPI/GOEI_Matriz_Cobertura_KPI_Candidatos_B3.md` | 6241 | `13ab765920c2402f2da1861c01b4968eb87ba098516b6c91ef3bec5f0c5b2045` |</w:t>
      </w:r>
    </w:p>
    <w:p>
      <w:pPr>
        <w:spacing w:after="20" w:line="240" w:lineRule="auto"/>
      </w:pPr>
      <w:r>
        <w:rPr>
          <w:rFonts w:ascii="Consolas" w:hAnsi="Consolas"/>
          <w:sz w:val="14"/>
        </w:rPr>
        <w:t>| `00_Gobernanza/coordinacion/entradas_comite/GOEI_SCI_HANDOFF_D018_Cierre_B3.md` | 13065 | `511ea02a423a691faf52c2cca2e8638e9c8ada33abd221732f9362df63a7f666` |</w:t>
      </w:r>
    </w:p>
    <w:p>
      <w:pPr>
        <w:spacing w:after="40"/>
      </w:pPr>
    </w:p>
    <w:p>
      <w:pPr>
        <w:pStyle w:val="Heading3"/>
      </w:pPr>
      <w:r>
        <w:t>4. Contrato mecánico exigible a la matriz B4</w:t>
      </w:r>
    </w:p>
    <w:p>
      <w:pPr>
        <w:spacing w:after="40"/>
      </w:pPr>
    </w:p>
    <w:p>
      <w:pPr>
        <w:pStyle w:val="Heading4"/>
      </w:pPr>
      <w:r>
        <w:t>4.1 Identidad y cardinalidad</w:t>
      </w:r>
    </w:p>
    <w:p>
      <w:pPr>
        <w:spacing w:after="40"/>
      </w:pPr>
    </w:p>
    <w:p>
      <w:pPr>
        <w:pStyle w:val="ListNumber"/>
      </w:pPr>
      <w:r>
        <w:t>La matriz contendrá exactamente una fila maestra por cada ID GOEI-KPI-C-001–031.</w:t>
      </w:r>
    </w:p>
    <w:p>
      <w:pPr>
        <w:pStyle w:val="ListNumber"/>
      </w:pPr>
      <w:r>
        <w:t>No contendrá una fila de evaluación KPI para GOEI-KPI-C-032.</w:t>
      </w:r>
    </w:p>
    <w:p>
      <w:pPr>
        <w:pStyle w:val="ListNumber"/>
      </w:pPr>
      <w:r>
        <w:t>No podrá crear, renumerar, fusionar ni retirar IDs. Toda variación del universo exige Issue y nueva versión de baseline.</w:t>
      </w:r>
    </w:p>
    <w:p>
      <w:pPr>
        <w:pStyle w:val="ListNumber"/>
      </w:pPr>
      <w:r>
        <w:t>La clave primaria será el ID estable del candidato; el nombre será descriptivo y no se usará como clave.</w:t>
      </w:r>
    </w:p>
    <w:p>
      <w:pPr>
        <w:pStyle w:val="ListNumber"/>
      </w:pPr>
      <w:r>
        <w:t>Si el diseño usa una fila por combinación candidato–criterio, deberá cumplirse 31 × N, donde N es el número de criterios científicos aprobados, sin celdas ausentes ni duplicadas.</w:t>
      </w:r>
    </w:p>
    <w:p>
      <w:pPr>
        <w:pStyle w:val="ListNumber"/>
      </w:pPr>
      <w:r>
        <w:t>Una vista resumida candidato–resultado deberá derivarse de la matriz detallada y no constituir una segunda fuente de verdad.</w:t>
      </w:r>
    </w:p>
    <w:p>
      <w:pPr>
        <w:spacing w:after="40"/>
      </w:pPr>
    </w:p>
    <w:p>
      <w:pPr>
        <w:pStyle w:val="Heading4"/>
      </w:pPr>
      <w:r>
        <w:t>4.2 Campos técnicos mínimos por evaluación</w:t>
      </w:r>
    </w:p>
    <w:p>
      <w:pPr>
        <w:spacing w:after="40"/>
      </w:pPr>
    </w:p>
    <w:p>
      <w:r>
        <w:t>Sin prescribir los criterios científicos, cada resultado candidato–criterio deberá registrar como mínimo:</w:t>
      </w:r>
    </w:p>
    <w:p>
      <w:pPr>
        <w:spacing w:after="40"/>
      </w:pPr>
    </w:p>
    <w:p>
      <w:pPr>
        <w:pStyle w:val="ListBullet"/>
      </w:pPr>
      <w:r>
        <w:t>ID de candidato;</w:t>
      </w:r>
    </w:p>
    <w:p>
      <w:pPr>
        <w:pStyle w:val="ListBullet"/>
      </w:pPr>
      <w:r>
        <w:t>ID y versión del criterio aprobado;</w:t>
      </w:r>
    </w:p>
    <w:p>
      <w:pPr>
        <w:pStyle w:val="ListBullet"/>
      </w:pPr>
      <w:r>
        <w:t>resultado controlado del criterio;</w:t>
      </w:r>
    </w:p>
    <w:p>
      <w:pPr>
        <w:pStyle w:val="ListBullet"/>
      </w:pPr>
      <w:r>
        <w:t>justificación o referencia al razonamiento científico;</w:t>
      </w:r>
    </w:p>
    <w:p>
      <w:pPr>
        <w:pStyle w:val="ListBullet"/>
      </w:pPr>
      <w:r>
        <w:t>evidencia o fuente exacta utilizada;</w:t>
      </w:r>
    </w:p>
    <w:p>
      <w:pPr>
        <w:pStyle w:val="ListBullet"/>
      </w:pPr>
      <w:r>
        <w:t>decisión científica que autoriza criterio y resultado;</w:t>
      </w:r>
    </w:p>
    <w:p>
      <w:pPr>
        <w:pStyle w:val="ListBullet"/>
      </w:pPr>
      <w:r>
        <w:t>Issue o dependencia aplicable;</w:t>
      </w:r>
    </w:p>
    <w:p>
      <w:pPr>
        <w:pStyle w:val="ListBullet"/>
      </w:pPr>
      <w:r>
        <w:t>estado del bloqueo, si existe;</w:t>
      </w:r>
    </w:p>
    <w:p>
      <w:pPr>
        <w:pStyle w:val="ListBullet"/>
      </w:pPr>
      <w:r>
        <w:t>fecha y versión de evaluación;</w:t>
      </w:r>
    </w:p>
    <w:p>
      <w:pPr>
        <w:pStyle w:val="ListBullet"/>
      </w:pPr>
      <w:r>
        <w:t>autoridad científica responsable;</w:t>
      </w:r>
    </w:p>
    <w:p>
      <w:pPr>
        <w:pStyle w:val="ListBullet"/>
      </w:pPr>
      <w:r>
        <w:t>procedencia al artefacto B3 de origen.</w:t>
      </w:r>
    </w:p>
    <w:p>
      <w:pPr>
        <w:spacing w:after="40"/>
      </w:pPr>
    </w:p>
    <w:p>
      <w:r>
        <w:t>La fila resumen por candidato deberá conservar: estado B4 controlado, alcance de ese estado, criterios determinantes, criterios no evaluables, desacuerdos, exclusiones, limitaciones, dependencias y enlace a todas sus evaluaciones detalladas.</w:t>
      </w:r>
    </w:p>
    <w:p>
      <w:pPr>
        <w:spacing w:after="40"/>
      </w:pPr>
    </w:p>
    <w:p>
      <w:pPr>
        <w:pStyle w:val="Heading4"/>
      </w:pPr>
      <w:r>
        <w:t>4.3 Dominios de estado y completitud</w:t>
      </w:r>
    </w:p>
    <w:p>
      <w:pPr>
        <w:spacing w:after="40"/>
      </w:pPr>
    </w:p>
    <w:p>
      <w:pPr>
        <w:pStyle w:val="ListBullet"/>
      </w:pPr>
      <w:r>
        <w:t>El vocabulario de resultados y estados deberá ser definido y aprobado por el Comité antes de poblar la matriz.</w:t>
      </w:r>
    </w:p>
    <w:p>
      <w:pPr>
        <w:pStyle w:val="ListBullet"/>
      </w:pPr>
      <w:r>
        <w:t>Un valor vacío no podrá significar simultáneamente “no aplica”, “sin evidencia”, “no evaluado” o “bloqueado”; cada situación requiere un estado explícito.</w:t>
      </w:r>
    </w:p>
    <w:p>
      <w:pPr>
        <w:pStyle w:val="ListBullet"/>
      </w:pPr>
      <w:r>
        <w:t>Todo resultado deberá distinguir decisión negativa, insuficiencia de evidencia y dependencia no resuelta.</w:t>
      </w:r>
    </w:p>
    <w:p>
      <w:pPr>
        <w:pStyle w:val="ListBullet"/>
      </w:pPr>
      <w:r>
        <w:t>Ningún estado B4 podrá llamarse o implicar KPI aprobado, porque la fase decide admisibilidad dentro del alcance aprobado, no especificación, puntuación ni incorporación a la fórmula.</w:t>
      </w:r>
    </w:p>
    <w:p>
      <w:pPr>
        <w:pStyle w:val="ListBullet"/>
      </w:pPr>
      <w:r>
        <w:t>Los desacuerdos no podrán resolverse por sobrescritura: deberán quedar versionados y vinculados al dictamen que prevalece.</w:t>
      </w:r>
    </w:p>
    <w:p>
      <w:pPr>
        <w:pStyle w:val="ListBullet"/>
      </w:pPr>
      <w:r>
        <w:t>Toda modificación posterior conservará la evaluación anterior y declarará sustitución, no edición histórica silenciosa.</w:t>
      </w:r>
    </w:p>
    <w:p>
      <w:pPr>
        <w:spacing w:after="40"/>
      </w:pPr>
    </w:p>
    <w:p>
      <w:pPr>
        <w:pStyle w:val="Heading4"/>
      </w:pPr>
      <w:r>
        <w:t>4.4 Trazabilidad y procedencia</w:t>
      </w:r>
    </w:p>
    <w:p>
      <w:pPr>
        <w:spacing w:after="40"/>
      </w:pPr>
    </w:p>
    <w:p>
      <w:pPr>
        <w:pStyle w:val="ListBullet"/>
      </w:pPr>
      <w:r>
        <w:t>Cada ID deberá enlazar a su ficha exacta en GOEI-CAT-KPI-C-0001 v0.1.0.</w:t>
      </w:r>
    </w:p>
    <w:p>
      <w:pPr>
        <w:pStyle w:val="ListBullet"/>
      </w:pPr>
      <w:r>
        <w:t>La matriz deberá conservar literalmente el ID; no deberá copiar ni reinterpretar la definición fuente como una definición GOEI.</w:t>
      </w:r>
    </w:p>
    <w:p>
      <w:pPr>
        <w:pStyle w:val="ListBullet"/>
      </w:pPr>
      <w:r>
        <w:t>Toda fuente deberá apuntar a la referencia bibliográfica declarada o a nueva evidencia formalmente incorporada por el Comité.</w:t>
      </w:r>
    </w:p>
    <w:p>
      <w:pPr>
        <w:pStyle w:val="ListBullet"/>
      </w:pPr>
      <w:r>
        <w:t>Una nueva fuente no modifica la baseline B3: se registra como evidencia B4 con su propia procedencia y versión.</w:t>
      </w:r>
    </w:p>
    <w:p>
      <w:pPr>
        <w:pStyle w:val="ListBullet"/>
      </w:pPr>
      <w:r>
        <w:t>El resultado deberá vincular criterio → evidencia → evaluación → decisión científica → estado del candidato.</w:t>
      </w:r>
    </w:p>
    <w:p>
      <w:pPr>
        <w:pStyle w:val="ListBullet"/>
      </w:pPr>
      <w:r>
        <w:t>Las asociaciones P1–P9 y FX-1–FX-3 son datos de procedencia B3; cambiarlas exige Issue y no puede hacerse lateralmente desde B4.</w:t>
      </w:r>
    </w:p>
    <w:p>
      <w:pPr>
        <w:spacing w:after="40"/>
      </w:pPr>
    </w:p>
    <w:p>
      <w:pPr>
        <w:pStyle w:val="Heading4"/>
      </w:pPr>
      <w:r>
        <w:t>4.5 Separación de fases</w:t>
      </w:r>
    </w:p>
    <w:p>
      <w:pPr>
        <w:spacing w:after="40"/>
      </w:pPr>
    </w:p>
    <w:p>
      <w:r>
        <w:t>La matriz deberá rechazar mecánicamente campos o resultados que introduzcan:</w:t>
      </w:r>
    </w:p>
    <w:p>
      <w:pPr>
        <w:spacing w:after="40"/>
      </w:pPr>
    </w:p>
    <w:p>
      <w:pPr>
        <w:pStyle w:val="ListBullet"/>
      </w:pPr>
      <w:r>
        <w:t>fórmula GOEI o fórmula de puntuación;</w:t>
      </w:r>
    </w:p>
    <w:p>
      <w:pPr>
        <w:pStyle w:val="ListBullet"/>
      </w:pPr>
      <w:r>
        <w:t>referencia, benchmark o GTRM concreta;</w:t>
      </w:r>
    </w:p>
    <w:p>
      <w:pPr>
        <w:pStyle w:val="ListBullet"/>
      </w:pPr>
      <w:r>
        <w:t>umbral, rango o tabla de interpretación;</w:t>
      </w:r>
    </w:p>
    <w:p>
      <w:pPr>
        <w:pStyle w:val="ListBullet"/>
      </w:pPr>
      <w:r>
        <w:t>normalización, peso o regla de agregación;</w:t>
      </w:r>
    </w:p>
    <w:p>
      <w:pPr>
        <w:pStyle w:val="ListBullet"/>
      </w:pPr>
      <w:r>
        <w:t>tolerancia papel–software;</w:t>
      </w:r>
    </w:p>
    <w:p>
      <w:pPr>
        <w:pStyle w:val="ListBullet"/>
      </w:pPr>
      <w:r>
        <w:t>valor concreto de faceta taxonómica;</w:t>
      </w:r>
    </w:p>
    <w:p>
      <w:pPr>
        <w:pStyle w:val="ListBullet"/>
      </w:pPr>
      <w:r>
        <w:t>clasificación multiunidad o multimarca.</w:t>
      </w:r>
    </w:p>
    <w:p>
      <w:pPr>
        <w:spacing w:after="40"/>
      </w:pPr>
    </w:p>
    <w:p>
      <w:r>
        <w:t>Las expresiones transcritas desde las fuentes B3 pueden citarse como procedencia, pero no deberán etiquetarse como especificaciones normativas GOEI.</w:t>
      </w:r>
    </w:p>
    <w:p>
      <w:pPr>
        <w:spacing w:after="40"/>
      </w:pPr>
    </w:p>
    <w:p>
      <w:pPr>
        <w:pStyle w:val="Heading3"/>
      </w:pPr>
      <w:r>
        <w:t>5. Mapa de bloqueos selectivos exigible</w:t>
      </w:r>
    </w:p>
    <w:p>
      <w:pPr>
        <w:spacing w:after="40"/>
      </w:pPr>
    </w:p>
    <w:p>
      <w:pPr>
        <w:spacing w:after="20" w:line="240" w:lineRule="auto"/>
      </w:pPr>
      <w:r>
        <w:rPr>
          <w:rFonts w:ascii="Consolas" w:hAnsi="Consolas"/>
          <w:sz w:val="14"/>
        </w:rPr>
        <w:t>| Issue / reserva | Rama afectada en B4 | Control técnico |</w:t>
      </w:r>
    </w:p>
    <w:p>
      <w:pPr>
        <w:spacing w:after="20" w:line="240" w:lineRule="auto"/>
      </w:pPr>
      <w:r>
        <w:rPr>
          <w:rFonts w:ascii="Consolas" w:hAnsi="Consolas"/>
          <w:sz w:val="14"/>
        </w:rPr>
        <w:t>|---|---|---|</w:t>
      </w:r>
    </w:p>
    <w:p>
      <w:pPr>
        <w:spacing w:after="20" w:line="240" w:lineRule="auto"/>
      </w:pPr>
      <w:r>
        <w:rPr>
          <w:rFonts w:ascii="Consolas" w:hAnsi="Consolas"/>
          <w:sz w:val="14"/>
        </w:rPr>
        <w:t>| `GOEI-ISS-055` | Afirmaciones de completitud o exhaustividad del universo | Prohibir estado o conclusión que declare universo exhaustivo mientras siga abierto |</w:t>
      </w:r>
    </w:p>
    <w:p>
      <w:pPr>
        <w:spacing w:after="20" w:line="240" w:lineRule="auto"/>
      </w:pPr>
      <w:r>
        <w:rPr>
          <w:rFonts w:ascii="Consolas" w:hAnsi="Consolas"/>
          <w:sz w:val="14"/>
        </w:rPr>
        <w:t>| `GOEI-ISS-056` | C-003 cuando se evalúe exactitud de pronóstico | Registrar evaluación no resoluble/deferida si el resultado depende de una métrica cerrada ausente |</w:t>
      </w:r>
    </w:p>
    <w:p>
      <w:pPr>
        <w:spacing w:after="20" w:line="240" w:lineRule="auto"/>
      </w:pPr>
      <w:r>
        <w:rPr>
          <w:rFonts w:ascii="Consolas" w:hAnsi="Consolas"/>
          <w:sz w:val="14"/>
        </w:rPr>
        <w:t>| `GOEI-ISS-057` | C-005, C-014, C-015 y C-030 | No promover mientras la adaptación gastronómica sea condición necesaria no resuelta |</w:t>
      </w:r>
    </w:p>
    <w:p>
      <w:pPr>
        <w:spacing w:after="20" w:line="240" w:lineRule="auto"/>
      </w:pPr>
      <w:r>
        <w:rPr>
          <w:rFonts w:ascii="Consolas" w:hAnsi="Consolas"/>
          <w:sz w:val="14"/>
        </w:rPr>
        <w:t>| `GOEI-ISS-058` | C-021 en comparabilidad o puntuación jurisdiccional | Separar posible admisibilidad conceptual de comparabilidad/puntuación no resuelta |</w:t>
      </w:r>
    </w:p>
    <w:p>
      <w:pPr>
        <w:spacing w:after="20" w:line="240" w:lineRule="auto"/>
      </w:pPr>
      <w:r>
        <w:rPr>
          <w:rFonts w:ascii="Consolas" w:hAnsi="Consolas"/>
          <w:sz w:val="14"/>
        </w:rPr>
        <w:t>| `GOEI-ISS-043` | C-007 y clasificación de merma | No reintroducir residuos/merma como proceso normativo mediante la evaluación KPI |</w:t>
      </w:r>
    </w:p>
    <w:p>
      <w:pPr>
        <w:spacing w:after="20" w:line="240" w:lineRule="auto"/>
      </w:pPr>
      <w:r>
        <w:rPr>
          <w:rFonts w:ascii="Consolas" w:hAnsi="Consolas"/>
          <w:sz w:val="14"/>
        </w:rPr>
        <w:t>| `GOEI-ISS-015` | C-021–C-024 / doble rol de inocuidad | Preservar la reserva; no decidir arquitectura compensatoria desde B4 |</w:t>
      </w:r>
    </w:p>
    <w:p>
      <w:pPr>
        <w:spacing w:after="20" w:line="240" w:lineRule="auto"/>
      </w:pPr>
      <w:r>
        <w:rPr>
          <w:rFonts w:ascii="Consolas" w:hAnsi="Consolas"/>
          <w:sz w:val="14"/>
        </w:rPr>
        <w:t>| `GOEI-ISS-054` | Cualquier selección por valores concretos FX-1/2/3 | Admitir solo identidad de faceta; impedir valores o categorías inferidas |</w:t>
      </w:r>
    </w:p>
    <w:p>
      <w:pPr>
        <w:spacing w:after="20" w:line="240" w:lineRule="auto"/>
      </w:pPr>
      <w:r>
        <w:rPr>
          <w:rFonts w:ascii="Consolas" w:hAnsi="Consolas"/>
          <w:sz w:val="14"/>
        </w:rPr>
        <w:t>| `GOEI-ISS-008` | Agregación multiunidad/multimarca | Mantener `Establecimiento` como unidad ordinaria; bloquear rollups |</w:t>
      </w:r>
    </w:p>
    <w:p>
      <w:pPr>
        <w:spacing w:after="40"/>
      </w:pPr>
    </w:p>
    <w:p>
      <w:pPr>
        <w:pStyle w:val="Heading3"/>
      </w:pPr>
      <w:r>
        <w:t>6. Solapamientos que requieren tratamiento explícito, no resolución técnica</w:t>
      </w:r>
    </w:p>
    <w:p>
      <w:pPr>
        <w:spacing w:after="40"/>
      </w:pPr>
    </w:p>
    <w:p>
      <w:r>
        <w:t>La matriz deberá incluir una referencia de dependencia para cada relación ya registrada, sin que esta auditoría determine cuál candidato prevalece:</w:t>
      </w:r>
    </w:p>
    <w:p>
      <w:pPr>
        <w:spacing w:after="40"/>
      </w:pPr>
    </w:p>
    <w:p>
      <w:pPr>
        <w:pStyle w:val="ListBullet"/>
      </w:pPr>
      <w:r>
        <w:t>C-028 con C-009 y C-029;</w:t>
      </w:r>
    </w:p>
    <w:p>
      <w:pPr>
        <w:pStyle w:val="ListBullet"/>
      </w:pPr>
      <w:r>
        <w:t>C-012 con C-018;</w:t>
      </w:r>
    </w:p>
    <w:p>
      <w:pPr>
        <w:pStyle w:val="ListBullet"/>
      </w:pPr>
      <w:r>
        <w:t>C-017 con C-018;</w:t>
      </w:r>
    </w:p>
    <w:p>
      <w:pPr>
        <w:pStyle w:val="ListBullet"/>
      </w:pPr>
      <w:r>
        <w:t>C-005 con C-014;</w:t>
      </w:r>
    </w:p>
    <w:p>
      <w:pPr>
        <w:pStyle w:val="ListBullet"/>
      </w:pPr>
      <w:r>
        <w:t>C-008 con C-027;</w:t>
      </w:r>
    </w:p>
    <w:p>
      <w:pPr>
        <w:pStyle w:val="ListBullet"/>
      </w:pPr>
      <w:r>
        <w:t>los dos componentes internos de C-007;</w:t>
      </w:r>
    </w:p>
    <w:p>
      <w:pPr>
        <w:pStyle w:val="ListBullet"/>
      </w:pPr>
      <w:r>
        <w:t>C-008 en P4 y P8.</w:t>
      </w:r>
    </w:p>
    <w:p>
      <w:pPr>
        <w:spacing w:after="40"/>
      </w:pPr>
    </w:p>
    <w:p>
      <w:r>
        <w:t>El Comité deberá decidir científicamente si cada caso constituye duplicidad, inclusión, complementariedad, diferente contexto de uso o necesidad de redefinición. El control mecánico solo exige que ninguna relación desaparezca sin decisión trazable.</w:t>
      </w:r>
    </w:p>
    <w:p>
      <w:pPr>
        <w:spacing w:after="40"/>
      </w:pPr>
    </w:p>
    <w:p>
      <w:pPr>
        <w:pStyle w:val="Heading3"/>
      </w:pPr>
      <w:r>
        <w:t>7. Pruebas automáticas recomendadas para el artefacto B4</w:t>
      </w:r>
    </w:p>
    <w:p>
      <w:pPr>
        <w:spacing w:after="40"/>
      </w:pPr>
    </w:p>
    <w:p>
      <w:pPr>
        <w:spacing w:after="20" w:line="240" w:lineRule="auto"/>
      </w:pPr>
      <w:r>
        <w:rPr>
          <w:rFonts w:ascii="Consolas" w:hAnsi="Consolas"/>
          <w:sz w:val="14"/>
        </w:rPr>
        <w:t>| Código | Aserción |</w:t>
      </w:r>
    </w:p>
    <w:p>
      <w:pPr>
        <w:spacing w:after="20" w:line="240" w:lineRule="auto"/>
      </w:pPr>
      <w:r>
        <w:rPr>
          <w:rFonts w:ascii="Consolas" w:hAnsi="Consolas"/>
          <w:sz w:val="14"/>
        </w:rPr>
        <w:t>|---|---|</w:t>
      </w:r>
    </w:p>
    <w:p>
      <w:pPr>
        <w:spacing w:after="20" w:line="240" w:lineRule="auto"/>
      </w:pPr>
      <w:r>
        <w:rPr>
          <w:rFonts w:ascii="Consolas" w:hAnsi="Consolas"/>
          <w:sz w:val="14"/>
        </w:rPr>
        <w:t>| B4-M01 | Conjunto de IDs evaluados = `{001..031}` |</w:t>
      </w:r>
    </w:p>
    <w:p>
      <w:pPr>
        <w:spacing w:after="20" w:line="240" w:lineRule="auto"/>
      </w:pPr>
      <w:r>
        <w:rPr>
          <w:rFonts w:ascii="Consolas" w:hAnsi="Consolas"/>
          <w:sz w:val="14"/>
        </w:rPr>
        <w:t>| B4-M02 | C-032 no aparece como candidato evaluado |</w:t>
      </w:r>
    </w:p>
    <w:p>
      <w:pPr>
        <w:spacing w:after="20" w:line="240" w:lineRule="auto"/>
      </w:pPr>
      <w:r>
        <w:rPr>
          <w:rFonts w:ascii="Consolas" w:hAnsi="Consolas"/>
          <w:sz w:val="14"/>
        </w:rPr>
        <w:t>| B4-M03 | No existen IDs duplicados o desconocidos |</w:t>
      </w:r>
    </w:p>
    <w:p>
      <w:pPr>
        <w:spacing w:after="20" w:line="240" w:lineRule="auto"/>
      </w:pPr>
      <w:r>
        <w:rPr>
          <w:rFonts w:ascii="Consolas" w:hAnsi="Consolas"/>
          <w:sz w:val="14"/>
        </w:rPr>
        <w:t>| B4-M04 | Cada candidato posee una evaluación por cada criterio aprobado |</w:t>
      </w:r>
    </w:p>
    <w:p>
      <w:pPr>
        <w:spacing w:after="20" w:line="240" w:lineRule="auto"/>
      </w:pPr>
      <w:r>
        <w:rPr>
          <w:rFonts w:ascii="Consolas" w:hAnsi="Consolas"/>
          <w:sz w:val="14"/>
        </w:rPr>
        <w:t>| B4-M05 | Cada evaluación tiene criterio versionado, estado explícito, evidencia, autoridad y decisión |</w:t>
      </w:r>
    </w:p>
    <w:p>
      <w:pPr>
        <w:spacing w:after="20" w:line="240" w:lineRule="auto"/>
      </w:pPr>
      <w:r>
        <w:rPr>
          <w:rFonts w:ascii="Consolas" w:hAnsi="Consolas"/>
          <w:sz w:val="14"/>
        </w:rPr>
        <w:t>| B4-M06 | Cada estado resumido es derivable de evaluaciones detalladas según una regla científica registrada |</w:t>
      </w:r>
    </w:p>
    <w:p>
      <w:pPr>
        <w:spacing w:after="20" w:line="240" w:lineRule="auto"/>
      </w:pPr>
      <w:r>
        <w:rPr>
          <w:rFonts w:ascii="Consolas" w:hAnsi="Consolas"/>
          <w:sz w:val="14"/>
        </w:rPr>
        <w:t>| B4-M07 | Todo Issue aplicable aparece en las filas afectadas y conserva su estado maestro |</w:t>
      </w:r>
    </w:p>
    <w:p>
      <w:pPr>
        <w:spacing w:after="20" w:line="240" w:lineRule="auto"/>
      </w:pPr>
      <w:r>
        <w:rPr>
          <w:rFonts w:ascii="Consolas" w:hAnsi="Consolas"/>
          <w:sz w:val="14"/>
        </w:rPr>
        <w:t>| B4-M08 | Toda fuente es resoluble a una referencia o expediente controlado |</w:t>
      </w:r>
    </w:p>
    <w:p>
      <w:pPr>
        <w:spacing w:after="20" w:line="240" w:lineRule="auto"/>
      </w:pPr>
      <w:r>
        <w:rPr>
          <w:rFonts w:ascii="Consolas" w:hAnsi="Consolas"/>
          <w:sz w:val="14"/>
        </w:rPr>
        <w:t>| B4-M09 | No aparecen campos prohibidos de B5–B8 ni valores concretos de facetas |</w:t>
      </w:r>
    </w:p>
    <w:p>
      <w:pPr>
        <w:spacing w:after="20" w:line="240" w:lineRule="auto"/>
      </w:pPr>
      <w:r>
        <w:rPr>
          <w:rFonts w:ascii="Consolas" w:hAnsi="Consolas"/>
          <w:sz w:val="14"/>
        </w:rPr>
        <w:t>| B4-M10 | Las siete relaciones de solapamiento conservan tratamiento explícito |</w:t>
      </w:r>
    </w:p>
    <w:p>
      <w:pPr>
        <w:spacing w:after="20" w:line="240" w:lineRule="auto"/>
      </w:pPr>
      <w:r>
        <w:rPr>
          <w:rFonts w:ascii="Consolas" w:hAnsi="Consolas"/>
          <w:sz w:val="14"/>
        </w:rPr>
        <w:t>| B4-M11 | Los hashes de la baseline B3 siguen coincidiendo antes y después de B4 |</w:t>
      </w:r>
    </w:p>
    <w:p>
      <w:pPr>
        <w:spacing w:after="20" w:line="240" w:lineRule="auto"/>
      </w:pPr>
      <w:r>
        <w:rPr>
          <w:rFonts w:ascii="Consolas" w:hAnsi="Consolas"/>
          <w:sz w:val="14"/>
        </w:rPr>
        <w:t>| B4-M12 | El artefacto distingue no aplica, no evaluado, evidencia insuficiente, bloqueo y resultado negativo |</w:t>
      </w:r>
    </w:p>
    <w:p>
      <w:pPr>
        <w:spacing w:after="20" w:line="240" w:lineRule="auto"/>
      </w:pPr>
      <w:r>
        <w:rPr>
          <w:rFonts w:ascii="Consolas" w:hAnsi="Consolas"/>
          <w:sz w:val="14"/>
        </w:rPr>
        <w:t>| B4-M13 | No se afirma exhaustividad mientras `GOEI-ISS-055` siga abierto |</w:t>
      </w:r>
    </w:p>
    <w:p>
      <w:pPr>
        <w:spacing w:after="20" w:line="240" w:lineRule="auto"/>
      </w:pPr>
      <w:r>
        <w:rPr>
          <w:rFonts w:ascii="Consolas" w:hAnsi="Consolas"/>
          <w:sz w:val="14"/>
        </w:rPr>
        <w:t>| B4-M14 | Toda salida tiene versión, fecha, autoridad y vínculo a D-018 y a la decisión B4 correspondiente |</w:t>
      </w:r>
    </w:p>
    <w:p>
      <w:pPr>
        <w:spacing w:after="40"/>
      </w:pPr>
    </w:p>
    <w:p>
      <w:pPr>
        <w:pStyle w:val="Heading3"/>
      </w:pPr>
      <w:r>
        <w:t>8. Riesgos técnicos de entrada</w:t>
      </w:r>
    </w:p>
    <w:p>
      <w:pPr>
        <w:spacing w:after="40"/>
      </w:pPr>
    </w:p>
    <w:p>
      <w:pPr>
        <w:pStyle w:val="ListNumber"/>
      </w:pPr>
      <w:r>
        <w:t>Falsa completitud: la cobertura P1–P9 puede interpretarse erróneamente como universo exhaustivo; GOEI-ISS-055 lo impide.</w:t>
      </w:r>
    </w:p>
    <w:p>
      <w:pPr>
        <w:pStyle w:val="ListNumber"/>
      </w:pPr>
      <w:r>
        <w:t>Promoción semántica accidental: el término KPI del nombre del catálogo no convierte los registros candidatos en KPI normativos.</w:t>
      </w:r>
    </w:p>
    <w:p>
      <w:pPr>
        <w:pStyle w:val="ListNumber"/>
      </w:pPr>
      <w:r>
        <w:t>Resultado agregado opaco: una sola celda final sin evaluación criterio–evidencia impediría auditar la decisión.</w:t>
      </w:r>
    </w:p>
    <w:p>
      <w:pPr>
        <w:pStyle w:val="ListNumber"/>
      </w:pPr>
      <w:r>
        <w:t>Pérdida de matiz en bloqueos: tratar todo Issue como bloqueo total ocultaría que las reservas son selectivas.</w:t>
      </w:r>
    </w:p>
    <w:p>
      <w:pPr>
        <w:pStyle w:val="ListNumber"/>
      </w:pPr>
      <w:r>
        <w:t>Duplicación de fuente de verdad: mantener matrices detallada y resumida editables independientemente produciría divergencias.</w:t>
      </w:r>
    </w:p>
    <w:p>
      <w:pPr>
        <w:pStyle w:val="ListNumber"/>
      </w:pPr>
      <w:r>
        <w:t>Contaminación entre fases: introducir referencias, puntuación o ponderación durante admisibilidad anticiparía decisiones no aprobadas.</w:t>
      </w:r>
    </w:p>
    <w:p>
      <w:pPr>
        <w:spacing w:after="40"/>
      </w:pPr>
    </w:p>
    <w:p>
      <w:pPr>
        <w:pStyle w:val="Heading3"/>
      </w:pPr>
      <w:r>
        <w:t>9. Conclusión</w:t>
      </w:r>
    </w:p>
    <w:p>
      <w:pPr>
        <w:spacing w:after="40"/>
      </w:pPr>
    </w:p>
    <w:p>
      <w:r>
        <w:t>B4 está técnicamente preparada para comenzar con los 31 candidatos congelados, siempre que el Comité Científico apruebe primero el método, los criterios y los dominios de resultado. No existe impedimento registral para construir la matriz completa. Los Issues abiertos deben expresarse como bloqueos selectivos por fila o criterio y no como razón para detener la fase entera.</w:t>
      </w:r>
    </w:p>
    <w:p>
      <w:pPr>
        <w:spacing w:after="40"/>
      </w:pPr>
    </w:p>
    <w:p>
      <w:r>
        <w:t>La condición de aceptación técnica del futuro expediente B4 será superar B4-M01–B4-M14, conservar intacta GOEI-BSL-KPI-C-0001 v0.1.0 y demostrar trazabilidad completa desde cada resultado hasta su candidato, criterio, evidencia, autoridad y decisión científica.</w:t>
      </w:r>
    </w:p>
    <w:p>
      <w:r>
        <w:br w:type="page"/>
      </w:r>
    </w:p>
    <w:p>
      <w:pPr>
        <w:pStyle w:val="Heading1"/>
        <w:keepNext/>
      </w:pPr>
      <w:r>
        <w:t>Fuente 11: 00_Gobernanza/coordinacion/auditorias/GTRM/GOEI_AUDIT_0004_DS_GTRM_01_08.md</w:t>
      </w:r>
    </w:p>
    <w:p>
      <w:pPr>
        <w:spacing w:after="200"/>
      </w:pPr>
      <w:r>
        <w:rPr>
          <w:rFonts w:ascii="Consolas" w:hAnsi="Consolas"/>
          <w:color w:val="595959"/>
          <w:sz w:val="16"/>
        </w:rPr>
        <w:t>Ruta: 00_Gobernanza/coordinacion/auditorias/GTRM/GOEI_AUDIT_0004_DS_GTRM_01_08.md</w:t>
        <w:br/>
        <w:t>Tamaño: 3538 bytes</w:t>
        <w:br/>
        <w:t>SHA-256: 1b802c6a5f456672ad3e10b1206884b8b8ea3197ef40dd28673c01009775e921</w:t>
      </w:r>
    </w:p>
    <w:p>
      <w:pPr>
        <w:pStyle w:val="Heading2"/>
      </w:pPr>
      <w:r>
        <w:t>GOEI-AUDIT-0004 — Auditoría técnica de DS-GTRM-01…08</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GOEI-AUDIT-0004 |</w:t>
      </w:r>
    </w:p>
    <w:p>
      <w:pPr>
        <w:spacing w:after="20" w:line="240" w:lineRule="auto"/>
      </w:pPr>
      <w:r>
        <w:rPr>
          <w:rFonts w:ascii="Consolas" w:hAnsi="Consolas"/>
          <w:sz w:val="14"/>
        </w:rPr>
        <w:t>| Fecha | 2026-08-04 |</w:t>
      </w:r>
    </w:p>
    <w:p>
      <w:pPr>
        <w:spacing w:after="20" w:line="240" w:lineRule="auto"/>
      </w:pPr>
      <w:r>
        <w:rPr>
          <w:rFonts w:ascii="Consolas" w:hAnsi="Consolas"/>
          <w:sz w:val="14"/>
        </w:rPr>
        <w:t>| Autoridad | Oficina Técnica GOEI |</w:t>
      </w:r>
    </w:p>
    <w:p>
      <w:pPr>
        <w:spacing w:after="20" w:line="240" w:lineRule="auto"/>
      </w:pPr>
      <w:r>
        <w:rPr>
          <w:rFonts w:ascii="Consolas" w:hAnsi="Consolas"/>
          <w:sz w:val="14"/>
        </w:rPr>
        <w:t>| Objeto | Consistencia, suficiencia formal, trazabilidad y dependencias del paquete científico GTRM |</w:t>
      </w:r>
    </w:p>
    <w:p>
      <w:pPr>
        <w:spacing w:after="20" w:line="240" w:lineRule="auto"/>
      </w:pPr>
      <w:r>
        <w:rPr>
          <w:rFonts w:ascii="Consolas" w:hAnsi="Consolas"/>
          <w:sz w:val="14"/>
        </w:rPr>
        <w:t>| Resultado | Conforme para incorporación como marco científico D-009–D-016, con reserva interpretativa en DS-GTRM-04 |</w:t>
      </w:r>
    </w:p>
    <w:p>
      <w:pPr>
        <w:spacing w:after="20" w:line="240" w:lineRule="auto"/>
      </w:pPr>
      <w:r>
        <w:rPr>
          <w:rFonts w:ascii="Consolas" w:hAnsi="Consolas"/>
          <w:sz w:val="14"/>
        </w:rPr>
        <w:t>| Efecto | Integra decisiones de marco; no emite GTRM, no modifica D-006 y no fija fórmulas, parámetros, tolerancias ni precedencias operativas completas |</w:t>
      </w:r>
    </w:p>
    <w:p>
      <w:pPr>
        <w:spacing w:after="40"/>
      </w:pPr>
    </w:p>
    <w:p>
      <w:pPr>
        <w:pStyle w:val="Heading3"/>
      </w:pPr>
      <w:r>
        <w:t>Dictamen técnico</w:t>
      </w:r>
    </w:p>
    <w:p>
      <w:pPr>
        <w:spacing w:after="40"/>
      </w:pPr>
    </w:p>
    <w:p>
      <w:r>
        <w:t>Los ocho slots tienen identidad, alcance, alternativas, evidencia clasificada, decisión explícita, limitaciones, dependencias, controles y autoridad científica. Son mutuamente consistentes: entrada (01), transformación única (02), referencias (03–04), incertidumbre (05), autoridad y ciclo de vida (06), faltantes/conflictos (07) y equivalencia/reproducibilidad (08) forman una cadena completa sin crear KPI ni instancias GTRM.</w:t>
      </w:r>
    </w:p>
    <w:p>
      <w:pPr>
        <w:spacing w:after="40"/>
      </w:pPr>
    </w:p>
    <w:p>
      <w:r>
        <w:t>La incorporación es suficiente como contrato arquitectónico, no como autorización para producir puntuaciones. Continúan diferidos a B2/B4/B5/B6 los dominios reales, admisibilidad, métodos de medición, funciones, parámetros, umbrales, tolerancias y reglas operativas por familia.</w:t>
      </w:r>
    </w:p>
    <w:p>
      <w:pPr>
        <w:spacing w:after="40"/>
      </w:pPr>
    </w:p>
    <w:p>
      <w:pPr>
        <w:pStyle w:val="Heading3"/>
      </w:pPr>
      <w:r>
        <w:t>Reserva interpretativa controlada</w:t>
      </w:r>
    </w:p>
    <w:p>
      <w:pPr>
        <w:spacing w:after="40"/>
      </w:pPr>
    </w:p>
    <w:p>
      <w:r>
        <w:t>DS-GTRM-04 distingue correctamente los dominios y prohíbe selección inferida. La frase “regla candidata” sobre autoridad legal se incorpora solo en este alcance:</w:t>
      </w:r>
    </w:p>
    <w:p>
      <w:pPr>
        <w:spacing w:after="40"/>
      </w:pPr>
    </w:p>
    <w:p>
      <w:pPr>
        <w:pStyle w:val="ListNumber"/>
      </w:pPr>
      <w:r>
        <w:t>los requisitos regulatorios y jurisdiccionales aplicables son obligatorios y, cuando protegen inocuidad o legalidad, operan como compuertas no compensables conforme AX-4;</w:t>
      </w:r>
    </w:p>
    <w:p>
      <w:pPr>
        <w:pStyle w:val="ListNumber"/>
      </w:pPr>
      <w:r>
        <w:t>esto no establece una jerarquía total entre referencia universal, sectorial, empírica o categorial;</w:t>
      </w:r>
    </w:p>
    <w:p>
      <w:pPr>
        <w:pStyle w:val="ListNumber"/>
      </w:pPr>
      <w:r>
        <w:t>toda precedencia operativa restante requiere acto científico trazable en B2/B4 y no puede ser inferida por software.</w:t>
      </w:r>
    </w:p>
    <w:p>
      <w:pPr>
        <w:spacing w:after="40"/>
      </w:pPr>
    </w:p>
    <w:p>
      <w:r>
        <w:t>Esta precisión evita convertir una candidatura en una precedencia concreta no aprobada, sin alterar la conclusión científica estable.</w:t>
      </w:r>
    </w:p>
    <w:p>
      <w:pPr>
        <w:spacing w:after="40"/>
      </w:pPr>
    </w:p>
    <w:p>
      <w:pPr>
        <w:pStyle w:val="Heading3"/>
      </w:pPr>
      <w:r>
        <w:t>Trazabilidad y cierre de Issues</w:t>
      </w:r>
    </w:p>
    <w:p>
      <w:pPr>
        <w:spacing w:after="40"/>
      </w:pPr>
    </w:p>
    <w:p>
      <w:pPr>
        <w:spacing w:after="20" w:line="240" w:lineRule="auto"/>
      </w:pPr>
      <w:r>
        <w:rPr>
          <w:rFonts w:ascii="Consolas" w:hAnsi="Consolas"/>
          <w:sz w:val="14"/>
        </w:rPr>
        <w:t>| Slot | Decisión asignada | Issue resuelto | Dependencia residual |</w:t>
      </w:r>
    </w:p>
    <w:p>
      <w:pPr>
        <w:spacing w:after="20" w:line="240" w:lineRule="auto"/>
      </w:pPr>
      <w:r>
        <w:rPr>
          <w:rFonts w:ascii="Consolas" w:hAnsi="Consolas"/>
          <w:sz w:val="14"/>
        </w:rPr>
        <w:t>|---|---|---|---|</w:t>
      </w:r>
    </w:p>
    <w:p>
      <w:pPr>
        <w:spacing w:after="20" w:line="240" w:lineRule="auto"/>
      </w:pPr>
      <w:r>
        <w:rPr>
          <w:rFonts w:ascii="Consolas" w:hAnsi="Consolas"/>
          <w:sz w:val="14"/>
        </w:rPr>
        <w:t>| DS-GTRM-01 | D-009 | GOEI-ISS-045 | B4/B5: regla de derivación y admisibilidad del valor KPI |</w:t>
      </w:r>
    </w:p>
    <w:p>
      <w:pPr>
        <w:spacing w:after="20" w:line="240" w:lineRule="auto"/>
      </w:pPr>
      <w:r>
        <w:rPr>
          <w:rFonts w:ascii="Consolas" w:hAnsi="Consolas"/>
          <w:sz w:val="14"/>
        </w:rPr>
        <w:t>| DS-GTRM-02 | D-010 | GOEI-ISS-046 | B6: familias funcionales y parámetros |</w:t>
      </w:r>
    </w:p>
    <w:p>
      <w:pPr>
        <w:spacing w:after="20" w:line="240" w:lineRule="auto"/>
      </w:pPr>
      <w:r>
        <w:rPr>
          <w:rFonts w:ascii="Consolas" w:hAnsi="Consolas"/>
          <w:sz w:val="14"/>
        </w:rPr>
        <w:t>| DS-GTRM-03 | D-011 | GOEI-ISS-047 | B5: protocolo benchmark→referencia |</w:t>
      </w:r>
    </w:p>
    <w:p>
      <w:pPr>
        <w:spacing w:after="20" w:line="240" w:lineRule="auto"/>
      </w:pPr>
      <w:r>
        <w:rPr>
          <w:rFonts w:ascii="Consolas" w:hAnsi="Consolas"/>
          <w:sz w:val="14"/>
        </w:rPr>
        <w:t>| DS-GTRM-04 | D-012 | GOEI-ISS-048 | B2/B4: precedencia operativa no inferida |</w:t>
      </w:r>
    </w:p>
    <w:p>
      <w:pPr>
        <w:spacing w:after="20" w:line="240" w:lineRule="auto"/>
      </w:pPr>
      <w:r>
        <w:rPr>
          <w:rFonts w:ascii="Consolas" w:hAnsi="Consolas"/>
          <w:sz w:val="14"/>
        </w:rPr>
        <w:t>| DS-GTRM-05 | D-013 | GOEI-ISS-049 | B5: método, intervalos y suficiencia por familia |</w:t>
      </w:r>
    </w:p>
    <w:p>
      <w:pPr>
        <w:spacing w:after="20" w:line="240" w:lineRule="auto"/>
      </w:pPr>
      <w:r>
        <w:rPr>
          <w:rFonts w:ascii="Consolas" w:hAnsi="Consolas"/>
          <w:sz w:val="14"/>
        </w:rPr>
        <w:t>| DS-GTRM-06 | D-014 | GOEI-ISS-050 | GOEI-ISS-003: órganos definitivos de gobernanza |</w:t>
      </w:r>
    </w:p>
    <w:p>
      <w:pPr>
        <w:spacing w:after="20" w:line="240" w:lineRule="auto"/>
      </w:pPr>
      <w:r>
        <w:rPr>
          <w:rFonts w:ascii="Consolas" w:hAnsi="Consolas"/>
          <w:sz w:val="14"/>
        </w:rPr>
        <w:t>| DS-GTRM-07 | D-015 | GOEI-ISS-051 | B4/B7/B8: estados operativos y resultados parciales |</w:t>
      </w:r>
    </w:p>
    <w:p>
      <w:pPr>
        <w:spacing w:after="20" w:line="240" w:lineRule="auto"/>
      </w:pPr>
      <w:r>
        <w:rPr>
          <w:rFonts w:ascii="Consolas" w:hAnsi="Consolas"/>
          <w:sz w:val="14"/>
        </w:rPr>
        <w:t>| DS-GTRM-08 | D-016 | GOEI-ISS-052 | B5/B6/B9: tolerancia y casos por familia |</w:t>
      </w:r>
    </w:p>
    <w:p>
      <w:pPr>
        <w:spacing w:after="40"/>
      </w:pPr>
    </w:p>
    <w:p>
      <w:r>
        <w:t>Cerrar estos Issues significa responder sus preguntas de marco. No cierra las dependencias residuales ni habilita instancias GTRM.</w:t>
      </w:r>
    </w:p>
    <w:p>
      <w:pPr>
        <w:spacing w:after="40"/>
      </w:pPr>
    </w:p>
    <w:p>
      <w:pPr>
        <w:pStyle w:val="Heading3"/>
      </w:pPr>
      <w:r>
        <w:t>Control D-006</w:t>
      </w:r>
    </w:p>
    <w:p>
      <w:pPr>
        <w:spacing w:after="40"/>
      </w:pPr>
    </w:p>
    <w:p>
      <w:r>
        <w:t>Se abre GOEI-ISS-053 para gestionar una futura versión ontológica. D-006 Ontology Baseline v0.1 permanece inmutable. La especificación candidata v0.2.0-candidate es un análisis de delta, no una baseline ni un componente vigente.</w:t>
      </w:r>
    </w:p>
    <w:p>
      <w:pPr>
        <w:spacing w:after="40"/>
      </w:pPr>
    </w:p>
    <w:p>
      <w:pPr>
        <w:pStyle w:val="Heading3"/>
      </w:pPr>
      <w:r>
        <w:t>Conclusión</w:t>
      </w:r>
    </w:p>
    <w:p>
      <w:pPr>
        <w:spacing w:after="40"/>
      </w:pPr>
    </w:p>
    <w:p>
      <w:r>
        <w:t>El paquete es técnicamente conforme para registrar D-009–D-016. La arquitectura B5/B6 puede prepararse como candidata. La emisión de GTRM reales y cualquier modificación normativa permanecen bloqueadas por sus compuertas científicas específicas.</w:t>
      </w:r>
    </w:p>
    <w:p>
      <w:r>
        <w:br w:type="page"/>
      </w:r>
    </w:p>
    <w:p>
      <w:pPr>
        <w:pStyle w:val="Heading1"/>
        <w:keepNext/>
      </w:pPr>
      <w:r>
        <w:t>Fuente 12: 00_Gobernanza/coordinacion/auditorias/GTRM/GOEI_GTRM_AUDITORIA_ARQUITECTONICA.md</w:t>
      </w:r>
    </w:p>
    <w:p>
      <w:pPr>
        <w:spacing w:after="200"/>
      </w:pPr>
      <w:r>
        <w:rPr>
          <w:rFonts w:ascii="Consolas" w:hAnsi="Consolas"/>
          <w:color w:val="595959"/>
          <w:sz w:val="16"/>
        </w:rPr>
        <w:t>Ruta: 00_Gobernanza/coordinacion/auditorias/GTRM/GOEI_GTRM_AUDITORIA_ARQUITECTONICA.md</w:t>
        <w:br/>
        <w:t>Tamaño: 20806 bytes</w:t>
        <w:br/>
        <w:t>SHA-256: ff85e13f172c9f3e353a9e05cb41357ba28fb7068ad4135faf5441f4af9ce415</w:t>
      </w:r>
    </w:p>
    <w:p>
      <w:pPr>
        <w:pStyle w:val="Heading2"/>
      </w:pPr>
      <w:r>
        <w:t>Auditoría arquitectónica de la propuesta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GOEI-GTRM-AUD-ARCH-0001 |</w:t>
      </w:r>
    </w:p>
    <w:p>
      <w:pPr>
        <w:spacing w:after="20" w:line="240" w:lineRule="auto"/>
      </w:pPr>
      <w:r>
        <w:rPr>
          <w:rFonts w:ascii="Consolas" w:hAnsi="Consolas"/>
          <w:sz w:val="14"/>
        </w:rPr>
        <w:t>| Tipo | Auditoría técnica y de arquitectura de conocimiento |</w:t>
      </w:r>
    </w:p>
    <w:p>
      <w:pPr>
        <w:spacing w:after="20" w:line="240" w:lineRule="auto"/>
      </w:pPr>
      <w:r>
        <w:rPr>
          <w:rFonts w:ascii="Consolas" w:hAnsi="Consolas"/>
          <w:sz w:val="14"/>
        </w:rPr>
        <w:t>| Estado | Informe consultivo; sin efecto normativo |</w:t>
      </w:r>
    </w:p>
    <w:p>
      <w:pPr>
        <w:spacing w:after="20" w:line="240" w:lineRule="auto"/>
      </w:pPr>
      <w:r>
        <w:rPr>
          <w:rFonts w:ascii="Consolas" w:hAnsi="Consolas"/>
          <w:sz w:val="14"/>
        </w:rPr>
        <w:t>| Objeto | Propuesta GOEI Technical Reference Matrix (GTRM) |</w:t>
      </w:r>
    </w:p>
    <w:p>
      <w:pPr>
        <w:spacing w:after="20" w:line="240" w:lineRule="auto"/>
      </w:pPr>
      <w:r>
        <w:rPr>
          <w:rFonts w:ascii="Consolas" w:hAnsi="Consolas"/>
          <w:sz w:val="14"/>
        </w:rPr>
        <w:t>| Responsable | Oficina Técnica GOEI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Autoridad de aprobación | Dirección General, conforme a GOEI-GOV-RACI-0001 |</w:t>
      </w:r>
    </w:p>
    <w:p>
      <w:pPr>
        <w:spacing w:after="20" w:line="240" w:lineRule="auto"/>
      </w:pPr>
      <w:r>
        <w:rPr>
          <w:rFonts w:ascii="Consolas" w:hAnsi="Consolas"/>
          <w:sz w:val="14"/>
        </w:rPr>
        <w:t>| Baseline protegida | Ontology Baseline v0.1 |</w:t>
      </w:r>
    </w:p>
    <w:p>
      <w:pPr>
        <w:spacing w:after="20" w:line="240" w:lineRule="auto"/>
      </w:pPr>
      <w:r>
        <w:rPr>
          <w:rFonts w:ascii="Consolas" w:hAnsi="Consolas"/>
          <w:sz w:val="14"/>
        </w:rPr>
        <w:t>| Exclusiones | Validez científica, selección de referencias, KPI, fórmulas, parámetros, umbrales, tolerancias y dictamen A/B/C |</w:t>
      </w:r>
    </w:p>
    <w:p>
      <w:pPr>
        <w:spacing w:after="40"/>
      </w:pPr>
    </w:p>
    <w:p>
      <w:pPr>
        <w:pStyle w:val="Heading3"/>
      </w:pPr>
      <w:r>
        <w:t>1. Propósito y límites</w:t>
      </w:r>
    </w:p>
    <w:p>
      <w:pPr>
        <w:spacing w:after="40"/>
      </w:pPr>
    </w:p>
    <w:p>
      <w:r>
        <w:t>Este informe determina qué contratos de información, trazabilidad, versión, aplicación manual y software serían necesarios si una decisión científica posterior aceptara alguna forma de GTRM. No incorpora la GTRM al estándar, no modifica D-006/D-006-REV, no cierra B5 o B6 y no presupone que toda referencia deba ser específica por categoría.</w:t>
      </w:r>
    </w:p>
    <w:p>
      <w:pPr>
        <w:spacing w:after="40"/>
      </w:pPr>
    </w:p>
    <w:p>
      <w:r>
        <w:t>Las definiciones siguientes son distinciones arquitectónicas provisionales: delimitan objetos que un sistema debe poder identificar sin afirmar cómo deben construirse científicamente. Cuando contradicen o refinan la agrupación Observación / Medición de D-006, su incorporación exige Issue formal, decisión competente y nueva versión de la ontología.</w:t>
      </w:r>
    </w:p>
    <w:p>
      <w:pPr>
        <w:spacing w:after="40"/>
      </w:pPr>
    </w:p>
    <w:p>
      <w:pPr>
        <w:pStyle w:val="Heading3"/>
      </w:pPr>
      <w:r>
        <w:t>2. Glosario conceptual provisional</w:t>
      </w:r>
    </w:p>
    <w:p>
      <w:pPr>
        <w:spacing w:after="40"/>
      </w:pPr>
    </w:p>
    <w:p>
      <w:pPr>
        <w:spacing w:after="20" w:line="240" w:lineRule="auto"/>
      </w:pPr>
      <w:r>
        <w:rPr>
          <w:rFonts w:ascii="Consolas" w:hAnsi="Consolas"/>
          <w:sz w:val="14"/>
        </w:rPr>
        <w:t>| Concepto | Delimitación arquitectónica provisional | Entrada/salida o vínculo | Estado de autoridad |</w:t>
      </w:r>
    </w:p>
    <w:p>
      <w:pPr>
        <w:spacing w:after="20" w:line="240" w:lineRule="auto"/>
      </w:pPr>
      <w:r>
        <w:rPr>
          <w:rFonts w:ascii="Consolas" w:hAnsi="Consolas"/>
          <w:sz w:val="14"/>
        </w:rPr>
        <w:t>|---|---|---|---|</w:t>
      </w:r>
    </w:p>
    <w:p>
      <w:pPr>
        <w:spacing w:after="20" w:line="240" w:lineRule="auto"/>
      </w:pPr>
      <w:r>
        <w:rPr>
          <w:rFonts w:ascii="Consolas" w:hAnsi="Consolas"/>
          <w:sz w:val="14"/>
        </w:rPr>
        <w:t>| Fenómeno real | Entidad, cualidad, estado o evento del dominio que existe con independencia de su registro. | Es objeto de una observación. | Compatible con el estrato Realidad de D-006-REV. |</w:t>
      </w:r>
    </w:p>
    <w:p>
      <w:pPr>
        <w:spacing w:after="20" w:line="240" w:lineRule="auto"/>
      </w:pPr>
      <w:r>
        <w:rPr>
          <w:rFonts w:ascii="Consolas" w:hAnsi="Consolas"/>
          <w:sz w:val="14"/>
        </w:rPr>
        <w:t>| Observación | Acto situado mediante el cual un agente o sistema observa un fenómeno, asociado a entidad, proceso, evento y periodo. | Genera o motiva una medición registrada. | D-006 agrupa observación/medición; separar el acto requiere decisión. |</w:t>
      </w:r>
    </w:p>
    <w:p>
      <w:pPr>
        <w:spacing w:after="20" w:line="240" w:lineRule="auto"/>
      </w:pPr>
      <w:r>
        <w:rPr>
          <w:rFonts w:ascii="Consolas" w:hAnsi="Consolas"/>
          <w:sz w:val="14"/>
        </w:rPr>
        <w:t>| Medición registrada | Artefacto informacional que conserva el dato capturado, unidad, instrumento, método, agente, tiempo, procedencia y estado de calidad. No es el fenómeno ni el acto. | Representa el resultado registrado de una observación; alimenta el cálculo de KPI. | Entidad candidata; decisión requerida para incorporarla a D-006. |</w:t>
      </w:r>
    </w:p>
    <w:p>
      <w:pPr>
        <w:spacing w:after="20" w:line="240" w:lineRule="auto"/>
      </w:pPr>
      <w:r>
        <w:rPr>
          <w:rFonts w:ascii="Consolas" w:hAnsi="Consolas"/>
          <w:sz w:val="14"/>
        </w:rPr>
        <w:t>| Valor de KPI | Resultado informacional derivado de mediciones registradas mediante una definición y regla de cálculo versionadas. | Entrada candidata de una función de puntuación; conserva derivación. | Compatible con la distinción KPI-def/token de D-006; contrato detallado pendiente. |</w:t>
      </w:r>
    </w:p>
    <w:p>
      <w:pPr>
        <w:spacing w:after="20" w:line="240" w:lineRule="auto"/>
      </w:pPr>
      <w:r>
        <w:rPr>
          <w:rFonts w:ascii="Consolas" w:hAnsi="Consolas"/>
          <w:sz w:val="14"/>
        </w:rPr>
        <w:t>| Condición de referencia | Especificación de un estado o patrón contra el cual puede evaluarse un valor de KPI. | Puede parametrizar o restringir una función de puntuación. | Reconocida por D-004/D-006; contenido y alcance pendientes de B5. |</w:t>
      </w:r>
    </w:p>
    <w:p>
      <w:pPr>
        <w:spacing w:after="20" w:line="240" w:lineRule="auto"/>
      </w:pPr>
      <w:r>
        <w:rPr>
          <w:rFonts w:ascii="Consolas" w:hAnsi="Consolas"/>
          <w:sz w:val="14"/>
        </w:rPr>
        <w:t>| Benchmark | Artefacto comparativo obtenido o declarado para una población, categoría, jurisdicción y periodo determinados, con método, fuentes y vigencia. | Puede aportar evidencia o parámetros a una condición de referencia. | Distinción candidata; relación exacta requiere decisión científica. |</w:t>
      </w:r>
    </w:p>
    <w:p>
      <w:pPr>
        <w:spacing w:after="20" w:line="240" w:lineRule="auto"/>
      </w:pPr>
      <w:r>
        <w:rPr>
          <w:rFonts w:ascii="Consolas" w:hAnsi="Consolas"/>
          <w:sz w:val="14"/>
        </w:rPr>
        <w:t>| Función de puntuación | Especificación versionada de una transformación con dominio, codominio, entradas, parámetros, comportamiento frontera, precisión y errores. | Recibe el tipo de entrada que apruebe el Comité y produce una salida declarada. | B6; inexistente como contenido aprobado. |</w:t>
      </w:r>
    </w:p>
    <w:p>
      <w:pPr>
        <w:spacing w:after="20" w:line="240" w:lineRule="auto"/>
      </w:pPr>
      <w:r>
        <w:rPr>
          <w:rFonts w:ascii="Consolas" w:hAnsi="Consolas"/>
          <w:sz w:val="14"/>
        </w:rPr>
        <w:t>| Normalización | Operación aprobada destinada a expresar resultados heterogéneos en una escala común. | Puede coincidir con la función de puntuación o ser posterior; la arquitectura no puede decidirlo. | B6; decisión requerida. |</w:t>
      </w:r>
    </w:p>
    <w:p>
      <w:pPr>
        <w:spacing w:after="20" w:line="240" w:lineRule="auto"/>
      </w:pPr>
      <w:r>
        <w:rPr>
          <w:rFonts w:ascii="Consolas" w:hAnsi="Consolas"/>
          <w:sz w:val="14"/>
        </w:rPr>
        <w:t>| Puntuación normalizada | Registro de salida de una transformación aprobada, unido a su entrada, función, parámetros, baseline, precisión e incertidumbre. | Alimentaría agregación únicamente cuando sea válida y aprobada. | Entidad candidata dependiente de B6. |</w:t>
      </w:r>
    </w:p>
    <w:p>
      <w:pPr>
        <w:spacing w:after="20" w:line="240" w:lineRule="auto"/>
      </w:pPr>
      <w:r>
        <w:rPr>
          <w:rFonts w:ascii="Consolas" w:hAnsi="Consolas"/>
          <w:sz w:val="14"/>
        </w:rPr>
        <w:t>| Tabla de consulta manual | Representación controlada y versionada de una especificación de transformación para uso en papel. | Debe ser derivada y equivalente a la misma fuente normativa que el software. | Artefacto técnico candidato; no es autoridad científica independiente. |</w:t>
      </w:r>
    </w:p>
    <w:p>
      <w:pPr>
        <w:spacing w:after="20" w:line="240" w:lineRule="auto"/>
      </w:pPr>
      <w:r>
        <w:rPr>
          <w:rFonts w:ascii="Consolas" w:hAnsi="Consolas"/>
          <w:sz w:val="14"/>
        </w:rPr>
        <w:t>| Interpretación | Especificación que asigna significado permitido y límites de inferencia a una salida. | Consume resultados válidos; no altera retrospectivamente el cálculo. | B8; sin contenido aprobado. |</w:t>
      </w:r>
    </w:p>
    <w:p>
      <w:pPr>
        <w:spacing w:after="20" w:line="240" w:lineRule="auto"/>
      </w:pPr>
      <w:r>
        <w:rPr>
          <w:rFonts w:ascii="Consolas" w:hAnsi="Consolas"/>
          <w:sz w:val="14"/>
        </w:rPr>
        <w:t>| GTRM | Contenedor candidato que podría reunir referencias, parámetros, transformación, representación manual y procedencia, según futura decisión. | Su frontera exacta depende de si produce parámetros o puntuación normalizada. | Hipótesis sometida a auditoría; no es componente GOEI vigente. |</w:t>
      </w:r>
    </w:p>
    <w:p>
      <w:pPr>
        <w:spacing w:after="40"/>
      </w:pPr>
    </w:p>
    <w:p>
      <w:pPr>
        <w:pStyle w:val="Heading4"/>
      </w:pPr>
      <w:r>
        <w:t>2.1 Invariantes terminológicos candidatos</w:t>
      </w:r>
    </w:p>
    <w:p>
      <w:pPr>
        <w:spacing w:after="40"/>
      </w:pPr>
    </w:p>
    <w:p>
      <w:pPr>
        <w:pStyle w:val="ListNumber"/>
      </w:pPr>
      <w:r>
        <w:t>Una observación no es intercambiable con su medición registrada.</w:t>
      </w:r>
    </w:p>
    <w:p>
      <w:pPr>
        <w:pStyle w:val="ListNumber"/>
      </w:pPr>
      <w:r>
        <w:t>Una medición registrada no es un valor de KPI salvo que una regla aprobada declare identidad entre ambos.</w:t>
      </w:r>
    </w:p>
    <w:p>
      <w:pPr>
        <w:pStyle w:val="ListNumber"/>
      </w:pPr>
      <w:r>
        <w:t>Un benchmark no adquiere por existir el carácter de condición normativa de referencia.</w:t>
      </w:r>
    </w:p>
    <w:p>
      <w:pPr>
        <w:pStyle w:val="ListNumber"/>
      </w:pPr>
      <w:r>
        <w:t>Una tabla manual no constituye una segunda función ni una fuente normativa autónoma.</w:t>
      </w:r>
    </w:p>
    <w:p>
      <w:pPr>
        <w:pStyle w:val="ListNumber"/>
      </w:pPr>
      <w:r>
        <w:t>Una puntuación normalizada siempre referencia la versión exacta de la transformación que la produjo.</w:t>
      </w:r>
    </w:p>
    <w:p>
      <w:pPr>
        <w:pStyle w:val="ListNumber"/>
      </w:pPr>
      <w:r>
        <w:t>La interpretación no corrige, completa ni autoriza una transformación incompleta.</w:t>
      </w:r>
    </w:p>
    <w:p>
      <w:pPr>
        <w:spacing w:after="40"/>
      </w:pPr>
    </w:p>
    <w:p>
      <w:pPr>
        <w:pStyle w:val="Heading3"/>
      </w:pPr>
      <w:r>
        <w:t>3. Flujo y procedencia</w:t>
      </w:r>
    </w:p>
    <w:p>
      <w:pPr>
        <w:spacing w:after="40"/>
      </w:pPr>
    </w:p>
    <w:p>
      <w:pPr>
        <w:spacing w:after="20" w:line="240" w:lineRule="auto"/>
        <w:ind w:left="259"/>
      </w:pPr>
      <w:r>
        <w:rPr>
          <w:rFonts w:ascii="Consolas" w:hAnsi="Consolas"/>
          <w:sz w:val="15"/>
        </w:rPr>
        <w:t>flowchart LR</w:t>
      </w:r>
    </w:p>
    <w:p>
      <w:pPr>
        <w:spacing w:after="20" w:line="240" w:lineRule="auto"/>
        <w:ind w:left="259"/>
      </w:pPr>
      <w:r>
        <w:rPr>
          <w:rFonts w:ascii="Consolas" w:hAnsi="Consolas"/>
          <w:sz w:val="15"/>
        </w:rPr>
        <w:t xml:space="preserve">    FR["Fenómeno real"] --&gt;|objeto de| OBS["Observación"]</w:t>
      </w:r>
    </w:p>
    <w:p>
      <w:pPr>
        <w:spacing w:after="20" w:line="240" w:lineRule="auto"/>
        <w:ind w:left="259"/>
      </w:pPr>
      <w:r>
        <w:rPr>
          <w:rFonts w:ascii="Consolas" w:hAnsi="Consolas"/>
          <w:sz w:val="15"/>
        </w:rPr>
        <w:t xml:space="preserve">    OBS --&gt;|genera registro| MR["Medición registrada"]</w:t>
      </w:r>
    </w:p>
    <w:p>
      <w:pPr>
        <w:spacing w:after="20" w:line="240" w:lineRule="auto"/>
        <w:ind w:left="259"/>
      </w:pPr>
      <w:r>
        <w:rPr>
          <w:rFonts w:ascii="Consolas" w:hAnsi="Consolas"/>
          <w:sz w:val="15"/>
        </w:rPr>
        <w:t xml:space="preserve">    MR --&gt;|derivada mediante KPI-def y regla| VK["Valor de KPI"]</w:t>
      </w:r>
    </w:p>
    <w:p>
      <w:pPr>
        <w:spacing w:after="20" w:line="240" w:lineRule="auto"/>
        <w:ind w:left="259"/>
      </w:pPr>
      <w:r>
        <w:rPr>
          <w:rFonts w:ascii="Consolas" w:hAnsi="Consolas"/>
          <w:sz w:val="15"/>
        </w:rPr>
        <w:t xml:space="preserve">    CR["Condición de referencia"] --&gt; FP["Función de puntuación"]</w:t>
      </w:r>
    </w:p>
    <w:p>
      <w:pPr>
        <w:spacing w:after="20" w:line="240" w:lineRule="auto"/>
        <w:ind w:left="259"/>
      </w:pPr>
      <w:r>
        <w:rPr>
          <w:rFonts w:ascii="Consolas" w:hAnsi="Consolas"/>
          <w:sz w:val="15"/>
        </w:rPr>
        <w:t xml:space="preserve">    BM["Benchmark"] --&gt;|evidencia o parametriza, por decidir| CR</w:t>
      </w:r>
    </w:p>
    <w:p>
      <w:pPr>
        <w:spacing w:after="20" w:line="240" w:lineRule="auto"/>
        <w:ind w:left="259"/>
      </w:pPr>
      <w:r>
        <w:rPr>
          <w:rFonts w:ascii="Consolas" w:hAnsi="Consolas"/>
          <w:sz w:val="15"/>
        </w:rPr>
        <w:t xml:space="preserve">    VK --&gt; FP</w:t>
      </w:r>
    </w:p>
    <w:p>
      <w:pPr>
        <w:spacing w:after="20" w:line="240" w:lineRule="auto"/>
        <w:ind w:left="259"/>
      </w:pPr>
      <w:r>
        <w:rPr>
          <w:rFonts w:ascii="Consolas" w:hAnsi="Consolas"/>
          <w:sz w:val="15"/>
        </w:rPr>
        <w:t xml:space="preserve">    FP --&gt; PN["Puntuación normalizada"]</w:t>
      </w:r>
    </w:p>
    <w:p>
      <w:pPr>
        <w:spacing w:after="20" w:line="240" w:lineRule="auto"/>
        <w:ind w:left="259"/>
      </w:pPr>
      <w:r>
        <w:rPr>
          <w:rFonts w:ascii="Consolas" w:hAnsi="Consolas"/>
          <w:sz w:val="15"/>
        </w:rPr>
        <w:t xml:space="preserve">    FP -. misma especificación .-&gt; TM["Tabla de consulta manual"]</w:t>
      </w:r>
    </w:p>
    <w:p>
      <w:pPr>
        <w:spacing w:after="20" w:line="240" w:lineRule="auto"/>
        <w:ind w:left="259"/>
      </w:pPr>
      <w:r>
        <w:rPr>
          <w:rFonts w:ascii="Consolas" w:hAnsi="Consolas"/>
          <w:sz w:val="15"/>
        </w:rPr>
        <w:t xml:space="preserve">    FP -. misma especificación .-&gt; SW["Implementación software"]</w:t>
      </w:r>
    </w:p>
    <w:p>
      <w:pPr>
        <w:spacing w:after="20" w:line="240" w:lineRule="auto"/>
        <w:ind w:left="259"/>
      </w:pPr>
      <w:r>
        <w:rPr>
          <w:rFonts w:ascii="Consolas" w:hAnsi="Consolas"/>
          <w:sz w:val="15"/>
        </w:rPr>
        <w:t xml:space="preserve">    PN --&gt; AG["Agregación GOEI"]</w:t>
      </w:r>
    </w:p>
    <w:p>
      <w:pPr>
        <w:spacing w:after="20" w:line="240" w:lineRule="auto"/>
        <w:ind w:left="259"/>
      </w:pPr>
      <w:r>
        <w:rPr>
          <w:rFonts w:ascii="Consolas" w:hAnsi="Consolas"/>
          <w:sz w:val="15"/>
        </w:rPr>
        <w:t xml:space="preserve">    AG --&gt; INT["Interpretación"]</w:t>
      </w:r>
    </w:p>
    <w:p>
      <w:pPr>
        <w:spacing w:after="40"/>
      </w:pPr>
    </w:p>
    <w:p>
      <w:r>
        <w:t>El punto de entrada de una futura GTRM queda deliberadamente sin resolver. Arquitectónicamente se recomienda que una transformación opere sobre un Valor de KPI calculado y trazable, no sobre observaciones heterogéneas; sin embargo, convertir esta recomendación en regla exige decisión científica. Si una GTRM produjera ya la Puntuación normalizada, aplicar después otra normalización sería doble transformación salvo que la decisión B6 defina funciones distintas con propósitos, dominios y codominios explícitos.</w:t>
      </w:r>
    </w:p>
    <w:p>
      <w:pPr>
        <w:spacing w:after="40"/>
      </w:pPr>
    </w:p>
    <w:p>
      <w:pPr>
        <w:pStyle w:val="Heading4"/>
      </w:pPr>
      <w:r>
        <w:t>3.1 Procedencia mínima por resultado</w:t>
      </w:r>
    </w:p>
    <w:p>
      <w:pPr>
        <w:spacing w:after="40"/>
      </w:pPr>
    </w:p>
    <w:p>
      <w:r>
        <w:t>Toda salida reproducible debería enlazar, como mínimo:</w:t>
      </w:r>
    </w:p>
    <w:p>
      <w:pPr>
        <w:spacing w:after="40"/>
      </w:pPr>
    </w:p>
    <w:p>
      <w:pPr>
        <w:pStyle w:val="ListBullet"/>
      </w:pPr>
      <w:r>
        <w:t>evaluación, establecimiento y periodo;</w:t>
      </w:r>
    </w:p>
    <w:p>
      <w:pPr>
        <w:pStyle w:val="ListBullet"/>
      </w:pPr>
      <w:r>
        <w:t>observación, medición registrada y evidencia original;</w:t>
      </w:r>
    </w:p>
    <w:p>
      <w:pPr>
        <w:pStyle w:val="ListBullet"/>
      </w:pPr>
      <w:r>
        <w:t>definición y versión del KPI;</w:t>
      </w:r>
    </w:p>
    <w:p>
      <w:pPr>
        <w:pStyle w:val="ListBullet"/>
      </w:pPr>
      <w:r>
        <w:t>regla de cálculo del valor KPI;</w:t>
      </w:r>
    </w:p>
    <w:p>
      <w:pPr>
        <w:pStyle w:val="ListBullet"/>
      </w:pPr>
      <w:r>
        <w:t>condición de referencia y benchmark, cuando sean aplicables;</w:t>
      </w:r>
    </w:p>
    <w:p>
      <w:pPr>
        <w:pStyle w:val="ListBullet"/>
      </w:pPr>
      <w:r>
        <w:t>función, parámetros, GTRM y baseline exactos;</w:t>
      </w:r>
    </w:p>
    <w:p>
      <w:pPr>
        <w:pStyle w:val="ListBullet"/>
      </w:pPr>
      <w:r>
        <w:t>política de precisión y redondeo;</w:t>
      </w:r>
    </w:p>
    <w:p>
      <w:pPr>
        <w:pStyle w:val="ListBullet"/>
      </w:pPr>
      <w:r>
        <w:t>implementación utilizada —tabla manual o software—;</w:t>
      </w:r>
    </w:p>
    <w:p>
      <w:pPr>
        <w:pStyle w:val="ListBullet"/>
      </w:pPr>
      <w:r>
        <w:t>agente o sistema ejecutor, fecha y estado de calidad/incertidumbre.</w:t>
      </w:r>
    </w:p>
    <w:p>
      <w:pPr>
        <w:spacing w:after="40"/>
      </w:pPr>
    </w:p>
    <w:p>
      <w:r>
        <w:t>AX-11 continúa gobernando el anclaje de la observación. Este informe no lo reemplaza ni lo amplía normativamente.</w:t>
      </w:r>
    </w:p>
    <w:p>
      <w:pPr>
        <w:spacing w:after="40"/>
      </w:pPr>
    </w:p>
    <w:p>
      <w:pPr>
        <w:pStyle w:val="Heading3"/>
      </w:pPr>
      <w:r>
        <w:t>4. Matriz de impacto</w:t>
      </w:r>
    </w:p>
    <w:p>
      <w:pPr>
        <w:spacing w:after="40"/>
      </w:pPr>
    </w:p>
    <w:p>
      <w:r>
        <w:t>Los estados significan: sin cambio conserva el contrato vigente; ampliar agrega documentación o implementación sin alterar ciencia aprobada; reescribir indica que la aceptación futura invalidaría la estructura actual; decisión requerida impide ejecutar el cambio hasta resolución científica o normativa.</w:t>
      </w:r>
    </w:p>
    <w:p>
      <w:pPr>
        <w:spacing w:after="40"/>
      </w:pPr>
    </w:p>
    <w:p>
      <w:pPr>
        <w:spacing w:after="20" w:line="240" w:lineRule="auto"/>
      </w:pPr>
      <w:r>
        <w:rPr>
          <w:rFonts w:ascii="Consolas" w:hAnsi="Consolas"/>
          <w:sz w:val="14"/>
        </w:rPr>
        <w:t>| Componente | Estado | Impacto técnico condicionado |</w:t>
      </w:r>
    </w:p>
    <w:p>
      <w:pPr>
        <w:spacing w:after="20" w:line="240" w:lineRule="auto"/>
      </w:pPr>
      <w:r>
        <w:rPr>
          <w:rFonts w:ascii="Consolas" w:hAnsi="Consolas"/>
          <w:sz w:val="14"/>
        </w:rPr>
        <w:t>|---|---|---|</w:t>
      </w:r>
    </w:p>
    <w:p>
      <w:pPr>
        <w:spacing w:after="20" w:line="240" w:lineRule="auto"/>
      </w:pPr>
      <w:r>
        <w:rPr>
          <w:rFonts w:ascii="Consolas" w:hAnsi="Consolas"/>
          <w:sz w:val="14"/>
        </w:rPr>
        <w:t>| Constructo GOEI | Decisión requerida | Determinar si referencias y puntuaciones representan válidamente el constructo; Codex no puede resolverlo. |</w:t>
      </w:r>
    </w:p>
    <w:p>
      <w:pPr>
        <w:spacing w:after="20" w:line="240" w:lineRule="auto"/>
      </w:pPr>
      <w:r>
        <w:rPr>
          <w:rFonts w:ascii="Consolas" w:hAnsi="Consolas"/>
          <w:sz w:val="14"/>
        </w:rPr>
        <w:t>| Ontology Baseline v0.1 | Decisión requerida | Separar observación, acto de medición y registro, o incorporar GTRM, exige Issue y nueva baseline; v0.1 permanece intacta. |</w:t>
      </w:r>
    </w:p>
    <w:p>
      <w:pPr>
        <w:spacing w:after="20" w:line="240" w:lineRule="auto"/>
      </w:pPr>
      <w:r>
        <w:rPr>
          <w:rFonts w:ascii="Consolas" w:hAnsi="Consolas"/>
          <w:sz w:val="14"/>
        </w:rPr>
        <w:t>| GOEI MetaModel | Ampliar | Tras aprobación, registrar entidades/relaciones versionadas sin redefinir las clases científicas. |</w:t>
      </w:r>
    </w:p>
    <w:p>
      <w:pPr>
        <w:spacing w:after="20" w:line="240" w:lineRule="auto"/>
      </w:pPr>
      <w:r>
        <w:rPr>
          <w:rFonts w:ascii="Consolas" w:hAnsi="Consolas"/>
          <w:sz w:val="14"/>
        </w:rPr>
        <w:t>| Knowledge Graph | Ampliar | Representar expediente, decisión, fuentes, versiones, sucesión, aplicabilidad e impacto; sin inferir autoridad. |</w:t>
      </w:r>
    </w:p>
    <w:p>
      <w:pPr>
        <w:spacing w:after="20" w:line="240" w:lineRule="auto"/>
      </w:pPr>
      <w:r>
        <w:rPr>
          <w:rFonts w:ascii="Consolas" w:hAnsi="Consolas"/>
          <w:sz w:val="14"/>
        </w:rPr>
        <w:t>| Taxonomía | Decisión requerida | No puede suponerse que toda referencia sea específica por categoría ni utilizar taxonomía no aprobada. |</w:t>
      </w:r>
    </w:p>
    <w:p>
      <w:pPr>
        <w:spacing w:after="20" w:line="240" w:lineRule="auto"/>
      </w:pPr>
      <w:r>
        <w:rPr>
          <w:rFonts w:ascii="Consolas" w:hAnsi="Consolas"/>
          <w:sz w:val="14"/>
        </w:rPr>
        <w:t>| Procesos | Sin cambio | El lenguaje EPIC-002 puede enlazar mediciones con procesos; una GTRM no redefine procesos. |</w:t>
      </w:r>
    </w:p>
    <w:p>
      <w:pPr>
        <w:spacing w:after="20" w:line="240" w:lineRule="auto"/>
      </w:pPr>
      <w:r>
        <w:rPr>
          <w:rFonts w:ascii="Consolas" w:hAnsi="Consolas"/>
          <w:sz w:val="14"/>
        </w:rPr>
        <w:t>| KPI y admisibilidad | Decisión requerida | Debe resolverse si un KPI admisible puede existir sin función vigente y cuál es el tipo de entrada. |</w:t>
      </w:r>
    </w:p>
    <w:p>
      <w:pPr>
        <w:spacing w:after="20" w:line="240" w:lineRule="auto"/>
      </w:pPr>
      <w:r>
        <w:rPr>
          <w:rFonts w:ascii="Consolas" w:hAnsi="Consolas"/>
          <w:sz w:val="14"/>
        </w:rPr>
        <w:t>| Especificación de medición B5 | Reescribir | Si GTRM se acepta, B5 deberá distinguir captura, registro, cálculo KPI, referencias y benchmarks. |</w:t>
      </w:r>
    </w:p>
    <w:p>
      <w:pPr>
        <w:spacing w:after="20" w:line="240" w:lineRule="auto"/>
      </w:pPr>
      <w:r>
        <w:rPr>
          <w:rFonts w:ascii="Consolas" w:hAnsi="Consolas"/>
          <w:sz w:val="14"/>
        </w:rPr>
        <w:t>| Normalización B6 | Reescribir | Debe eliminarse cualquier doble transformación y fijarse frontera entre función, GTRM y normalización. |</w:t>
      </w:r>
    </w:p>
    <w:p>
      <w:pPr>
        <w:spacing w:after="20" w:line="240" w:lineRule="auto"/>
      </w:pPr>
      <w:r>
        <w:rPr>
          <w:rFonts w:ascii="Consolas" w:hAnsi="Consolas"/>
          <w:sz w:val="14"/>
        </w:rPr>
        <w:t>| Modelo matemático B7–B8 | Decisión requerida | Orden de operaciones, incertidumbre, agregación e interpretación requieren contenido científico aprobado. |</w:t>
      </w:r>
    </w:p>
    <w:p>
      <w:pPr>
        <w:spacing w:after="20" w:line="240" w:lineRule="auto"/>
      </w:pPr>
      <w:r>
        <w:rPr>
          <w:rFonts w:ascii="Consolas" w:hAnsi="Consolas"/>
          <w:sz w:val="14"/>
        </w:rPr>
        <w:t>| Validación B9 | Ampliar | Incluiría validación de funciones, sensibilidad, vigencia y equivalencia, con criterios aportados por el Comité. |</w:t>
      </w:r>
    </w:p>
    <w:p>
      <w:pPr>
        <w:spacing w:after="20" w:line="240" w:lineRule="auto"/>
      </w:pPr>
      <w:r>
        <w:rPr>
          <w:rFonts w:ascii="Consolas" w:hAnsi="Consolas"/>
          <w:sz w:val="14"/>
        </w:rPr>
        <w:t>| Manual Técnico y BOK | Ampliar | Documentar conceptos, selección, uso, límites e historial solo tras aprobación. |</w:t>
      </w:r>
    </w:p>
    <w:p>
      <w:pPr>
        <w:spacing w:after="20" w:line="240" w:lineRule="auto"/>
      </w:pPr>
      <w:r>
        <w:rPr>
          <w:rFonts w:ascii="Consolas" w:hAnsi="Consolas"/>
          <w:sz w:val="14"/>
        </w:rPr>
        <w:t>| Formularios | Ampliar | Capturar IDs/versiones, unidades, entradas, estado de cálculo y tabla aplicada. |</w:t>
      </w:r>
    </w:p>
    <w:p>
      <w:pPr>
        <w:spacing w:after="20" w:line="240" w:lineRule="auto"/>
      </w:pPr>
      <w:r>
        <w:rPr>
          <w:rFonts w:ascii="Consolas" w:hAnsi="Consolas"/>
          <w:sz w:val="14"/>
        </w:rPr>
        <w:t>| Software/motor | Ampliar | Resolver componentes por claves explícitas; conservar trazas; rechazar ausencia, ambigüedad o incompatibilidad. |</w:t>
      </w:r>
    </w:p>
    <w:p>
      <w:pPr>
        <w:spacing w:after="20" w:line="240" w:lineRule="auto"/>
      </w:pPr>
      <w:r>
        <w:rPr>
          <w:rFonts w:ascii="Consolas" w:hAnsi="Consolas"/>
          <w:sz w:val="14"/>
        </w:rPr>
        <w:t>| Constitución y gobernanza | Decisión requerida | Fijar autoridad de aprobación, suspensión, sustitución y precedencia de referencias. |</w:t>
      </w:r>
    </w:p>
    <w:p>
      <w:pPr>
        <w:spacing w:after="20" w:line="240" w:lineRule="auto"/>
      </w:pPr>
      <w:r>
        <w:rPr>
          <w:rFonts w:ascii="Consolas" w:hAnsi="Consolas"/>
          <w:sz w:val="14"/>
        </w:rPr>
        <w:t>| Arquitectura documental/repositorio | Ampliar | Crear familia, esquemas, fixtures, manifiestos y baselines únicamente después de decisión formal. |</w:t>
      </w:r>
    </w:p>
    <w:p>
      <w:pPr>
        <w:spacing w:after="20" w:line="240" w:lineRule="auto"/>
      </w:pPr>
      <w:r>
        <w:rPr>
          <w:rFonts w:ascii="Consolas" w:hAnsi="Consolas"/>
          <w:sz w:val="14"/>
        </w:rPr>
        <w:t>| Tesis y publicaciones | Ampliar | Podrán describir auditoría y decisión con su estado; no presentar GTRM como resultado aprobado antes de tiempo. |</w:t>
      </w:r>
    </w:p>
    <w:p>
      <w:pPr>
        <w:spacing w:after="40"/>
      </w:pPr>
    </w:p>
    <w:p>
      <w:pPr>
        <w:pStyle w:val="Heading3"/>
      </w:pPr>
      <w:r>
        <w:t>5. Identidad y ciclo de vida candidatos</w:t>
      </w:r>
    </w:p>
    <w:p>
      <w:pPr>
        <w:spacing w:after="40"/>
      </w:pPr>
    </w:p>
    <w:p>
      <w:pPr>
        <w:pStyle w:val="Heading4"/>
      </w:pPr>
      <w:r>
        <w:t>5.1 Contrato mínimo de identidad</w:t>
      </w:r>
    </w:p>
    <w:p>
      <w:pPr>
        <w:spacing w:after="40"/>
      </w:pPr>
    </w:p>
    <w:p>
      <w:r>
        <w:t>Una eventual instancia GTRM debería declarar, sin campos implícitos:</w:t>
      </w:r>
    </w:p>
    <w:p>
      <w:pPr>
        <w:spacing w:after="40"/>
      </w:pPr>
    </w:p>
    <w:p>
      <w:pPr>
        <w:spacing w:after="20" w:line="240" w:lineRule="auto"/>
      </w:pPr>
      <w:r>
        <w:rPr>
          <w:rFonts w:ascii="Consolas" w:hAnsi="Consolas"/>
          <w:sz w:val="14"/>
        </w:rPr>
        <w:t>| Grupo | Campos candidatos |</w:t>
      </w:r>
    </w:p>
    <w:p>
      <w:pPr>
        <w:spacing w:after="20" w:line="240" w:lineRule="auto"/>
      </w:pPr>
      <w:r>
        <w:rPr>
          <w:rFonts w:ascii="Consolas" w:hAnsi="Consolas"/>
          <w:sz w:val="14"/>
        </w:rPr>
        <w:t>|---|---|</w:t>
      </w:r>
    </w:p>
    <w:p>
      <w:pPr>
        <w:spacing w:after="20" w:line="240" w:lineRule="auto"/>
      </w:pPr>
      <w:r>
        <w:rPr>
          <w:rFonts w:ascii="Consolas" w:hAnsi="Consolas"/>
          <w:sz w:val="14"/>
        </w:rPr>
        <w:t>| Identidad | ID inmutable, nombre, versión, revisión, estado y baseline contenedora. |</w:t>
      </w:r>
    </w:p>
    <w:p>
      <w:pPr>
        <w:spacing w:after="20" w:line="240" w:lineRule="auto"/>
      </w:pPr>
      <w:r>
        <w:rPr>
          <w:rFonts w:ascii="Consolas" w:hAnsi="Consolas"/>
          <w:sz w:val="14"/>
        </w:rPr>
        <w:t>| Alcance | KPI-def y versión, proceso, categoría/población, jurisdicción, unidad, periodo, dominio de validez y exclusiones. |</w:t>
      </w:r>
    </w:p>
    <w:p>
      <w:pPr>
        <w:spacing w:after="20" w:line="240" w:lineRule="auto"/>
      </w:pPr>
      <w:r>
        <w:rPr>
          <w:rFonts w:ascii="Consolas" w:hAnsi="Consolas"/>
          <w:sz w:val="14"/>
        </w:rPr>
        <w:t>| Entradas | Tipo admitido, unidad, calidad mínima, tratamiento de ausencia y precondiciones. |</w:t>
      </w:r>
    </w:p>
    <w:p>
      <w:pPr>
        <w:spacing w:after="20" w:line="240" w:lineRule="auto"/>
      </w:pPr>
      <w:r>
        <w:rPr>
          <w:rFonts w:ascii="Consolas" w:hAnsi="Consolas"/>
          <w:sz w:val="14"/>
        </w:rPr>
        <w:t>| Referencias | IDs/versiones de condición de referencia y benchmark; fuentes y método declarados. |</w:t>
      </w:r>
    </w:p>
    <w:p>
      <w:pPr>
        <w:spacing w:after="20" w:line="240" w:lineRule="auto"/>
      </w:pPr>
      <w:r>
        <w:rPr>
          <w:rFonts w:ascii="Consolas" w:hAnsi="Consolas"/>
          <w:sz w:val="14"/>
        </w:rPr>
        <w:t>| Transformación | ID/versión de función, conjunto de parámetros, dominio, codominio y orden de operaciones. |</w:t>
      </w:r>
    </w:p>
    <w:p>
      <w:pPr>
        <w:spacing w:after="20" w:line="240" w:lineRule="auto"/>
      </w:pPr>
      <w:r>
        <w:rPr>
          <w:rFonts w:ascii="Consolas" w:hAnsi="Consolas"/>
          <w:sz w:val="14"/>
        </w:rPr>
        <w:t>| Salida | Tipo, escala, precisión, redondeo, estado de cálculo y representación de incertidumbre. |</w:t>
      </w:r>
    </w:p>
    <w:p>
      <w:pPr>
        <w:spacing w:after="20" w:line="240" w:lineRule="auto"/>
      </w:pPr>
      <w:r>
        <w:rPr>
          <w:rFonts w:ascii="Consolas" w:hAnsi="Consolas"/>
          <w:sz w:val="14"/>
        </w:rPr>
        <w:t>| Autoridad | Decisión científica de origen, aprobación normativa, responsable de revisión y fechas de vigencia. |</w:t>
      </w:r>
    </w:p>
    <w:p>
      <w:pPr>
        <w:spacing w:after="20" w:line="240" w:lineRule="auto"/>
      </w:pPr>
      <w:r>
        <w:rPr>
          <w:rFonts w:ascii="Consolas" w:hAnsi="Consolas"/>
          <w:sz w:val="14"/>
        </w:rPr>
        <w:t>| Implementaciones | Tabla manual, implementación software y conjunto canónico de pruebas, todos con checksum. |</w:t>
      </w:r>
    </w:p>
    <w:p>
      <w:pPr>
        <w:spacing w:after="20" w:line="240" w:lineRule="auto"/>
      </w:pPr>
      <w:r>
        <w:rPr>
          <w:rFonts w:ascii="Consolas" w:hAnsi="Consolas"/>
          <w:sz w:val="14"/>
        </w:rPr>
        <w:t>| Historia | Predecesora/sucesora, motivo del cambio, compatibilidad y política de migración. |</w:t>
      </w:r>
    </w:p>
    <w:p>
      <w:pPr>
        <w:spacing w:after="40"/>
      </w:pPr>
    </w:p>
    <w:p>
      <w:r>
        <w:t>Ningún campo de metadatos sustituye la decisión científica. Una instancia completa en forma, pero sin decisión de origen, permanece propuesta y no puede puntuar evaluaciones oficiales.</w:t>
      </w:r>
    </w:p>
    <w:p>
      <w:pPr>
        <w:spacing w:after="40"/>
      </w:pPr>
    </w:p>
    <w:p>
      <w:pPr>
        <w:pStyle w:val="Heading4"/>
      </w:pPr>
      <w:r>
        <w:t>5.2 Estados candidatos</w:t>
      </w:r>
    </w:p>
    <w:p>
      <w:pPr>
        <w:spacing w:after="40"/>
      </w:pPr>
    </w:p>
    <w:p>
      <w:pPr>
        <w:spacing w:after="20" w:line="240" w:lineRule="auto"/>
        <w:ind w:left="259"/>
      </w:pPr>
      <w:r>
        <w:rPr>
          <w:rFonts w:ascii="Consolas" w:hAnsi="Consolas"/>
          <w:sz w:val="15"/>
        </w:rPr>
        <w:t>borrador → revisión científica → recomendada → aprobada → vigente</w:t>
      </w:r>
    </w:p>
    <w:p>
      <w:pPr>
        <w:spacing w:after="20" w:line="240" w:lineRule="auto"/>
        <w:ind w:left="259"/>
      </w:pPr>
      <w:r>
        <w:rPr>
          <w:rFonts w:ascii="Consolas" w:hAnsi="Consolas"/>
          <w:sz w:val="15"/>
        </w:rPr>
        <w:t xml:space="preserve">                                           ↘ devuelta | rechazada</w:t>
      </w:r>
    </w:p>
    <w:p>
      <w:pPr>
        <w:spacing w:after="20" w:line="240" w:lineRule="auto"/>
        <w:ind w:left="259"/>
      </w:pPr>
      <w:r>
        <w:rPr>
          <w:rFonts w:ascii="Consolas" w:hAnsi="Consolas"/>
          <w:sz w:val="15"/>
        </w:rPr>
        <w:t>vigente → suspendida → vigente</w:t>
      </w:r>
    </w:p>
    <w:p>
      <w:pPr>
        <w:spacing w:after="20" w:line="240" w:lineRule="auto"/>
        <w:ind w:left="259"/>
      </w:pPr>
      <w:r>
        <w:rPr>
          <w:rFonts w:ascii="Consolas" w:hAnsi="Consolas"/>
          <w:sz w:val="15"/>
        </w:rPr>
        <w:t>vigente → sustituida → retirada</w:t>
      </w:r>
    </w:p>
    <w:p>
      <w:pPr>
        <w:spacing w:after="40"/>
      </w:pPr>
    </w:p>
    <w:p>
      <w:pPr>
        <w:pStyle w:val="ListBullet"/>
      </w:pPr>
      <w:r>
        <w:t>aprobada no equivale a vigente: requiere baseline y fecha de efecto.</w:t>
      </w:r>
    </w:p>
    <w:p>
      <w:pPr>
        <w:pStyle w:val="ListBullet"/>
      </w:pPr>
      <w:r>
        <w:t>suspendida, sustituida y retirada no permiten nuevas evaluaciones, salvo decisión de transición explícita.</w:t>
      </w:r>
    </w:p>
    <w:p>
      <w:pPr>
        <w:pStyle w:val="ListBullet"/>
      </w:pPr>
      <w:r>
        <w:t>una corrección que pueda alterar una salida crea una versión nueva; nunca sobrescribe la anterior.</w:t>
      </w:r>
    </w:p>
    <w:p>
      <w:pPr>
        <w:pStyle w:val="ListBullet"/>
      </w:pPr>
      <w:r>
        <w:t>la decisión competente deberá fijar qué cambios son mayores, menores o meramente editoriales.</w:t>
      </w:r>
    </w:p>
    <w:p>
      <w:pPr>
        <w:spacing w:after="40"/>
      </w:pPr>
    </w:p>
    <w:p>
      <w:pPr>
        <w:pStyle w:val="Heading3"/>
      </w:pPr>
      <w:r>
        <w:t>6. Aplicabilidad y precedencia</w:t>
      </w:r>
    </w:p>
    <w:p>
      <w:pPr>
        <w:spacing w:after="40"/>
      </w:pPr>
    </w:p>
    <w:p>
      <w:r>
        <w:t>La resolución técnica de una GTRM debe usar coincidencias explícitas, no inferencia heurística. Claves candidatas: KPI + versión, unidad, jurisdicción, categoría/población, periodo/vigencia y dominio.</w:t>
      </w:r>
    </w:p>
    <w:p>
      <w:pPr>
        <w:spacing w:after="40"/>
      </w:pPr>
    </w:p>
    <w:p>
      <w:r>
        <w:t>Pueden registrarse como candidatos cuatro alcances de referencia —universal, regulatorio/seguridad, jurisdiccional y específico de categoría/población—, pero este informe no determina que todos existan ni su precedencia. Esa precedencia y cualquier regla de mayor exigencia corresponden al Comité y a una aprobación formal.</w:t>
      </w:r>
    </w:p>
    <w:p>
      <w:pPr>
        <w:spacing w:after="40"/>
      </w:pPr>
    </w:p>
    <w:p>
      <w:r>
        <w:t>Resultado técnico de selección:</w:t>
      </w:r>
    </w:p>
    <w:p>
      <w:pPr>
        <w:spacing w:after="40"/>
      </w:pPr>
    </w:p>
    <w:p>
      <w:pPr>
        <w:spacing w:after="20" w:line="240" w:lineRule="auto"/>
      </w:pPr>
      <w:r>
        <w:rPr>
          <w:rFonts w:ascii="Consolas" w:hAnsi="Consolas"/>
          <w:sz w:val="14"/>
        </w:rPr>
        <w:t>| Situación | Comportamiento requerido |</w:t>
      </w:r>
    </w:p>
    <w:p>
      <w:pPr>
        <w:spacing w:after="20" w:line="240" w:lineRule="auto"/>
      </w:pPr>
      <w:r>
        <w:rPr>
          <w:rFonts w:ascii="Consolas" w:hAnsi="Consolas"/>
          <w:sz w:val="14"/>
        </w:rPr>
        <w:t>|---|---|</w:t>
      </w:r>
    </w:p>
    <w:p>
      <w:pPr>
        <w:spacing w:after="20" w:line="240" w:lineRule="auto"/>
      </w:pPr>
      <w:r>
        <w:rPr>
          <w:rFonts w:ascii="Consolas" w:hAnsi="Consolas"/>
          <w:sz w:val="14"/>
        </w:rPr>
        <w:t>| Una coincidencia vigente y compatible | Seleccionable, conservando ID y versión. |</w:t>
      </w:r>
    </w:p>
    <w:p>
      <w:pPr>
        <w:spacing w:after="20" w:line="240" w:lineRule="auto"/>
      </w:pPr>
      <w:r>
        <w:rPr>
          <w:rFonts w:ascii="Consolas" w:hAnsi="Consolas"/>
          <w:sz w:val="14"/>
        </w:rPr>
        <w:t>| Ninguna coincidencia | `no_calculable`; abrir/enlazar Issue; no usar valor por defecto. |</w:t>
      </w:r>
    </w:p>
    <w:p>
      <w:pPr>
        <w:spacing w:after="20" w:line="240" w:lineRule="auto"/>
      </w:pPr>
      <w:r>
        <w:rPr>
          <w:rFonts w:ascii="Consolas" w:hAnsi="Consolas"/>
          <w:sz w:val="14"/>
        </w:rPr>
        <w:t>| Más de una coincidencia sin precedencia aprobada | `conflicto_de_referencia`; bloquear solo ese cálculo. |</w:t>
      </w:r>
    </w:p>
    <w:p>
      <w:pPr>
        <w:spacing w:after="20" w:line="240" w:lineRule="auto"/>
      </w:pPr>
      <w:r>
        <w:rPr>
          <w:rFonts w:ascii="Consolas" w:hAnsi="Consolas"/>
          <w:sz w:val="14"/>
        </w:rPr>
        <w:t>| Unidad incompatible sin conversión aprobada | `entrada_incompatible`. |</w:t>
      </w:r>
    </w:p>
    <w:p>
      <w:pPr>
        <w:spacing w:after="20" w:line="240" w:lineRule="auto"/>
      </w:pPr>
      <w:r>
        <w:rPr>
          <w:rFonts w:ascii="Consolas" w:hAnsi="Consolas"/>
          <w:sz w:val="14"/>
        </w:rPr>
        <w:t>| GTRM suspendida, retirada o fuera de vigencia | No usar en evaluaciones nuevas. |</w:t>
      </w:r>
    </w:p>
    <w:p>
      <w:pPr>
        <w:spacing w:after="20" w:line="240" w:lineRule="auto"/>
      </w:pPr>
      <w:r>
        <w:rPr>
          <w:rFonts w:ascii="Consolas" w:hAnsi="Consolas"/>
          <w:sz w:val="14"/>
        </w:rPr>
        <w:t>| Evaluación histórica | Usar la versión originalmente fijada, aunque hoy esté sustituida. |</w:t>
      </w:r>
    </w:p>
    <w:p>
      <w:pPr>
        <w:spacing w:after="40"/>
      </w:pPr>
    </w:p>
    <w:p>
      <w:r>
        <w:t>El software no puede interpretar que una referencia universal prevalece sobre una jurisdiccional, ni que una categoría vecina es equivalente. Toda selección debe ser explicable y reconstruible.</w:t>
      </w:r>
    </w:p>
    <w:p>
      <w:pPr>
        <w:spacing w:after="40"/>
      </w:pPr>
    </w:p>
    <w:p>
      <w:pPr>
        <w:pStyle w:val="Heading3"/>
      </w:pPr>
      <w:r>
        <w:t>7. Reproducibilidad histórica</w:t>
      </w:r>
    </w:p>
    <w:p>
      <w:pPr>
        <w:spacing w:after="40"/>
      </w:pPr>
    </w:p>
    <w:p>
      <w:pPr>
        <w:pStyle w:val="ListNumber"/>
      </w:pPr>
      <w:r>
        <w:t>Las versiones publicadas son inmutables y direccionables por ID más versión.</w:t>
      </w:r>
    </w:p>
    <w:p>
      <w:pPr>
        <w:pStyle w:val="ListNumber"/>
      </w:pPr>
      <w:r>
        <w:t>Cada evaluación congela un manifiesto con todas las definiciones, referencias, parámetros, tablas y código utilizados.</w:t>
      </w:r>
    </w:p>
    <w:p>
      <w:pPr>
        <w:pStyle w:val="ListNumber"/>
      </w:pPr>
      <w:r>
        <w:t>Fuentes, tablas y artefactos conservan checksums y fechas de acceso/vigencia.</w:t>
      </w:r>
    </w:p>
    <w:p>
      <w:pPr>
        <w:pStyle w:val="ListNumber"/>
      </w:pPr>
      <w:r>
        <w:t>Una evaluación cerrada no se recalcula silenciosamente al actualizar una GTRM.</w:t>
      </w:r>
    </w:p>
    <w:p>
      <w:pPr>
        <w:pStyle w:val="ListNumber"/>
      </w:pPr>
      <w:r>
        <w:t>El recálculo histórico se ejecuta con la baseline original y produce una revisión enlazada, nunca un reemplazo.</w:t>
      </w:r>
    </w:p>
    <w:p>
      <w:pPr>
        <w:pStyle w:val="ListNumber"/>
      </w:pPr>
      <w:r>
        <w:t>Una simulación con versión nueva se identifica como contrafactual y no modifica el resultado oficial histórico.</w:t>
      </w:r>
    </w:p>
    <w:p>
      <w:pPr>
        <w:pStyle w:val="ListNumber"/>
      </w:pPr>
      <w:r>
        <w:t>Todo cambio documenta impacto, compatibilidad, resultados potencialmente afectados y razón de sustitución.</w:t>
      </w:r>
    </w:p>
    <w:p>
      <w:pPr>
        <w:pStyle w:val="ListNumber"/>
      </w:pPr>
      <w:r>
        <w:t>Los artefactos retirados permanecen disponibles para auditoría conforme a políticas de acceso y retención.</w:t>
      </w:r>
    </w:p>
    <w:p>
      <w:pPr>
        <w:spacing w:after="40"/>
      </w:pPr>
    </w:p>
    <w:p>
      <w:pPr>
        <w:pStyle w:val="Heading3"/>
      </w:pPr>
      <w:r>
        <w:t>8. Equivalencia entre papel y software</w:t>
      </w:r>
    </w:p>
    <w:p>
      <w:pPr>
        <w:spacing w:after="40"/>
      </w:pPr>
    </w:p>
    <w:p>
      <w:r>
        <w:t>La fuente normativa debe ser una especificación neutral. La tabla manual y el ejecutable son representaciones derivadas de esa misma fuente y deben declarar su versión y checksum.</w:t>
      </w:r>
    </w:p>
    <w:p>
      <w:pPr>
        <w:spacing w:after="40"/>
      </w:pPr>
    </w:p>
    <w:p>
      <w:r>
        <w:t>El conjunto canónico de conformidad incluirá, cuando la ciencia aporte los resultados esperados:</w:t>
      </w:r>
    </w:p>
    <w:p>
      <w:pPr>
        <w:spacing w:after="40"/>
      </w:pPr>
    </w:p>
    <w:p>
      <w:pPr>
        <w:pStyle w:val="ListBullet"/>
      </w:pPr>
      <w:r>
        <w:t>límites exactos y valores inmediatamente adyacentes;</w:t>
      </w:r>
    </w:p>
    <w:p>
      <w:pPr>
        <w:pStyle w:val="ListBullet"/>
      </w:pPr>
      <w:r>
        <w:t>extremos dentro y fuera del dominio;</w:t>
      </w:r>
    </w:p>
    <w:p>
      <w:pPr>
        <w:pStyle w:val="ListBullet"/>
      </w:pPr>
      <w:r>
        <w:t>datos faltantes, inválidos y no aplicables;</w:t>
      </w:r>
    </w:p>
    <w:p>
      <w:pPr>
        <w:pStyle w:val="ListBullet"/>
      </w:pPr>
      <w:r>
        <w:t>conversiones de unidad aprobadas;</w:t>
      </w:r>
    </w:p>
    <w:p>
      <w:pPr>
        <w:pStyle w:val="ListBullet"/>
      </w:pPr>
      <w:r>
        <w:t>precisión y redondeo;</w:t>
      </w:r>
    </w:p>
    <w:p>
      <w:pPr>
        <w:pStyle w:val="ListBullet"/>
      </w:pPr>
      <w:r>
        <w:t>referencias ausentes, múltiples o incompatibles;</w:t>
      </w:r>
    </w:p>
    <w:p>
      <w:pPr>
        <w:pStyle w:val="ListBullet"/>
      </w:pPr>
      <w:r>
        <w:t>versiones suspendidas, expiradas, sustituidas e históricas;</w:t>
      </w:r>
    </w:p>
    <w:p>
      <w:pPr>
        <w:pStyle w:val="ListBullet"/>
      </w:pPr>
      <w:r>
        <w:t>representación de incertidumbre y estados de suficiencia.</w:t>
      </w:r>
    </w:p>
    <w:p>
      <w:pPr>
        <w:spacing w:after="40"/>
      </w:pPr>
    </w:p>
    <w:p>
      <w:r>
        <w:t>Cada caso contendrá entrada, contexto, versión, pasos manuales, salida esperada y tolerancia aprobada. Codex implementará y verificará la tolerancia, pero no la elegirá. Una divergencia produce fallo de conformidad, bloquea la promoción de la representación afectada y abre Issue; el software nunca prevalece automáticamente sobre el papel ni a la inversa.</w:t>
      </w:r>
    </w:p>
    <w:p>
      <w:pPr>
        <w:spacing w:after="40"/>
      </w:pPr>
    </w:p>
    <w:p>
      <w:pPr>
        <w:pStyle w:val="Heading3"/>
      </w:pPr>
      <w:r>
        <w:t>9. Incertidumbre: requisitos de representación</w:t>
      </w:r>
    </w:p>
    <w:p>
      <w:pPr>
        <w:spacing w:after="40"/>
      </w:pPr>
    </w:p>
    <w:p>
      <w:r>
        <w:t>Sin seleccionar método científico, la arquitectura debe poder conservar por separado:</w:t>
      </w:r>
    </w:p>
    <w:p>
      <w:pPr>
        <w:spacing w:after="40"/>
      </w:pPr>
    </w:p>
    <w:p>
      <w:pPr>
        <w:pStyle w:val="ListBullet"/>
      </w:pPr>
      <w:r>
        <w:t>incertidumbre o calidad de la medición registrada;</w:t>
      </w:r>
    </w:p>
    <w:p>
      <w:pPr>
        <w:pStyle w:val="ListBullet"/>
      </w:pPr>
      <w:r>
        <w:t>incertidumbre muestral o del benchmark;</w:t>
      </w:r>
    </w:p>
    <w:p>
      <w:pPr>
        <w:pStyle w:val="ListBullet"/>
      </w:pPr>
      <w:r>
        <w:t>incertidumbre de parámetros o de la función;</w:t>
      </w:r>
    </w:p>
    <w:p>
      <w:pPr>
        <w:pStyle w:val="ListBullet"/>
      </w:pPr>
      <w:r>
        <w:t>incertidumbre de la puntuación resultante;</w:t>
      </w:r>
    </w:p>
    <w:p>
      <w:pPr>
        <w:pStyle w:val="ListBullet"/>
      </w:pPr>
      <w:r>
        <w:t>método, nivel o clase de confianza, supuestos, unidad y procedencia;</w:t>
      </w:r>
    </w:p>
    <w:p>
      <w:pPr>
        <w:pStyle w:val="ListBullet"/>
      </w:pPr>
      <w:r>
        <w:t>estado de suficiencia para calcular o interpretar.</w:t>
      </w:r>
    </w:p>
    <w:p>
      <w:pPr>
        <w:spacing w:after="40"/>
      </w:pPr>
    </w:p>
    <w:p>
      <w:r>
        <w:t>Intervalos, clases de confianza, reglas de redondeo y estados de suficiencia son mecanismos posibles, no adoptados. El Comité debe decidir cuáles aplican y cuándo impiden el cálculo o la interpretación.</w:t>
      </w:r>
    </w:p>
    <w:p>
      <w:pPr>
        <w:spacing w:after="40"/>
      </w:pPr>
    </w:p>
    <w:p>
      <w:pPr>
        <w:pStyle w:val="Heading3"/>
      </w:pPr>
      <w:r>
        <w:t>10. Riesgos técnicos y controles candidatos</w:t>
      </w:r>
    </w:p>
    <w:p>
      <w:pPr>
        <w:spacing w:after="40"/>
      </w:pPr>
    </w:p>
    <w:p>
      <w:pPr>
        <w:spacing w:after="20" w:line="240" w:lineRule="auto"/>
      </w:pPr>
      <w:r>
        <w:rPr>
          <w:rFonts w:ascii="Consolas" w:hAnsi="Consolas"/>
          <w:sz w:val="14"/>
        </w:rPr>
        <w:t>| Riesgo | Impacto | Control arquitectónico candidato |</w:t>
      </w:r>
    </w:p>
    <w:p>
      <w:pPr>
        <w:spacing w:after="20" w:line="240" w:lineRule="auto"/>
      </w:pPr>
      <w:r>
        <w:rPr>
          <w:rFonts w:ascii="Consolas" w:hAnsi="Consolas"/>
          <w:sz w:val="14"/>
        </w:rPr>
        <w:t>|---|---|---|</w:t>
      </w:r>
    </w:p>
    <w:p>
      <w:pPr>
        <w:spacing w:after="20" w:line="240" w:lineRule="auto"/>
      </w:pPr>
      <w:r>
        <w:rPr>
          <w:rFonts w:ascii="Consolas" w:hAnsi="Consolas"/>
          <w:sz w:val="14"/>
        </w:rPr>
        <w:t>| Doble normalización | Resultados deformados o escala opaca | Declarar dominio/codominio y una sola responsabilidad por transformación. |</w:t>
      </w:r>
    </w:p>
    <w:p>
      <w:pPr>
        <w:spacing w:after="20" w:line="240" w:lineRule="auto"/>
      </w:pPr>
      <w:r>
        <w:rPr>
          <w:rFonts w:ascii="Consolas" w:hAnsi="Consolas"/>
          <w:sz w:val="14"/>
        </w:rPr>
        <w:t>| Confusión observación–medición–KPI | Pérdida de auditabilidad | IDs y relaciones de derivación separados. |</w:t>
      </w:r>
    </w:p>
    <w:p>
      <w:pPr>
        <w:spacing w:after="20" w:line="240" w:lineRule="auto"/>
      </w:pPr>
      <w:r>
        <w:rPr>
          <w:rFonts w:ascii="Consolas" w:hAnsi="Consolas"/>
          <w:sz w:val="14"/>
        </w:rPr>
        <w:t>| Referencia implícita | Selección no reproducible | Resolver solo por claves y precedencia aprobadas. |</w:t>
      </w:r>
    </w:p>
    <w:p>
      <w:pPr>
        <w:spacing w:after="20" w:line="240" w:lineRule="auto"/>
      </w:pPr>
      <w:r>
        <w:rPr>
          <w:rFonts w:ascii="Consolas" w:hAnsi="Consolas"/>
          <w:sz w:val="14"/>
        </w:rPr>
        <w:t>| Proliferación combinatoria | Catálogo inmantenible | Componentes reutilizables, perfiles de aplicabilidad y detección de duplicados; sin fusionar ciencia distinta. |</w:t>
      </w:r>
    </w:p>
    <w:p>
      <w:pPr>
        <w:spacing w:after="20" w:line="240" w:lineRule="auto"/>
      </w:pPr>
      <w:r>
        <w:rPr>
          <w:rFonts w:ascii="Consolas" w:hAnsi="Consolas"/>
          <w:sz w:val="14"/>
        </w:rPr>
        <w:t>| Deriva temporal | Comparaciones históricas inválidas | Vigencia, baselines inmutables y mapas de compatibilidad. |</w:t>
      </w:r>
    </w:p>
    <w:p>
      <w:pPr>
        <w:spacing w:after="20" w:line="240" w:lineRule="auto"/>
      </w:pPr>
      <w:r>
        <w:rPr>
          <w:rFonts w:ascii="Consolas" w:hAnsi="Consolas"/>
          <w:sz w:val="14"/>
        </w:rPr>
        <w:t>| Divergencia papel–software | Dos estándares de facto | Especificación única y pruebas canónicas bidireccionales. |</w:t>
      </w:r>
    </w:p>
    <w:p>
      <w:pPr>
        <w:spacing w:after="20" w:line="240" w:lineRule="auto"/>
      </w:pPr>
      <w:r>
        <w:rPr>
          <w:rFonts w:ascii="Consolas" w:hAnsi="Consolas"/>
          <w:sz w:val="14"/>
        </w:rPr>
        <w:t>| Falsa precisión | Confianza indebida | Política explícita de precisión, incertidumbre y límites de interpretación. |</w:t>
      </w:r>
    </w:p>
    <w:p>
      <w:pPr>
        <w:spacing w:after="20" w:line="240" w:lineRule="auto"/>
      </w:pPr>
      <w:r>
        <w:rPr>
          <w:rFonts w:ascii="Consolas" w:hAnsi="Consolas"/>
          <w:sz w:val="14"/>
        </w:rPr>
        <w:t>| Gaming o discontinuidades | Conducta oportunista alrededor de cortes | Casos frontera, monitoreo y revisión científica; Codex solo instrumenta. |</w:t>
      </w:r>
    </w:p>
    <w:p>
      <w:pPr>
        <w:spacing w:after="20" w:line="240" w:lineRule="auto"/>
      </w:pPr>
      <w:r>
        <w:rPr>
          <w:rFonts w:ascii="Consolas" w:hAnsi="Consolas"/>
          <w:sz w:val="14"/>
        </w:rPr>
        <w:t>| Parámetros huérfanos | Resultados sin justificación | Cada parámetro enlazado a evidencia, decisión y versión. |</w:t>
      </w:r>
    </w:p>
    <w:p>
      <w:pPr>
        <w:spacing w:after="20" w:line="240" w:lineRule="auto"/>
      </w:pPr>
      <w:r>
        <w:rPr>
          <w:rFonts w:ascii="Consolas" w:hAnsi="Consolas"/>
          <w:sz w:val="14"/>
        </w:rPr>
        <w:t>| Cambio retroactivo silencioso | Ruptura de auditoría | Prohibición de sobrescritura y recálculo versionado. |</w:t>
      </w:r>
    </w:p>
    <w:p>
      <w:pPr>
        <w:spacing w:after="20" w:line="240" w:lineRule="auto"/>
      </w:pPr>
      <w:r>
        <w:rPr>
          <w:rFonts w:ascii="Consolas" w:hAnsi="Consolas"/>
          <w:sz w:val="14"/>
        </w:rPr>
        <w:t>| Autoridad ambigua | Artefactos técnicos tratados como ciencia | Decisión científica y aprobación normativa obligatorias y diferenciadas. |</w:t>
      </w:r>
    </w:p>
    <w:p>
      <w:pPr>
        <w:spacing w:after="20" w:line="240" w:lineRule="auto"/>
      </w:pPr>
      <w:r>
        <w:rPr>
          <w:rFonts w:ascii="Consolas" w:hAnsi="Consolas"/>
          <w:sz w:val="14"/>
        </w:rPr>
        <w:t>| Implementación no determinista | Resultados distintos con mismas entradas | Manifiesto, precisión, orden de operaciones y pruebas reproducibles. |</w:t>
      </w:r>
    </w:p>
    <w:p>
      <w:pPr>
        <w:spacing w:after="40"/>
      </w:pPr>
    </w:p>
    <w:p>
      <w:pPr>
        <w:pStyle w:val="Heading3"/>
      </w:pPr>
      <w:r>
        <w:t>11. Alternativas de ubicación en el pipeline</w:t>
      </w:r>
    </w:p>
    <w:p>
      <w:pPr>
        <w:spacing w:after="40"/>
      </w:pPr>
    </w:p>
    <w:p>
      <w:pPr>
        <w:spacing w:after="20" w:line="240" w:lineRule="auto"/>
      </w:pPr>
      <w:r>
        <w:rPr>
          <w:rFonts w:ascii="Consolas" w:hAnsi="Consolas"/>
          <w:sz w:val="14"/>
        </w:rPr>
        <w:t>| Alternativa | Diseño | Ventaja técnica | Riesgo/condición |</w:t>
      </w:r>
    </w:p>
    <w:p>
      <w:pPr>
        <w:spacing w:after="20" w:line="240" w:lineRule="auto"/>
      </w:pPr>
      <w:r>
        <w:rPr>
          <w:rFonts w:ascii="Consolas" w:hAnsi="Consolas"/>
          <w:sz w:val="14"/>
        </w:rPr>
        <w:t>|---|---|---|---|</w:t>
      </w:r>
    </w:p>
    <w:p>
      <w:pPr>
        <w:spacing w:after="20" w:line="240" w:lineRule="auto"/>
      </w:pPr>
      <w:r>
        <w:rPr>
          <w:rFonts w:ascii="Consolas" w:hAnsi="Consolas"/>
          <w:sz w:val="14"/>
        </w:rPr>
        <w:t>| 1. Integrada en B5/B6 | B5 aprueba medición y referencias; B6 aprueba función/normalización y sus representaciones. | Menor cambio al pipeline vigente. | Requiere fronteras rigurosas para que GTRM no duplique ambas fases. |</w:t>
      </w:r>
    </w:p>
    <w:p>
      <w:pPr>
        <w:spacing w:after="20" w:line="240" w:lineRule="auto"/>
      </w:pPr>
      <w:r>
        <w:rPr>
          <w:rFonts w:ascii="Consolas" w:hAnsi="Consolas"/>
          <w:sz w:val="14"/>
        </w:rPr>
        <w:t>| 2. Nueva subfase entre B5 y B6 | B5 medición; B5R referencias/benchmarks; B5P función/GTRM; B6 valida escala común. | Máxima visibilidad de autoridad y dependencias. | Mayor gobernanza; solo válida si GTRM tiene identidad científica independiente. |</w:t>
      </w:r>
    </w:p>
    <w:p>
      <w:pPr>
        <w:spacing w:after="20" w:line="240" w:lineRule="auto"/>
      </w:pPr>
      <w:r>
        <w:rPr>
          <w:rFonts w:ascii="Consolas" w:hAnsi="Consolas"/>
          <w:sz w:val="14"/>
        </w:rPr>
        <w:t>| 3. Familia transversal B5–B8 | GTRM es un paquete versionado que referencia decisiones de medición, referencia, función, normalización e interpretación. | Evita convertir un contenedor en nueva etapa científica. | Necesita controlar versiones parciales y prohibir paquetes híbridos incoherentes. |</w:t>
      </w:r>
    </w:p>
    <w:p>
      <w:pPr>
        <w:spacing w:after="40"/>
      </w:pPr>
    </w:p>
    <w:p>
      <w:r>
        <w:t>La Oficina Técnica recomienda no seleccionar todavía una alternativa. La decisión depende de la respuesta científica a dos preguntas: (a) si la GTRM produce parámetros o una puntuación ya normalizada; y (b) si posee identidad científica independiente o es una representación empaquetada de decisiones B5–B8.</w:t>
      </w:r>
    </w:p>
    <w:p>
      <w:pPr>
        <w:spacing w:after="40"/>
      </w:pPr>
    </w:p>
    <w:p>
      <w:pPr>
        <w:pStyle w:val="Heading3"/>
      </w:pPr>
      <w:r>
        <w:t>12. Decisiones e Issues requeridos antes de integrar</w:t>
      </w:r>
    </w:p>
    <w:p>
      <w:pPr>
        <w:spacing w:after="40"/>
      </w:pPr>
    </w:p>
    <w:p>
      <w:pPr>
        <w:pStyle w:val="ListNumber"/>
      </w:pPr>
      <w:r>
        <w:t>Tipo exacto de entrada de la GTRM: observación, medición registrada o valor KPI.</w:t>
      </w:r>
    </w:p>
    <w:p>
      <w:pPr>
        <w:pStyle w:val="ListNumber"/>
      </w:pPr>
      <w:r>
        <w:t>Tipo exacto de salida: parámetros, puntuación previa o puntuación normalizada.</w:t>
      </w:r>
    </w:p>
    <w:p>
      <w:pPr>
        <w:pStyle w:val="ListNumber"/>
      </w:pPr>
      <w:r>
        <w:t>Identidad o diferencia entre función de puntuación y normalización.</w:t>
      </w:r>
    </w:p>
    <w:p>
      <w:pPr>
        <w:pStyle w:val="ListNumber"/>
      </w:pPr>
      <w:r>
        <w:t>Relación formal entre condición de referencia y benchmark.</w:t>
      </w:r>
    </w:p>
    <w:p>
      <w:pPr>
        <w:pStyle w:val="ListNumber"/>
      </w:pPr>
      <w:r>
        <w:t>Alcances permitidos y precedencia entre referencias.</w:t>
      </w:r>
    </w:p>
    <w:p>
      <w:pPr>
        <w:pStyle w:val="ListNumber"/>
      </w:pPr>
      <w:r>
        <w:t>Representación y efecto de la incertidumbre.</w:t>
      </w:r>
    </w:p>
    <w:p>
      <w:pPr>
        <w:pStyle w:val="ListNumber"/>
      </w:pPr>
      <w:r>
        <w:t>Autoridad científica de la transformación y autoridad de vigencia normativa.</w:t>
      </w:r>
    </w:p>
    <w:p>
      <w:pPr>
        <w:pStyle w:val="ListNumber"/>
      </w:pPr>
      <w:r>
        <w:t>Reglas de aprobación, suspensión, sustitución y retiro.</w:t>
      </w:r>
    </w:p>
    <w:p>
      <w:pPr>
        <w:pStyle w:val="ListNumber"/>
      </w:pPr>
      <w:r>
        <w:t>Admisibilidad de un KPI sin función vigente.</w:t>
      </w:r>
    </w:p>
    <w:p>
      <w:pPr>
        <w:pStyle w:val="ListNumber"/>
      </w:pPr>
      <w:r>
        <w:t>Tolerancia de equivalencia papel–software.</w:t>
      </w:r>
    </w:p>
    <w:p>
      <w:pPr>
        <w:pStyle w:val="ListNumber"/>
      </w:pPr>
      <w:r>
        <w:t>Issue formal para cualquier cambio propuesto a D-006/D-006-REV.</w:t>
      </w:r>
    </w:p>
    <w:p>
      <w:pPr>
        <w:pStyle w:val="ListNumber"/>
      </w:pPr>
      <w:r>
        <w:t>Decisión de ubicación en B5–B8 después del dictamen científico.</w:t>
      </w:r>
    </w:p>
    <w:p>
      <w:pPr>
        <w:spacing w:after="40"/>
      </w:pPr>
    </w:p>
    <w:p>
      <w:r>
        <w:t>Hasta resolverlas, la GTRM permanece como hipótesis auditada y toda rama que dependa de ella queda bloqueada selectivamente. El resto del pipeline GOEI conserva sus compuertas vigentes.</w:t>
      </w:r>
    </w:p>
    <w:p>
      <w:pPr>
        <w:spacing w:after="40"/>
      </w:pPr>
    </w:p>
    <w:p>
      <w:pPr>
        <w:pStyle w:val="Heading3"/>
      </w:pPr>
      <w:r>
        <w:t>13. Fuentes internas de autoridad utilizadas</w:t>
      </w:r>
    </w:p>
    <w:p>
      <w:pPr>
        <w:spacing w:after="40"/>
      </w:pPr>
    </w:p>
    <w:p>
      <w:pPr>
        <w:pStyle w:val="ListBullet"/>
      </w:pPr>
      <w:r>
        <w:t>D-004, D-006 y D-006-REV, según 00_Gobernanza/Registro_de_decisiones.md.</w:t>
      </w:r>
    </w:p>
    <w:p>
      <w:pPr>
        <w:pStyle w:val="ListBullet"/>
      </w:pPr>
      <w:r>
        <w:t>Ontology Baseline v0.1 y política Issue-only, según 00_Gobernanza/Matriz_de_trazabilidad.md.</w:t>
      </w:r>
    </w:p>
    <w:p>
      <w:pPr>
        <w:pStyle w:val="ListBullet"/>
      </w:pPr>
      <w:r>
        <w:t>09_Manual_tecnico_general/Revision_tecnica_arquitectonica_D006.md.</w:t>
      </w:r>
    </w:p>
    <w:p>
      <w:pPr>
        <w:pStyle w:val="ListBullet"/>
      </w:pPr>
      <w:r>
        <w:t>00_Gobernanza/coordinacion/PIPELINE_B2_B10.md.</w:t>
      </w:r>
    </w:p>
    <w:p>
      <w:pPr>
        <w:pStyle w:val="ListBullet"/>
      </w:pPr>
      <w:r>
        <w:t>00_Gobernanza/Matriz_de_autoridad_institucional.md.</w:t>
      </w:r>
    </w:p>
    <w:p>
      <w:pPr>
        <w:pStyle w:val="ListBullet"/>
      </w:pPr>
      <w:r>
        <w:t>EPIC-001 GOEI MetaModel, reglas de integridad y restricciones de consistencia.</w:t>
      </w:r>
    </w:p>
    <w:p>
      <w:pPr>
        <w:spacing w:after="40"/>
      </w:pPr>
    </w:p>
    <w:p>
      <w:r>
        <w:t>Este inventario acredita la procedencia arquitectónica del informe; no constituye evidencia científica de aceptación de GTRM.</w:t>
      </w:r>
    </w:p>
    <w:p>
      <w:r>
        <w:br w:type="page"/>
      </w:r>
    </w:p>
    <w:p>
      <w:pPr>
        <w:pStyle w:val="Heading1"/>
        <w:keepNext/>
      </w:pPr>
      <w:r>
        <w:t>Fuente 13: 00_Gobernanza/coordinacion/auditorias/GTRM/GOEI_GTRM_AUDITORIA_CONSOLIDADA.md</w:t>
      </w:r>
    </w:p>
    <w:p>
      <w:pPr>
        <w:spacing w:after="200"/>
      </w:pPr>
      <w:r>
        <w:rPr>
          <w:rFonts w:ascii="Consolas" w:hAnsi="Consolas"/>
          <w:color w:val="595959"/>
          <w:sz w:val="16"/>
        </w:rPr>
        <w:t>Ruta: 00_Gobernanza/coordinacion/auditorias/GTRM/GOEI_GTRM_AUDITORIA_CONSOLIDADA.md</w:t>
        <w:br/>
        <w:t>Tamaño: 12201 bytes</w:t>
        <w:br/>
        <w:t>SHA-256: 0a9c19ca8d720a5d657d11d678ebce7919c8a639f44562ce789d871ad3f60aa2</w:t>
      </w:r>
    </w:p>
    <w:p>
      <w:pPr>
        <w:pStyle w:val="Heading2"/>
      </w:pPr>
      <w:r>
        <w:t>Auditoría metodológica consolidada de la propuesta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GOEI-GTRM-AUD-0001 |</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Dictamen consultivo; pendiente de resolución formal |</w:t>
      </w:r>
    </w:p>
    <w:p>
      <w:pPr>
        <w:spacing w:after="20" w:line="240" w:lineRule="auto"/>
      </w:pPr>
      <w:r>
        <w:rPr>
          <w:rFonts w:ascii="Consolas" w:hAnsi="Consolas"/>
          <w:sz w:val="14"/>
        </w:rPr>
        <w:t>| Dictamen | **B — Aceptar con modificaciones** |</w:t>
      </w:r>
    </w:p>
    <w:p>
      <w:pPr>
        <w:spacing w:after="20" w:line="240" w:lineRule="auto"/>
      </w:pPr>
      <w:r>
        <w:rPr>
          <w:rFonts w:ascii="Consolas" w:hAnsi="Consolas"/>
          <w:sz w:val="14"/>
        </w:rPr>
        <w:t>| Autoridad científica | Comité Científico GOEI (Claude) |</w:t>
      </w:r>
    </w:p>
    <w:p>
      <w:pPr>
        <w:spacing w:after="20" w:line="240" w:lineRule="auto"/>
      </w:pPr>
      <w:r>
        <w:rPr>
          <w:rFonts w:ascii="Consolas" w:hAnsi="Consolas"/>
          <w:sz w:val="14"/>
        </w:rPr>
        <w:t>| Autoridad técnica | Oficina Técnica GOEI (Codex) |</w:t>
      </w:r>
    </w:p>
    <w:p>
      <w:pPr>
        <w:spacing w:after="20" w:line="240" w:lineRule="auto"/>
      </w:pPr>
      <w:r>
        <w:rPr>
          <w:rFonts w:ascii="Consolas" w:hAnsi="Consolas"/>
          <w:sz w:val="14"/>
        </w:rPr>
        <w:t>| Fuente auditada | `GTRM_PROPUESTA_FUENTE_NO_NORMATIVA.txt` |</w:t>
      </w:r>
    </w:p>
    <w:p>
      <w:pPr>
        <w:spacing w:after="20" w:line="240" w:lineRule="auto"/>
      </w:pPr>
      <w:r>
        <w:rPr>
          <w:rFonts w:ascii="Consolas" w:hAnsi="Consolas"/>
          <w:sz w:val="14"/>
        </w:rPr>
        <w:t>| Huella SHA-256 de fuente | `6462dbe1d827cef5abd91ad020a1f9ae7d791930aa66bbeb6a40eeee7562f6d2` |</w:t>
      </w:r>
    </w:p>
    <w:p>
      <w:pPr>
        <w:spacing w:after="20" w:line="240" w:lineRule="auto"/>
      </w:pPr>
      <w:r>
        <w:rPr>
          <w:rFonts w:ascii="Consolas" w:hAnsi="Consolas"/>
          <w:sz w:val="14"/>
        </w:rPr>
        <w:t>| Efecto normativo | Ninguno hasta decisión competente |</w:t>
      </w:r>
    </w:p>
    <w:p>
      <w:pPr>
        <w:spacing w:after="20" w:line="240" w:lineRule="auto"/>
      </w:pPr>
      <w:r>
        <w:rPr>
          <w:rFonts w:ascii="Consolas" w:hAnsi="Consolas"/>
          <w:sz w:val="14"/>
        </w:rPr>
        <w:t>| Baseline protegida | D-006 Ontology Baseline v0.1, sin modificación |</w:t>
      </w:r>
    </w:p>
    <w:p>
      <w:pPr>
        <w:spacing w:after="40"/>
      </w:pPr>
    </w:p>
    <w:p>
      <w:pPr>
        <w:pStyle w:val="Heading3"/>
      </w:pPr>
      <w:r>
        <w:t>1. Dictamen ejecutivo</w:t>
      </w:r>
    </w:p>
    <w:p>
      <w:pPr>
        <w:spacing w:after="40"/>
      </w:pPr>
    </w:p>
    <w:p>
      <w:r>
        <w:t>La propuesta responde a un problema metodológico real: el GOEI no puede aceptar una puntuación cuya transformación carezca de evidencia, procedencia, autoridad y versión. Sin embargo, una GTRM no constituye una nueva ciencia de puntuación ni una fase autónoma. Debe reencuadrarse como artefacto normativo versionado que contiene o referencia la condición de referencia, la función de puntuación, sus parámetros, evidencia, incertidumbre y dominio de validez para ejecutar una única normalización.</w:t>
      </w:r>
    </w:p>
    <w:p>
      <w:pPr>
        <w:spacing w:after="40"/>
      </w:pPr>
    </w:p>
    <w:p>
      <w:r>
        <w:t>La aceptación se condiciona a seis correcciones inseparables:</w:t>
      </w:r>
    </w:p>
    <w:p>
      <w:pPr>
        <w:spacing w:after="40"/>
      </w:pPr>
    </w:p>
    <w:p>
      <w:pPr>
        <w:pStyle w:val="ListNumber"/>
      </w:pPr>
      <w:r>
        <w:t>eliminar la doble normalización;</w:t>
      </w:r>
    </w:p>
    <w:p>
      <w:pPr>
        <w:pStyle w:val="ListNumber"/>
      </w:pPr>
      <w:r>
        <w:t>distinguir condición de referencia de benchmark;</w:t>
      </w:r>
    </w:p>
    <w:p>
      <w:pPr>
        <w:pStyle w:val="ListNumber"/>
      </w:pPr>
      <w:r>
        <w:t>tratar la función como fuente lógica y la tabla manual/software como representaciones derivadas;</w:t>
      </w:r>
    </w:p>
    <w:p>
      <w:pPr>
        <w:pStyle w:val="ListNumber"/>
      </w:pPr>
      <w:r>
        <w:t>asignar identidad, procedencia, autoridad y ciclo de vida;</w:t>
      </w:r>
    </w:p>
    <w:p>
      <w:pPr>
        <w:pStyle w:val="ListNumber"/>
      </w:pPr>
      <w:r>
        <w:t>representar incertidumbre y preservar versiones históricas;</w:t>
      </w:r>
    </w:p>
    <w:p>
      <w:pPr>
        <w:pStyle w:val="ListNumber"/>
      </w:pPr>
      <w:r>
        <w:t>definir ausencia, conflicto, aplicabilidad y equivalencia papel–software.</w:t>
      </w:r>
    </w:p>
    <w:p>
      <w:pPr>
        <w:spacing w:after="40"/>
      </w:pPr>
    </w:p>
    <w:p>
      <w:r>
        <w:t>No se incorpora GTRM al estándar mediante esta auditoría. Se requiere una decisión formal posterior y un Issue antes de modificar D-006.</w:t>
      </w:r>
    </w:p>
    <w:p>
      <w:pPr>
        <w:spacing w:after="40"/>
      </w:pPr>
    </w:p>
    <w:p>
      <w:pPr>
        <w:pStyle w:val="Heading3"/>
      </w:pPr>
      <w:r>
        <w:t>2. Cadena conceptual controlada</w:t>
      </w:r>
    </w:p>
    <w:p>
      <w:pPr>
        <w:spacing w:after="40"/>
      </w:pPr>
    </w:p>
    <w:p>
      <w:pPr>
        <w:spacing w:after="20" w:line="240" w:lineRule="auto"/>
      </w:pPr>
      <w:r>
        <w:rPr>
          <w:rFonts w:ascii="Consolas" w:hAnsi="Consolas"/>
          <w:sz w:val="14"/>
        </w:rPr>
        <w:t>| Concepto | Delimitación resultante |</w:t>
      </w:r>
    </w:p>
    <w:p>
      <w:pPr>
        <w:spacing w:after="20" w:line="240" w:lineRule="auto"/>
      </w:pPr>
      <w:r>
        <w:rPr>
          <w:rFonts w:ascii="Consolas" w:hAnsi="Consolas"/>
          <w:sz w:val="14"/>
        </w:rPr>
        <w:t>|---|---|</w:t>
      </w:r>
    </w:p>
    <w:p>
      <w:pPr>
        <w:spacing w:after="20" w:line="240" w:lineRule="auto"/>
      </w:pPr>
      <w:r>
        <w:rPr>
          <w:rFonts w:ascii="Consolas" w:hAnsi="Consolas"/>
          <w:sz w:val="14"/>
        </w:rPr>
        <w:t>| Observación | Acto situado de observar un fenómeno, anclado conforme AX-11. |</w:t>
      </w:r>
    </w:p>
    <w:p>
      <w:pPr>
        <w:spacing w:after="20" w:line="240" w:lineRule="auto"/>
      </w:pPr>
      <w:r>
        <w:rPr>
          <w:rFonts w:ascii="Consolas" w:hAnsi="Consolas"/>
          <w:sz w:val="14"/>
        </w:rPr>
        <w:t>| Medición registrada | Registro persistente del dato capturado, unidad, método, instrumento, agente, periodo y calidad. |</w:t>
      </w:r>
    </w:p>
    <w:p>
      <w:pPr>
        <w:spacing w:after="20" w:line="240" w:lineRule="auto"/>
      </w:pPr>
      <w:r>
        <w:rPr>
          <w:rFonts w:ascii="Consolas" w:hAnsi="Consolas"/>
          <w:sz w:val="14"/>
        </w:rPr>
        <w:t>| Valor de KPI | Resultado derivado de una o más mediciones mediante una definición y regla de cálculo versionadas. |</w:t>
      </w:r>
    </w:p>
    <w:p>
      <w:pPr>
        <w:spacing w:after="20" w:line="240" w:lineRule="auto"/>
      </w:pPr>
      <w:r>
        <w:rPr>
          <w:rFonts w:ascii="Consolas" w:hAnsi="Consolas"/>
          <w:sz w:val="14"/>
        </w:rPr>
        <w:t>| Condición de referencia | Estado prescriptivo contra el cual se evalúa el valor KPI. |</w:t>
      </w:r>
    </w:p>
    <w:p>
      <w:pPr>
        <w:spacing w:after="20" w:line="240" w:lineRule="auto"/>
      </w:pPr>
      <w:r>
        <w:rPr>
          <w:rFonts w:ascii="Consolas" w:hAnsi="Consolas"/>
          <w:sz w:val="14"/>
        </w:rPr>
        <w:t>| Benchmark | Valor o distribución descriptiva de una población, categoría, jurisdicción y periodo. Puede informar una referencia, pero no la sustituye automáticamente. |</w:t>
      </w:r>
    </w:p>
    <w:p>
      <w:pPr>
        <w:spacing w:after="20" w:line="240" w:lineRule="auto"/>
      </w:pPr>
      <w:r>
        <w:rPr>
          <w:rFonts w:ascii="Consolas" w:hAnsi="Consolas"/>
          <w:sz w:val="14"/>
        </w:rPr>
        <w:t>| Función de puntuación | Transformación versionada con dominio, codominio, parámetros, comportamiento frontera, precisión y restricciones. |</w:t>
      </w:r>
    </w:p>
    <w:p>
      <w:pPr>
        <w:spacing w:after="20" w:line="240" w:lineRule="auto"/>
      </w:pPr>
      <w:r>
        <w:rPr>
          <w:rFonts w:ascii="Consolas" w:hAnsi="Consolas"/>
          <w:sz w:val="14"/>
        </w:rPr>
        <w:t>| Normalización | Aplicación única de la función aprobada para expresar el KPI en la escala común. |</w:t>
      </w:r>
    </w:p>
    <w:p>
      <w:pPr>
        <w:spacing w:after="20" w:line="240" w:lineRule="auto"/>
      </w:pPr>
      <w:r>
        <w:rPr>
          <w:rFonts w:ascii="Consolas" w:hAnsi="Consolas"/>
          <w:sz w:val="14"/>
        </w:rPr>
        <w:t>| Puntuación normalizada | Salida trazable de esa transformación, asociada a función, parámetros, referencia, versión e incertidumbre. |</w:t>
      </w:r>
    </w:p>
    <w:p>
      <w:pPr>
        <w:spacing w:after="20" w:line="240" w:lineRule="auto"/>
      </w:pPr>
      <w:r>
        <w:rPr>
          <w:rFonts w:ascii="Consolas" w:hAnsi="Consolas"/>
          <w:sz w:val="14"/>
        </w:rPr>
        <w:t>| Tabla manual | Representación discretizada y controlada de la misma especificación usada por el software. |</w:t>
      </w:r>
    </w:p>
    <w:p>
      <w:pPr>
        <w:spacing w:after="20" w:line="240" w:lineRule="auto"/>
      </w:pPr>
      <w:r>
        <w:rPr>
          <w:rFonts w:ascii="Consolas" w:hAnsi="Consolas"/>
          <w:sz w:val="14"/>
        </w:rPr>
        <w:t>| Interpretación | Significado permitido de la salida y límites de inferencia; no modifica el cálculo. |</w:t>
      </w:r>
    </w:p>
    <w:p>
      <w:pPr>
        <w:spacing w:after="40"/>
      </w:pPr>
    </w:p>
    <w:p>
      <w:r>
        <w:t>Flujo admitido para futura decisión:</w:t>
      </w:r>
    </w:p>
    <w:p>
      <w:pPr>
        <w:spacing w:after="40"/>
      </w:pPr>
    </w:p>
    <w:p>
      <w:pPr>
        <w:spacing w:after="20" w:line="240" w:lineRule="auto"/>
        <w:ind w:left="259"/>
      </w:pPr>
      <w:r>
        <w:rPr>
          <w:rFonts w:ascii="Consolas" w:hAnsi="Consolas"/>
          <w:sz w:val="15"/>
        </w:rPr>
        <w:t>flowchart LR</w:t>
      </w:r>
    </w:p>
    <w:p>
      <w:pPr>
        <w:spacing w:after="20" w:line="240" w:lineRule="auto"/>
        <w:ind w:left="259"/>
      </w:pPr>
      <w:r>
        <w:rPr>
          <w:rFonts w:ascii="Consolas" w:hAnsi="Consolas"/>
          <w:sz w:val="15"/>
        </w:rPr>
        <w:t xml:space="preserve">    F["Fenómeno real"] --&gt; O["Observación"]</w:t>
      </w:r>
    </w:p>
    <w:p>
      <w:pPr>
        <w:spacing w:after="20" w:line="240" w:lineRule="auto"/>
        <w:ind w:left="259"/>
      </w:pPr>
      <w:r>
        <w:rPr>
          <w:rFonts w:ascii="Consolas" w:hAnsi="Consolas"/>
          <w:sz w:val="15"/>
        </w:rPr>
        <w:t xml:space="preserve">    O --&gt; M["Medición registrada"]</w:t>
      </w:r>
    </w:p>
    <w:p>
      <w:pPr>
        <w:spacing w:after="20" w:line="240" w:lineRule="auto"/>
        <w:ind w:left="259"/>
      </w:pPr>
      <w:r>
        <w:rPr>
          <w:rFonts w:ascii="Consolas" w:hAnsi="Consolas"/>
          <w:sz w:val="15"/>
        </w:rPr>
        <w:t xml:space="preserve">    M --&gt; K["Valor de KPI"]</w:t>
      </w:r>
    </w:p>
    <w:p>
      <w:pPr>
        <w:spacing w:after="20" w:line="240" w:lineRule="auto"/>
        <w:ind w:left="259"/>
      </w:pPr>
      <w:r>
        <w:rPr>
          <w:rFonts w:ascii="Consolas" w:hAnsi="Consolas"/>
          <w:sz w:val="15"/>
        </w:rPr>
        <w:t xml:space="preserve">    R["Condición de referencia"] --&gt; G["GTRM / función parametrizada"]</w:t>
      </w:r>
    </w:p>
    <w:p>
      <w:pPr>
        <w:spacing w:after="20" w:line="240" w:lineRule="auto"/>
        <w:ind w:left="259"/>
      </w:pPr>
      <w:r>
        <w:rPr>
          <w:rFonts w:ascii="Consolas" w:hAnsi="Consolas"/>
          <w:sz w:val="15"/>
        </w:rPr>
        <w:t xml:space="preserve">    B["Benchmark"] -. "puede informar" .-&gt; R</w:t>
      </w:r>
    </w:p>
    <w:p>
      <w:pPr>
        <w:spacing w:after="20" w:line="240" w:lineRule="auto"/>
        <w:ind w:left="259"/>
      </w:pPr>
      <w:r>
        <w:rPr>
          <w:rFonts w:ascii="Consolas" w:hAnsi="Consolas"/>
          <w:sz w:val="15"/>
        </w:rPr>
        <w:t xml:space="preserve">    K --&gt; G</w:t>
      </w:r>
    </w:p>
    <w:p>
      <w:pPr>
        <w:spacing w:after="20" w:line="240" w:lineRule="auto"/>
        <w:ind w:left="259"/>
      </w:pPr>
      <w:r>
        <w:rPr>
          <w:rFonts w:ascii="Consolas" w:hAnsi="Consolas"/>
          <w:sz w:val="15"/>
        </w:rPr>
        <w:t xml:space="preserve">    G --&gt; P["Puntuación normalizada"]</w:t>
      </w:r>
    </w:p>
    <w:p>
      <w:pPr>
        <w:spacing w:after="20" w:line="240" w:lineRule="auto"/>
        <w:ind w:left="259"/>
      </w:pPr>
      <w:r>
        <w:rPr>
          <w:rFonts w:ascii="Consolas" w:hAnsi="Consolas"/>
          <w:sz w:val="15"/>
        </w:rPr>
        <w:t xml:space="preserve">    G -. "misma especificación" .-&gt; T["Tabla manual"]</w:t>
      </w:r>
    </w:p>
    <w:p>
      <w:pPr>
        <w:spacing w:after="20" w:line="240" w:lineRule="auto"/>
        <w:ind w:left="259"/>
      </w:pPr>
      <w:r>
        <w:rPr>
          <w:rFonts w:ascii="Consolas" w:hAnsi="Consolas"/>
          <w:sz w:val="15"/>
        </w:rPr>
        <w:t xml:space="preserve">    G -. "misma especificación" .-&gt; S["Software"]</w:t>
      </w:r>
    </w:p>
    <w:p>
      <w:pPr>
        <w:spacing w:after="20" w:line="240" w:lineRule="auto"/>
        <w:ind w:left="259"/>
      </w:pPr>
      <w:r>
        <w:rPr>
          <w:rFonts w:ascii="Consolas" w:hAnsi="Consolas"/>
          <w:sz w:val="15"/>
        </w:rPr>
        <w:t xml:space="preserve">    P --&gt; A["Agregación GOEI"]</w:t>
      </w:r>
    </w:p>
    <w:p>
      <w:pPr>
        <w:spacing w:after="20" w:line="240" w:lineRule="auto"/>
        <w:ind w:left="259"/>
      </w:pPr>
      <w:r>
        <w:rPr>
          <w:rFonts w:ascii="Consolas" w:hAnsi="Consolas"/>
          <w:sz w:val="15"/>
        </w:rPr>
        <w:t xml:space="preserve">    A --&gt; I["Interpretación"]</w:t>
      </w:r>
    </w:p>
    <w:p>
      <w:pPr>
        <w:spacing w:after="40"/>
      </w:pPr>
    </w:p>
    <w:p>
      <w:pPr>
        <w:pStyle w:val="Heading3"/>
      </w:pPr>
      <w:r>
        <w:t>3. Respuestas decisivas</w:t>
      </w:r>
    </w:p>
    <w:p>
      <w:pPr>
        <w:spacing w:after="40"/>
      </w:pPr>
    </w:p>
    <w:p>
      <w:pPr>
        <w:spacing w:after="20" w:line="240" w:lineRule="auto"/>
      </w:pPr>
      <w:r>
        <w:rPr>
          <w:rFonts w:ascii="Consolas" w:hAnsi="Consolas"/>
          <w:sz w:val="14"/>
        </w:rPr>
        <w:t>| Pregunta | Respuesta consultiva |</w:t>
      </w:r>
    </w:p>
    <w:p>
      <w:pPr>
        <w:spacing w:after="20" w:line="240" w:lineRule="auto"/>
      </w:pPr>
      <w:r>
        <w:rPr>
          <w:rFonts w:ascii="Consolas" w:hAnsi="Consolas"/>
          <w:sz w:val="14"/>
        </w:rPr>
        <w:t>|---|---|</w:t>
      </w:r>
    </w:p>
    <w:p>
      <w:pPr>
        <w:spacing w:after="20" w:line="240" w:lineRule="auto"/>
      </w:pPr>
      <w:r>
        <w:rPr>
          <w:rFonts w:ascii="Consolas" w:hAnsi="Consolas"/>
          <w:sz w:val="14"/>
        </w:rPr>
        <w:t>| ¿Sobre qué actúa? | Sobre el valor de KPI derivado de mediciones registradas; no sobre la observación cruda. |</w:t>
      </w:r>
    </w:p>
    <w:p>
      <w:pPr>
        <w:spacing w:after="20" w:line="240" w:lineRule="auto"/>
      </w:pPr>
      <w:r>
        <w:rPr>
          <w:rFonts w:ascii="Consolas" w:hAnsi="Consolas"/>
          <w:sz w:val="14"/>
        </w:rPr>
        <w:t>| ¿Qué produce? | Porta parámetros justificados y, al aplicarse una vez, produce la puntuación normalizada del KPI; no el resultado GOEI. |</w:t>
      </w:r>
    </w:p>
    <w:p>
      <w:pPr>
        <w:spacing w:after="20" w:line="240" w:lineRule="auto"/>
      </w:pPr>
      <w:r>
        <w:rPr>
          <w:rFonts w:ascii="Consolas" w:hAnsi="Consolas"/>
          <w:sz w:val="14"/>
        </w:rPr>
        <w:t>| ¿Existe doble normalización? | Sí en el flujo original. GTRM y motor de normalización deben constituir un único paso lógico. |</w:t>
      </w:r>
    </w:p>
    <w:p>
      <w:pPr>
        <w:spacing w:after="20" w:line="240" w:lineRule="auto"/>
      </w:pPr>
      <w:r>
        <w:rPr>
          <w:rFonts w:ascii="Consolas" w:hAnsi="Consolas"/>
          <w:sz w:val="14"/>
        </w:rPr>
        <w:t>| ¿Función, parametrización o tabla? | Función de valor parametrizada y gobernada; la tabla es una representación manual derivada. |</w:t>
      </w:r>
    </w:p>
    <w:p>
      <w:pPr>
        <w:spacing w:after="20" w:line="240" w:lineRule="auto"/>
      </w:pPr>
      <w:r>
        <w:rPr>
          <w:rFonts w:ascii="Consolas" w:hAnsi="Consolas"/>
          <w:sz w:val="14"/>
        </w:rPr>
        <w:t>| ¿Referencia equivale a benchmark? | No. La primera es prescriptiva; el segundo es descriptivo. |</w:t>
      </w:r>
    </w:p>
    <w:p>
      <w:pPr>
        <w:spacing w:after="20" w:line="240" w:lineRule="auto"/>
      </w:pPr>
      <w:r>
        <w:rPr>
          <w:rFonts w:ascii="Consolas" w:hAnsi="Consolas"/>
          <w:sz w:val="14"/>
        </w:rPr>
        <w:t>| ¿Toda referencia es por categoría? | No se demostró. Pueden existir dominios universales, regulatorios, jurisdiccionales, sectoriales o categoriales. |</w:t>
      </w:r>
    </w:p>
    <w:p>
      <w:pPr>
        <w:spacing w:after="20" w:line="240" w:lineRule="auto"/>
      </w:pPr>
      <w:r>
        <w:rPr>
          <w:rFonts w:ascii="Consolas" w:hAnsi="Consolas"/>
          <w:sz w:val="14"/>
        </w:rPr>
        <w:t>| ¿Quién selecciona la precedencia? | Una decisión científica y normativa explícita; nunca la taxonomía o el software por inferencia. |</w:t>
      </w:r>
    </w:p>
    <w:p>
      <w:pPr>
        <w:spacing w:after="20" w:line="240" w:lineRule="auto"/>
      </w:pPr>
      <w:r>
        <w:rPr>
          <w:rFonts w:ascii="Consolas" w:hAnsi="Consolas"/>
          <w:sz w:val="14"/>
        </w:rPr>
        <w:t>| ¿Dónde reside la autoridad científica? | En la evidencia y método aprobados que justifican referencia, función y parámetros. La vigencia normativa corresponde al órgano competente. |</w:t>
      </w:r>
    </w:p>
    <w:p>
      <w:pPr>
        <w:spacing w:after="20" w:line="240" w:lineRule="auto"/>
      </w:pPr>
      <w:r>
        <w:rPr>
          <w:rFonts w:ascii="Consolas" w:hAnsi="Consolas"/>
          <w:sz w:val="14"/>
        </w:rPr>
        <w:t>| ¿Qué ocurre sin referencia? | No se calcula ni se crea fallback; se bloquea solo ese KPI×dominio y se abre/enlaza Issue. |</w:t>
      </w:r>
    </w:p>
    <w:p>
      <w:pPr>
        <w:spacing w:after="20" w:line="240" w:lineRule="auto"/>
      </w:pPr>
      <w:r>
        <w:rPr>
          <w:rFonts w:ascii="Consolas" w:hAnsi="Consolas"/>
          <w:sz w:val="14"/>
        </w:rPr>
        <w:t>| ¿Puede existir KPI sin GTRM? | Puede existir como definición o candidato, pero no ser puntuable ni agregable hasta disponer de transformación vigente, si esta regla se aprueba. |</w:t>
      </w:r>
    </w:p>
    <w:p>
      <w:pPr>
        <w:spacing w:after="40"/>
      </w:pPr>
    </w:p>
    <w:p>
      <w:pPr>
        <w:pStyle w:val="Heading3"/>
      </w:pPr>
      <w:r>
        <w:t>4. Clasificación multidimensional candidata</w:t>
      </w:r>
    </w:p>
    <w:p>
      <w:pPr>
        <w:spacing w:after="40"/>
      </w:pPr>
    </w:p>
    <w:p>
      <w:r>
        <w:t>No se adopta una lista plana porque mezcla autoridad, método y alcance. Una eventual GTRM se clasificaría simultáneamente por ejes ortogonales:</w:t>
      </w:r>
    </w:p>
    <w:p>
      <w:pPr>
        <w:spacing w:after="40"/>
      </w:pPr>
    </w:p>
    <w:p>
      <w:pPr>
        <w:spacing w:after="20" w:line="240" w:lineRule="auto"/>
      </w:pPr>
      <w:r>
        <w:rPr>
          <w:rFonts w:ascii="Consolas" w:hAnsi="Consolas"/>
          <w:sz w:val="14"/>
        </w:rPr>
        <w:t>| Eje | Valores candidatos no normativos |</w:t>
      </w:r>
    </w:p>
    <w:p>
      <w:pPr>
        <w:spacing w:after="20" w:line="240" w:lineRule="auto"/>
      </w:pPr>
      <w:r>
        <w:rPr>
          <w:rFonts w:ascii="Consolas" w:hAnsi="Consolas"/>
          <w:sz w:val="14"/>
        </w:rPr>
        <w:t>|---|---|</w:t>
      </w:r>
    </w:p>
    <w:p>
      <w:pPr>
        <w:spacing w:after="20" w:line="240" w:lineRule="auto"/>
      </w:pPr>
      <w:r>
        <w:rPr>
          <w:rFonts w:ascii="Consolas" w:hAnsi="Consolas"/>
          <w:sz w:val="14"/>
        </w:rPr>
        <w:t>| Autoridad/efecto | regulatoria; normativa GOEI; informativa |</w:t>
      </w:r>
    </w:p>
    <w:p>
      <w:pPr>
        <w:spacing w:after="20" w:line="240" w:lineRule="auto"/>
      </w:pPr>
      <w:r>
        <w:rPr>
          <w:rFonts w:ascii="Consolas" w:hAnsi="Consolas"/>
          <w:sz w:val="14"/>
        </w:rPr>
        <w:t>| Origen de evidencia | norma; empírica; estadística; consenso experto/Delphi; híbrida |</w:t>
      </w:r>
    </w:p>
    <w:p>
      <w:pPr>
        <w:spacing w:after="20" w:line="240" w:lineRule="auto"/>
      </w:pPr>
      <w:r>
        <w:rPr>
          <w:rFonts w:ascii="Consolas" w:hAnsi="Consolas"/>
          <w:sz w:val="14"/>
        </w:rPr>
        <w:t>| Alcance | universal; internacional; jurisdiccional; sectorial; categoría/población |</w:t>
      </w:r>
    </w:p>
    <w:p>
      <w:pPr>
        <w:spacing w:after="20" w:line="240" w:lineRule="auto"/>
      </w:pPr>
      <w:r>
        <w:rPr>
          <w:rFonts w:ascii="Consolas" w:hAnsi="Consolas"/>
          <w:sz w:val="14"/>
        </w:rPr>
        <w:t>| Función | referencia crítica/no compensable; puntuación gradual; benchmark informativo |</w:t>
      </w:r>
    </w:p>
    <w:p>
      <w:pPr>
        <w:spacing w:after="20" w:line="240" w:lineRule="auto"/>
      </w:pPr>
      <w:r>
        <w:rPr>
          <w:rFonts w:ascii="Consolas" w:hAnsi="Consolas"/>
          <w:sz w:val="14"/>
        </w:rPr>
        <w:t>| Madurez | borrador; en revisión; recomendada; aprobada; vigente; suspendida; sustituida; retirada |</w:t>
      </w:r>
    </w:p>
    <w:p>
      <w:pPr>
        <w:spacing w:after="40"/>
      </w:pPr>
    </w:p>
    <w:p>
      <w:r>
        <w:t>Los valores y precedencias definitivos corresponden a una decisión posterior. La regla propuesta por el Comité de preferir autoridad legal y mayor exigencia se conserva como candidata, no como regla GOEI vigente.</w:t>
      </w:r>
    </w:p>
    <w:p>
      <w:pPr>
        <w:spacing w:after="40"/>
      </w:pPr>
    </w:p>
    <w:p>
      <w:pPr>
        <w:pStyle w:val="Heading3"/>
      </w:pPr>
      <w:r>
        <w:t>5. Impacto consolidado</w:t>
      </w:r>
    </w:p>
    <w:p>
      <w:pPr>
        <w:spacing w:after="40"/>
      </w:pPr>
    </w:p>
    <w:p>
      <w:pPr>
        <w:spacing w:after="20" w:line="240" w:lineRule="auto"/>
      </w:pPr>
      <w:r>
        <w:rPr>
          <w:rFonts w:ascii="Consolas" w:hAnsi="Consolas"/>
          <w:sz w:val="14"/>
        </w:rPr>
        <w:t>| Componente | Impacto si se ratifica B |</w:t>
      </w:r>
    </w:p>
    <w:p>
      <w:pPr>
        <w:spacing w:after="20" w:line="240" w:lineRule="auto"/>
      </w:pPr>
      <w:r>
        <w:rPr>
          <w:rFonts w:ascii="Consolas" w:hAnsi="Consolas"/>
          <w:sz w:val="14"/>
        </w:rPr>
        <w:t>|---|---|</w:t>
      </w:r>
    </w:p>
    <w:p>
      <w:pPr>
        <w:spacing w:after="20" w:line="240" w:lineRule="auto"/>
      </w:pPr>
      <w:r>
        <w:rPr>
          <w:rFonts w:ascii="Consolas" w:hAnsi="Consolas"/>
          <w:sz w:val="14"/>
        </w:rPr>
        <w:t>| Constructo | Sin cambio directo; debe demostrarse que las transformaciones representan el constructo. |</w:t>
      </w:r>
    </w:p>
    <w:p>
      <w:pPr>
        <w:spacing w:after="20" w:line="240" w:lineRule="auto"/>
      </w:pPr>
      <w:r>
        <w:rPr>
          <w:rFonts w:ascii="Consolas" w:hAnsi="Consolas"/>
          <w:sz w:val="14"/>
        </w:rPr>
        <w:t>| Ontología | Decisión requerida: separar observación/medición registrada y añadir el artefacto GTRM mediante Issue y nueva baseline. |</w:t>
      </w:r>
    </w:p>
    <w:p>
      <w:pPr>
        <w:spacing w:after="20" w:line="240" w:lineRule="auto"/>
      </w:pPr>
      <w:r>
        <w:rPr>
          <w:rFonts w:ascii="Consolas" w:hAnsi="Consolas"/>
          <w:sz w:val="14"/>
        </w:rPr>
        <w:t>| Taxonomía | Ampliar como entrada de aplicabilidad, sin asumir que toda referencia es categorial. |</w:t>
      </w:r>
    </w:p>
    <w:p>
      <w:pPr>
        <w:spacing w:after="20" w:line="240" w:lineRule="auto"/>
      </w:pPr>
      <w:r>
        <w:rPr>
          <w:rFonts w:ascii="Consolas" w:hAnsi="Consolas"/>
          <w:sz w:val="14"/>
        </w:rPr>
        <w:t>| Procesos | Sin cambio estructural; conservar relación de medición con proceso. |</w:t>
      </w:r>
    </w:p>
    <w:p>
      <w:pPr>
        <w:spacing w:after="20" w:line="240" w:lineRule="auto"/>
      </w:pPr>
      <w:r>
        <w:rPr>
          <w:rFonts w:ascii="Consolas" w:hAnsi="Consolas"/>
          <w:sz w:val="14"/>
        </w:rPr>
        <w:t>| KPI/admisibilidad | Ampliar estados para separar definido, admisible, puntuable e integrable. |</w:t>
      </w:r>
    </w:p>
    <w:p>
      <w:pPr>
        <w:spacing w:after="20" w:line="240" w:lineRule="auto"/>
      </w:pPr>
      <w:r>
        <w:rPr>
          <w:rFonts w:ascii="Consolas" w:hAnsi="Consolas"/>
          <w:sz w:val="14"/>
        </w:rPr>
        <w:t>| B5 medición | Reescribir para separar captura, registro, valor KPI, referencia y benchmark. |</w:t>
      </w:r>
    </w:p>
    <w:p>
      <w:pPr>
        <w:spacing w:after="20" w:line="240" w:lineRule="auto"/>
      </w:pPr>
      <w:r>
        <w:rPr>
          <w:rFonts w:ascii="Consolas" w:hAnsi="Consolas"/>
          <w:sz w:val="14"/>
        </w:rPr>
        <w:t>| B6 normalización | Reescribir para una sola función, con GTRM como especificación/parametrización gobernada. |</w:t>
      </w:r>
    </w:p>
    <w:p>
      <w:pPr>
        <w:spacing w:after="20" w:line="240" w:lineRule="auto"/>
      </w:pPr>
      <w:r>
        <w:rPr>
          <w:rFonts w:ascii="Consolas" w:hAnsi="Consolas"/>
          <w:sz w:val="14"/>
        </w:rPr>
        <w:t>| Ponderación/agregación | Sin cambio de contenido; consumir solo puntuaciones normalizadas válidas. |</w:t>
      </w:r>
    </w:p>
    <w:p>
      <w:pPr>
        <w:spacing w:after="20" w:line="240" w:lineRule="auto"/>
      </w:pPr>
      <w:r>
        <w:rPr>
          <w:rFonts w:ascii="Consolas" w:hAnsi="Consolas"/>
          <w:sz w:val="14"/>
        </w:rPr>
        <w:t>| Interpretación | Ampliar límites de inferencia y efecto de incertidumbre/versiones. |</w:t>
      </w:r>
    </w:p>
    <w:p>
      <w:pPr>
        <w:spacing w:after="20" w:line="240" w:lineRule="auto"/>
      </w:pPr>
      <w:r>
        <w:rPr>
          <w:rFonts w:ascii="Consolas" w:hAnsi="Consolas"/>
          <w:sz w:val="14"/>
        </w:rPr>
        <w:t>| Validación | Ampliar a función, parámetros, sensibilidad, incertidumbre y equivalencia. |</w:t>
      </w:r>
    </w:p>
    <w:p>
      <w:pPr>
        <w:spacing w:after="20" w:line="240" w:lineRule="auto"/>
      </w:pPr>
      <w:r>
        <w:rPr>
          <w:rFonts w:ascii="Consolas" w:hAnsi="Consolas"/>
          <w:sz w:val="14"/>
        </w:rPr>
        <w:t>| Manual/formularios | Ampliar IDs/versiones, dominio, tabla aplicada, incertidumbre y estados no calculables. |</w:t>
      </w:r>
    </w:p>
    <w:p>
      <w:pPr>
        <w:spacing w:after="20" w:line="240" w:lineRule="auto"/>
      </w:pPr>
      <w:r>
        <w:rPr>
          <w:rFonts w:ascii="Consolas" w:hAnsi="Consolas"/>
          <w:sz w:val="14"/>
        </w:rPr>
        <w:t>| Software | Ampliar selección explícita, manifiestos, errores, historial y pruebas de conformidad. |</w:t>
      </w:r>
    </w:p>
    <w:p>
      <w:pPr>
        <w:spacing w:after="20" w:line="240" w:lineRule="auto"/>
      </w:pPr>
      <w:r>
        <w:rPr>
          <w:rFonts w:ascii="Consolas" w:hAnsi="Consolas"/>
          <w:sz w:val="14"/>
        </w:rPr>
        <w:t>| Knowledge Graph/MetaModel | Ampliar solo después de decisión; representar procedencia, aplicabilidad, sucesión y autoridad. |</w:t>
      </w:r>
    </w:p>
    <w:p>
      <w:pPr>
        <w:spacing w:after="20" w:line="240" w:lineRule="auto"/>
      </w:pPr>
      <w:r>
        <w:rPr>
          <w:rFonts w:ascii="Consolas" w:hAnsi="Consolas"/>
          <w:sz w:val="14"/>
        </w:rPr>
        <w:t>| Constitución/BOK | Decisión requerida para autoridad; ampliar documentación después de ratificación. |</w:t>
      </w:r>
    </w:p>
    <w:p>
      <w:pPr>
        <w:spacing w:after="20" w:line="240" w:lineRule="auto"/>
      </w:pPr>
      <w:r>
        <w:rPr>
          <w:rFonts w:ascii="Consolas" w:hAnsi="Consolas"/>
          <w:sz w:val="14"/>
        </w:rPr>
        <w:t>| Repositorio | Crear familia, esquema y baseline solo después de adopción oficial. |</w:t>
      </w:r>
    </w:p>
    <w:p>
      <w:pPr>
        <w:spacing w:after="20" w:line="240" w:lineRule="auto"/>
      </w:pPr>
      <w:r>
        <w:rPr>
          <w:rFonts w:ascii="Consolas" w:hAnsi="Consolas"/>
          <w:sz w:val="14"/>
        </w:rPr>
        <w:t>| Tesis/publicaciones | Describir auditoría como resultado consultivo; no presentar GTRM como estándar vigente. |</w:t>
      </w:r>
    </w:p>
    <w:p>
      <w:pPr>
        <w:spacing w:after="40"/>
      </w:pPr>
    </w:p>
    <w:p>
      <w:pPr>
        <w:pStyle w:val="Heading3"/>
      </w:pPr>
      <w:r>
        <w:t>6. Identidad, autoridad y ciclo de vida candidatos</w:t>
      </w:r>
    </w:p>
    <w:p>
      <w:pPr>
        <w:spacing w:after="40"/>
      </w:pPr>
    </w:p>
    <w:p>
      <w:r>
        <w:t>Una GTRM futura requeriría como mínimo:</w:t>
      </w:r>
    </w:p>
    <w:p>
      <w:pPr>
        <w:spacing w:after="40"/>
      </w:pPr>
    </w:p>
    <w:p>
      <w:pPr>
        <w:pStyle w:val="ListBullet"/>
      </w:pPr>
      <w:r>
        <w:t>ID inmutable, versión, revisión, estado, vigencia y baseline;</w:t>
      </w:r>
    </w:p>
    <w:p>
      <w:pPr>
        <w:pStyle w:val="ListBullet"/>
      </w:pPr>
      <w:r>
        <w:t>KPI y versión, proceso, unidad y tipo exacto de entrada;</w:t>
      </w:r>
    </w:p>
    <w:p>
      <w:pPr>
        <w:pStyle w:val="ListBullet"/>
      </w:pPr>
      <w:r>
        <w:t>categoría/población, jurisdicción, periodo y dominio;</w:t>
      </w:r>
    </w:p>
    <w:p>
      <w:pPr>
        <w:pStyle w:val="ListBullet"/>
      </w:pPr>
      <w:r>
        <w:t>condición de referencia y benchmark diferenciados;</w:t>
      </w:r>
    </w:p>
    <w:p>
      <w:pPr>
        <w:pStyle w:val="ListBullet"/>
      </w:pPr>
      <w:r>
        <w:t>función, parámetros, dominio, codominio, precisión y redondeo;</w:t>
      </w:r>
    </w:p>
    <w:p>
      <w:pPr>
        <w:pStyle w:val="ListBullet"/>
      </w:pPr>
      <w:r>
        <w:t>evidencia, método, incertidumbre y limitaciones;</w:t>
      </w:r>
    </w:p>
    <w:p>
      <w:pPr>
        <w:pStyle w:val="ListBullet"/>
      </w:pPr>
      <w:r>
        <w:t>decisión científica de origen y aprobación normativa;</w:t>
      </w:r>
    </w:p>
    <w:p>
      <w:pPr>
        <w:pStyle w:val="ListBullet"/>
      </w:pPr>
      <w:r>
        <w:t>tabla manual, implementación software y casos canónicos con checksum;</w:t>
      </w:r>
    </w:p>
    <w:p>
      <w:pPr>
        <w:pStyle w:val="ListBullet"/>
      </w:pPr>
      <w:r>
        <w:t>predecesora, sucesora, compatibilidad y motivo de cambio.</w:t>
      </w:r>
    </w:p>
    <w:p>
      <w:pPr>
        <w:spacing w:after="40"/>
      </w:pPr>
    </w:p>
    <w:p>
      <w:r>
        <w:t>Ciclo candidato:</w:t>
      </w:r>
    </w:p>
    <w:p>
      <w:pPr>
        <w:spacing w:after="40"/>
      </w:pPr>
    </w:p>
    <w:p>
      <w:pPr>
        <w:spacing w:after="20" w:line="240" w:lineRule="auto"/>
        <w:ind w:left="259"/>
      </w:pPr>
      <w:r>
        <w:rPr>
          <w:rFonts w:ascii="Consolas" w:hAnsi="Consolas"/>
          <w:sz w:val="15"/>
        </w:rPr>
        <w:t>borrador → revisión científica → recomendada → aprobada → vigente</w:t>
      </w:r>
    </w:p>
    <w:p>
      <w:pPr>
        <w:spacing w:after="20" w:line="240" w:lineRule="auto"/>
        <w:ind w:left="259"/>
      </w:pPr>
      <w:r>
        <w:rPr>
          <w:rFonts w:ascii="Consolas" w:hAnsi="Consolas"/>
          <w:sz w:val="15"/>
        </w:rPr>
        <w:t xml:space="preserve">                                           ↘ devuelta | rechazada</w:t>
      </w:r>
    </w:p>
    <w:p>
      <w:pPr>
        <w:spacing w:after="20" w:line="240" w:lineRule="auto"/>
        <w:ind w:left="259"/>
      </w:pPr>
      <w:r>
        <w:rPr>
          <w:rFonts w:ascii="Consolas" w:hAnsi="Consolas"/>
          <w:sz w:val="15"/>
        </w:rPr>
        <w:t>vigente → suspendida → vigente</w:t>
      </w:r>
    </w:p>
    <w:p>
      <w:pPr>
        <w:spacing w:after="20" w:line="240" w:lineRule="auto"/>
        <w:ind w:left="259"/>
      </w:pPr>
      <w:r>
        <w:rPr>
          <w:rFonts w:ascii="Consolas" w:hAnsi="Consolas"/>
          <w:sz w:val="15"/>
        </w:rPr>
        <w:t>vigente → sustituida → retirada</w:t>
      </w:r>
    </w:p>
    <w:p>
      <w:pPr>
        <w:spacing w:after="40"/>
      </w:pPr>
    </w:p>
    <w:p>
      <w:r>
        <w:t>Ninguna versión se sobrescribe. Una evaluación histórica conserva la versión original; una simulación con versión nueva se marca como contrafactual.</w:t>
      </w:r>
    </w:p>
    <w:p>
      <w:pPr>
        <w:spacing w:after="40"/>
      </w:pPr>
    </w:p>
    <w:p>
      <w:pPr>
        <w:pStyle w:val="Heading3"/>
      </w:pPr>
      <w:r>
        <w:t>7. Incertidumbre y equivalencia</w:t>
      </w:r>
    </w:p>
    <w:p>
      <w:pPr>
        <w:spacing w:after="40"/>
      </w:pPr>
    </w:p>
    <w:p>
      <w:r>
        <w:t>La arquitectura debe representar separadamente incertidumbre de:</w:t>
      </w:r>
    </w:p>
    <w:p>
      <w:pPr>
        <w:spacing w:after="40"/>
      </w:pPr>
    </w:p>
    <w:p>
      <w:pPr>
        <w:pStyle w:val="ListBullet"/>
      </w:pPr>
      <w:r>
        <w:t>medición;</w:t>
      </w:r>
    </w:p>
    <w:p>
      <w:pPr>
        <w:pStyle w:val="ListBullet"/>
      </w:pPr>
      <w:r>
        <w:t>muestreo;</w:t>
      </w:r>
    </w:p>
    <w:p>
      <w:pPr>
        <w:pStyle w:val="ListBullet"/>
      </w:pPr>
      <w:r>
        <w:t>benchmark;</w:t>
      </w:r>
    </w:p>
    <w:p>
      <w:pPr>
        <w:pStyle w:val="ListBullet"/>
      </w:pPr>
      <w:r>
        <w:t>parámetros;</w:t>
      </w:r>
    </w:p>
    <w:p>
      <w:pPr>
        <w:pStyle w:val="ListBullet"/>
      </w:pPr>
      <w:r>
        <w:t>puntuación propagada.</w:t>
      </w:r>
    </w:p>
    <w:p>
      <w:pPr>
        <w:spacing w:after="40"/>
      </w:pPr>
    </w:p>
    <w:p>
      <w:r>
        <w:t>El método, intervalo, clase de confianza, tolerancia o regla de suficiencia no se fija aquí. Debe decidirlo el Comité para cada familia aplicable.</w:t>
      </w:r>
    </w:p>
    <w:p>
      <w:pPr>
        <w:spacing w:after="40"/>
      </w:pPr>
    </w:p>
    <w:p>
      <w:r>
        <w:t>La equivalencia papel–software se verificará con casos canónicos de límites, adyacencias, extremos, faltantes, unidades, redondeos, conflictos, vigencias e incertidumbre. Tabla y software deben derivar de una misma especificación. La tolerancia requiere aprobación científica; una divergencia bloquea la representación afectada.</w:t>
      </w:r>
    </w:p>
    <w:p>
      <w:pPr>
        <w:spacing w:after="40"/>
      </w:pPr>
    </w:p>
    <w:p>
      <w:pPr>
        <w:pStyle w:val="Heading3"/>
      </w:pPr>
      <w:r>
        <w:t>8. Pipeline recomendado</w:t>
      </w:r>
    </w:p>
    <w:p>
      <w:pPr>
        <w:spacing w:after="40"/>
      </w:pPr>
    </w:p>
    <w:p>
      <w:r>
        <w:t>No se crea una fase autónoma. Se recomienda mantener el orden y hacer explícito el sustrato GTRM:</w:t>
      </w:r>
    </w:p>
    <w:p>
      <w:pPr>
        <w:spacing w:after="40"/>
      </w:pPr>
    </w:p>
    <w:p>
      <w:pPr>
        <w:spacing w:after="20" w:line="240" w:lineRule="auto"/>
        <w:ind w:left="259"/>
      </w:pPr>
      <w:r>
        <w:rPr>
          <w:rFonts w:ascii="Consolas" w:hAnsi="Consolas"/>
          <w:sz w:val="15"/>
        </w:rPr>
        <w:t>B5 Especificación de medición</w:t>
      </w:r>
    </w:p>
    <w:p>
      <w:pPr>
        <w:spacing w:after="20" w:line="240" w:lineRule="auto"/>
        <w:ind w:left="259"/>
      </w:pPr>
      <w:r>
        <w:rPr>
          <w:rFonts w:ascii="Consolas" w:hAnsi="Consolas"/>
          <w:sz w:val="15"/>
        </w:rPr>
        <w:t>→ referencia/benchmark aplicable</w:t>
      </w:r>
    </w:p>
    <w:p>
      <w:pPr>
        <w:spacing w:after="20" w:line="240" w:lineRule="auto"/>
        <w:ind w:left="259"/>
      </w:pPr>
      <w:r>
        <w:rPr>
          <w:rFonts w:ascii="Consolas" w:hAnsi="Consolas"/>
          <w:sz w:val="15"/>
        </w:rPr>
        <w:t>→ GTRM: función y parámetros justificados</w:t>
      </w:r>
    </w:p>
    <w:p>
      <w:pPr>
        <w:spacing w:after="20" w:line="240" w:lineRule="auto"/>
        <w:ind w:left="259"/>
      </w:pPr>
      <w:r>
        <w:rPr>
          <w:rFonts w:ascii="Consolas" w:hAnsi="Consolas"/>
          <w:sz w:val="15"/>
        </w:rPr>
        <w:t>→ B6 aplicación única de normalización</w:t>
      </w:r>
    </w:p>
    <w:p>
      <w:pPr>
        <w:spacing w:after="20" w:line="240" w:lineRule="auto"/>
        <w:ind w:left="259"/>
      </w:pPr>
      <w:r>
        <w:rPr>
          <w:rFonts w:ascii="Consolas" w:hAnsi="Consolas"/>
          <w:sz w:val="15"/>
        </w:rPr>
        <w:t>→ B7 ponderación y agregación</w:t>
      </w:r>
    </w:p>
    <w:p>
      <w:pPr>
        <w:spacing w:after="20" w:line="240" w:lineRule="auto"/>
        <w:ind w:left="259"/>
      </w:pPr>
      <w:r>
        <w:rPr>
          <w:rFonts w:ascii="Consolas" w:hAnsi="Consolas"/>
          <w:sz w:val="15"/>
        </w:rPr>
        <w:t>→ B8 interpretación</w:t>
      </w:r>
    </w:p>
    <w:p>
      <w:pPr>
        <w:spacing w:after="20" w:line="240" w:lineRule="auto"/>
        <w:ind w:left="259"/>
      </w:pPr>
      <w:r>
        <w:rPr>
          <w:rFonts w:ascii="Consolas" w:hAnsi="Consolas"/>
          <w:sz w:val="15"/>
        </w:rPr>
        <w:t>→ B9 validación integral</w:t>
      </w:r>
    </w:p>
    <w:p>
      <w:pPr>
        <w:spacing w:after="40"/>
      </w:pPr>
    </w:p>
    <w:p>
      <w:r>
        <w:t>Las GTRM reales dependen como mínimo de B2, B4 y B5. El pipeline oficial no cambia hasta ratificación.</w:t>
      </w:r>
    </w:p>
    <w:p>
      <w:pPr>
        <w:spacing w:after="40"/>
      </w:pPr>
    </w:p>
    <w:p>
      <w:pPr>
        <w:pStyle w:val="Heading3"/>
      </w:pPr>
      <w:r>
        <w:t>9. Riesgos críticos</w:t>
      </w:r>
    </w:p>
    <w:p>
      <w:pPr>
        <w:spacing w:after="40"/>
      </w:pPr>
    </w:p>
    <w:p>
      <w:pPr>
        <w:spacing w:after="20" w:line="240" w:lineRule="auto"/>
      </w:pPr>
      <w:r>
        <w:rPr>
          <w:rFonts w:ascii="Consolas" w:hAnsi="Consolas"/>
          <w:sz w:val="14"/>
        </w:rPr>
        <w:t>| Riesgo | Consecuencia | Tratamiento requerido |</w:t>
      </w:r>
    </w:p>
    <w:p>
      <w:pPr>
        <w:spacing w:after="20" w:line="240" w:lineRule="auto"/>
      </w:pPr>
      <w:r>
        <w:rPr>
          <w:rFonts w:ascii="Consolas" w:hAnsi="Consolas"/>
          <w:sz w:val="14"/>
        </w:rPr>
        <w:t>|---|---|---|</w:t>
      </w:r>
    </w:p>
    <w:p>
      <w:pPr>
        <w:spacing w:after="20" w:line="240" w:lineRule="auto"/>
      </w:pPr>
      <w:r>
        <w:rPr>
          <w:rFonts w:ascii="Consolas" w:hAnsi="Consolas"/>
          <w:sz w:val="14"/>
        </w:rPr>
        <w:t>| Doble normalización | Distorsión y opacidad | Una función y un dominio/codominio explícitos |</w:t>
      </w:r>
    </w:p>
    <w:p>
      <w:pPr>
        <w:spacing w:after="20" w:line="240" w:lineRule="auto"/>
      </w:pPr>
      <w:r>
        <w:rPr>
          <w:rFonts w:ascii="Consolas" w:hAnsi="Consolas"/>
          <w:sz w:val="14"/>
        </w:rPr>
        <w:t>| Referencia confundida con benchmark | Descriptivo tratado como normativo | Entidades y autoridad separadas |</w:t>
      </w:r>
    </w:p>
    <w:p>
      <w:pPr>
        <w:spacing w:after="20" w:line="240" w:lineRule="auto"/>
      </w:pPr>
      <w:r>
        <w:rPr>
          <w:rFonts w:ascii="Consolas" w:hAnsi="Consolas"/>
          <w:sz w:val="14"/>
        </w:rPr>
        <w:t>| Tabla sin función | Arbitrariedad documentada, no resuelta | Publicar especificación generadora |</w:t>
      </w:r>
    </w:p>
    <w:p>
      <w:pPr>
        <w:spacing w:after="20" w:line="240" w:lineRule="auto"/>
      </w:pPr>
      <w:r>
        <w:rPr>
          <w:rFonts w:ascii="Consolas" w:hAnsi="Consolas"/>
          <w:sz w:val="14"/>
        </w:rPr>
        <w:t>| Falsa precisión | Confianza injustificada | Incertidumbre y suficiencia explícitas |</w:t>
      </w:r>
    </w:p>
    <w:p>
      <w:pPr>
        <w:spacing w:after="20" w:line="240" w:lineRule="auto"/>
      </w:pPr>
      <w:r>
        <w:rPr>
          <w:rFonts w:ascii="Consolas" w:hAnsi="Consolas"/>
          <w:sz w:val="14"/>
        </w:rPr>
        <w:t>| Discontinuidades | Gaming en puntos de corte | Validación de fronteras y sensibilidad |</w:t>
      </w:r>
    </w:p>
    <w:p>
      <w:pPr>
        <w:spacing w:after="20" w:line="240" w:lineRule="auto"/>
      </w:pPr>
      <w:r>
        <w:rPr>
          <w:rFonts w:ascii="Consolas" w:hAnsi="Consolas"/>
          <w:sz w:val="14"/>
        </w:rPr>
        <w:t>| Explosión combinatoria | Sistema inmantenible | Estudio de gobernanza y reutilización controlada |</w:t>
      </w:r>
    </w:p>
    <w:p>
      <w:pPr>
        <w:spacing w:after="20" w:line="240" w:lineRule="auto"/>
      </w:pPr>
      <w:r>
        <w:rPr>
          <w:rFonts w:ascii="Consolas" w:hAnsi="Consolas"/>
          <w:sz w:val="14"/>
        </w:rPr>
        <w:t>| Deriva temporal | Comparabilidad histórica rota | Baselines inmutables y mapas de compatibilidad |</w:t>
      </w:r>
    </w:p>
    <w:p>
      <w:pPr>
        <w:spacing w:after="20" w:line="240" w:lineRule="auto"/>
      </w:pPr>
      <w:r>
        <w:rPr>
          <w:rFonts w:ascii="Consolas" w:hAnsi="Consolas"/>
          <w:sz w:val="14"/>
        </w:rPr>
        <w:t>| Jurisdicciones múltiples | Fragmentación internacional | Dominios y precedencia aprobados |</w:t>
      </w:r>
    </w:p>
    <w:p>
      <w:pPr>
        <w:spacing w:after="20" w:line="240" w:lineRule="auto"/>
      </w:pPr>
      <w:r>
        <w:rPr>
          <w:rFonts w:ascii="Consolas" w:hAnsi="Consolas"/>
          <w:sz w:val="14"/>
        </w:rPr>
        <w:t>| Autoridad ambigua | Artefacto técnico tratado como ciencia | Decisión científica y aprobación normativa diferenciadas |</w:t>
      </w:r>
    </w:p>
    <w:p>
      <w:pPr>
        <w:spacing w:after="40"/>
      </w:pPr>
    </w:p>
    <w:p>
      <w:pPr>
        <w:pStyle w:val="Heading3"/>
      </w:pPr>
      <w:r>
        <w:t>10. Condiciones para futura incorporación</w:t>
      </w:r>
    </w:p>
    <w:p>
      <w:pPr>
        <w:spacing w:after="40"/>
      </w:pPr>
    </w:p>
    <w:p>
      <w:pPr>
        <w:pStyle w:val="ListNumber"/>
      </w:pPr>
      <w:r>
        <w:t>ratificar, devolver o rechazar este dictamen B;</w:t>
      </w:r>
    </w:p>
    <w:p>
      <w:pPr>
        <w:pStyle w:val="ListNumber"/>
      </w:pPr>
      <w:r>
        <w:t>abrir Issue de cambio contra D-006 antes de proponer nueva baseline;</w:t>
      </w:r>
    </w:p>
    <w:p>
      <w:pPr>
        <w:pStyle w:val="ListNumber"/>
      </w:pPr>
      <w:r>
        <w:t>cerrar B2, B4 y B5 para producir instancias reales;</w:t>
      </w:r>
    </w:p>
    <w:p>
      <w:pPr>
        <w:pStyle w:val="ListNumber"/>
      </w:pPr>
      <w:r>
        <w:t>resolver identidad entre función de puntuación y normalización;</w:t>
      </w:r>
    </w:p>
    <w:p>
      <w:pPr>
        <w:pStyle w:val="ListNumber"/>
      </w:pPr>
      <w:r>
        <w:t>aprobar política de referencias y precedencia;</w:t>
      </w:r>
    </w:p>
    <w:p>
      <w:pPr>
        <w:pStyle w:val="ListNumber"/>
      </w:pPr>
      <w:r>
        <w:t>aprobar política de incertidumbre;</w:t>
      </w:r>
    </w:p>
    <w:p>
      <w:pPr>
        <w:pStyle w:val="ListNumber"/>
      </w:pPr>
      <w:r>
        <w:t>aprobar autoridad y ciclo de vida;</w:t>
      </w:r>
    </w:p>
    <w:p>
      <w:pPr>
        <w:pStyle w:val="ListNumber"/>
      </w:pPr>
      <w:r>
        <w:t>aprobar protocolo y tolerancia papel–software;</w:t>
      </w:r>
    </w:p>
    <w:p>
      <w:pPr>
        <w:pStyle w:val="ListNumber"/>
      </w:pPr>
      <w:r>
        <w:t>estudiar proliferación combinatoria y compatibilidad;</w:t>
      </w:r>
    </w:p>
    <w:p>
      <w:pPr>
        <w:pStyle w:val="ListNumber"/>
      </w:pPr>
      <w:r>
        <w:t>emitir una decisión científica específica antes de modificar pipeline, BOK, tesis o software.</w:t>
      </w:r>
    </w:p>
    <w:p>
      <w:pPr>
        <w:spacing w:after="40"/>
      </w:pPr>
    </w:p>
    <w:p>
      <w:pPr>
        <w:pStyle w:val="Heading3"/>
      </w:pPr>
      <w:r>
        <w:t>11. Fuentes del expediente</w:t>
      </w:r>
    </w:p>
    <w:p>
      <w:pPr>
        <w:spacing w:after="40"/>
      </w:pPr>
    </w:p>
    <w:p>
      <w:pPr>
        <w:pStyle w:val="ListBullet"/>
      </w:pPr>
      <w:r>
        <w:t>GOEI_GTRM_DICTAMEN_CIENTIFICO.md: evidencia, análisis metodológico y dictamen B.</w:t>
      </w:r>
    </w:p>
    <w:p>
      <w:pPr>
        <w:pStyle w:val="ListBullet"/>
      </w:pPr>
      <w:r>
        <w:t>GOEI_GTRM_AUDITORIA_ARQUITECTONICA.md: impacto, identidad, ciclo, reproducibilidad y software.</w:t>
      </w:r>
    </w:p>
    <w:p>
      <w:pPr>
        <w:pStyle w:val="ListBullet"/>
      </w:pPr>
      <w:r>
        <w:t>GOEI_GTRM_MATRIZ_DE_PREGUNTAS_Y_CONTROLES.md: cobertura y gate de integridad.</w:t>
      </w:r>
    </w:p>
    <w:p>
      <w:pPr>
        <w:pStyle w:val="ListBullet"/>
      </w:pPr>
      <w:r>
        <w:t>GTRM_PROPUESTA_FUENTE_NO_NORMATIVA.txt: propuesta original preservada con huella.</w:t>
      </w:r>
    </w:p>
    <w:p>
      <w:pPr>
        <w:spacing w:after="40"/>
      </w:pPr>
    </w:p>
    <w:p>
      <w:r>
        <w:t>Este documento consolida resultados sin convertirlos en decisión oficial, baseline ni contenido normativo del GOEI.</w:t>
      </w:r>
    </w:p>
    <w:p>
      <w:r>
        <w:br w:type="page"/>
      </w:r>
    </w:p>
    <w:p>
      <w:pPr>
        <w:pStyle w:val="Heading1"/>
        <w:keepNext/>
      </w:pPr>
      <w:r>
        <w:t>Fuente 14: 00_Gobernanza/coordinacion/auditorias/GTRM/GOEI_GTRM_DICTAMEN_CIENTIFICO.md</w:t>
      </w:r>
    </w:p>
    <w:p>
      <w:pPr>
        <w:spacing w:after="200"/>
      </w:pPr>
      <w:r>
        <w:rPr>
          <w:rFonts w:ascii="Consolas" w:hAnsi="Consolas"/>
          <w:color w:val="595959"/>
          <w:sz w:val="16"/>
        </w:rPr>
        <w:t>Ruta: 00_Gobernanza/coordinacion/auditorias/GTRM/GOEI_GTRM_DICTAMEN_CIENTIFICO.md</w:t>
        <w:br/>
        <w:t>Tamaño: 20647 bytes</w:t>
        <w:br/>
        <w:t>SHA-256: 1af43a0fcad9a2db91e5307d81fff81105326fb8f0280dd7a3b9f6c4497bcc5b</w:t>
      </w:r>
    </w:p>
    <w:p>
      <w:pPr>
        <w:pStyle w:val="Heading2"/>
      </w:pPr>
      <w:r>
        <w:t>GOEI · Auditoría metodológica GTRM — Dictamen científico (consultivo)</w:t>
      </w:r>
    </w:p>
    <w:p>
      <w:pPr>
        <w:pStyle w:val="Heading3"/>
      </w:pPr>
      <w:r>
        <w:t>Comité Científico → Oficina Técnica</w:t>
      </w:r>
    </w:p>
    <w:p>
      <w:pPr>
        <w:spacing w:after="40"/>
      </w:pPr>
    </w:p>
    <w:p>
      <w:r>
        <w:t>Naturaleza: documento consultivo, no decisión oficial. La ratificación corresponde a la Dirección; la integración y el versionado, a la Oficina Técnica (Codex).</w:t>
      </w:r>
    </w:p>
    <w:p>
      <w:r>
        <w:t>Objeto auditado: propuesta GOEI Technical Reference Matrix (GTRM) — fuente no normativa GTRM_PROPUESTA_FUENTE_NO_NORMATIVA.txt.</w:t>
      </w:r>
    </w:p>
    <w:p>
      <w:r>
        <w:t>Contraste: D-003 (constructo), D-004 (formativo), D-005 (arquitectura), D-006/D-006-REV (ontología), pipeline B2–B10.</w:t>
      </w:r>
    </w:p>
    <w:p>
      <w:r>
        <w:t>Fecha: 2026-08-04.</w:t>
      </w:r>
    </w:p>
    <w:p>
      <w:pPr>
        <w:spacing w:after="40"/>
      </w:pPr>
    </w:p>
    <w:p>
      <w:pPr>
        <w:spacing w:after="100"/>
        <w:ind w:left="360" w:right="216"/>
      </w:pPr>
      <w:r>
        <w:rPr>
          <w:i/>
          <w:color w:val="595959"/>
        </w:rPr>
        <w:t>Etiquetas: [EVIDENCIA], [ANÁLISIS], [PROPUESTA]. No se crean matrices, KPI, puntajes, umbrales, fórmulas ni categorías concretas.</w:t>
      </w:r>
    </w:p>
    <w:p>
      <w:pPr>
        <w:spacing w:after="40"/>
      </w:pPr>
    </w:p>
    <w:p>
      <w:r>
        <w:t>---</w:t>
      </w:r>
    </w:p>
    <w:p>
      <w:pPr>
        <w:spacing w:after="40"/>
      </w:pPr>
    </w:p>
    <w:p>
      <w:pPr>
        <w:pStyle w:val="Heading3"/>
      </w:pPr>
      <w:r>
        <w:t>0. Alcance y método</w:t>
      </w:r>
    </w:p>
    <w:p>
      <w:r>
        <w:t>Se audita si la GTRM constituye (a) un componente científico nuevo, (b) una reingeniería de gobernanza de un paso ya existente, o (c) una simple reetiquetación de la normalización. Se apoya en literatura metodológica primaria: teoría de funciones de valor en análisis multicriterio (Keeney &amp; Raiffa, 1976; von Winterfeldt &amp; Edwards, 1986), metodología de índices compuestos (OECD/JRC — Nardo et al., 2008), incertidumbre de medición (JCGM 100:2008; JCGM 106:2012) y condición de referencia (Karr, 1981).</w:t>
      </w:r>
    </w:p>
    <w:p>
      <w:pPr>
        <w:spacing w:after="40"/>
      </w:pPr>
    </w:p>
    <w:p>
      <w:pPr>
        <w:pStyle w:val="Heading3"/>
      </w:pPr>
      <w:r>
        <w:t>1. Separación conceptual obligatoria (las diez capas)</w:t>
      </w:r>
    </w:p>
    <w:p>
      <w:r>
        <w:t>El principal servicio de esta auditoría es descomponer lo que la propuesta fusiona ([ANÁLISIS]):</w:t>
      </w:r>
    </w:p>
    <w:p>
      <w:pPr>
        <w:spacing w:after="40"/>
      </w:pPr>
    </w:p>
    <w:p>
      <w:pPr>
        <w:pStyle w:val="ListNumber"/>
      </w:pPr>
      <w:r>
        <w:t>Observación — acto ocurrente de captar un fenómeno (D-006: Observación, anclada a entidad-proceso-evento-periodo, AX-11).</w:t>
      </w:r>
    </w:p>
    <w:p>
      <w:pPr>
        <w:pStyle w:val="ListNumber"/>
      </w:pPr>
      <w:r>
        <w:t>Medición registrada — el dato crudo con su unidad (p. ej., minutos), resultado de la observación.</w:t>
      </w:r>
    </w:p>
    <w:p>
      <w:pPr>
        <w:pStyle w:val="ListNumber"/>
      </w:pPr>
      <w:r>
        <w:t>Valor de KPI (crudo) — instancia (token) de una definición de KPI para un establecimiento y periodo, aún en unidad original.</w:t>
      </w:r>
    </w:p>
    <w:p>
      <w:pPr>
        <w:pStyle w:val="ListNumber"/>
      </w:pPr>
      <w:r>
        <w:t>Condición de referencia — estado normativo de "operación sana" (ancla): qué cuenta como inaceptable y qué como referencia. Es prescriptiva.</w:t>
      </w:r>
    </w:p>
    <w:p>
      <w:pPr>
        <w:pStyle w:val="ListNumber"/>
      </w:pPr>
      <w:r>
        <w:t>Benchmark — comparación empírica con una distribución de pares (percentiles, medias sectoriales). Es descriptiva.</w:t>
      </w:r>
    </w:p>
    <w:p>
      <w:pPr>
        <w:pStyle w:val="ListNumber"/>
      </w:pPr>
      <w:r>
        <w:t>Función de puntuación (value function) — regla que mapea el valor crudo a un puntaje, dada una referencia/benchmark. Puede ser lineal, por tramos o no lineal (Keeney &amp; Raiffa, 1976).</w:t>
      </w:r>
    </w:p>
    <w:p>
      <w:pPr>
        <w:pStyle w:val="ListNumber"/>
      </w:pPr>
      <w:r>
        <w:t>Normalización — transformación a la escala común del índice (0–100) respetando la dirección de bondad.</w:t>
      </w:r>
    </w:p>
    <w:p>
      <w:pPr>
        <w:pStyle w:val="ListNumber"/>
      </w:pPr>
      <w:r>
        <w:t>Puntuación normalizada — el valor de KPI ya en escala común.</w:t>
      </w:r>
    </w:p>
    <w:p>
      <w:pPr>
        <w:pStyle w:val="ListNumber"/>
      </w:pPr>
      <w:r>
        <w:t>Tabla manual — artefacto de consulta: discretización de la función de puntuación para cálculo con lápiz y papel.</w:t>
      </w:r>
    </w:p>
    <w:p>
      <w:pPr>
        <w:pStyle w:val="ListNumber"/>
      </w:pPr>
      <w:r>
        <w:t>Interpretación — traducción del resultado agregado a bandas.</w:t>
      </w:r>
    </w:p>
    <w:p>
      <w:pPr>
        <w:spacing w:after="40"/>
      </w:pPr>
    </w:p>
    <w:p>
      <w:r>
        <w:t>Hallazgo central ([ANÁLISIS]): la GTRM no introduce una capa nueva entre (1) y (10); introduce la trazabilidad, la evidencia y la gobernanza de las capas 4–6 (referencia + función de puntuación), que hoy existen conceptualmente en la ontología (condición de referencia, regla de normalización, D-006) pero sin procedencia auditable. La GTRM es, en esencia, la materialización versionada y evidenciada de la función de valor para un KPI y un dominio de aplicación explícito; dicho dominio puede ser universal, regulatorio, jurisdiccional, sectorial o específico por categoría, según futura decisión.</w:t>
      </w:r>
    </w:p>
    <w:p>
      <w:pPr>
        <w:spacing w:after="40"/>
      </w:pPr>
    </w:p>
    <w:p>
      <w:pPr>
        <w:pStyle w:val="Heading3"/>
      </w:pPr>
      <w:r>
        <w:t>2. ¿Dónde y cómo actúa la GTRM?</w:t>
      </w:r>
    </w:p>
    <w:p>
      <w:pPr>
        <w:pStyle w:val="ListBullet"/>
      </w:pPr>
      <w:r>
        <w:t>¿Sobre observaciones o sobre valores de KPI? — Sobre el valor de KPI derivado de mediciones registradas, no sobre la observación cruda ni sobre el registro aislado. La propuesta dice "transformar una observación objetiva en un puntaje", pero ontológicamente la observación debe producir mediciones registradas y estas alimentar la derivación de un valor de KPI (capas 1→3) antes de puntuar. La GTRM opera en 3→8. [ANÁLISIS]</w:t>
      </w:r>
    </w:p>
    <w:p>
      <w:pPr>
        <w:pStyle w:val="ListBullet"/>
      </w:pPr>
      <w:r>
        <w:t>¿Produce la puntuación final o parámetros? — No produce el GOEI final (la ponderación y agregación permanecen en el modelo matemático). Debe producir la puntuación normalizada por KPI, y —para ser científica y no arbitraria— debe hacerlo exponiendo sus parámetros (referencia, forma de la función, dominio de validez). Recomendación: la GTRM es primariamente portadora de parámetros justificados; la puntuación es su salida derivada. [PROPUESTA]</w:t>
      </w:r>
    </w:p>
    <w:p>
      <w:pPr>
        <w:pStyle w:val="ListBullet"/>
      </w:pPr>
      <w:r>
        <w:t>¿Hay doble normalización? — Sí, riesgo real en la propuesta tal como está escrita. El diagrama de la fuente encadena "GTRM → puntaje normalizado → Sistema de Normalización", lo que normaliza dos veces. Debe resolverse: la GTRM y el Sistema de Normalización son el mismo paso, no dos. La GTRM parametriza y justifica la normalización; el Sistema de Normalización es el motor que aplica esos parámetros una sola vez. [ANÁLISIS — defecto a corregir]</w:t>
      </w:r>
    </w:p>
    <w:p>
      <w:pPr>
        <w:pStyle w:val="ListBullet"/>
      </w:pPr>
      <w:r>
        <w:t>¿Es función, parametrización o tabla? — Conceptualmente es una función de valor parametrizada; la tabla manual es un derivado discretizado. Presentarla primariamente como "tabla" reintroduce la arbitrariedad que la propuesta quiere evitar (una tabla sin la función generadora y su evidencia sigue siendo "números con portada"). Recomendación: GTRM = condición de referencia + función + parámetros + evidencia + incertidumbre + dominio de validez; la tabla es una renderización versionada de esa función. [PROPUESTA]</w:t>
      </w:r>
    </w:p>
    <w:p>
      <w:pPr>
        <w:spacing w:after="40"/>
      </w:pPr>
    </w:p>
    <w:p>
      <w:pPr>
        <w:pStyle w:val="Heading3"/>
      </w:pPr>
      <w:r>
        <w:t>3. Condición de referencia vs. benchmark; tipos y precedencia</w:t>
      </w:r>
    </w:p>
    <w:p>
      <w:pPr>
        <w:pStyle w:val="ListBullet"/>
      </w:pPr>
      <w:r>
        <w:t>Distinción obligatoria: la condición de referencia (capa 4) es normativa ("qué es sano"); el benchmark (capa 5) es empírico ("qué hacen los pares"). La propuesta los confunde. Un benchmark puede informar una referencia, pero no es la referencia. [ANÁLISIS]</w:t>
      </w:r>
    </w:p>
    <w:p>
      <w:pPr>
        <w:pStyle w:val="ListBullet"/>
      </w:pPr>
      <w:r>
        <w:t>Tipología de referencias por origen y precedencia propuesta ([PROPUESTA]):</w:t>
      </w:r>
    </w:p>
    <w:p>
      <w:pPr>
        <w:pStyle w:val="ListNumber"/>
      </w:pPr>
      <w:r>
        <w:t>Regulatoria/jurisdiccional (ley sanitaria del país; p. ej., límites de inocuidad) — precedencia máxima; opera como regla crítica no compensable (AX-4), fuera del tramo puntuable.</w:t>
      </w:r>
    </w:p>
    <w:p>
      <w:pPr>
        <w:pStyle w:val="ListNumber"/>
      </w:pPr>
      <w:r>
        <w:t>Universal/normativa internacional (Codex, ISO) — precedencia alta cuando no hay regulación local más estricta.</w:t>
      </w:r>
    </w:p>
    <w:p>
      <w:pPr>
        <w:pStyle w:val="ListNumber"/>
      </w:pPr>
      <w:r>
        <w:t>Sectorial (asociaciones profesionales) — precedencia media.</w:t>
      </w:r>
    </w:p>
    <w:p>
      <w:pPr>
        <w:pStyle w:val="ListNumber"/>
      </w:pPr>
      <w:r>
        <w:t>Por categoría / empírica (benchmark de pares de la misma clase taxonómica) — precedencia baja; solo cuando no existe referencia normativa.</w:t>
      </w:r>
    </w:p>
    <w:p>
      <w:r>
        <w:t xml:space="preserve">  Regla: la referencia más estricta y de mayor autoridad legal prevalece; el benchmark empírico es subsidiario. Esto conecta la GTRM con la taxonomía (B2) y con las reglas críticas.</w:t>
      </w:r>
    </w:p>
    <w:p>
      <w:pPr>
        <w:spacing w:after="40"/>
      </w:pPr>
    </w:p>
    <w:p>
      <w:pPr>
        <w:pStyle w:val="Heading3"/>
      </w:pPr>
      <w:r>
        <w:t>4. Autoridad científica vs. autoridad normativa</w:t>
      </w:r>
    </w:p>
    <w:p>
      <w:r>
        <w:t>Toda GTRM requiere doble autoría: (i) autoridad científica — la evidencia y el método que fundan la referencia y la función (revisión, Delphi, dato empírico); (ii) autoridad normativa — el órgano de gobernanza del estándar (D-005, T1) que la ratifica, publica, versiona y retira. Sin (i) la GTRM es arbitraria; sin (ii) no es normativa. La GTRM hereda el ciclo de vida y el esquema de conformidad ya definidos (D-005: T1 gobernanza, T3 validación-compuerta, T4 versionado, K auditoría). [ANÁLISIS]</w:t>
      </w:r>
    </w:p>
    <w:p>
      <w:pPr>
        <w:spacing w:after="40"/>
      </w:pPr>
    </w:p>
    <w:p>
      <w:pPr>
        <w:pStyle w:val="Heading3"/>
      </w:pPr>
      <w:r>
        <w:t>5. Ausencia y conflicto de referencia</w:t>
      </w:r>
    </w:p>
    <w:p>
      <w:pPr>
        <w:pStyle w:val="ListBullet"/>
      </w:pPr>
      <w:r>
        <w:t>Ausencia: si para un KPI×categoría no existe referencia defendible, no puede emitirse GTRM y el KPI queda inadmisible para esa categoría (enlaza con B4/admisibilidad). No se fabrica una tabla para "rellenar". [PROPUESTA]</w:t>
      </w:r>
    </w:p>
    <w:p>
      <w:pPr>
        <w:pStyle w:val="ListBullet"/>
      </w:pPr>
      <w:r>
        <w:t>Conflicto: si dos referencias chocan (p. ej., regulatoria vs. empírica), se aplica la precedencia del §3; si el conflicto es entre fuentes de igual rango y no resoluble, se marca como issue abierto y no se emite la GTRM hasta resolverlo. Nunca se promedia silenciosamente. [PROPUESTA]</w:t>
      </w:r>
    </w:p>
    <w:p>
      <w:pPr>
        <w:spacing w:after="40"/>
      </w:pPr>
    </w:p>
    <w:p>
      <w:pPr>
        <w:pStyle w:val="Heading3"/>
      </w:pPr>
      <w:r>
        <w:t>6. Incertidumbre y reproducibilidad histórica</w:t>
      </w:r>
    </w:p>
    <w:p>
      <w:pPr>
        <w:pStyle w:val="ListBullet"/>
      </w:pPr>
      <w:r>
        <w:t>Fuentes de incertidumbre a documentar ([EVIDENCIA], JCGM 100:2008): (a) medición (instrumento/observador); (b) muestreo (número y representatividad de observaciones); (c) benchmark (tamaño/representatividad de la muestra de pares); (d) parámetros (incertidumbre de la función ajustada); (e) puntuación (propagación de a–d al puntaje). Sin este tratamiento, la GTRM otorga falsa precisión y "lava" arbitrariedad con apariencia de rigor — el principal riesgo de la propuesta. JCGM 106:2012 es directamente pertinente al uso de la incertidumbre en evaluación de conformidad.</w:t>
      </w:r>
    </w:p>
    <w:p>
      <w:pPr>
        <w:pStyle w:val="ListBullet"/>
      </w:pPr>
      <w:r>
        <w:t>Reproducibilidad histórica: cada evaluación debe congelar la versión de GTRM empleada; resultados bajo GTRM v1 no son comparables con v2 salvo mapa de compatibilidad (coherente con AX-9). El versionado de GTRM es condición de la comparabilidad temporal. [ANÁLISIS]</w:t>
      </w:r>
    </w:p>
    <w:p>
      <w:pPr>
        <w:spacing w:after="40"/>
      </w:pPr>
    </w:p>
    <w:p>
      <w:pPr>
        <w:pStyle w:val="Heading3"/>
      </w:pPr>
      <w:r>
        <w:t>7. Equivalencia papel–software</w:t>
      </w:r>
    </w:p>
    <w:p>
      <w:r>
        <w:t>La tabla manual es una discretización de una función; el software puede aplicar la función continua. Deben someterse a prueba de equivalencia con error acotado. Riesgo: la discretización introduce saltos (cliffs) en los bordes de tramo (por qué 8 min = 90 y 8,1 min = 80) que reintroducen arbitrariedad si no se documentan la función generadora y la regla de binning. La equivalencia papel–software exige publicar la función y su discretización, no solo la tabla. [ANÁLISIS]</w:t>
      </w:r>
    </w:p>
    <w:p>
      <w:pPr>
        <w:spacing w:after="40"/>
      </w:pPr>
    </w:p>
    <w:p>
      <w:pPr>
        <w:pStyle w:val="Heading3"/>
      </w:pPr>
      <w:r>
        <w:t>8. Riesgos</w:t>
      </w:r>
    </w:p>
    <w:p>
      <w:pPr>
        <w:pStyle w:val="ListBullet"/>
      </w:pPr>
      <w:r>
        <w:t>Conceptuales: confundir referencia (normativa) con benchmark (empírica); tratar la GTRM como capa nueva cuando es gobernanza de una existente; "tabla" que oculta la función.</w:t>
      </w:r>
    </w:p>
    <w:p>
      <w:pPr>
        <w:pStyle w:val="ListBullet"/>
      </w:pPr>
      <w:r>
        <w:t>Estadísticos: falsa precisión por incertidumbre no propagada; benchmarks con muestras no representativas; sobreajuste de funciones a datos escasos por categoría.</w:t>
      </w:r>
    </w:p>
    <w:p>
      <w:pPr>
        <w:pStyle w:val="ListBullet"/>
      </w:pPr>
      <w:r>
        <w:t>Matemáticos: doble normalización (§2); discontinuidades por discretización; funciones no monótonas mal justificadas; interacción con la agregación no compensatoria (una GTRM mal calibrada puede activar/omitir compuertas críticas indebidamente).</w:t>
      </w:r>
    </w:p>
    <w:p>
      <w:pPr>
        <w:pStyle w:val="ListBullet"/>
      </w:pPr>
      <w:r>
        <w:t>Prácticos: proliferación combinatoria (KPI × categoría × jurisdicción) → explosión de GTRM difícil de mantener; carga de evidencia por cada matriz; riesgo de que el evaluador use tablas sin entender su dominio de validez.</w:t>
      </w:r>
    </w:p>
    <w:p>
      <w:pPr>
        <w:pStyle w:val="ListBullet"/>
      </w:pPr>
      <w:r>
        <w:t>Normativos: GTRM regulatorias dependientes de jurisdicción → fragmentan la comparabilidad internacional; gobernanza y autoría de cada GTRM; gaming si las tablas son públicas y estáticas (Ley de Goodhart).</w:t>
      </w:r>
    </w:p>
    <w:p>
      <w:pPr>
        <w:spacing w:after="40"/>
      </w:pPr>
    </w:p>
    <w:p>
      <w:pPr>
        <w:pStyle w:val="Heading3"/>
      </w:pPr>
      <w:r>
        <w:t>9. Comparación de las tres ubicaciones en el pipeline</w:t>
      </w:r>
    </w:p>
    <w:p>
      <w:pPr>
        <w:spacing w:after="20" w:line="240" w:lineRule="auto"/>
      </w:pPr>
      <w:r>
        <w:rPr>
          <w:rFonts w:ascii="Consolas" w:hAnsi="Consolas"/>
          <w:sz w:val="14"/>
        </w:rPr>
        <w:t>| Ubicación candidata | Qué implica | Veredicto |</w:t>
      </w:r>
    </w:p>
    <w:p>
      <w:pPr>
        <w:spacing w:after="20" w:line="240" w:lineRule="auto"/>
      </w:pPr>
      <w:r>
        <w:rPr>
          <w:rFonts w:ascii="Consolas" w:hAnsi="Consolas"/>
          <w:sz w:val="14"/>
        </w:rPr>
        <w:t>|---|---|---|</w:t>
      </w:r>
    </w:p>
    <w:p>
      <w:pPr>
        <w:spacing w:after="20" w:line="240" w:lineRule="auto"/>
      </w:pPr>
      <w:r>
        <w:rPr>
          <w:rFonts w:ascii="Consolas" w:hAnsi="Consolas"/>
          <w:sz w:val="14"/>
        </w:rPr>
        <w:t>| **(i) En la observación/medición** (GTRM antes del valor de KPI) | La GTRM capturaría y puntuaría a la vez | **Rechazada:** viola la separación observación→valor→puntaje (D-006); impide auditar el dato crudo |</w:t>
      </w:r>
    </w:p>
    <w:p>
      <w:pPr>
        <w:spacing w:after="20" w:line="240" w:lineRule="auto"/>
      </w:pPr>
      <w:r>
        <w:rPr>
          <w:rFonts w:ascii="Consolas" w:hAnsi="Consolas"/>
          <w:sz w:val="14"/>
        </w:rPr>
        <w:t>| **(ii) Sustituyendo a la normalización** | GTRM = normalización renombrada | **Insuficiente:** subestima su aporte de gobernanza/evidencia; y deja sin resolver la procedencia si se trata como mera etiqueta |</w:t>
      </w:r>
    </w:p>
    <w:p>
      <w:pPr>
        <w:spacing w:after="20" w:line="240" w:lineRule="auto"/>
      </w:pPr>
      <w:r>
        <w:rPr>
          <w:rFonts w:ascii="Consolas" w:hAnsi="Consolas"/>
          <w:sz w:val="14"/>
        </w:rPr>
        <w:t>| **(iii) Como sustrato normativo del paso de normalización** (parametriza y justifica la función; el motor normaliza una vez) | GTRM = artefacto tipo-nivel (estrato Norma) que porta condición de referencia + función + evidencia + incertidumbre + dominio, seleccionado por la taxonomía | **Recomendada:** resuelve la doble normalización, preserva la separación conceptual y operacionaliza el principio "ningún puntaje sin justificación" |</w:t>
      </w:r>
    </w:p>
    <w:p>
      <w:pPr>
        <w:spacing w:after="40"/>
      </w:pPr>
    </w:p>
    <w:p>
      <w:pPr>
        <w:pStyle w:val="Heading3"/>
      </w:pPr>
      <w:r>
        <w:t>10. Respuesta a las diez solicitudes originales</w:t>
      </w:r>
    </w:p>
    <w:p>
      <w:pPr>
        <w:pStyle w:val="ListNumber"/>
      </w:pPr>
      <w:r>
        <w:t>¿Componente científico nuevo o parte de la normalización? — Ni una cosa ni la otra en estado puro: no es una transformación científica nueva (la función de valor ya existe en MCDA y la referencia ya está en la ontología), pero sí es un artefacto arquitectónico y de gobernanza nuevo que dota de procedencia auditable a la normalización. Es gobernanza científica de un paso existente. [ANÁLISIS]</w:t>
      </w:r>
    </w:p>
    <w:p>
      <w:pPr>
        <w:pStyle w:val="ListNumber"/>
      </w:pPr>
      <w:r>
        <w:t>¿Nueva fase oficial y posición? — No una fase nueva del pipeline, sino un sustrato normativo del paso de normalización (posición (iii), §9), alimentado por taxonomía y especificaciones de medición.</w:t>
      </w:r>
    </w:p>
    <w:p>
      <w:pPr>
        <w:pStyle w:val="ListNumber"/>
      </w:pPr>
      <w:r>
        <w:t>Impacto por componente: Sin cambio: constructo (D-003/D-004), procesos (B1), ponderación/agregación/interpretación, type/token y tres estratos. Se amplía: ontología (nueva entidad tipo-nivel "GTRM" que empaqueta condición de referencia + regla de normalización + admisibilidad + procedencia); taxonomía (pasa a ser operacionalmente determinante); admisibilidad (nuevo criterio: "existe referencia defendible ⇒ GTRM-izable"); validación (cada GTRM añade carga de validación); manual técnico y formularios (se vuelven GTRM-driven); Knowledge Graph/MetaModel/Constitución/BOK (nuevo nodo/gobernanza); tesis/publicaciones (aporte metodológico publicable: procedencia de subpuntajes de índices compuestos). A reescribir: la sección de normalización (para integrar GTRM y eliminar la doble normalización).</w:t>
      </w:r>
    </w:p>
    <w:p>
      <w:pPr>
        <w:pStyle w:val="ListNumber"/>
      </w:pPr>
      <w:r>
        <w:t>¿Clasificación de GTRM? — Sí, pero por origen de la referencia, no por capricho: regulatoria/jurisdiccional, universal-normativa, sectorial, estadística/benchmark, Delphi/consenso, empírica, e híbrida. Esta tipología coincide con las fuentes de la condición de referencia (§3) y con la precedencia.</w:t>
      </w:r>
    </w:p>
    <w:p>
      <w:pPr>
        <w:pStyle w:val="ListNumber"/>
      </w:pPr>
      <w:r>
        <w:t>¿Identidad propia / documento normativo independiente? — Sí. Cada GTRM debe tener código, versión, autoridad (científica y normativa), procedencia, dominio de validez, categoría, proceso, KPI, unidad, método, bibliografía, restricciones, estado, baseline y compatibilidad. Es un tipo del estrato Norma con ciclo de vida propio (coherente con D-006 y D-005/T4).</w:t>
      </w:r>
    </w:p>
    <w:p>
      <w:pPr>
        <w:pStyle w:val="ListNumber"/>
      </w:pPr>
      <w:r>
        <w:t>¿Modifica el pipeline? — No lo reordena; lo fundamenta. El pipeline conceptual permanece; la normalización deja de ser una tabla arbitraria y pasa a ejecutarse vía GTRM (parámetros justificados) seleccionada por taxonomía.</w:t>
      </w:r>
    </w:p>
    <w:p>
      <w:pPr>
        <w:pStyle w:val="ListNumber"/>
      </w:pPr>
      <w:r>
        <w:t>¿Fortalece o debilita? — Fortalece trazabilidad, auditabilidad, reproducibilidad (si se versiona), independencia tecnológica, aplicación manual, robustez y gobernanza. Debilita (riesgos §8): mantenibilidad (explosión combinatoria) y comparabilidad internacional (GTRM jurisdiccionales), que deben mitigarse.</w:t>
      </w:r>
    </w:p>
    <w:p>
      <w:pPr>
        <w:pStyle w:val="ListNumber"/>
      </w:pPr>
      <w:r>
        <w:t>Riesgos: ver §8 (no complaciente): el mayor es la falsa precisión y la doble normalización.</w:t>
      </w:r>
    </w:p>
    <w:p>
      <w:pPr>
        <w:pStyle w:val="ListNumber"/>
      </w:pPr>
      <w:r>
        <w:t>Incorporación oficial (si se acepta): nivel arquitectónico = estrato Norma (tipo), dentro del paso de normalización; relaciones = KPI-def + categoría + condición de referencia + regla de normalización; dependencias = taxonomía (B2), admisibilidad (B4), especificaciones de medición; autoridad = científica + T1; ciclo de vida = propuesta→validada→publicada→obsoleta→retirada (con baseline y compatibilidad); integración = seleccionada automáticamente por la taxonomía y consumida por el motor de normalización.</w:t>
      </w:r>
    </w:p>
    <w:p>
      <w:pPr>
        <w:pStyle w:val="ListNumber"/>
      </w:pPr>
      <w:r>
        <w:t>Dictamen: ver §11.</w:t>
      </w:r>
    </w:p>
    <w:p>
      <w:pPr>
        <w:spacing w:after="40"/>
      </w:pPr>
    </w:p>
    <w:p>
      <w:pPr>
        <w:pStyle w:val="Heading3"/>
      </w:pPr>
      <w:r>
        <w:t>11. Dictamen técnico-científico</w:t>
      </w:r>
    </w:p>
    <w:p>
      <w:r>
        <w:t>Veredicto: B) ACEPTAR LA PROPUESTA CON MODIFICACIONES.</w:t>
      </w:r>
    </w:p>
    <w:p>
      <w:pPr>
        <w:spacing w:after="40"/>
      </w:pPr>
    </w:p>
    <w:p>
      <w:r>
        <w:t>Evidencia: el problema que motiva la GTRM (procedencia del puntaje) es real y consistente con el principio rector del proyecto y con la crítica establecida a los índices compuestos (Nardo et al., 2008); la solución tiene fundamento en la teoría de funciones de valor (Keeney &amp; Raiffa, 1976; von Winterfeldt &amp; Edwards, 1986) y en la metrología de incertidumbre (JCGM 100:2008; 106:2012). Es decir, la GTRM no inventa ciencia: operacionaliza y gobierna ciencia ya existente que hoy el GOEI aplica sin trazabilidad.</w:t>
      </w:r>
    </w:p>
    <w:p>
      <w:pPr>
        <w:spacing w:after="40"/>
      </w:pPr>
    </w:p>
    <w:p>
      <w:r>
        <w:t>Justificación del "B" (y no "A" ni "C"):</w:t>
      </w:r>
    </w:p>
    <w:p>
      <w:pPr>
        <w:pStyle w:val="ListBullet"/>
      </w:pPr>
      <w:r>
        <w:t>No A (rechazo): la propuesta ataca un vacío genuino y mejora trazabilidad/auditabilidad/aplicación manual.</w:t>
      </w:r>
    </w:p>
    <w:p>
      <w:pPr>
        <w:pStyle w:val="ListBullet"/>
      </w:pPr>
      <w:r>
        <w:t>No C (aceptación como está): la fuente contiene defectos que la harían científicamente insostenible: doble normalización, confusión referencia/benchmark, encuadre primario como "tabla" (reintroduce arbitrariedad), ambigüedad sobre si produce puntaje o parámetros, ausencia de tratamiento de incertidumbre, y falta de reglas de precedencia y de ausencia/conflicto de referencia.</w:t>
      </w:r>
    </w:p>
    <w:p>
      <w:pPr>
        <w:pStyle w:val="ListBullet"/>
      </w:pPr>
      <w:r>
        <w:t>B (con modificaciones): aceptar la GTRM reencuadrada como artefacto normativo tipo-nivel que parametriza y justifica el único paso de normalización (posición (iii)), con las seis correcciones: (1) un solo paso de normalización; (2) referencia ≠ benchmark con precedencia; (3) función+evidencia+dominio, tabla como derivado; (4) identidad y ciclo de vida normativos; (5) incertidumbre obligatoria y versionado para reproducibilidad; (6) reglas de ausencia/conflicto y de equivalencia papel–software.</w:t>
      </w:r>
    </w:p>
    <w:p>
      <w:pPr>
        <w:spacing w:after="40"/>
      </w:pPr>
    </w:p>
    <w:p>
      <w:r>
        <w:t>Limitaciones del dictamen: es consultivo; no ejecuta la reingeniería; depende de que B2 (taxonomía) y B4 (admisibilidad) estén cerradas antes de emitir GTRM reales; no evalúa GTRM concretas (ninguna existe); la mantenibilidad de la explosión combinatoria requiere un estudio de gobernanza aparte.</w:t>
      </w:r>
    </w:p>
    <w:p>
      <w:pPr>
        <w:spacing w:after="40"/>
      </w:pPr>
    </w:p>
    <w:p>
      <w:r>
        <w:t>---</w:t>
      </w:r>
    </w:p>
    <w:p>
      <w:pPr>
        <w:spacing w:after="40"/>
      </w:pPr>
    </w:p>
    <w:p>
      <w:pPr>
        <w:pStyle w:val="Heading3"/>
      </w:pPr>
      <w:r>
        <w:t>Tabla conclusión–evidencia–limitación–impacto</w:t>
      </w:r>
    </w:p>
    <w:p>
      <w:pPr>
        <w:spacing w:after="20" w:line="240" w:lineRule="auto"/>
      </w:pPr>
      <w:r>
        <w:rPr>
          <w:rFonts w:ascii="Consolas" w:hAnsi="Consolas"/>
          <w:sz w:val="14"/>
        </w:rPr>
        <w:t>| Conclusión | Evidencia | Limitación | Impacto |</w:t>
      </w:r>
    </w:p>
    <w:p>
      <w:pPr>
        <w:spacing w:after="20" w:line="240" w:lineRule="auto"/>
      </w:pPr>
      <w:r>
        <w:rPr>
          <w:rFonts w:ascii="Consolas" w:hAnsi="Consolas"/>
          <w:sz w:val="14"/>
        </w:rPr>
        <w:t>|---|---|---|---|</w:t>
      </w:r>
    </w:p>
    <w:p>
      <w:pPr>
        <w:spacing w:after="20" w:line="240" w:lineRule="auto"/>
      </w:pPr>
      <w:r>
        <w:rPr>
          <w:rFonts w:ascii="Consolas" w:hAnsi="Consolas"/>
          <w:sz w:val="14"/>
        </w:rPr>
        <w:t>| GTRM no es capa nueva, sino gobernanza de la función de valor/referencia existente | Keeney &amp; Raiffa (1976); von Winterfeldt &amp; Edwards (1986); D-006 (condición de referencia) | La ontología aún no formaliza "GTRM" como tipo | Amplía ontología y normalización; no toca constructo |</w:t>
      </w:r>
    </w:p>
    <w:p>
      <w:pPr>
        <w:spacing w:after="20" w:line="240" w:lineRule="auto"/>
      </w:pPr>
      <w:r>
        <w:rPr>
          <w:rFonts w:ascii="Consolas" w:hAnsi="Consolas"/>
          <w:sz w:val="14"/>
        </w:rPr>
        <w:t>| Riesgo de doble normalización en la fuente | Análisis del diagrama de la propuesta; OECD/JRC (2008) | Depende de cómo se implemente el motor | Reescribir sección de normalización |</w:t>
      </w:r>
    </w:p>
    <w:p>
      <w:pPr>
        <w:spacing w:after="20" w:line="240" w:lineRule="auto"/>
      </w:pPr>
      <w:r>
        <w:rPr>
          <w:rFonts w:ascii="Consolas" w:hAnsi="Consolas"/>
          <w:sz w:val="14"/>
        </w:rPr>
        <w:t>| Referencia (normativa) ≠ benchmark (empírico), con precedencia | Karr (1981); reglas críticas AX-4 | Precedencia jurisdiccional fragmenta comparabilidad | Define tipología y jerarquía de referencias |</w:t>
      </w:r>
    </w:p>
    <w:p>
      <w:pPr>
        <w:spacing w:after="20" w:line="240" w:lineRule="auto"/>
      </w:pPr>
      <w:r>
        <w:rPr>
          <w:rFonts w:ascii="Consolas" w:hAnsi="Consolas"/>
          <w:sz w:val="14"/>
        </w:rPr>
        <w:t>| Sin incertidumbre → falsa precisión | JCGM 100:2008; JCGM 106:2012 | Datos escasos por categoría | Obliga a documentar y propagar incertidumbre |</w:t>
      </w:r>
    </w:p>
    <w:p>
      <w:pPr>
        <w:spacing w:after="20" w:line="240" w:lineRule="auto"/>
      </w:pPr>
      <w:r>
        <w:rPr>
          <w:rFonts w:ascii="Consolas" w:hAnsi="Consolas"/>
          <w:sz w:val="14"/>
        </w:rPr>
        <w:t>| Reproducibilidad exige versionado y congelado de GTRM | AX-9 (comparabilidad entre versiones) | Coste de mantenimiento de versiones | Baseline y mapa de compatibilidad |</w:t>
      </w:r>
    </w:p>
    <w:p>
      <w:pPr>
        <w:spacing w:after="20" w:line="240" w:lineRule="auto"/>
      </w:pPr>
      <w:r>
        <w:rPr>
          <w:rFonts w:ascii="Consolas" w:hAnsi="Consolas"/>
          <w:sz w:val="14"/>
        </w:rPr>
        <w:t>| Equivalencia papel–software requiere publicar la función, no solo la tabla | Análisis de discretización | Saltos en bordes de tramo | Prueba de equivalencia con error acotado |</w:t>
      </w:r>
    </w:p>
    <w:p>
      <w:pPr>
        <w:spacing w:after="20" w:line="240" w:lineRule="auto"/>
      </w:pPr>
      <w:r>
        <w:rPr>
          <w:rFonts w:ascii="Consolas" w:hAnsi="Consolas"/>
          <w:sz w:val="14"/>
        </w:rPr>
        <w:t>| Veredicto B (aceptar con modificaciones) | Síntesis §1–§10 | Consultivo; B2/B4 deben cerrarse antes | Habilita incorporación reencuadrada |</w:t>
      </w:r>
    </w:p>
    <w:p>
      <w:pPr>
        <w:spacing w:after="40"/>
      </w:pPr>
    </w:p>
    <w:p>
      <w:pPr>
        <w:pStyle w:val="Heading3"/>
      </w:pPr>
      <w:r>
        <w:t>Bloqueos científicos</w:t>
      </w:r>
    </w:p>
    <w:p>
      <w:pPr>
        <w:pStyle w:val="ListNumber"/>
      </w:pPr>
      <w:r>
        <w:t>Dependencia de cierre previo: no pueden emitirse GTRM reales hasta cerrar B2 (taxonomía) y B4 (admisibilidad); la GTRM presupone categoría y KPI admisibles.</w:t>
      </w:r>
    </w:p>
    <w:p>
      <w:pPr>
        <w:pStyle w:val="ListNumber"/>
      </w:pPr>
      <w:r>
        <w:t>Doble normalización sin resolver en la fuente: bloquea la integración hasta unificar el paso de normalización.</w:t>
      </w:r>
    </w:p>
    <w:p>
      <w:pPr>
        <w:pStyle w:val="ListNumber"/>
      </w:pPr>
      <w:r>
        <w:t>Ausencia de política de incertidumbre y de precedencia de referencias: sin ella, la GTRM es científicamente inauditable.</w:t>
      </w:r>
    </w:p>
    <w:p>
      <w:pPr>
        <w:pStyle w:val="ListNumber"/>
      </w:pPr>
      <w:r>
        <w:t>Riesgo de explosión combinatoria (KPI×categoría×jurisdicción) no gobernado: requiere estudio de gobernanza y de compatibilidad antes de escalar.</w:t>
      </w:r>
    </w:p>
    <w:p>
      <w:pPr>
        <w:spacing w:after="40"/>
      </w:pPr>
    </w:p>
    <w:p>
      <w:r>
        <w:t>---</w:t>
      </w:r>
    </w:p>
    <w:p>
      <w:pPr>
        <w:spacing w:after="40"/>
      </w:pPr>
    </w:p>
    <w:p>
      <w:pPr>
        <w:pStyle w:val="Heading4"/>
      </w:pPr>
      <w:r>
        <w:t>Referencias (APA 7)</w:t>
      </w:r>
    </w:p>
    <w:p>
      <w:pPr>
        <w:pStyle w:val="ListBullet"/>
      </w:pPr>
      <w:r>
        <w:t>Keeney, R. L., &amp; Raiffa, H. (1976). Decisions with multiple objectives: Preferences and value tradeoffs. Wiley. (Reimpresión: Cambridge University Press, 1993.)</w:t>
      </w:r>
    </w:p>
    <w:p>
      <w:pPr>
        <w:pStyle w:val="ListBullet"/>
      </w:pPr>
      <w:r>
        <w:t>von Winterfeldt, D., &amp; Edwards, W. (1986). Decision analysis and behavioral research. Cambridge University Press.</w:t>
      </w:r>
    </w:p>
    <w:p>
      <w:pPr>
        <w:pStyle w:val="ListBullet"/>
      </w:pPr>
      <w:r>
        <w:t>Nardo, M., Saisana, M., Saltelli, A., &amp; Tarantola, S. (2008). Handbook on constructing composite indicators: Methodology and user guide. OECD Publishing. https://doi.org/10.1787/9789264043466-en</w:t>
      </w:r>
    </w:p>
    <w:p>
      <w:pPr>
        <w:pStyle w:val="ListBullet"/>
      </w:pPr>
      <w:r>
        <w:t>Joint Committee for Guides in Metrology. (2008). Evaluation of measurement data — Guide to the expression of uncertainty in measurement (JCGM 100:2008 / GUM). BIPM. https://doi.org/10.59161/jcgm100-2008e</w:t>
      </w:r>
    </w:p>
    <w:p>
      <w:pPr>
        <w:pStyle w:val="ListBullet"/>
      </w:pPr>
      <w:r>
        <w:t>Joint Committee for Guides in Metrology. (2012). Evaluation of measurement data — The role of measurement uncertainty in conformity assessment (JCGM 106:2012). BIPM. https://www.bipm.org/en/committees/jc/jcgm/publications</w:t>
      </w:r>
    </w:p>
    <w:p>
      <w:pPr>
        <w:pStyle w:val="ListBullet"/>
      </w:pPr>
      <w:r>
        <w:t>Karr, J. R. (1981). Assessment of biotic integrity using fish communities. Fisheries, 6(6), 21–27. https://doi.org/10.1577/1548-8446(1981)006&lt;0021:AOBIUF&gt;2.0.CO;2</w:t>
      </w:r>
    </w:p>
    <w:p>
      <w:pPr>
        <w:pStyle w:val="ListBullet"/>
      </w:pPr>
      <w:r>
        <w:t>Thokala, P., Devlin, N., Marsh, K., Baltussen, R., Boysen, M., Kalo, Z., … Ijzerman, M. (2016). Multiple criteria decision analysis for health care decision making — An introduction: Report 1 of the ISPOR MCDA Emerging Good Practices Task Force. Value in Health, 19(1), 1–13. https://doi.org/10.1016/j.jval.2015.12.003</w:t>
      </w:r>
    </w:p>
    <w:p>
      <w:pPr>
        <w:spacing w:after="40"/>
      </w:pPr>
    </w:p>
    <w:p>
      <w:r>
        <w:t>Documento consultivo. No modifica decisiones oficiales ni otros archivos. La adopción de "B" y de sus seis modificaciones requiere Decision Record y ratificación directiva.</w:t>
      </w:r>
    </w:p>
    <w:p>
      <w:r>
        <w:br w:type="page"/>
      </w:r>
    </w:p>
    <w:p>
      <w:pPr>
        <w:pStyle w:val="Heading1"/>
        <w:keepNext/>
      </w:pPr>
      <w:r>
        <w:t>Fuente 15: 00_Gobernanza/coordinacion/auditorias/GTRM/GOEI_GTRM_MATRIZ_DE_PREGUNTAS_Y_CONTROLES.md</w:t>
      </w:r>
    </w:p>
    <w:p>
      <w:pPr>
        <w:spacing w:after="200"/>
      </w:pPr>
      <w:r>
        <w:rPr>
          <w:rFonts w:ascii="Consolas" w:hAnsi="Consolas"/>
          <w:color w:val="595959"/>
          <w:sz w:val="16"/>
        </w:rPr>
        <w:t>Ruta: 00_Gobernanza/coordinacion/auditorias/GTRM/GOEI_GTRM_MATRIZ_DE_PREGUNTAS_Y_CONTROLES.md</w:t>
        <w:br/>
        <w:t>Tamaño: 19190 bytes</w:t>
        <w:br/>
        <w:t>SHA-256: 466e02eab5699db97aeea192ea8c3d9298ba45f1fe48173271981f347d0bd2c9</w:t>
      </w:r>
    </w:p>
    <w:p>
      <w:pPr>
        <w:pStyle w:val="Heading2"/>
      </w:pPr>
      <w:r>
        <w:t>Matriz de preguntas y controles de la auditoría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documental | `GOEI-GTRM-AUDIT-CONTROLS-001` |</w:t>
      </w:r>
    </w:p>
    <w:p>
      <w:pPr>
        <w:spacing w:after="20" w:line="240" w:lineRule="auto"/>
      </w:pPr>
      <w:r>
        <w:rPr>
          <w:rFonts w:ascii="Consolas" w:hAnsi="Consolas"/>
          <w:sz w:val="14"/>
        </w:rPr>
        <w:t>| Naturaleza | Instrumento consultivo de trazabilidad; no normativo |</w:t>
      </w:r>
    </w:p>
    <w:p>
      <w:pPr>
        <w:spacing w:after="20" w:line="240" w:lineRule="auto"/>
      </w:pPr>
      <w:r>
        <w:rPr>
          <w:rFonts w:ascii="Consolas" w:hAnsi="Consolas"/>
          <w:sz w:val="14"/>
        </w:rPr>
        <w:t>| Objeto | Propuesta `GOEI Technical Reference Matrix (GTRM)` |</w:t>
      </w:r>
    </w:p>
    <w:p>
      <w:pPr>
        <w:spacing w:after="20" w:line="240" w:lineRule="auto"/>
      </w:pPr>
      <w:r>
        <w:rPr>
          <w:rFonts w:ascii="Consolas" w:hAnsi="Consolas"/>
          <w:sz w:val="14"/>
        </w:rPr>
        <w:t>| Estado | Preparado para auditoría |</w:t>
      </w:r>
    </w:p>
    <w:p>
      <w:pPr>
        <w:spacing w:after="20" w:line="240" w:lineRule="auto"/>
      </w:pPr>
      <w:r>
        <w:rPr>
          <w:rFonts w:ascii="Consolas" w:hAnsi="Consolas"/>
          <w:sz w:val="14"/>
        </w:rPr>
        <w:t>| Autoridad científica | Comité Científico (Claude), dentro de su competencia |</w:t>
      </w:r>
    </w:p>
    <w:p>
      <w:pPr>
        <w:spacing w:after="20" w:line="240" w:lineRule="auto"/>
      </w:pPr>
      <w:r>
        <w:rPr>
          <w:rFonts w:ascii="Consolas" w:hAnsi="Consolas"/>
          <w:sz w:val="14"/>
        </w:rPr>
        <w:t>| Autoridad técnica | Oficina Técnica GOEI (Codex), dentro de su competencia |</w:t>
      </w:r>
    </w:p>
    <w:p>
      <w:pPr>
        <w:spacing w:after="20" w:line="240" w:lineRule="auto"/>
      </w:pPr>
      <w:r>
        <w:rPr>
          <w:rFonts w:ascii="Consolas" w:hAnsi="Consolas"/>
          <w:sz w:val="14"/>
        </w:rPr>
        <w:t>| Efecto sobre el estándar | Ninguno hasta decisión formal posterior |</w:t>
      </w:r>
    </w:p>
    <w:p>
      <w:pPr>
        <w:spacing w:after="20" w:line="240" w:lineRule="auto"/>
      </w:pPr>
      <w:r>
        <w:rPr>
          <w:rFonts w:ascii="Consolas" w:hAnsi="Consolas"/>
          <w:sz w:val="14"/>
        </w:rPr>
        <w:t>| Baseline protegida | D-006 Ontology Baseline v0.1 |</w:t>
      </w:r>
    </w:p>
    <w:p>
      <w:pPr>
        <w:spacing w:after="40"/>
      </w:pPr>
    </w:p>
    <w:p>
      <w:pPr>
        <w:pStyle w:val="Heading3"/>
      </w:pPr>
      <w:r>
        <w:t>1. Propósito y límites</w:t>
      </w:r>
    </w:p>
    <w:p>
      <w:pPr>
        <w:spacing w:after="40"/>
      </w:pPr>
    </w:p>
    <w:p>
      <w:r>
        <w:t>Esta matriz controla que la auditoría metodológica GTRM responda íntegramente la solicitud, mantenga separadas las competencias científica y técnica y permita rastrear cada conclusión hasta su evidencia.</w:t>
      </w:r>
    </w:p>
    <w:p>
      <w:pPr>
        <w:spacing w:after="40"/>
      </w:pPr>
    </w:p>
    <w:p>
      <w:r>
        <w:t>Este documento:</w:t>
      </w:r>
    </w:p>
    <w:p>
      <w:pPr>
        <w:spacing w:after="40"/>
      </w:pPr>
    </w:p>
    <w:p>
      <w:pPr>
        <w:pStyle w:val="ListBullet"/>
      </w:pPr>
      <w:r>
        <w:t>no responde las preguntas científicas;</w:t>
      </w:r>
    </w:p>
    <w:p>
      <w:pPr>
        <w:pStyle w:val="ListBullet"/>
      </w:pPr>
      <w:r>
        <w:t>no selecciona el dictamen A, B o C;</w:t>
      </w:r>
    </w:p>
    <w:p>
      <w:pPr>
        <w:pStyle w:val="ListBullet"/>
      </w:pPr>
      <w:r>
        <w:t>no crea GTRM, KPI, categorías, funciones, fórmulas, puntajes, umbrales ni tolerancias;</w:t>
      </w:r>
    </w:p>
    <w:p>
      <w:pPr>
        <w:pStyle w:val="ListBullet"/>
      </w:pPr>
      <w:r>
        <w:t>no modifica decisiones, registros maestros, baselines, ontología ni el pipeline B2–B10;</w:t>
      </w:r>
    </w:p>
    <w:p>
      <w:pPr>
        <w:pStyle w:val="ListBullet"/>
      </w:pPr>
      <w:r>
        <w:t>no convierte hipótesis de la propuesta en hechos aprobados;</w:t>
      </w:r>
    </w:p>
    <w:p>
      <w:pPr>
        <w:pStyle w:val="ListBullet"/>
      </w:pPr>
      <w:r>
        <w:t>no autoriza la incorporación de un componente al estándar.</w:t>
      </w:r>
    </w:p>
    <w:p>
      <w:pPr>
        <w:spacing w:after="40"/>
      </w:pPr>
    </w:p>
    <w:p>
      <w:pPr>
        <w:pStyle w:val="Heading3"/>
      </w:pPr>
      <w:r>
        <w:t>2. Estados permitidos para cada control</w:t>
      </w:r>
    </w:p>
    <w:p>
      <w:pPr>
        <w:spacing w:after="40"/>
      </w:pPr>
    </w:p>
    <w:p>
      <w:pPr>
        <w:spacing w:after="20" w:line="240" w:lineRule="auto"/>
      </w:pPr>
      <w:r>
        <w:rPr>
          <w:rFonts w:ascii="Consolas" w:hAnsi="Consolas"/>
          <w:sz w:val="14"/>
        </w:rPr>
        <w:t>| Estado | Significado |</w:t>
      </w:r>
    </w:p>
    <w:p>
      <w:pPr>
        <w:spacing w:after="20" w:line="240" w:lineRule="auto"/>
      </w:pPr>
      <w:r>
        <w:rPr>
          <w:rFonts w:ascii="Consolas" w:hAnsi="Consolas"/>
          <w:sz w:val="14"/>
        </w:rPr>
        <w:t>|---|---|</w:t>
      </w:r>
    </w:p>
    <w:p>
      <w:pPr>
        <w:spacing w:after="20" w:line="240" w:lineRule="auto"/>
      </w:pPr>
      <w:r>
        <w:rPr>
          <w:rFonts w:ascii="Consolas" w:hAnsi="Consolas"/>
          <w:sz w:val="14"/>
        </w:rPr>
        <w:t>| Pendiente | No existe respuesta auditada suficiente. |</w:t>
      </w:r>
    </w:p>
    <w:p>
      <w:pPr>
        <w:spacing w:after="20" w:line="240" w:lineRule="auto"/>
      </w:pPr>
      <w:r>
        <w:rPr>
          <w:rFonts w:ascii="Consolas" w:hAnsi="Consolas"/>
          <w:sz w:val="14"/>
        </w:rPr>
        <w:t>| En análisis científico | Claude reúne o evalúa evidencia dentro de su competencia. |</w:t>
      </w:r>
    </w:p>
    <w:p>
      <w:pPr>
        <w:spacing w:after="20" w:line="240" w:lineRule="auto"/>
      </w:pPr>
      <w:r>
        <w:rPr>
          <w:rFonts w:ascii="Consolas" w:hAnsi="Consolas"/>
          <w:sz w:val="14"/>
        </w:rPr>
        <w:t>| En análisis técnico | Codex evalúa arquitectura, trazabilidad o implementación. |</w:t>
      </w:r>
    </w:p>
    <w:p>
      <w:pPr>
        <w:spacing w:after="20" w:line="240" w:lineRule="auto"/>
      </w:pPr>
      <w:r>
        <w:rPr>
          <w:rFonts w:ascii="Consolas" w:hAnsi="Consolas"/>
          <w:sz w:val="14"/>
        </w:rPr>
        <w:t>| Devuelto | La evidencia o respuesta no satisface el criterio de aceptación. |</w:t>
      </w:r>
    </w:p>
    <w:p>
      <w:pPr>
        <w:spacing w:after="20" w:line="240" w:lineRule="auto"/>
      </w:pPr>
      <w:r>
        <w:rPr>
          <w:rFonts w:ascii="Consolas" w:hAnsi="Consolas"/>
          <w:sz w:val="14"/>
        </w:rPr>
        <w:t>| Conforme para dictamen | El control tiene evidencia y razonamiento suficientes para alimentar el dictamen consultivo. |</w:t>
      </w:r>
    </w:p>
    <w:p>
      <w:pPr>
        <w:spacing w:after="20" w:line="240" w:lineRule="auto"/>
      </w:pPr>
      <w:r>
        <w:rPr>
          <w:rFonts w:ascii="Consolas" w:hAnsi="Consolas"/>
          <w:sz w:val="14"/>
        </w:rPr>
        <w:t>| No aplicable justificado | La inaplicabilidad está documentada, fundamentada y auditada. |</w:t>
      </w:r>
    </w:p>
    <w:p>
      <w:pPr>
        <w:spacing w:after="40"/>
      </w:pPr>
    </w:p>
    <w:p>
      <w:r>
        <w:t>Conforme para dictamen no significa aprobado ni incorporado al GOEI.</w:t>
      </w:r>
    </w:p>
    <w:p>
      <w:pPr>
        <w:spacing w:after="40"/>
      </w:pPr>
    </w:p>
    <w:p>
      <w:pPr>
        <w:pStyle w:val="Heading3"/>
      </w:pPr>
      <w:r>
        <w:t>3. Separación conceptual obligatoria</w:t>
      </w:r>
    </w:p>
    <w:p>
      <w:pPr>
        <w:spacing w:after="40"/>
      </w:pPr>
    </w:p>
    <w:p>
      <w:pPr>
        <w:spacing w:after="20" w:line="240" w:lineRule="auto"/>
      </w:pPr>
      <w:r>
        <w:rPr>
          <w:rFonts w:ascii="Consolas" w:hAnsi="Consolas"/>
          <w:sz w:val="14"/>
        </w:rPr>
        <w:t>| ID | Concepto que debe definirse sin solapamiento | Evidencia o especificación requerida | Responsable primario | Resultado esperado | Criterio de aceptación | Dependencia | Prohibición de inferencia |</w:t>
      </w:r>
    </w:p>
    <w:p>
      <w:pPr>
        <w:spacing w:after="20" w:line="240" w:lineRule="auto"/>
      </w:pPr>
      <w:r>
        <w:rPr>
          <w:rFonts w:ascii="Consolas" w:hAnsi="Consolas"/>
          <w:sz w:val="14"/>
        </w:rPr>
        <w:t>|---|---|---|---|---|---|---|---|</w:t>
      </w:r>
    </w:p>
    <w:p>
      <w:pPr>
        <w:spacing w:after="20" w:line="240" w:lineRule="auto"/>
      </w:pPr>
      <w:r>
        <w:rPr>
          <w:rFonts w:ascii="Consolas" w:hAnsi="Consolas"/>
          <w:sz w:val="14"/>
        </w:rPr>
        <w:t>| C-01 | Observación | Fundamento conceptual y correspondencia con D-006; fenómeno o evento observado | Claude; control arquitectónico Codex | Definición, entradas, salidas y límites | No se confunde con dato registrado, cálculo ni puntaje | D-006 v0.1 | Codex no redefine D-006; Claude no supone que toda observación sea una medición |</w:t>
      </w:r>
    </w:p>
    <w:p>
      <w:pPr>
        <w:spacing w:after="20" w:line="240" w:lineRule="auto"/>
      </w:pPr>
      <w:r>
        <w:rPr>
          <w:rFonts w:ascii="Consolas" w:hAnsi="Consolas"/>
          <w:sz w:val="14"/>
        </w:rPr>
        <w:t>| C-02 | Medición registrada | Evidencia metrológica/metodológica; instrumento, unidad, método, agente, tiempo y procedencia | Claude; modelado Codex | Definición y relación explícita con observación | Distingue acto de medir, registro persistido y calidad del dato | C-01 | No asumir validez por el solo hecho de que exista un registro |</w:t>
      </w:r>
    </w:p>
    <w:p>
      <w:pPr>
        <w:spacing w:after="20" w:line="240" w:lineRule="auto"/>
      </w:pPr>
      <w:r>
        <w:rPr>
          <w:rFonts w:ascii="Consolas" w:hAnsi="Consolas"/>
          <w:sz w:val="14"/>
        </w:rPr>
        <w:t>| C-03 | Valor de KPI | Especificación aprobada de cálculo y requisitos de datos, cuando exista | Claude | Definición del valor derivado y su procedencia | Se identifica como resultado de mediciones válidas, no como observación ni puntuación | C-02; futuras B3–B5 | No crear KPI, fórmula ni ejemplo numérico normativo |</w:t>
      </w:r>
    </w:p>
    <w:p>
      <w:pPr>
        <w:spacing w:after="20" w:line="240" w:lineRule="auto"/>
      </w:pPr>
      <w:r>
        <w:rPr>
          <w:rFonts w:ascii="Consolas" w:hAnsi="Consolas"/>
          <w:sz w:val="14"/>
        </w:rPr>
        <w:t>| C-04 | Condición de referencia | Evidencia normativa, regulatoria, empírica o experta y dominio declarado | Claude | Definición del estado patrón de comparación | Se diferencia de una distribución o valor comparativo observado | C-03 | No declarar una referencia universal o específica sin evidencia |</w:t>
      </w:r>
    </w:p>
    <w:p>
      <w:pPr>
        <w:spacing w:after="20" w:line="240" w:lineRule="auto"/>
      </w:pPr>
      <w:r>
        <w:rPr>
          <w:rFonts w:ascii="Consolas" w:hAnsi="Consolas"/>
          <w:sz w:val="14"/>
        </w:rPr>
        <w:t>| C-05 | Benchmark | Fuente, población, periodo, categoría, jurisdicción, método y estimación de incertidumbre | Claude | Definición de valor o distribución comparativa | Se distingue de condición normativa y conserva procedencia | C-03 | No equiparar benchmark con límite regulatorio ni con objetivo |</w:t>
      </w:r>
    </w:p>
    <w:p>
      <w:pPr>
        <w:spacing w:after="20" w:line="240" w:lineRule="auto"/>
      </w:pPr>
      <w:r>
        <w:rPr>
          <w:rFonts w:ascii="Consolas" w:hAnsi="Consolas"/>
          <w:sz w:val="14"/>
        </w:rPr>
        <w:t>| C-06 | Función de puntuación | Método científico, dominio, parámetros, comportamiento y limitaciones | Claude | Definición de la transformación y autoridad que la sustenta | Entradas y salida inequívocas; no se oculta dentro de una tabla | C-03–C-05 | Codex no diseña curva, cortes, parámetros ni puntajes |</w:t>
      </w:r>
    </w:p>
    <w:p>
      <w:pPr>
        <w:spacing w:after="20" w:line="240" w:lineRule="auto"/>
      </w:pPr>
      <w:r>
        <w:rPr>
          <w:rFonts w:ascii="Consolas" w:hAnsi="Consolas"/>
          <w:sz w:val="14"/>
        </w:rPr>
        <w:t>| C-07 | Normalización | Fundamento del propósito comparativo y relación con la función de puntuación | Claude | Definición operacional no redundante | Resuelve si es la misma transformación, una posterior o una validación de escala | C-06; futuras B6–B8 | No presumir que toda puntuación está normalizada |</w:t>
      </w:r>
    </w:p>
    <w:p>
      <w:pPr>
        <w:spacing w:after="20" w:line="240" w:lineRule="auto"/>
      </w:pPr>
      <w:r>
        <w:rPr>
          <w:rFonts w:ascii="Consolas" w:hAnsi="Consolas"/>
          <w:sz w:val="14"/>
        </w:rPr>
        <w:t>| C-08 | Puntuación normalizada | Escala, dominio, precisión, incertidumbre y semántica aprobados | Claude | Definición de salida trazable | No se confunde con valor KPI, puntaje intermedio ni interpretación | C-06–C-07 | No fijar escala, precisión, redondeo o tolerancia |</w:t>
      </w:r>
    </w:p>
    <w:p>
      <w:pPr>
        <w:spacing w:after="20" w:line="240" w:lineRule="auto"/>
      </w:pPr>
      <w:r>
        <w:rPr>
          <w:rFonts w:ascii="Consolas" w:hAnsi="Consolas"/>
          <w:sz w:val="14"/>
        </w:rPr>
        <w:t>| C-09 | Tabla de consulta manual | Especificación normativa fuente y prueba de equivalencia | Claude define requisitos; Codex verifica representación | Definición como representación, no autoridad independiente | Cada celda/rango es derivable de la misma especificación que usa el software | C-06–C-08 | No convertir conveniencia manual en justificación científica |</w:t>
      </w:r>
    </w:p>
    <w:p>
      <w:pPr>
        <w:spacing w:after="20" w:line="240" w:lineRule="auto"/>
      </w:pPr>
      <w:r>
        <w:rPr>
          <w:rFonts w:ascii="Consolas" w:hAnsi="Consolas"/>
          <w:sz w:val="14"/>
        </w:rPr>
        <w:t>| C-10 | Interpretación | Evidencia de validez y límites de uso | Claude | Definición del significado y de inferencias prohibidas | Distingue resultado matemático, clasificación e inferencia sustantiva | C-08; futuras B8–B9 | No crear clases, etiquetas ni conclusiones de desempeño |</w:t>
      </w:r>
    </w:p>
    <w:p>
      <w:pPr>
        <w:spacing w:after="40"/>
      </w:pPr>
    </w:p>
    <w:p>
      <w:pPr>
        <w:pStyle w:val="Heading3"/>
      </w:pPr>
      <w:r>
        <w:t>4. Matriz de las diez preguntas originales</w:t>
      </w:r>
    </w:p>
    <w:p>
      <w:pPr>
        <w:spacing w:after="40"/>
      </w:pPr>
    </w:p>
    <w:p>
      <w:pPr>
        <w:spacing w:after="20" w:line="240" w:lineRule="auto"/>
      </w:pPr>
      <w:r>
        <w:rPr>
          <w:rFonts w:ascii="Consolas" w:hAnsi="Consolas"/>
          <w:sz w:val="14"/>
        </w:rPr>
        <w:t>| ID | Pregunta o solicitud | Evidencia requerida | Responsable | Resultado esperado | Criterio de aceptación | Dependencia | Prohibición de inferencia |</w:t>
      </w:r>
    </w:p>
    <w:p>
      <w:pPr>
        <w:spacing w:after="20" w:line="240" w:lineRule="auto"/>
      </w:pPr>
      <w:r>
        <w:rPr>
          <w:rFonts w:ascii="Consolas" w:hAnsi="Consolas"/>
          <w:sz w:val="14"/>
        </w:rPr>
        <w:t>|---|---|---|---|---|---|---|---|</w:t>
      </w:r>
    </w:p>
    <w:p>
      <w:pPr>
        <w:spacing w:after="20" w:line="240" w:lineRule="auto"/>
      </w:pPr>
      <w:r>
        <w:rPr>
          <w:rFonts w:ascii="Consolas" w:hAnsi="Consolas"/>
          <w:sz w:val="14"/>
        </w:rPr>
        <w:t>| P-01 | Determinar si GTRM es componente científico nuevo o parte de normalización | Literatura primaria sobre índices compuestos, escalamiento, referencias y funciones; análisis C-01–C-10 | Claude; contraste Codex | Conclusión fundamentada y efecto arquitectónico | Separa identidad científica de empaquetado documental o implementación | C-01–C-10 | No aceptar el nombre GTRM como prueba de independencia conceptual |</w:t>
      </w:r>
    </w:p>
    <w:p>
      <w:pPr>
        <w:spacing w:after="20" w:line="240" w:lineRule="auto"/>
      </w:pPr>
      <w:r>
        <w:rPr>
          <w:rFonts w:ascii="Consolas" w:hAnsi="Consolas"/>
          <w:sz w:val="14"/>
        </w:rPr>
        <w:t>| P-02 | Determinar si debe ser una fase oficial y su posición exacta | Dependencias científicas y comparación de las tres ubicaciones candidatas | Claude y Codex | Ubicación recomendada o rechazo de fase autónoma | Entradas, salidas, gate, autoridad y relación B5–B8 explícitos | P-01 | No alterar el pipeline antes de decisión formal |</w:t>
      </w:r>
    </w:p>
    <w:p>
      <w:pPr>
        <w:spacing w:after="20" w:line="240" w:lineRule="auto"/>
      </w:pPr>
      <w:r>
        <w:rPr>
          <w:rFonts w:ascii="Consolas" w:hAnsi="Consolas"/>
          <w:sz w:val="14"/>
        </w:rPr>
        <w:t>| P-03 | Analizar impacto sobre todos los componentes | Fuentes canónicas vigentes y decisión científica resultante | Codex; Claude en efectos científicos | Matriz `sin cambio / ampliar / reescribir / decisión requerida` | Cubre constructo, ontología, taxonomía, procesos, KPI, admisibilidad, medición, normalización, matemática, interpretación, validación, manuales, formularios, software, KG, MetaModel, Constitución, BOK, repositorio, tesis y publicaciones | P-01–P-02 | No editar componentes ni D-006 durante la auditoría |</w:t>
      </w:r>
    </w:p>
    <w:p>
      <w:pPr>
        <w:spacing w:after="20" w:line="240" w:lineRule="auto"/>
      </w:pPr>
      <w:r>
        <w:rPr>
          <w:rFonts w:ascii="Consolas" w:hAnsi="Consolas"/>
          <w:sz w:val="14"/>
        </w:rPr>
        <w:t>| P-04 | Evaluar y, si corresponde, proponer clasificación | Evidencia sobre dimensiones de clasificación y análisis de solapamiento | Claude; formalización Codex | Clasificación multidimensional candidata o rechazo justificado | Ejes ortogonales; cada término tiene criterio de pertenencia | P-01 | No convertir ejemplos de la solicitud en clases oficiales |</w:t>
      </w:r>
    </w:p>
    <w:p>
      <w:pPr>
        <w:spacing w:after="20" w:line="240" w:lineRule="auto"/>
      </w:pPr>
      <w:r>
        <w:rPr>
          <w:rFonts w:ascii="Consolas" w:hAnsi="Consolas"/>
          <w:sz w:val="14"/>
        </w:rPr>
        <w:t>| P-05 | Determinar identidad y condición documental de cada GTRM | Requisitos de estándares, configuración, procedencia y gobernanza | Codex; fundamento Claude | Modelo candidato de identidad, versión y ciclo de vida | Diferencia entidad científica, especificación normativa, tabla y software | P-01; P-04 | No asignar códigos reales, baseline ni vigencia |</w:t>
      </w:r>
    </w:p>
    <w:p>
      <w:pPr>
        <w:spacing w:after="20" w:line="240" w:lineRule="auto"/>
      </w:pPr>
      <w:r>
        <w:rPr>
          <w:rFonts w:ascii="Consolas" w:hAnsi="Consolas"/>
          <w:sz w:val="14"/>
        </w:rPr>
        <w:t>| P-06 | Analizar modificación del pipeline y proponerlo si procede | Resultados P-01–P-05 y gates B5–B8 | Claude y Codex | Pipeline recomendado con dependencias y bloqueos | Evita doble transformación y asigna autoridad por etapa | P-01–P-05 | No cerrar ni reabrir fases vigentes |</w:t>
      </w:r>
    </w:p>
    <w:p>
      <w:pPr>
        <w:spacing w:after="20" w:line="240" w:lineRule="auto"/>
      </w:pPr>
      <w:r>
        <w:rPr>
          <w:rFonts w:ascii="Consolas" w:hAnsi="Consolas"/>
          <w:sz w:val="14"/>
        </w:rPr>
        <w:t>| P-07 | Evaluar fortalezas o debilidades sistémicas | Comparación razonada de escenarios con/sin GTRM | Claude y Codex | Balance para trazabilidad, auditabilidad, reproducibilidad, comparabilidad, independencia tecnológica, aplicación manual, robustez y gobernanza | Cada efecto indica mecanismo, evidencia, limitación y riesgo residual | P-01–P-06 | No asumir que más documentación implica más validez |</w:t>
      </w:r>
    </w:p>
    <w:p>
      <w:pPr>
        <w:spacing w:after="20" w:line="240" w:lineRule="auto"/>
      </w:pPr>
      <w:r>
        <w:rPr>
          <w:rFonts w:ascii="Consolas" w:hAnsi="Consolas"/>
          <w:sz w:val="14"/>
        </w:rPr>
        <w:t>| P-08 | Identificar riesgos metodológicos | Literatura, análisis estadístico conceptual, casos frontera y arquitectura | Claude; riesgos técnicos Codex | Registro de riesgos y mitigaciones candidatas | Incluye riesgos conceptuales, matemáticos, estadísticos, prácticos y normativos | C-01–C-10 | No presentar mitigaciones candidatas como decisiones aprobadas |</w:t>
      </w:r>
    </w:p>
    <w:p>
      <w:pPr>
        <w:spacing w:after="20" w:line="240" w:lineRule="auto"/>
      </w:pPr>
      <w:r>
        <w:rPr>
          <w:rFonts w:ascii="Consolas" w:hAnsi="Consolas"/>
          <w:sz w:val="14"/>
        </w:rPr>
        <w:t>| P-09 | Proponer incorporación oficial solo si procede | Dictamen científico provisional y análisis arquitectónico | Claude y Codex | Nivel, relaciones, dependencias, restricciones, autoridad y ciclo de vida candidatos | La propuesta queda condicionada a Issue y decisión formal separada | P-01–P-08 | No implementar, versionar ni congelar GTRM |</w:t>
      </w:r>
    </w:p>
    <w:p>
      <w:pPr>
        <w:spacing w:after="20" w:line="240" w:lineRule="auto"/>
      </w:pPr>
      <w:r>
        <w:rPr>
          <w:rFonts w:ascii="Consolas" w:hAnsi="Consolas"/>
          <w:sz w:val="14"/>
        </w:rPr>
        <w:t>| P-10 | Emitir dictamen `A`, `B` o `C` | Expediente completo, evidencia citada y todos los controles críticos conformes | Claude emite componente científico; Codex emite componente arquitectónico | Dictamen consultivo único, motivado y trazable | Una opción inequívoca; justificación, limitaciones, autoridad y efectos | P-01–P-09; E-01–E-15 | No registrar el dictamen como decisión oficial ni alterar el estándar |</w:t>
      </w:r>
    </w:p>
    <w:p>
      <w:pPr>
        <w:spacing w:after="40"/>
      </w:pPr>
    </w:p>
    <w:p>
      <w:pPr>
        <w:pStyle w:val="Heading3"/>
      </w:pPr>
      <w:r>
        <w:t>5. Preguntas adicionales obligatorias</w:t>
      </w:r>
    </w:p>
    <w:p>
      <w:pPr>
        <w:spacing w:after="40"/>
      </w:pPr>
    </w:p>
    <w:p>
      <w:pPr>
        <w:spacing w:after="20" w:line="240" w:lineRule="auto"/>
      </w:pPr>
      <w:r>
        <w:rPr>
          <w:rFonts w:ascii="Consolas" w:hAnsi="Consolas"/>
          <w:sz w:val="14"/>
        </w:rPr>
        <w:t>| ID | Pregunta adicional | Evidencia requerida | Responsable | Resultado esperado | Criterio de aceptación | Dependencia | Prohibición de inferencia |</w:t>
      </w:r>
    </w:p>
    <w:p>
      <w:pPr>
        <w:spacing w:after="20" w:line="240" w:lineRule="auto"/>
      </w:pPr>
      <w:r>
        <w:rPr>
          <w:rFonts w:ascii="Consolas" w:hAnsi="Consolas"/>
          <w:sz w:val="14"/>
        </w:rPr>
        <w:t>|---|---|---|---|---|---|---|---|</w:t>
      </w:r>
    </w:p>
    <w:p>
      <w:pPr>
        <w:spacing w:after="20" w:line="240" w:lineRule="auto"/>
      </w:pPr>
      <w:r>
        <w:rPr>
          <w:rFonts w:ascii="Consolas" w:hAnsi="Consolas"/>
          <w:sz w:val="14"/>
        </w:rPr>
        <w:t>| A-01 | ¿GTRM actúa sobre observaciones, mediciones registradas o valores KPI? | Modelo de procedencia y fundamento científico | Claude; consistencia Codex | Tipo de entrada inequívoco | Se documentan entradas inadmisibles y consecuencias | C-01–C-06 | No inferir entrada desde el ejemplo conceptual |</w:t>
      </w:r>
    </w:p>
    <w:p>
      <w:pPr>
        <w:spacing w:after="20" w:line="240" w:lineRule="auto"/>
      </w:pPr>
      <w:r>
        <w:rPr>
          <w:rFonts w:ascii="Consolas" w:hAnsi="Consolas"/>
          <w:sz w:val="14"/>
        </w:rPr>
        <w:t>| A-02 | ¿Produce puntuación final o parámetros para otra transformación? | Definiciones de salida, escala y relación con normalización | Claude | Salida inequívoca y etapas posteriores | El flujo no contiene transformación oculta | C-06–C-08 | No denominar “normalizado” a un puntaje sin prueba |</w:t>
      </w:r>
    </w:p>
    <w:p>
      <w:pPr>
        <w:spacing w:after="20" w:line="240" w:lineRule="auto"/>
      </w:pPr>
      <w:r>
        <w:rPr>
          <w:rFonts w:ascii="Consolas" w:hAnsi="Consolas"/>
          <w:sz w:val="14"/>
        </w:rPr>
        <w:t>| A-03 | ¿`GTRM → normalización` es doble transformación? | Análisis algebraico/conceptual de funciones, sin fijar fórmulas GOEI | Claude | Dictamen de redundancia o complementariedad | Cada transformación tiene propósito y dominio distintos o se fusionan | A-02 | Codex no resuelve una ambigüedad matemática por diseño documental |</w:t>
      </w:r>
    </w:p>
    <w:p>
      <w:pPr>
        <w:spacing w:after="20" w:line="240" w:lineRule="auto"/>
      </w:pPr>
      <w:r>
        <w:rPr>
          <w:rFonts w:ascii="Consolas" w:hAnsi="Consolas"/>
          <w:sz w:val="14"/>
        </w:rPr>
        <w:t>| A-04 | ¿GTRM es función, parametrización o tabla? | Distinción entre especificación, parámetros y representación | Claude y Codex | Naturaleza y fuente de verdad determinadas | Solo una especificación tiene autoridad normativa; tabla y código son representaciones | A-02–A-03 | No tratarlas como equivalentes sin correspondencia demostrada |</w:t>
      </w:r>
    </w:p>
    <w:p>
      <w:pPr>
        <w:spacing w:after="20" w:line="240" w:lineRule="auto"/>
      </w:pPr>
      <w:r>
        <w:rPr>
          <w:rFonts w:ascii="Consolas" w:hAnsi="Consolas"/>
          <w:sz w:val="14"/>
        </w:rPr>
        <w:t>| A-05 | ¿Condición de referencia y benchmark son distintos? | Evidencia conceptual y casos de aplicabilidad | Claude | Distinción, relación o equivalencia justificada | Autoridad, procedencia y semántica quedan separadas | C-04–C-05 | No usar términos como sinónimos por conveniencia |</w:t>
      </w:r>
    </w:p>
    <w:p>
      <w:pPr>
        <w:spacing w:after="20" w:line="240" w:lineRule="auto"/>
      </w:pPr>
      <w:r>
        <w:rPr>
          <w:rFonts w:ascii="Consolas" w:hAnsi="Consolas"/>
          <w:sz w:val="14"/>
        </w:rPr>
        <w:t>| A-06 | ¿Toda referencia debe ser específica por categoría? | Evidencia empírica/metodológica de heterogeneidad y transferibilidad | Claude | Regla científica o agenda de validación | No se deriva especificidad solo de diferencias operacionales plausibles | C-04–C-05 | No asumir incomparabilidad absoluta entre categorías |</w:t>
      </w:r>
    </w:p>
    <w:p>
      <w:pPr>
        <w:spacing w:after="20" w:line="240" w:lineRule="auto"/>
      </w:pPr>
      <w:r>
        <w:rPr>
          <w:rFonts w:ascii="Consolas" w:hAnsi="Consolas"/>
          <w:sz w:val="14"/>
        </w:rPr>
        <w:t>| A-07 | ¿Pueden existir referencias universales, regulatorias, jurisdiccionales, sectoriales o por categoría? | Normas, regulación y evidencia de alcance | Claude | Niveles admisibles y dominios | Cada nivel declara autoridad, jurisdicción, vigencia y límites | A-06 | No asumir jerarquía o transferibilidad automática |</w:t>
      </w:r>
    </w:p>
    <w:p>
      <w:pPr>
        <w:spacing w:after="20" w:line="240" w:lineRule="auto"/>
      </w:pPr>
      <w:r>
        <w:rPr>
          <w:rFonts w:ascii="Consolas" w:hAnsi="Consolas"/>
          <w:sz w:val="14"/>
        </w:rPr>
        <w:t>| A-08 | ¿Cómo se selecciona entre varias referencias aplicables? | Decisión científica sobre precedencia y conflictos | Claude; implementación Codex | Regla de aplicabilidad candidata | Coincidencia explícita y tratamiento no calculable ante ausencia/conflicto | A-07 | Software y taxonomía no pueden inventar precedencia |</w:t>
      </w:r>
    </w:p>
    <w:p>
      <w:pPr>
        <w:spacing w:after="20" w:line="240" w:lineRule="auto"/>
      </w:pPr>
      <w:r>
        <w:rPr>
          <w:rFonts w:ascii="Consolas" w:hAnsi="Consolas"/>
          <w:sz w:val="14"/>
        </w:rPr>
        <w:t>| A-09 | ¿Cómo se representa la incertidumbre? | Métodos válidos para medición, muestra, benchmark, parámetros y salida | Claude | Requisitos de representación, sin valores inventados | Distingue fuentes y propagación; declara insuficiencia cuando corresponda | C-02–C-08 | Codex no elige intervalo, clase, tolerancia ni redondeo |</w:t>
      </w:r>
    </w:p>
    <w:p>
      <w:pPr>
        <w:spacing w:after="20" w:line="240" w:lineRule="auto"/>
      </w:pPr>
      <w:r>
        <w:rPr>
          <w:rFonts w:ascii="Consolas" w:hAnsi="Consolas"/>
          <w:sz w:val="14"/>
        </w:rPr>
        <w:t>| A-10 | ¿Cómo se preserva la reproducibilidad histórica? | Reglas de configuración, procedencia y versionado | Codex; requisitos científicos Claude | Registro mínimo para reproducción y simulación | La versión sustituida permanece recuperable y no se sobrescribe | P-05; A-09 | No recalcular silenciosamente evaluaciones históricas |</w:t>
      </w:r>
    </w:p>
    <w:p>
      <w:pPr>
        <w:spacing w:after="20" w:line="240" w:lineRule="auto"/>
      </w:pPr>
      <w:r>
        <w:rPr>
          <w:rFonts w:ascii="Consolas" w:hAnsi="Consolas"/>
          <w:sz w:val="14"/>
        </w:rPr>
        <w:t>| A-11 | ¿Cómo se garantiza equivalencia papel–software? | Especificación común y casos canónicos | Codex; tolerancia y precisión Claude | Protocolo verificable de equivalencia | Cubre límites, extremos, faltantes, unidades, redondeos, conflictos y vigencia | C-09; A-09–A-10 | Código o tabla no pueden ser fuentes normativas independientes |</w:t>
      </w:r>
    </w:p>
    <w:p>
      <w:pPr>
        <w:spacing w:after="20" w:line="240" w:lineRule="auto"/>
      </w:pPr>
      <w:r>
        <w:rPr>
          <w:rFonts w:ascii="Consolas" w:hAnsi="Consolas"/>
          <w:sz w:val="14"/>
        </w:rPr>
        <w:t>| A-12 | ¿Dónde reside la autoridad científica de la transformación? | Gobernanza vigente y expediente científico trazable | Claude y autoridad normativa competente; control Codex | Cadena de autoridad por creación, aprobación, revisión, suspensión y reemplazo | Metadatos, autoría e implementación se distinguen de aprobación científica/normativa | P-05 | Claude no se atribuye autoridad normativa; Codex no se atribuye autoridad científica |</w:t>
      </w:r>
    </w:p>
    <w:p>
      <w:pPr>
        <w:spacing w:after="20" w:line="240" w:lineRule="auto"/>
      </w:pPr>
      <w:r>
        <w:rPr>
          <w:rFonts w:ascii="Consolas" w:hAnsi="Consolas"/>
          <w:sz w:val="14"/>
        </w:rPr>
        <w:t>| A-13 | ¿Qué ocurre sin referencia válida o vigente? | Decisión científica y reglas de integridad | Claude; implementación Codex | Estado no calculable o tratamiento científicamente aprobado | Nunca se selecciona una referencia aproximada o inferida | A-07–A-08 | No imputar, extrapolar ni usar fallback sin aprobación |</w:t>
      </w:r>
    </w:p>
    <w:p>
      <w:pPr>
        <w:spacing w:after="20" w:line="240" w:lineRule="auto"/>
      </w:pPr>
      <w:r>
        <w:rPr>
          <w:rFonts w:ascii="Consolas" w:hAnsi="Consolas"/>
          <w:sz w:val="14"/>
        </w:rPr>
        <w:t>| A-14 | ¿Puede existir KPI aprobado sin función de puntuación aprobada? | Separación del ciclo de vida de definición, medición y puntuación | Claude; modelado Codex | Estados y gates explícitos | “KPI definido” no implica “KPI puntuable” ni “integrable” | C-03; C-06–C-08 | No activar cálculo por mera existencia en catálogo |</w:t>
      </w:r>
    </w:p>
    <w:p>
      <w:pPr>
        <w:spacing w:after="20" w:line="240" w:lineRule="auto"/>
      </w:pPr>
      <w:r>
        <w:rPr>
          <w:rFonts w:ascii="Consolas" w:hAnsi="Consolas"/>
          <w:sz w:val="14"/>
        </w:rPr>
        <w:t>| A-15 | ¿Quién aprueba, revisa, suspende y reemplaza una GTRM? | Matriz de autoridad vigente y decisión posterior | Codex verifica; órganos competentes deciden | RACI o cadena de autoridad candidata | Ningún rol recibe facultades nuevas por inferencia | A-12 | No modificar gobernanza dentro de la auditoría |</w:t>
      </w:r>
    </w:p>
    <w:p>
      <w:pPr>
        <w:spacing w:after="40"/>
      </w:pPr>
    </w:p>
    <w:p>
      <w:pPr>
        <w:pStyle w:val="Heading3"/>
      </w:pPr>
      <w:r>
        <w:t>6. Controles transversales de evidencia y razonamiento</w:t>
      </w:r>
    </w:p>
    <w:p>
      <w:pPr>
        <w:spacing w:after="40"/>
      </w:pPr>
    </w:p>
    <w:p>
      <w:pPr>
        <w:spacing w:after="20" w:line="240" w:lineRule="auto"/>
      </w:pPr>
      <w:r>
        <w:rPr>
          <w:rFonts w:ascii="Consolas" w:hAnsi="Consolas"/>
          <w:sz w:val="14"/>
        </w:rPr>
        <w:t>| ID | Control | Responsable | Criterio de aceptación | Prohibición |</w:t>
      </w:r>
    </w:p>
    <w:p>
      <w:pPr>
        <w:spacing w:after="20" w:line="240" w:lineRule="auto"/>
      </w:pPr>
      <w:r>
        <w:rPr>
          <w:rFonts w:ascii="Consolas" w:hAnsi="Consolas"/>
          <w:sz w:val="14"/>
        </w:rPr>
        <w:t>|---|---|---|---|---|</w:t>
      </w:r>
    </w:p>
    <w:p>
      <w:pPr>
        <w:spacing w:after="20" w:line="240" w:lineRule="auto"/>
      </w:pPr>
      <w:r>
        <w:rPr>
          <w:rFonts w:ascii="Consolas" w:hAnsi="Consolas"/>
          <w:sz w:val="14"/>
        </w:rPr>
        <w:t>| T-01 | Procedencia bibliográfica | Claude; control formal Codex | Autor, año, título, fuente primaria, DOI/enlace y relación con la conclusión | No citar una fuente secundaria como prueba primaria sin declararlo |</w:t>
      </w:r>
    </w:p>
    <w:p>
      <w:pPr>
        <w:spacing w:after="20" w:line="240" w:lineRule="auto"/>
      </w:pPr>
      <w:r>
        <w:rPr>
          <w:rFonts w:ascii="Consolas" w:hAnsi="Consolas"/>
          <w:sz w:val="14"/>
        </w:rPr>
        <w:t>| T-02 | Separación evidencia–inferencia–propuesta | Claude y Codex | Cada afirmación queda etiquetada por naturaleza y autoridad | No transformar consenso aparente en decisión |</w:t>
      </w:r>
    </w:p>
    <w:p>
      <w:pPr>
        <w:spacing w:after="20" w:line="240" w:lineRule="auto"/>
      </w:pPr>
      <w:r>
        <w:rPr>
          <w:rFonts w:ascii="Consolas" w:hAnsi="Consolas"/>
          <w:sz w:val="14"/>
        </w:rPr>
        <w:t>| T-03 | Correspondencia conclusión–evidencia | Claude; auditoría Codex | Cada conclusión remite a evidencia suficiente y limitaciones | No extender resultados fuera del dominio estudiado |</w:t>
      </w:r>
    </w:p>
    <w:p>
      <w:pPr>
        <w:spacing w:after="20" w:line="240" w:lineRule="auto"/>
      </w:pPr>
      <w:r>
        <w:rPr>
          <w:rFonts w:ascii="Consolas" w:hAnsi="Consolas"/>
          <w:sz w:val="14"/>
        </w:rPr>
        <w:t>| T-04 | Coherencia terminológica | Codex | Uso estable de C-01–C-10 en todo el expediente | No usar valor, puntaje, referencia y benchmark indistintamente |</w:t>
      </w:r>
    </w:p>
    <w:p>
      <w:pPr>
        <w:spacing w:after="20" w:line="240" w:lineRule="auto"/>
      </w:pPr>
      <w:r>
        <w:rPr>
          <w:rFonts w:ascii="Consolas" w:hAnsi="Consolas"/>
          <w:sz w:val="14"/>
        </w:rPr>
        <w:t>| T-05 | No alteración de baseline | Codex | D-006 v0.1 permanece intacta; cambios candidatos generan Issue posterior | No editar la ontología durante la auditoría |</w:t>
      </w:r>
    </w:p>
    <w:p>
      <w:pPr>
        <w:spacing w:after="20" w:line="240" w:lineRule="auto"/>
      </w:pPr>
      <w:r>
        <w:rPr>
          <w:rFonts w:ascii="Consolas" w:hAnsi="Consolas"/>
          <w:sz w:val="14"/>
        </w:rPr>
        <w:t>| T-06 | Independencia tecnológica | Claude y Codex | La especificación no depende de software propietario ni cálculo opaco | No aceptar código como única expresión del método |</w:t>
      </w:r>
    </w:p>
    <w:p>
      <w:pPr>
        <w:spacing w:after="20" w:line="240" w:lineRule="auto"/>
      </w:pPr>
      <w:r>
        <w:rPr>
          <w:rFonts w:ascii="Consolas" w:hAnsi="Consolas"/>
          <w:sz w:val="14"/>
        </w:rPr>
        <w:t>| T-07 | Trazabilidad de autoridad | Codex | Toda conclusión indica emisor, competencia, estado y efecto | No confundir dictamen consultivo con resolución normativa |</w:t>
      </w:r>
    </w:p>
    <w:p>
      <w:pPr>
        <w:spacing w:after="20" w:line="240" w:lineRule="auto"/>
      </w:pPr>
      <w:r>
        <w:rPr>
          <w:rFonts w:ascii="Consolas" w:hAnsi="Consolas"/>
          <w:sz w:val="14"/>
        </w:rPr>
        <w:t>| T-08 | Bloqueo selectivo | Codex | La falta científica bloquea solo la rama afectada y queda declarada | No completar vacíos para finalizar el expediente |</w:t>
      </w:r>
    </w:p>
    <w:p>
      <w:pPr>
        <w:spacing w:after="40"/>
      </w:pPr>
    </w:p>
    <w:p>
      <w:pPr>
        <w:pStyle w:val="Heading3"/>
      </w:pPr>
      <w:r>
        <w:t>7. Checklist de los quince entregables</w:t>
      </w:r>
    </w:p>
    <w:p>
      <w:pPr>
        <w:spacing w:after="40"/>
      </w:pPr>
    </w:p>
    <w:p>
      <w:r>
        <w:t>Ningún entregable se considera aprobado por marcarse como completo. La marca solo confirma presencia y conformidad para integrar el dictamen consultivo.</w:t>
      </w:r>
    </w:p>
    <w:p>
      <w:pPr>
        <w:spacing w:after="40"/>
      </w:pPr>
    </w:p>
    <w:p>
      <w:pPr>
        <w:pStyle w:val="ListBullet"/>
      </w:pPr>
      <w:r>
        <w:t>[x] E-01 — Glosario conceptual obligatorio: conforme en auditoría científica, arquitectónica y consolidada.</w:t>
      </w:r>
    </w:p>
    <w:p>
      <w:pPr>
        <w:pStyle w:val="ListBullet"/>
      </w:pPr>
      <w:r>
        <w:t>[x] E-02 — Diagrama de transformación: conforme en auditoría arquitectónica y consolidada.</w:t>
      </w:r>
    </w:p>
    <w:p>
      <w:pPr>
        <w:pStyle w:val="ListBullet"/>
      </w:pPr>
      <w:r>
        <w:t>[x] E-03 — Respuestas a preguntas originales y adicionales: conforme en dictamen científico y consolidado.</w:t>
      </w:r>
    </w:p>
    <w:p>
      <w:pPr>
        <w:pStyle w:val="ListBullet"/>
      </w:pPr>
      <w:r>
        <w:t>[x] E-04 — Análisis de doble normalización: conforme; defecto confirmado y corrección condicionada.</w:t>
      </w:r>
    </w:p>
    <w:p>
      <w:pPr>
        <w:pStyle w:val="ListBullet"/>
      </w:pPr>
      <w:r>
        <w:t>[x] E-05 — Clasificación multidimensional candidata: conforme en consolidado; ejes de autoridad, evidencia, alcance, función y madurez.</w:t>
      </w:r>
    </w:p>
    <w:p>
      <w:pPr>
        <w:pStyle w:val="ListBullet"/>
      </w:pPr>
      <w:r>
        <w:t>[x] E-06 — Matriz de impacto: conforme en auditoría arquitectónica y consolidada.</w:t>
      </w:r>
    </w:p>
    <w:p>
      <w:pPr>
        <w:pStyle w:val="ListBullet"/>
      </w:pPr>
      <w:r>
        <w:t>[x] E-07 — Modelo de identidad, autoridad y ciclo de vida: conforme en auditoría arquitectónica y consolidada.</w:t>
      </w:r>
    </w:p>
    <w:p>
      <w:pPr>
        <w:pStyle w:val="ListBullet"/>
      </w:pPr>
      <w:r>
        <w:t>[x] E-08 — Reglas de aplicabilidad y precedencia: conforme como propuesta pendiente de decisión.</w:t>
      </w:r>
    </w:p>
    <w:p>
      <w:pPr>
        <w:pStyle w:val="ListBullet"/>
      </w:pPr>
      <w:r>
        <w:t>[x] E-09 — Modelo de incertidumbre requerido: conforme a nivel de requisitos; método concreto permanece pendiente.</w:t>
      </w:r>
    </w:p>
    <w:p>
      <w:pPr>
        <w:pStyle w:val="ListBullet"/>
      </w:pPr>
      <w:r>
        <w:t>[x] E-10 — Protocolo de equivalencia papel–software: conforme a nivel de casos; tolerancia pendiente de aprobación científica.</w:t>
      </w:r>
    </w:p>
    <w:p>
      <w:pPr>
        <w:pStyle w:val="ListBullet"/>
      </w:pPr>
      <w:r>
        <w:t>[x] E-11 — Reglas de reproducibilidad histórica: conforme.</w:t>
      </w:r>
    </w:p>
    <w:p>
      <w:pPr>
        <w:pStyle w:val="ListBullet"/>
      </w:pPr>
      <w:r>
        <w:t>[x] E-12 — Pipeline recomendado: conforme; GTRM como sustrato normativo de B5/B6, no fase autónoma.</w:t>
      </w:r>
    </w:p>
    <w:p>
      <w:pPr>
        <w:pStyle w:val="ListBullet"/>
      </w:pPr>
      <w:r>
        <w:t>[x] E-13 — Registro de riesgos y mitigaciones: conforme.</w:t>
      </w:r>
    </w:p>
    <w:p>
      <w:pPr>
        <w:pStyle w:val="ListBullet"/>
      </w:pPr>
      <w:r>
        <w:t>[x] E-14 — Issues y decisiones requeridas: conforme; se registrará GOEI-ISS-044 al integrar la auditoría.</w:t>
      </w:r>
    </w:p>
    <w:p>
      <w:pPr>
        <w:pStyle w:val="ListBullet"/>
      </w:pPr>
      <w:r>
        <w:t>[x] E-15 — Dictamen final consultivo: B — Aceptar con modificaciones, sin efecto normativo.</w:t>
      </w:r>
    </w:p>
    <w:p>
      <w:pPr>
        <w:spacing w:after="40"/>
      </w:pPr>
    </w:p>
    <w:p>
      <w:pPr>
        <w:pStyle w:val="Heading3"/>
      </w:pPr>
      <w:r>
        <w:t>8. Gate de integridad previo al dictamen</w:t>
      </w:r>
    </w:p>
    <w:p>
      <w:pPr>
        <w:spacing w:after="40"/>
      </w:pPr>
    </w:p>
    <w:p>
      <w:r>
        <w:t>El dictamen no puede emitirse hasta que:</w:t>
      </w:r>
    </w:p>
    <w:p>
      <w:pPr>
        <w:spacing w:after="40"/>
      </w:pPr>
    </w:p>
    <w:p>
      <w:pPr>
        <w:pStyle w:val="ListNumber"/>
      </w:pPr>
      <w:r>
        <w:t>C-01–C-10 estén conformes para dictamen;</w:t>
      </w:r>
    </w:p>
    <w:p>
      <w:pPr>
        <w:pStyle w:val="ListNumber"/>
      </w:pPr>
      <w:r>
        <w:t>P-01–P-09 y A-01–A-15 tengan respuesta trazable;</w:t>
      </w:r>
    </w:p>
    <w:p>
      <w:pPr>
        <w:pStyle w:val="ListNumber"/>
      </w:pPr>
      <w:r>
        <w:t>T-01–T-08 estén conformes;</w:t>
      </w:r>
    </w:p>
    <w:p>
      <w:pPr>
        <w:pStyle w:val="ListNumber"/>
      </w:pPr>
      <w:r>
        <w:t>E-01–E-14 estén completos y auditados;</w:t>
      </w:r>
    </w:p>
    <w:p>
      <w:pPr>
        <w:pStyle w:val="ListNumber"/>
      </w:pPr>
      <w:r>
        <w:t>toda ausencia de evidencia esté declarada como limitación o dependencia;</w:t>
      </w:r>
    </w:p>
    <w:p>
      <w:pPr>
        <w:pStyle w:val="ListNumber"/>
      </w:pPr>
      <w:r>
        <w:t>no exista ninguna modificación inadvertida del estándar, D-006, D-008/B1 o B2;</w:t>
      </w:r>
    </w:p>
    <w:p>
      <w:pPr>
        <w:pStyle w:val="ListNumber"/>
      </w:pPr>
      <w:r>
        <w:t>las competencias de Claude, Codex y la autoridad normativa permanezcan separadas.</w:t>
      </w:r>
    </w:p>
    <w:p>
      <w:pPr>
        <w:spacing w:after="40"/>
      </w:pPr>
    </w:p>
    <w:p>
      <w:r>
        <w:t>Después del dictamen, E-15 solo podrá registrarse como resultado consultivo. Cualquier incorporación, Issue formal, modificación ontológica, cambio de pipeline, baseline o release requerirá su propio acto de autoridad conforme a la gobernanza vigente.</w:t>
      </w:r>
    </w:p>
    <w:p>
      <w:r>
        <w:br w:type="page"/>
      </w:r>
    </w:p>
    <w:p>
      <w:pPr>
        <w:pStyle w:val="Heading1"/>
        <w:keepNext/>
      </w:pPr>
      <w:r>
        <w:t>Fuente 16: 00_Gobernanza/coordinacion/auditorias/GTRM/GTRM_PROPUESTA_FUENTE_NO_NORMATIVA.txt</w:t>
      </w:r>
    </w:p>
    <w:p>
      <w:pPr>
        <w:spacing w:after="200"/>
      </w:pPr>
      <w:r>
        <w:rPr>
          <w:rFonts w:ascii="Consolas" w:hAnsi="Consolas"/>
          <w:color w:val="595959"/>
          <w:sz w:val="16"/>
        </w:rPr>
        <w:t>Ruta: 00_Gobernanza/coordinacion/auditorias/GTRM/GTRM_PROPUESTA_FUENTE_NO_NORMATIVA.txt</w:t>
        <w:br/>
        <w:t>Tamaño: 7982 bytes</w:t>
        <w:br/>
        <w:t>SHA-256: 6462dbe1d827cef5abd91ad020a1f9ae7d791930aa66bbeb6a40eeee7562f6d2</w:t>
      </w:r>
    </w:p>
    <w:p>
      <w:r>
        <w:t>Hemos identificado una posible ampliación estructural del GOEI que puede modificar parte de la arquitectura científica del estándar.</w:t>
      </w:r>
    </w:p>
    <w:p>
      <w:pPr>
        <w:spacing w:after="40"/>
      </w:pPr>
    </w:p>
    <w:p>
      <w:r>
        <w:t>NO quiero que desarrolles inmediatamente una solución.</w:t>
      </w:r>
    </w:p>
    <w:p>
      <w:pPr>
        <w:spacing w:after="40"/>
      </w:pPr>
    </w:p>
    <w:p>
      <w:r>
        <w:t>Quiero que actúes como un Comité Internacional de Revisión Metodológica y Arquitectura de Estándares.</w:t>
      </w:r>
    </w:p>
    <w:p>
      <w:pPr>
        <w:spacing w:after="40"/>
      </w:pPr>
    </w:p>
    <w:p>
      <w:r>
        <w:t>Tu misión es analizar críticamente la siguiente propuesta y determinar si representa una mejora científica real o simplemente un cambio de implementación.</w:t>
      </w:r>
    </w:p>
    <w:p>
      <w:pPr>
        <w:spacing w:after="40"/>
      </w:pPr>
    </w:p>
    <w:p>
      <w:r>
        <w:t>==========================================================</w:t>
      </w:r>
    </w:p>
    <w:p>
      <w:r>
        <w:t>CONTEXTO</w:t>
      </w:r>
    </w:p>
    <w:p>
      <w:r>
        <w:t>==========================================================</w:t>
      </w:r>
    </w:p>
    <w:p>
      <w:pPr>
        <w:spacing w:after="40"/>
      </w:pPr>
    </w:p>
    <w:p>
      <w:r>
        <w:t>Hasta ahora el GOEI sigue, de forma resumida, el siguiente flujo conceptual:</w:t>
      </w:r>
    </w:p>
    <w:p>
      <w:pPr>
        <w:spacing w:after="40"/>
      </w:pPr>
    </w:p>
    <w:p>
      <w:r>
        <w:t>Procesos</w:t>
      </w:r>
    </w:p>
    <w:p>
      <w:r>
        <w:t>↓</w:t>
      </w:r>
    </w:p>
    <w:p>
      <w:pPr>
        <w:spacing w:after="40"/>
      </w:pPr>
    </w:p>
    <w:p>
      <w:r>
        <w:t>Taxonomía</w:t>
      </w:r>
    </w:p>
    <w:p>
      <w:pPr>
        <w:spacing w:after="40"/>
      </w:pPr>
    </w:p>
    <w:p>
      <w:r>
        <w:t>↓</w:t>
      </w:r>
    </w:p>
    <w:p>
      <w:pPr>
        <w:spacing w:after="40"/>
      </w:pPr>
    </w:p>
    <w:p>
      <w:r>
        <w:t>Universo de KPI</w:t>
      </w:r>
    </w:p>
    <w:p>
      <w:pPr>
        <w:spacing w:after="40"/>
      </w:pPr>
    </w:p>
    <w:p>
      <w:r>
        <w:t>↓</w:t>
      </w:r>
    </w:p>
    <w:p>
      <w:pPr>
        <w:spacing w:after="40"/>
      </w:pPr>
    </w:p>
    <w:p>
      <w:r>
        <w:t>Admisibilidad</w:t>
      </w:r>
    </w:p>
    <w:p>
      <w:pPr>
        <w:spacing w:after="40"/>
      </w:pPr>
    </w:p>
    <w:p>
      <w:r>
        <w:t>↓</w:t>
      </w:r>
    </w:p>
    <w:p>
      <w:pPr>
        <w:spacing w:after="40"/>
      </w:pPr>
    </w:p>
    <w:p>
      <w:r>
        <w:t>Especificaciones de medición</w:t>
      </w:r>
    </w:p>
    <w:p>
      <w:pPr>
        <w:spacing w:after="40"/>
      </w:pPr>
    </w:p>
    <w:p>
      <w:r>
        <w:t>↓</w:t>
      </w:r>
    </w:p>
    <w:p>
      <w:pPr>
        <w:spacing w:after="40"/>
      </w:pPr>
    </w:p>
    <w:p>
      <w:r>
        <w:t>Normalización</w:t>
      </w:r>
    </w:p>
    <w:p>
      <w:pPr>
        <w:spacing w:after="40"/>
      </w:pPr>
    </w:p>
    <w:p>
      <w:r>
        <w:t>↓</w:t>
      </w:r>
    </w:p>
    <w:p>
      <w:pPr>
        <w:spacing w:after="40"/>
      </w:pPr>
    </w:p>
    <w:p>
      <w:r>
        <w:t>Ponderación y agregación</w:t>
      </w:r>
    </w:p>
    <w:p>
      <w:pPr>
        <w:spacing w:after="40"/>
      </w:pPr>
    </w:p>
    <w:p>
      <w:r>
        <w:t>↓</w:t>
      </w:r>
    </w:p>
    <w:p>
      <w:pPr>
        <w:spacing w:after="40"/>
      </w:pPr>
    </w:p>
    <w:p>
      <w:r>
        <w:t>Modelo matemático</w:t>
      </w:r>
    </w:p>
    <w:p>
      <w:pPr>
        <w:spacing w:after="40"/>
      </w:pPr>
    </w:p>
    <w:p>
      <w:r>
        <w:t>↓</w:t>
      </w:r>
    </w:p>
    <w:p>
      <w:pPr>
        <w:spacing w:after="40"/>
      </w:pPr>
    </w:p>
    <w:p>
      <w:r>
        <w:t>Interpretación</w:t>
      </w:r>
    </w:p>
    <w:p>
      <w:pPr>
        <w:spacing w:after="40"/>
      </w:pPr>
    </w:p>
    <w:p>
      <w:r>
        <w:t>↓</w:t>
      </w:r>
    </w:p>
    <w:p>
      <w:pPr>
        <w:spacing w:after="40"/>
      </w:pPr>
    </w:p>
    <w:p>
      <w:r>
        <w:t>Resultado GOEI</w:t>
      </w:r>
    </w:p>
    <w:p>
      <w:pPr>
        <w:spacing w:after="40"/>
      </w:pPr>
    </w:p>
    <w:p>
      <w:r>
        <w:t>Sin embargo, durante el desarrollo del proyecto apareció un problema metodológico importante.</w:t>
      </w:r>
    </w:p>
    <w:p>
      <w:pPr>
        <w:spacing w:after="40"/>
      </w:pPr>
    </w:p>
    <w:p>
      <w:r>
        <w:t>Hoy el estándar explica cómo normalizar un KPI.</w:t>
      </w:r>
    </w:p>
    <w:p>
      <w:pPr>
        <w:spacing w:after="40"/>
      </w:pPr>
    </w:p>
    <w:p>
      <w:r>
        <w:t>Pero todavía no responde de manera suficientemente robusta una pregunta fundamental:</w:t>
      </w:r>
    </w:p>
    <w:p>
      <w:pPr>
        <w:spacing w:after="40"/>
      </w:pPr>
    </w:p>
    <w:p>
      <w:r>
        <w:t>¿De dónde proviene el puntaje que posteriormente será normalizado?</w:t>
      </w:r>
    </w:p>
    <w:p>
      <w:pPr>
        <w:spacing w:after="40"/>
      </w:pPr>
    </w:p>
    <w:p>
      <w:r>
        <w:t>Actualmente sería posible caer en una asignación arbitraria de valores, por ejemplo:</w:t>
      </w:r>
    </w:p>
    <w:p>
      <w:pPr>
        <w:spacing w:after="40"/>
      </w:pPr>
    </w:p>
    <w:p>
      <w:r>
        <w:t>Tiempo de preparación</w:t>
      </w:r>
    </w:p>
    <w:p>
      <w:pPr>
        <w:spacing w:after="40"/>
      </w:pPr>
    </w:p>
    <w:p>
      <w:r>
        <w:t>≤5 minutos = 100 puntos</w:t>
      </w:r>
    </w:p>
    <w:p>
      <w:pPr>
        <w:spacing w:after="40"/>
      </w:pPr>
    </w:p>
    <w:p>
      <w:r>
        <w:t>≤8 minutos = 90 puntos</w:t>
      </w:r>
    </w:p>
    <w:p>
      <w:pPr>
        <w:spacing w:after="40"/>
      </w:pPr>
    </w:p>
    <w:p>
      <w:r>
        <w:t>≤10 minutos = 80 puntos</w:t>
      </w:r>
    </w:p>
    <w:p>
      <w:pPr>
        <w:spacing w:after="40"/>
      </w:pPr>
    </w:p>
    <w:p>
      <w:r>
        <w:t>etc.</w:t>
      </w:r>
    </w:p>
    <w:p>
      <w:pPr>
        <w:spacing w:after="40"/>
      </w:pPr>
    </w:p>
    <w:p>
      <w:r>
        <w:t>El problema es evidente.</w:t>
      </w:r>
    </w:p>
    <w:p>
      <w:pPr>
        <w:spacing w:after="40"/>
      </w:pPr>
    </w:p>
    <w:p>
      <w:r>
        <w:t>¿Quién decidió esos puntajes?</w:t>
      </w:r>
    </w:p>
    <w:p>
      <w:pPr>
        <w:spacing w:after="40"/>
      </w:pPr>
    </w:p>
    <w:p>
      <w:r>
        <w:t>¿Cuál es la evidencia?</w:t>
      </w:r>
    </w:p>
    <w:p>
      <w:pPr>
        <w:spacing w:after="40"/>
      </w:pPr>
    </w:p>
    <w:p>
      <w:r>
        <w:t>¿Cuál es el fundamento científico?</w:t>
      </w:r>
    </w:p>
    <w:p>
      <w:pPr>
        <w:spacing w:after="40"/>
      </w:pPr>
    </w:p>
    <w:p>
      <w:r>
        <w:t>¿Cómo se auditan?</w:t>
      </w:r>
    </w:p>
    <w:p>
      <w:pPr>
        <w:spacing w:after="40"/>
      </w:pPr>
    </w:p>
    <w:p>
      <w:r>
        <w:t>¿Cómo cambian entre categorías gastronómicas?</w:t>
      </w:r>
    </w:p>
    <w:p>
      <w:pPr>
        <w:spacing w:after="40"/>
      </w:pPr>
    </w:p>
    <w:p>
      <w:r>
        <w:t>¿Cómo se versionan?</w:t>
      </w:r>
    </w:p>
    <w:p>
      <w:pPr>
        <w:spacing w:after="40"/>
      </w:pPr>
    </w:p>
    <w:p>
      <w:r>
        <w:t>¿Cómo se justifican?</w:t>
      </w:r>
    </w:p>
    <w:p>
      <w:pPr>
        <w:spacing w:after="40"/>
      </w:pPr>
    </w:p>
    <w:p>
      <w:r>
        <w:t>El proyecto siempre tuvo un principio rector:</w:t>
      </w:r>
    </w:p>
    <w:p>
      <w:pPr>
        <w:spacing w:after="40"/>
      </w:pPr>
    </w:p>
    <w:p>
      <w:r>
        <w:t>"Ningún puntaje puede existir si no existe una justificación científica para dicho puntaje."</w:t>
      </w:r>
    </w:p>
    <w:p>
      <w:pPr>
        <w:spacing w:after="40"/>
      </w:pPr>
    </w:p>
    <w:p>
      <w:r>
        <w:t>Por esta razón surgió una idea distinta.</w:t>
      </w:r>
    </w:p>
    <w:p>
      <w:pPr>
        <w:spacing w:after="40"/>
      </w:pPr>
    </w:p>
    <w:p>
      <w:r>
        <w:t>No trabajar con tablas simples.</w:t>
      </w:r>
    </w:p>
    <w:p>
      <w:pPr>
        <w:spacing w:after="40"/>
      </w:pPr>
    </w:p>
    <w:p>
      <w:r>
        <w:t>Sino con un nuevo componente del estándar.</w:t>
      </w:r>
    </w:p>
    <w:p>
      <w:pPr>
        <w:spacing w:after="40"/>
      </w:pPr>
    </w:p>
    <w:p>
      <w:r>
        <w:t>==========================================================</w:t>
      </w:r>
    </w:p>
    <w:p>
      <w:r>
        <w:t>PROPUESTA</w:t>
      </w:r>
    </w:p>
    <w:p>
      <w:r>
        <w:t>==========================================================</w:t>
      </w:r>
    </w:p>
    <w:p>
      <w:pPr>
        <w:spacing w:after="40"/>
      </w:pPr>
    </w:p>
    <w:p>
      <w:r>
        <w:t>Crear un componente denominado:</w:t>
      </w:r>
    </w:p>
    <w:p>
      <w:pPr>
        <w:spacing w:after="40"/>
      </w:pPr>
    </w:p>
    <w:p>
      <w:r>
        <w:t>GOEI Technical Reference Matrix</w:t>
      </w:r>
    </w:p>
    <w:p>
      <w:pPr>
        <w:spacing w:after="40"/>
      </w:pPr>
    </w:p>
    <w:p>
      <w:r>
        <w:t>(GTRM)</w:t>
      </w:r>
    </w:p>
    <w:p>
      <w:pPr>
        <w:spacing w:after="40"/>
      </w:pPr>
    </w:p>
    <w:p>
      <w:r>
        <w:t>Cada GTRM sería un documento normativo independiente.</w:t>
      </w:r>
    </w:p>
    <w:p>
      <w:pPr>
        <w:spacing w:after="40"/>
      </w:pPr>
    </w:p>
    <w:p>
      <w:r>
        <w:t>Su función no sería calcular el GOEI.</w:t>
      </w:r>
    </w:p>
    <w:p>
      <w:pPr>
        <w:spacing w:after="40"/>
      </w:pPr>
    </w:p>
    <w:p>
      <w:r>
        <w:t>Su función sería transformar una observación objetiva en un puntaje técnicamente justificable.</w:t>
      </w:r>
    </w:p>
    <w:p>
      <w:pPr>
        <w:spacing w:after="40"/>
      </w:pPr>
    </w:p>
    <w:p>
      <w:r>
        <w:t>Ejemplo conceptual:</w:t>
      </w:r>
    </w:p>
    <w:p>
      <w:pPr>
        <w:spacing w:after="40"/>
      </w:pPr>
    </w:p>
    <w:p>
      <w:r>
        <w:t>Observación</w:t>
      </w:r>
    </w:p>
    <w:p>
      <w:pPr>
        <w:spacing w:after="40"/>
      </w:pPr>
    </w:p>
    <w:p>
      <w:r>
        <w:t>↓</w:t>
      </w:r>
    </w:p>
    <w:p>
      <w:pPr>
        <w:spacing w:after="40"/>
      </w:pPr>
    </w:p>
    <w:p>
      <w:r>
        <w:t>Tiempo de preparación observado</w:t>
      </w:r>
    </w:p>
    <w:p>
      <w:pPr>
        <w:spacing w:after="40"/>
      </w:pPr>
    </w:p>
    <w:p>
      <w:r>
        <w:t>↓</w:t>
      </w:r>
    </w:p>
    <w:p>
      <w:pPr>
        <w:spacing w:after="40"/>
      </w:pPr>
    </w:p>
    <w:p>
      <w:r>
        <w:t>Consulta GTRM</w:t>
      </w:r>
    </w:p>
    <w:p>
      <w:pPr>
        <w:spacing w:after="40"/>
      </w:pPr>
    </w:p>
    <w:p>
      <w:r>
        <w:t>↓</w:t>
      </w:r>
    </w:p>
    <w:p>
      <w:pPr>
        <w:spacing w:after="40"/>
      </w:pPr>
    </w:p>
    <w:p>
      <w:r>
        <w:t>Puntaje normalizado</w:t>
      </w:r>
    </w:p>
    <w:p>
      <w:pPr>
        <w:spacing w:after="40"/>
      </w:pPr>
    </w:p>
    <w:p>
      <w:r>
        <w:t>↓</w:t>
      </w:r>
    </w:p>
    <w:p>
      <w:pPr>
        <w:spacing w:after="40"/>
      </w:pPr>
    </w:p>
    <w:p>
      <w:r>
        <w:t>Sistema de Normalización</w:t>
      </w:r>
    </w:p>
    <w:p>
      <w:pPr>
        <w:spacing w:after="40"/>
      </w:pPr>
    </w:p>
    <w:p>
      <w:r>
        <w:t>↓</w:t>
      </w:r>
    </w:p>
    <w:p>
      <w:pPr>
        <w:spacing w:after="40"/>
      </w:pPr>
    </w:p>
    <w:p>
      <w:r>
        <w:t>Modelo Matemático GOEI</w:t>
      </w:r>
    </w:p>
    <w:p>
      <w:pPr>
        <w:spacing w:after="40"/>
      </w:pPr>
    </w:p>
    <w:p>
      <w:r>
        <w:t>Cada GTRM estaría asociada simultáneamente a:</w:t>
      </w:r>
    </w:p>
    <w:p>
      <w:pPr>
        <w:spacing w:after="40"/>
      </w:pPr>
    </w:p>
    <w:p>
      <w:r>
        <w:t>• categoría gastronómica</w:t>
      </w:r>
    </w:p>
    <w:p>
      <w:pPr>
        <w:spacing w:after="40"/>
      </w:pPr>
    </w:p>
    <w:p>
      <w:r>
        <w:t>• proceso</w:t>
      </w:r>
    </w:p>
    <w:p>
      <w:pPr>
        <w:spacing w:after="40"/>
      </w:pPr>
    </w:p>
    <w:p>
      <w:r>
        <w:t>• KPI</w:t>
      </w:r>
    </w:p>
    <w:p>
      <w:pPr>
        <w:spacing w:after="40"/>
      </w:pPr>
    </w:p>
    <w:p>
      <w:r>
        <w:t>• unidad de medida</w:t>
      </w:r>
    </w:p>
    <w:p>
      <w:pPr>
        <w:spacing w:after="40"/>
      </w:pPr>
    </w:p>
    <w:p>
      <w:r>
        <w:t>• método de captura</w:t>
      </w:r>
    </w:p>
    <w:p>
      <w:pPr>
        <w:spacing w:after="40"/>
      </w:pPr>
    </w:p>
    <w:p>
      <w:r>
        <w:t>• método estadístico</w:t>
      </w:r>
    </w:p>
    <w:p>
      <w:pPr>
        <w:spacing w:after="40"/>
      </w:pPr>
    </w:p>
    <w:p>
      <w:r>
        <w:t>• referencia científica</w:t>
      </w:r>
    </w:p>
    <w:p>
      <w:pPr>
        <w:spacing w:after="40"/>
      </w:pPr>
    </w:p>
    <w:p>
      <w:r>
        <w:t>• versión</w:t>
      </w:r>
    </w:p>
    <w:p>
      <w:pPr>
        <w:spacing w:after="40"/>
      </w:pPr>
    </w:p>
    <w:p>
      <w:r>
        <w:t>• evidencia utilizada</w:t>
      </w:r>
    </w:p>
    <w:p>
      <w:pPr>
        <w:spacing w:after="40"/>
      </w:pPr>
    </w:p>
    <w:p>
      <w:r>
        <w:t>• fecha de revisión</w:t>
      </w:r>
    </w:p>
    <w:p>
      <w:pPr>
        <w:spacing w:after="40"/>
      </w:pPr>
    </w:p>
    <w:p>
      <w:r>
        <w:t>• reglas de aplicación</w:t>
      </w:r>
    </w:p>
    <w:p>
      <w:pPr>
        <w:spacing w:after="40"/>
      </w:pPr>
    </w:p>
    <w:p>
      <w:r>
        <w:t>• restricciones</w:t>
      </w:r>
    </w:p>
    <w:p>
      <w:pPr>
        <w:spacing w:after="40"/>
      </w:pPr>
    </w:p>
    <w:p>
      <w:r>
        <w:t>• dominio de validez</w:t>
      </w:r>
    </w:p>
    <w:p>
      <w:pPr>
        <w:spacing w:after="40"/>
      </w:pPr>
    </w:p>
    <w:p>
      <w:r>
        <w:t>Es decir, el GOEI dejaría de asignar puntajes.</w:t>
      </w:r>
    </w:p>
    <w:p>
      <w:pPr>
        <w:spacing w:after="40"/>
      </w:pPr>
    </w:p>
    <w:p>
      <w:r>
        <w:t>Los puntajes serían responsabilidad exclusiva de las GTRM.</w:t>
      </w:r>
    </w:p>
    <w:p>
      <w:pPr>
        <w:spacing w:after="40"/>
      </w:pPr>
    </w:p>
    <w:p>
      <w:r>
        <w:t>==========================================================</w:t>
      </w:r>
    </w:p>
    <w:p>
      <w:r>
        <w:t>OTRA IDEA IMPORTANTE</w:t>
      </w:r>
    </w:p>
    <w:p>
      <w:r>
        <w:t>==========================================================</w:t>
      </w:r>
    </w:p>
    <w:p>
      <w:pPr>
        <w:spacing w:after="40"/>
      </w:pPr>
    </w:p>
    <w:p>
      <w:r>
        <w:t>Durante las primeras discusiones del proyecto también se concluyó que no es metodológicamente correcto comparar directamente establecimientos pertenecientes a categorías diferentes.</w:t>
      </w:r>
    </w:p>
    <w:p>
      <w:pPr>
        <w:spacing w:after="40"/>
      </w:pPr>
    </w:p>
    <w:p>
      <w:r>
        <w:t>Por ejemplo:</w:t>
      </w:r>
    </w:p>
    <w:p>
      <w:pPr>
        <w:spacing w:after="40"/>
      </w:pPr>
    </w:p>
    <w:p>
      <w:r>
        <w:t>Fast Food</w:t>
      </w:r>
    </w:p>
    <w:p>
      <w:pPr>
        <w:spacing w:after="40"/>
      </w:pPr>
    </w:p>
    <w:p>
      <w:r>
        <w:t>Fine Dining</w:t>
      </w:r>
    </w:p>
    <w:p>
      <w:pPr>
        <w:spacing w:after="40"/>
      </w:pPr>
    </w:p>
    <w:p>
      <w:r>
        <w:t>Casino de alimentación</w:t>
      </w:r>
    </w:p>
    <w:p>
      <w:pPr>
        <w:spacing w:after="40"/>
      </w:pPr>
    </w:p>
    <w:p>
      <w:r>
        <w:t>Dark Kitchen</w:t>
      </w:r>
    </w:p>
    <w:p>
      <w:pPr>
        <w:spacing w:after="40"/>
      </w:pPr>
    </w:p>
    <w:p>
      <w:r>
        <w:t>Hotel</w:t>
      </w:r>
    </w:p>
    <w:p>
      <w:pPr>
        <w:spacing w:after="40"/>
      </w:pPr>
    </w:p>
    <w:p>
      <w:r>
        <w:t>Food Truck</w:t>
      </w:r>
    </w:p>
    <w:p>
      <w:pPr>
        <w:spacing w:after="40"/>
      </w:pPr>
    </w:p>
    <w:p>
      <w:r>
        <w:t>Cafetería</w:t>
      </w:r>
    </w:p>
    <w:p>
      <w:pPr>
        <w:spacing w:after="40"/>
      </w:pPr>
    </w:p>
    <w:p>
      <w:r>
        <w:t>Panadería</w:t>
      </w:r>
    </w:p>
    <w:p>
      <w:pPr>
        <w:spacing w:after="40"/>
      </w:pPr>
    </w:p>
    <w:p>
      <w:r>
        <w:t>Todos poseen modelos operacionales distintos.</w:t>
      </w:r>
    </w:p>
    <w:p>
      <w:pPr>
        <w:spacing w:after="40"/>
      </w:pPr>
    </w:p>
    <w:p>
      <w:r>
        <w:t>Por tanto, las GTRM también serían específicas por categoría.</w:t>
      </w:r>
    </w:p>
    <w:p>
      <w:pPr>
        <w:spacing w:after="40"/>
      </w:pPr>
    </w:p>
    <w:p>
      <w:r>
        <w:t>Ejemplo:</w:t>
      </w:r>
    </w:p>
    <w:p>
      <w:pPr>
        <w:spacing w:after="40"/>
      </w:pPr>
    </w:p>
    <w:p>
      <w:r>
        <w:t>Tiempo de preparación</w:t>
      </w:r>
    </w:p>
    <w:p>
      <w:pPr>
        <w:spacing w:after="40"/>
      </w:pPr>
    </w:p>
    <w:p>
      <w:r>
        <w:t>↓</w:t>
      </w:r>
    </w:p>
    <w:p>
      <w:pPr>
        <w:spacing w:after="40"/>
      </w:pPr>
    </w:p>
    <w:p>
      <w:r>
        <w:t>Fast Food</w:t>
      </w:r>
    </w:p>
    <w:p>
      <w:pPr>
        <w:spacing w:after="40"/>
      </w:pPr>
    </w:p>
    <w:p>
      <w:r>
        <w:t>↓</w:t>
      </w:r>
    </w:p>
    <w:p>
      <w:pPr>
        <w:spacing w:after="40"/>
      </w:pPr>
    </w:p>
    <w:p>
      <w:r>
        <w:t>GTRM-FF-001</w:t>
      </w:r>
    </w:p>
    <w:p>
      <w:pPr>
        <w:spacing w:after="40"/>
      </w:pPr>
    </w:p>
    <w:p>
      <w:r>
        <w:t>----------------</w:t>
      </w:r>
    </w:p>
    <w:p>
      <w:pPr>
        <w:spacing w:after="40"/>
      </w:pPr>
    </w:p>
    <w:p>
      <w:r>
        <w:t>Tiempo de preparación</w:t>
      </w:r>
    </w:p>
    <w:p>
      <w:pPr>
        <w:spacing w:after="40"/>
      </w:pPr>
    </w:p>
    <w:p>
      <w:r>
        <w:t>↓</w:t>
      </w:r>
    </w:p>
    <w:p>
      <w:pPr>
        <w:spacing w:after="40"/>
      </w:pPr>
    </w:p>
    <w:p>
      <w:r>
        <w:t>Fine Dining</w:t>
      </w:r>
    </w:p>
    <w:p>
      <w:pPr>
        <w:spacing w:after="40"/>
      </w:pPr>
    </w:p>
    <w:p>
      <w:r>
        <w:t>↓</w:t>
      </w:r>
    </w:p>
    <w:p>
      <w:pPr>
        <w:spacing w:after="40"/>
      </w:pPr>
    </w:p>
    <w:p>
      <w:r>
        <w:t>GTRM-FD-001</w:t>
      </w:r>
    </w:p>
    <w:p>
      <w:pPr>
        <w:spacing w:after="40"/>
      </w:pPr>
    </w:p>
    <w:p>
      <w:r>
        <w:t>----------------</w:t>
      </w:r>
    </w:p>
    <w:p>
      <w:pPr>
        <w:spacing w:after="40"/>
      </w:pPr>
    </w:p>
    <w:p>
      <w:r>
        <w:t>Tiempo de preparación</w:t>
      </w:r>
    </w:p>
    <w:p>
      <w:pPr>
        <w:spacing w:after="40"/>
      </w:pPr>
    </w:p>
    <w:p>
      <w:r>
        <w:t>↓</w:t>
      </w:r>
    </w:p>
    <w:p>
      <w:pPr>
        <w:spacing w:after="40"/>
      </w:pPr>
    </w:p>
    <w:p>
      <w:r>
        <w:t>Dark Kitchen</w:t>
      </w:r>
    </w:p>
    <w:p>
      <w:pPr>
        <w:spacing w:after="40"/>
      </w:pPr>
    </w:p>
    <w:p>
      <w:r>
        <w:t>↓</w:t>
      </w:r>
    </w:p>
    <w:p>
      <w:pPr>
        <w:spacing w:after="40"/>
      </w:pPr>
    </w:p>
    <w:p>
      <w:r>
        <w:t>GTRM-DK-001</w:t>
      </w:r>
    </w:p>
    <w:p>
      <w:pPr>
        <w:spacing w:after="40"/>
      </w:pPr>
    </w:p>
    <w:p>
      <w:r>
        <w:t>Es decir, la taxonomía del establecimiento determinaría automáticamente qué matriz técnica debe utilizarse.</w:t>
      </w:r>
    </w:p>
    <w:p>
      <w:pPr>
        <w:spacing w:after="40"/>
      </w:pPr>
    </w:p>
    <w:p>
      <w:r>
        <w:t>==========================================================</w:t>
      </w:r>
    </w:p>
    <w:p>
      <w:r>
        <w:t>OTRA CONCLUSIÓN HISTÓRICA DEL PROYECTO</w:t>
      </w:r>
    </w:p>
    <w:p>
      <w:r>
        <w:t>==========================================================</w:t>
      </w:r>
    </w:p>
    <w:p>
      <w:pPr>
        <w:spacing w:after="40"/>
      </w:pPr>
    </w:p>
    <w:p>
      <w:r>
        <w:t>También se acordó que todo el GOEI debía poder ejecutarse completamente con lápiz y papel.</w:t>
      </w:r>
    </w:p>
    <w:p>
      <w:pPr>
        <w:spacing w:after="40"/>
      </w:pPr>
    </w:p>
    <w:p>
      <w:r>
        <w:t>Las GTRM permitirían precisamente eso.</w:t>
      </w:r>
    </w:p>
    <w:p>
      <w:pPr>
        <w:spacing w:after="40"/>
      </w:pPr>
    </w:p>
    <w:p>
      <w:r>
        <w:t>El evaluador únicamente necesitaría:</w:t>
      </w:r>
    </w:p>
    <w:p>
      <w:pPr>
        <w:spacing w:after="40"/>
      </w:pPr>
    </w:p>
    <w:p>
      <w:r>
        <w:t>medir</w:t>
      </w:r>
    </w:p>
    <w:p>
      <w:pPr>
        <w:spacing w:after="40"/>
      </w:pPr>
    </w:p>
    <w:p>
      <w:r>
        <w:t>↓</w:t>
      </w:r>
    </w:p>
    <w:p>
      <w:pPr>
        <w:spacing w:after="40"/>
      </w:pPr>
    </w:p>
    <w:p>
      <w:r>
        <w:t>consultar la matriz</w:t>
      </w:r>
    </w:p>
    <w:p>
      <w:pPr>
        <w:spacing w:after="40"/>
      </w:pPr>
    </w:p>
    <w:p>
      <w:r>
        <w:t>↓</w:t>
      </w:r>
    </w:p>
    <w:p>
      <w:pPr>
        <w:spacing w:after="40"/>
      </w:pPr>
    </w:p>
    <w:p>
      <w:r>
        <w:t>obtener el puntaje</w:t>
      </w:r>
    </w:p>
    <w:p>
      <w:pPr>
        <w:spacing w:after="40"/>
      </w:pPr>
    </w:p>
    <w:p>
      <w:r>
        <w:t>↓</w:t>
      </w:r>
    </w:p>
    <w:p>
      <w:pPr>
        <w:spacing w:after="40"/>
      </w:pPr>
    </w:p>
    <w:p>
      <w:r>
        <w:t>continuar el cálculo</w:t>
      </w:r>
    </w:p>
    <w:p>
      <w:pPr>
        <w:spacing w:after="40"/>
      </w:pPr>
    </w:p>
    <w:p>
      <w:r>
        <w:t>Sin depender de ningún software.</w:t>
      </w:r>
    </w:p>
    <w:p>
      <w:pPr>
        <w:spacing w:after="40"/>
      </w:pPr>
    </w:p>
    <w:p>
      <w:r>
        <w:t>==========================================================</w:t>
      </w:r>
    </w:p>
    <w:p>
      <w:r>
        <w:t>SOLICITUD</w:t>
      </w:r>
    </w:p>
    <w:p>
      <w:r>
        <w:t>==========================================================</w:t>
      </w:r>
    </w:p>
    <w:p>
      <w:pPr>
        <w:spacing w:after="40"/>
      </w:pPr>
    </w:p>
    <w:p>
      <w:r>
        <w:t>Realiza una auditoría metodológica completa de esta propuesta.</w:t>
      </w:r>
    </w:p>
    <w:p>
      <w:pPr>
        <w:spacing w:after="40"/>
      </w:pPr>
    </w:p>
    <w:p>
      <w:r>
        <w:t>Analiza críticamente:</w:t>
      </w:r>
    </w:p>
    <w:p>
      <w:pPr>
        <w:spacing w:after="40"/>
      </w:pPr>
    </w:p>
    <w:p>
      <w:r>
        <w:t>1.</w:t>
      </w:r>
    </w:p>
    <w:p>
      <w:pPr>
        <w:spacing w:after="40"/>
      </w:pPr>
    </w:p>
    <w:p>
      <w:r>
        <w:t>¿Las GTRM representan realmente un nuevo componente científico del estándar?</w:t>
      </w:r>
    </w:p>
    <w:p>
      <w:pPr>
        <w:spacing w:after="40"/>
      </w:pPr>
    </w:p>
    <w:p>
      <w:r>
        <w:t>¿O simplemente forman parte de la normalización?</w:t>
      </w:r>
    </w:p>
    <w:p>
      <w:pPr>
        <w:spacing w:after="40"/>
      </w:pPr>
    </w:p>
    <w:p>
      <w:r>
        <w:t>Justifica la respuesta.</w:t>
      </w:r>
    </w:p>
    <w:p>
      <w:pPr>
        <w:spacing w:after="40"/>
      </w:pPr>
    </w:p>
    <w:p>
      <w:r>
        <w:t>----------------------------------------------------------</w:t>
      </w:r>
    </w:p>
    <w:p>
      <w:pPr>
        <w:spacing w:after="40"/>
      </w:pPr>
    </w:p>
    <w:p>
      <w:r>
        <w:t>2.</w:t>
      </w:r>
    </w:p>
    <w:p>
      <w:pPr>
        <w:spacing w:after="40"/>
      </w:pPr>
    </w:p>
    <w:p>
      <w:r>
        <w:t>¿Las GTRM deberían convertirse en una nueva fase oficial del GOEI?</w:t>
      </w:r>
    </w:p>
    <w:p>
      <w:pPr>
        <w:spacing w:after="40"/>
      </w:pPr>
    </w:p>
    <w:p>
      <w:r>
        <w:t>Si la respuesta es sí,</w:t>
      </w:r>
    </w:p>
    <w:p>
      <w:pPr>
        <w:spacing w:after="40"/>
      </w:pPr>
    </w:p>
    <w:p>
      <w:r>
        <w:t>¿en qué posición exacta deberían ubicarse?</w:t>
      </w:r>
    </w:p>
    <w:p>
      <w:pPr>
        <w:spacing w:after="40"/>
      </w:pPr>
    </w:p>
    <w:p>
      <w:r>
        <w:t>----------------------------------------------------------</w:t>
      </w:r>
    </w:p>
    <w:p>
      <w:pPr>
        <w:spacing w:after="40"/>
      </w:pPr>
    </w:p>
    <w:p>
      <w:r>
        <w:t>3.</w:t>
      </w:r>
    </w:p>
    <w:p>
      <w:pPr>
        <w:spacing w:after="40"/>
      </w:pPr>
    </w:p>
    <w:p>
      <w:r>
        <w:t>Analiza el impacto de incorporar las GTRM sobre todos los componentes existentes.</w:t>
      </w:r>
    </w:p>
    <w:p>
      <w:pPr>
        <w:spacing w:after="40"/>
      </w:pPr>
    </w:p>
    <w:p>
      <w:r>
        <w:t>Revisa específicamente:</w:t>
      </w:r>
    </w:p>
    <w:p>
      <w:pPr>
        <w:spacing w:after="40"/>
      </w:pPr>
    </w:p>
    <w:p>
      <w:r>
        <w:t>• constructo</w:t>
      </w:r>
    </w:p>
    <w:p>
      <w:pPr>
        <w:spacing w:after="40"/>
      </w:pPr>
    </w:p>
    <w:p>
      <w:r>
        <w:t>• ontología</w:t>
      </w:r>
    </w:p>
    <w:p>
      <w:pPr>
        <w:spacing w:after="40"/>
      </w:pPr>
    </w:p>
    <w:p>
      <w:r>
        <w:t>• taxonomía</w:t>
      </w:r>
    </w:p>
    <w:p>
      <w:pPr>
        <w:spacing w:after="40"/>
      </w:pPr>
    </w:p>
    <w:p>
      <w:r>
        <w:t>• procesos</w:t>
      </w:r>
    </w:p>
    <w:p>
      <w:pPr>
        <w:spacing w:after="40"/>
      </w:pPr>
    </w:p>
    <w:p>
      <w:r>
        <w:t>• catálogo de KPI</w:t>
      </w:r>
    </w:p>
    <w:p>
      <w:pPr>
        <w:spacing w:after="40"/>
      </w:pPr>
    </w:p>
    <w:p>
      <w:r>
        <w:t>• admisibilidad</w:t>
      </w:r>
    </w:p>
    <w:p>
      <w:pPr>
        <w:spacing w:after="40"/>
      </w:pPr>
    </w:p>
    <w:p>
      <w:r>
        <w:t>• especificaciones de medición</w:t>
      </w:r>
    </w:p>
    <w:p>
      <w:pPr>
        <w:spacing w:after="40"/>
      </w:pPr>
    </w:p>
    <w:p>
      <w:r>
        <w:t>• normalización</w:t>
      </w:r>
    </w:p>
    <w:p>
      <w:pPr>
        <w:spacing w:after="40"/>
      </w:pPr>
    </w:p>
    <w:p>
      <w:r>
        <w:t>• ponderación</w:t>
      </w:r>
    </w:p>
    <w:p>
      <w:pPr>
        <w:spacing w:after="40"/>
      </w:pPr>
    </w:p>
    <w:p>
      <w:r>
        <w:t>• agregación</w:t>
      </w:r>
    </w:p>
    <w:p>
      <w:pPr>
        <w:spacing w:after="40"/>
      </w:pPr>
    </w:p>
    <w:p>
      <w:r>
        <w:t>• interpretación</w:t>
      </w:r>
    </w:p>
    <w:p>
      <w:pPr>
        <w:spacing w:after="40"/>
      </w:pPr>
    </w:p>
    <w:p>
      <w:r>
        <w:t>• validación</w:t>
      </w:r>
    </w:p>
    <w:p>
      <w:pPr>
        <w:spacing w:after="40"/>
      </w:pPr>
    </w:p>
    <w:p>
      <w:r>
        <w:t>• manual técnico</w:t>
      </w:r>
    </w:p>
    <w:p>
      <w:pPr>
        <w:spacing w:after="40"/>
      </w:pPr>
    </w:p>
    <w:p>
      <w:r>
        <w:t>• software futuro</w:t>
      </w:r>
    </w:p>
    <w:p>
      <w:pPr>
        <w:spacing w:after="40"/>
      </w:pPr>
    </w:p>
    <w:p>
      <w:r>
        <w:t>• formularios manuales</w:t>
      </w:r>
    </w:p>
    <w:p>
      <w:pPr>
        <w:spacing w:after="40"/>
      </w:pPr>
    </w:p>
    <w:p>
      <w:r>
        <w:t>• Knowledge Graph</w:t>
      </w:r>
    </w:p>
    <w:p>
      <w:pPr>
        <w:spacing w:after="40"/>
      </w:pPr>
    </w:p>
    <w:p>
      <w:r>
        <w:t>• MetaModel</w:t>
      </w:r>
    </w:p>
    <w:p>
      <w:pPr>
        <w:spacing w:after="40"/>
      </w:pPr>
    </w:p>
    <w:p>
      <w:r>
        <w:t>• Constitución</w:t>
      </w:r>
    </w:p>
    <w:p>
      <w:pPr>
        <w:spacing w:after="40"/>
      </w:pPr>
    </w:p>
    <w:p>
      <w:r>
        <w:t>• Body of Knowledge</w:t>
      </w:r>
    </w:p>
    <w:p>
      <w:pPr>
        <w:spacing w:after="40"/>
      </w:pPr>
    </w:p>
    <w:p>
      <w:r>
        <w:t>• arquitectura documental</w:t>
      </w:r>
    </w:p>
    <w:p>
      <w:pPr>
        <w:spacing w:after="40"/>
      </w:pPr>
    </w:p>
    <w:p>
      <w:r>
        <w:t>• tesis</w:t>
      </w:r>
    </w:p>
    <w:p>
      <w:pPr>
        <w:spacing w:after="40"/>
      </w:pPr>
    </w:p>
    <w:p>
      <w:r>
        <w:t>• publicaciones</w:t>
      </w:r>
    </w:p>
    <w:p>
      <w:pPr>
        <w:spacing w:after="40"/>
      </w:pPr>
    </w:p>
    <w:p>
      <w:r>
        <w:t>Indica qué cambia,</w:t>
      </w:r>
    </w:p>
    <w:p>
      <w:pPr>
        <w:spacing w:after="40"/>
      </w:pPr>
    </w:p>
    <w:p>
      <w:r>
        <w:t>qué permanece igual,</w:t>
      </w:r>
    </w:p>
    <w:p>
      <w:pPr>
        <w:spacing w:after="40"/>
      </w:pPr>
    </w:p>
    <w:p>
      <w:r>
        <w:t>qué debe ampliarse</w:t>
      </w:r>
    </w:p>
    <w:p>
      <w:pPr>
        <w:spacing w:after="40"/>
      </w:pPr>
    </w:p>
    <w:p>
      <w:r>
        <w:t>y qué debería reescribirse.</w:t>
      </w:r>
    </w:p>
    <w:p>
      <w:pPr>
        <w:spacing w:after="40"/>
      </w:pPr>
    </w:p>
    <w:p>
      <w:r>
        <w:t>----------------------------------------------------------</w:t>
      </w:r>
    </w:p>
    <w:p>
      <w:pPr>
        <w:spacing w:after="40"/>
      </w:pPr>
    </w:p>
    <w:p>
      <w:r>
        <w:t>4.</w:t>
      </w:r>
    </w:p>
    <w:p>
      <w:pPr>
        <w:spacing w:after="40"/>
      </w:pPr>
    </w:p>
    <w:p>
      <w:r>
        <w:t>Analiza si las GTRM deberían clasificarse.</w:t>
      </w:r>
    </w:p>
    <w:p>
      <w:pPr>
        <w:spacing w:after="40"/>
      </w:pPr>
    </w:p>
    <w:p>
      <w:r>
        <w:t>Por ejemplo:</w:t>
      </w:r>
    </w:p>
    <w:p>
      <w:pPr>
        <w:spacing w:after="40"/>
      </w:pPr>
    </w:p>
    <w:p>
      <w:r>
        <w:t>Matrices normativas</w:t>
      </w:r>
    </w:p>
    <w:p>
      <w:pPr>
        <w:spacing w:after="40"/>
      </w:pPr>
    </w:p>
    <w:p>
      <w:r>
        <w:t>Matrices estadísticas</w:t>
      </w:r>
    </w:p>
    <w:p>
      <w:pPr>
        <w:spacing w:after="40"/>
      </w:pPr>
    </w:p>
    <w:p>
      <w:r>
        <w:t>Matrices de benchmark</w:t>
      </w:r>
    </w:p>
    <w:p>
      <w:pPr>
        <w:spacing w:after="40"/>
      </w:pPr>
    </w:p>
    <w:p>
      <w:r>
        <w:t>Matrices Delphi</w:t>
      </w:r>
    </w:p>
    <w:p>
      <w:pPr>
        <w:spacing w:after="40"/>
      </w:pPr>
    </w:p>
    <w:p>
      <w:r>
        <w:t>Matrices híbridas</w:t>
      </w:r>
    </w:p>
    <w:p>
      <w:pPr>
        <w:spacing w:after="40"/>
      </w:pPr>
    </w:p>
    <w:p>
      <w:r>
        <w:t>Matrices regulatorias</w:t>
      </w:r>
    </w:p>
    <w:p>
      <w:pPr>
        <w:spacing w:after="40"/>
      </w:pPr>
    </w:p>
    <w:p>
      <w:r>
        <w:t>Matrices empíricas</w:t>
      </w:r>
    </w:p>
    <w:p>
      <w:pPr>
        <w:spacing w:after="40"/>
      </w:pPr>
    </w:p>
    <w:p>
      <w:r>
        <w:t>Propón una clasificación si corresponde.</w:t>
      </w:r>
    </w:p>
    <w:p>
      <w:pPr>
        <w:spacing w:after="40"/>
      </w:pPr>
    </w:p>
    <w:p>
      <w:r>
        <w:t>----------------------------------------------------------</w:t>
      </w:r>
    </w:p>
    <w:p>
      <w:pPr>
        <w:spacing w:after="40"/>
      </w:pPr>
    </w:p>
    <w:p>
      <w:r>
        <w:t>5.</w:t>
      </w:r>
    </w:p>
    <w:p>
      <w:pPr>
        <w:spacing w:after="40"/>
      </w:pPr>
    </w:p>
    <w:p>
      <w:r>
        <w:t>Determina si cada GTRM debería poseer identidad propia.</w:t>
      </w:r>
    </w:p>
    <w:p>
      <w:pPr>
        <w:spacing w:after="40"/>
      </w:pPr>
    </w:p>
    <w:p>
      <w:r>
        <w:t>Por ejemplo:</w:t>
      </w:r>
    </w:p>
    <w:p>
      <w:pPr>
        <w:spacing w:after="40"/>
      </w:pPr>
    </w:p>
    <w:p>
      <w:r>
        <w:t>Código</w:t>
      </w:r>
    </w:p>
    <w:p>
      <w:pPr>
        <w:spacing w:after="40"/>
      </w:pPr>
    </w:p>
    <w:p>
      <w:r>
        <w:t>Versión</w:t>
      </w:r>
    </w:p>
    <w:p>
      <w:pPr>
        <w:spacing w:after="40"/>
      </w:pPr>
    </w:p>
    <w:p>
      <w:r>
        <w:t>Autoridad</w:t>
      </w:r>
    </w:p>
    <w:p>
      <w:pPr>
        <w:spacing w:after="40"/>
      </w:pPr>
    </w:p>
    <w:p>
      <w:r>
        <w:t>Historial</w:t>
      </w:r>
    </w:p>
    <w:p>
      <w:pPr>
        <w:spacing w:after="40"/>
      </w:pPr>
    </w:p>
    <w:p>
      <w:r>
        <w:t>Dominio de aplicación</w:t>
      </w:r>
    </w:p>
    <w:p>
      <w:pPr>
        <w:spacing w:after="40"/>
      </w:pPr>
    </w:p>
    <w:p>
      <w:r>
        <w:t>Categoría</w:t>
      </w:r>
    </w:p>
    <w:p>
      <w:pPr>
        <w:spacing w:after="40"/>
      </w:pPr>
    </w:p>
    <w:p>
      <w:r>
        <w:t>Proceso</w:t>
      </w:r>
    </w:p>
    <w:p>
      <w:pPr>
        <w:spacing w:after="40"/>
      </w:pPr>
    </w:p>
    <w:p>
      <w:r>
        <w:t>KPI</w:t>
      </w:r>
    </w:p>
    <w:p>
      <w:pPr>
        <w:spacing w:after="40"/>
      </w:pPr>
    </w:p>
    <w:p>
      <w:r>
        <w:t>Unidad</w:t>
      </w:r>
    </w:p>
    <w:p>
      <w:pPr>
        <w:spacing w:after="40"/>
      </w:pPr>
    </w:p>
    <w:p>
      <w:r>
        <w:t>Método</w:t>
      </w:r>
    </w:p>
    <w:p>
      <w:pPr>
        <w:spacing w:after="40"/>
      </w:pPr>
    </w:p>
    <w:p>
      <w:r>
        <w:t>Bibliografía</w:t>
      </w:r>
    </w:p>
    <w:p>
      <w:pPr>
        <w:spacing w:after="40"/>
      </w:pPr>
    </w:p>
    <w:p>
      <w:r>
        <w:t>Restricciones</w:t>
      </w:r>
    </w:p>
    <w:p>
      <w:pPr>
        <w:spacing w:after="40"/>
      </w:pPr>
    </w:p>
    <w:p>
      <w:r>
        <w:t>Procedencia</w:t>
      </w:r>
    </w:p>
    <w:p>
      <w:pPr>
        <w:spacing w:after="40"/>
      </w:pPr>
    </w:p>
    <w:p>
      <w:r>
        <w:t>Fecha</w:t>
      </w:r>
    </w:p>
    <w:p>
      <w:pPr>
        <w:spacing w:after="40"/>
      </w:pPr>
    </w:p>
    <w:p>
      <w:r>
        <w:t>Revisión</w:t>
      </w:r>
    </w:p>
    <w:p>
      <w:pPr>
        <w:spacing w:after="40"/>
      </w:pPr>
    </w:p>
    <w:p>
      <w:r>
        <w:t>Estado</w:t>
      </w:r>
    </w:p>
    <w:p>
      <w:pPr>
        <w:spacing w:after="40"/>
      </w:pPr>
    </w:p>
    <w:p>
      <w:r>
        <w:t>Baseline</w:t>
      </w:r>
    </w:p>
    <w:p>
      <w:pPr>
        <w:spacing w:after="40"/>
      </w:pPr>
    </w:p>
    <w:p>
      <w:r>
        <w:t>Compatibilidad</w:t>
      </w:r>
    </w:p>
    <w:p>
      <w:pPr>
        <w:spacing w:after="40"/>
      </w:pPr>
    </w:p>
    <w:p>
      <w:r>
        <w:t>Analiza si deben tratarse como documentos normativos independientes.</w:t>
      </w:r>
    </w:p>
    <w:p>
      <w:pPr>
        <w:spacing w:after="40"/>
      </w:pPr>
    </w:p>
    <w:p>
      <w:r>
        <w:t>----------------------------------------------------------</w:t>
      </w:r>
    </w:p>
    <w:p>
      <w:pPr>
        <w:spacing w:after="40"/>
      </w:pPr>
    </w:p>
    <w:p>
      <w:r>
        <w:t>6.</w:t>
      </w:r>
    </w:p>
    <w:p>
      <w:pPr>
        <w:spacing w:after="40"/>
      </w:pPr>
    </w:p>
    <w:p>
      <w:r>
        <w:t>Analiza si las GTRM modifican el pipeline científico del GOEI.</w:t>
      </w:r>
    </w:p>
    <w:p>
      <w:pPr>
        <w:spacing w:after="40"/>
      </w:pPr>
    </w:p>
    <w:p>
      <w:r>
        <w:t>Si corresponde,</w:t>
      </w:r>
    </w:p>
    <w:p>
      <w:pPr>
        <w:spacing w:after="40"/>
      </w:pPr>
    </w:p>
    <w:p>
      <w:r>
        <w:t>propón un nuevo pipeline completo.</w:t>
      </w:r>
    </w:p>
    <w:p>
      <w:pPr>
        <w:spacing w:after="40"/>
      </w:pPr>
    </w:p>
    <w:p>
      <w:r>
        <w:t>----------------------------------------------------------</w:t>
      </w:r>
    </w:p>
    <w:p>
      <w:pPr>
        <w:spacing w:after="40"/>
      </w:pPr>
    </w:p>
    <w:p>
      <w:r>
        <w:t>7.</w:t>
      </w:r>
    </w:p>
    <w:p>
      <w:pPr>
        <w:spacing w:after="40"/>
      </w:pPr>
    </w:p>
    <w:p>
      <w:r>
        <w:t>Evalúa si esta incorporación fortalece o debilita:</w:t>
      </w:r>
    </w:p>
    <w:p>
      <w:pPr>
        <w:spacing w:after="40"/>
      </w:pPr>
    </w:p>
    <w:p>
      <w:r>
        <w:t>la trazabilidad,</w:t>
      </w:r>
    </w:p>
    <w:p>
      <w:pPr>
        <w:spacing w:after="40"/>
      </w:pPr>
    </w:p>
    <w:p>
      <w:r>
        <w:t>la auditabilidad,</w:t>
      </w:r>
    </w:p>
    <w:p>
      <w:pPr>
        <w:spacing w:after="40"/>
      </w:pPr>
    </w:p>
    <w:p>
      <w:r>
        <w:t>la reproducibilidad,</w:t>
      </w:r>
    </w:p>
    <w:p>
      <w:pPr>
        <w:spacing w:after="40"/>
      </w:pPr>
    </w:p>
    <w:p>
      <w:r>
        <w:t>la comparabilidad,</w:t>
      </w:r>
    </w:p>
    <w:p>
      <w:pPr>
        <w:spacing w:after="40"/>
      </w:pPr>
    </w:p>
    <w:p>
      <w:r>
        <w:t>la independencia tecnológica,</w:t>
      </w:r>
    </w:p>
    <w:p>
      <w:pPr>
        <w:spacing w:after="40"/>
      </w:pPr>
    </w:p>
    <w:p>
      <w:r>
        <w:t>la aplicación manual,</w:t>
      </w:r>
    </w:p>
    <w:p>
      <w:pPr>
        <w:spacing w:after="40"/>
      </w:pPr>
    </w:p>
    <w:p>
      <w:r>
        <w:t>la robustez metodológica,</w:t>
      </w:r>
    </w:p>
    <w:p>
      <w:pPr>
        <w:spacing w:after="40"/>
      </w:pPr>
    </w:p>
    <w:p>
      <w:r>
        <w:t>la gobernanza del estándar.</w:t>
      </w:r>
    </w:p>
    <w:p>
      <w:pPr>
        <w:spacing w:after="40"/>
      </w:pPr>
    </w:p>
    <w:p>
      <w:r>
        <w:t>----------------------------------------------------------</w:t>
      </w:r>
    </w:p>
    <w:p>
      <w:pPr>
        <w:spacing w:after="40"/>
      </w:pPr>
    </w:p>
    <w:p>
      <w:r>
        <w:t>8.</w:t>
      </w:r>
    </w:p>
    <w:p>
      <w:pPr>
        <w:spacing w:after="40"/>
      </w:pPr>
    </w:p>
    <w:p>
      <w:r>
        <w:t>Busca riesgos metodológicos.</w:t>
      </w:r>
    </w:p>
    <w:p>
      <w:pPr>
        <w:spacing w:after="40"/>
      </w:pPr>
    </w:p>
    <w:p>
      <w:r>
        <w:t>No quiero una validación complaciente.</w:t>
      </w:r>
    </w:p>
    <w:p>
      <w:pPr>
        <w:spacing w:after="40"/>
      </w:pPr>
    </w:p>
    <w:p>
      <w:r>
        <w:t>Quiero una crítica profunda.</w:t>
      </w:r>
    </w:p>
    <w:p>
      <w:pPr>
        <w:spacing w:after="40"/>
      </w:pPr>
    </w:p>
    <w:p>
      <w:r>
        <w:t>Busca problemas conceptuales, matemáticos, estadísticos, prácticos y normativos.</w:t>
      </w:r>
    </w:p>
    <w:p>
      <w:pPr>
        <w:spacing w:after="40"/>
      </w:pPr>
    </w:p>
    <w:p>
      <w:r>
        <w:t>----------------------------------------------------------</w:t>
      </w:r>
    </w:p>
    <w:p>
      <w:pPr>
        <w:spacing w:after="40"/>
      </w:pPr>
    </w:p>
    <w:p>
      <w:r>
        <w:t>9.</w:t>
      </w:r>
    </w:p>
    <w:p>
      <w:pPr>
        <w:spacing w:after="40"/>
      </w:pPr>
    </w:p>
    <w:p>
      <w:r>
        <w:t>Si concluyes que las GTRM constituyen realmente un nuevo componente del estándar,</w:t>
      </w:r>
    </w:p>
    <w:p>
      <w:pPr>
        <w:spacing w:after="40"/>
      </w:pPr>
    </w:p>
    <w:p>
      <w:r>
        <w:t>propón cómo deberían incorporarse oficialmente a la arquitectura del GOEI,</w:t>
      </w:r>
    </w:p>
    <w:p>
      <w:pPr>
        <w:spacing w:after="40"/>
      </w:pPr>
    </w:p>
    <w:p>
      <w:r>
        <w:t>indicando:</w:t>
      </w:r>
    </w:p>
    <w:p>
      <w:pPr>
        <w:spacing w:after="40"/>
      </w:pPr>
    </w:p>
    <w:p>
      <w:r>
        <w:t>• nivel arquitectónico</w:t>
      </w:r>
    </w:p>
    <w:p>
      <w:pPr>
        <w:spacing w:after="40"/>
      </w:pPr>
    </w:p>
    <w:p>
      <w:r>
        <w:t>• relaciones</w:t>
      </w:r>
    </w:p>
    <w:p>
      <w:pPr>
        <w:spacing w:after="40"/>
      </w:pPr>
    </w:p>
    <w:p>
      <w:r>
        <w:t>• dependencias</w:t>
      </w:r>
    </w:p>
    <w:p>
      <w:pPr>
        <w:spacing w:after="40"/>
      </w:pPr>
    </w:p>
    <w:p>
      <w:r>
        <w:t>• restricciones</w:t>
      </w:r>
    </w:p>
    <w:p>
      <w:pPr>
        <w:spacing w:after="40"/>
      </w:pPr>
    </w:p>
    <w:p>
      <w:r>
        <w:t>• autoridad</w:t>
      </w:r>
    </w:p>
    <w:p>
      <w:pPr>
        <w:spacing w:after="40"/>
      </w:pPr>
    </w:p>
    <w:p>
      <w:r>
        <w:t>• ciclo de vida</w:t>
      </w:r>
    </w:p>
    <w:p>
      <w:pPr>
        <w:spacing w:after="40"/>
      </w:pPr>
    </w:p>
    <w:p>
      <w:r>
        <w:t>• integración con el resto del estándar.</w:t>
      </w:r>
    </w:p>
    <w:p>
      <w:pPr>
        <w:spacing w:after="40"/>
      </w:pPr>
    </w:p>
    <w:p>
      <w:r>
        <w:t>----------------------------------------------------------</w:t>
      </w:r>
    </w:p>
    <w:p>
      <w:pPr>
        <w:spacing w:after="40"/>
      </w:pPr>
    </w:p>
    <w:p>
      <w:r>
        <w:t>10.</w:t>
      </w:r>
    </w:p>
    <w:p>
      <w:pPr>
        <w:spacing w:after="40"/>
      </w:pPr>
    </w:p>
    <w:p>
      <w:r>
        <w:t>Finalmente,</w:t>
      </w:r>
    </w:p>
    <w:p>
      <w:pPr>
        <w:spacing w:after="40"/>
      </w:pPr>
    </w:p>
    <w:p>
      <w:r>
        <w:t>emite un dictamen técnico-científico.</w:t>
      </w:r>
    </w:p>
    <w:p>
      <w:pPr>
        <w:spacing w:after="40"/>
      </w:pPr>
    </w:p>
    <w:p>
      <w:r>
        <w:t>Las únicas respuestas posibles son:</w:t>
      </w:r>
    </w:p>
    <w:p>
      <w:pPr>
        <w:spacing w:after="40"/>
      </w:pPr>
    </w:p>
    <w:p>
      <w:r>
        <w:t>A)</w:t>
      </w:r>
    </w:p>
    <w:p>
      <w:pPr>
        <w:spacing w:after="40"/>
      </w:pPr>
    </w:p>
    <w:p>
      <w:r>
        <w:t>Rechazar completamente la propuesta.</w:t>
      </w:r>
    </w:p>
    <w:p>
      <w:pPr>
        <w:spacing w:after="40"/>
      </w:pPr>
    </w:p>
    <w:p>
      <w:r>
        <w:t>B)</w:t>
      </w:r>
    </w:p>
    <w:p>
      <w:pPr>
        <w:spacing w:after="40"/>
      </w:pPr>
    </w:p>
    <w:p>
      <w:r>
        <w:t>Aceptar la propuesta con modificaciones.</w:t>
      </w:r>
    </w:p>
    <w:p>
      <w:pPr>
        <w:spacing w:after="40"/>
      </w:pPr>
    </w:p>
    <w:p>
      <w:r>
        <w:t>C)</w:t>
      </w:r>
    </w:p>
    <w:p>
      <w:pPr>
        <w:spacing w:after="40"/>
      </w:pPr>
    </w:p>
    <w:p>
      <w:r>
        <w:t>Aceptar la propuesta como nuevo componente oficial del GOEI.</w:t>
      </w:r>
    </w:p>
    <w:p>
      <w:pPr>
        <w:spacing w:after="40"/>
      </w:pPr>
    </w:p>
    <w:p>
      <w:r>
        <w:t>El dictamen deberá estar fundamentado exclusivamente en criterios metodológicos, científicos y de arquitectura de estándares.</w:t>
      </w:r>
    </w:p>
    <w:p>
      <w:pPr>
        <w:spacing w:after="40"/>
      </w:pPr>
    </w:p>
    <w:p>
      <w:r>
        <w:t>No busques confirmar la idea.</w:t>
      </w:r>
    </w:p>
    <w:p>
      <w:pPr>
        <w:spacing w:after="40"/>
      </w:pPr>
    </w:p>
    <w:p>
      <w:r>
        <w:t>Busca demostrar si merece o no formar parte del GOEI.</w:t>
      </w:r>
    </w:p>
    <w:p>
      <w:r>
        <w:br w:type="page"/>
      </w:r>
    </w:p>
    <w:p>
      <w:pPr>
        <w:pStyle w:val="Heading1"/>
        <w:keepNext/>
      </w:pPr>
      <w:r>
        <w:t>Fuente 17: 00_Gobernanza/coordinacion/cola_cientifica/GOEI_SCI_QUEUE_0001_B1_Procesos_Universales.md</w:t>
      </w:r>
    </w:p>
    <w:p>
      <w:pPr>
        <w:spacing w:after="200"/>
      </w:pPr>
      <w:r>
        <w:rPr>
          <w:rFonts w:ascii="Consolas" w:hAnsi="Consolas"/>
          <w:color w:val="595959"/>
          <w:sz w:val="16"/>
        </w:rPr>
        <w:t>Ruta: 00_Gobernanza/coordinacion/cola_cientifica/GOEI_SCI_QUEUE_0001_B1_Procesos_Universales.md</w:t>
        <w:br/>
        <w:t>Tamaño: 1570 bytes</w:t>
        <w:br/>
        <w:t>SHA-256: 6b38bc1aa7bd8c8525baa000fd29d25a603436948f23466928a554d0dbcecb8d</w:t>
      </w:r>
    </w:p>
    <w:p>
      <w:pPr>
        <w:pStyle w:val="Heading2"/>
      </w:pPr>
      <w:r>
        <w:t>Paquete de trabajo científico — B1 Procesos Universales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GOEI-SCI-QUEUE-0001 |</w:t>
      </w:r>
    </w:p>
    <w:p>
      <w:pPr>
        <w:spacing w:after="20" w:line="240" w:lineRule="auto"/>
      </w:pPr>
      <w:r>
        <w:rPr>
          <w:rFonts w:ascii="Consolas" w:hAnsi="Consolas"/>
          <w:sz w:val="14"/>
        </w:rPr>
        <w:t>| Estado | Expediente recibido; aprobación directiva pendiente |</w:t>
      </w:r>
    </w:p>
    <w:p>
      <w:pPr>
        <w:spacing w:after="20" w:line="240" w:lineRule="auto"/>
      </w:pPr>
      <w:r>
        <w:rPr>
          <w:rFonts w:ascii="Consolas" w:hAnsi="Consolas"/>
          <w:sz w:val="14"/>
        </w:rPr>
        <w:t>| Responsable | Comité Científico |</w:t>
      </w:r>
    </w:p>
    <w:p>
      <w:pPr>
        <w:spacing w:after="20" w:line="240" w:lineRule="auto"/>
      </w:pPr>
      <w:r>
        <w:rPr>
          <w:rFonts w:ascii="Consolas" w:hAnsi="Consolas"/>
          <w:sz w:val="14"/>
        </w:rPr>
        <w:t>| Consumidor | Oficina Técnica |</w:t>
      </w:r>
    </w:p>
    <w:p>
      <w:pPr>
        <w:spacing w:after="20" w:line="240" w:lineRule="auto"/>
      </w:pPr>
      <w:r>
        <w:rPr>
          <w:rFonts w:ascii="Consolas" w:hAnsi="Consolas"/>
          <w:sz w:val="14"/>
        </w:rPr>
        <w:t>| MetaModelo disponible | GOEI-PMM-0001 v0.1.0-draft |</w:t>
      </w:r>
    </w:p>
    <w:p>
      <w:pPr>
        <w:spacing w:after="40"/>
      </w:pPr>
    </w:p>
    <w:p>
      <w:pPr>
        <w:pStyle w:val="Heading3"/>
      </w:pPr>
      <w:r>
        <w:t>Pregunta de trabajo</w:t>
      </w:r>
    </w:p>
    <w:p>
      <w:pPr>
        <w:spacing w:after="40"/>
      </w:pPr>
    </w:p>
    <w:p>
      <w:r>
        <w:t>Determinar científicamente cuáles son los procesos universales pertinentes al GOEI y documentar la evidencia y decisiones correspondientes.</w:t>
      </w:r>
    </w:p>
    <w:p>
      <w:pPr>
        <w:spacing w:after="40"/>
      </w:pPr>
    </w:p>
    <w:p>
      <w:pPr>
        <w:pStyle w:val="Heading3"/>
      </w:pPr>
      <w:r>
        <w:t>Exclusiones de la Oficina Técnica</w:t>
      </w:r>
    </w:p>
    <w:p>
      <w:pPr>
        <w:spacing w:after="40"/>
      </w:pPr>
    </w:p>
    <w:p>
      <w:r>
        <w:t>La Oficina Técnica no propone procesos, no investiga literatura, no determina universalidad y no cierra B1.</w:t>
      </w:r>
    </w:p>
    <w:p>
      <w:pPr>
        <w:spacing w:after="40"/>
      </w:pPr>
    </w:p>
    <w:p>
      <w:pPr>
        <w:pStyle w:val="Heading3"/>
      </w:pPr>
      <w:r>
        <w:t>Entregables requeridos al Comité</w:t>
      </w:r>
    </w:p>
    <w:p>
      <w:pPr>
        <w:spacing w:after="40"/>
      </w:pPr>
    </w:p>
    <w:p>
      <w:pPr>
        <w:pStyle w:val="ListBullet"/>
      </w:pPr>
      <w:r>
        <w:t>protocolo y alcance de investigación;</w:t>
      </w:r>
    </w:p>
    <w:p>
      <w:pPr>
        <w:pStyle w:val="ListBullet"/>
      </w:pPr>
      <w:r>
        <w:t>fuentes y evidencias;</w:t>
      </w:r>
    </w:p>
    <w:p>
      <w:pPr>
        <w:pStyle w:val="ListBullet"/>
      </w:pPr>
      <w:r>
        <w:t>candidatos y criterios de inclusión/exclusión;</w:t>
      </w:r>
    </w:p>
    <w:p>
      <w:pPr>
        <w:pStyle w:val="ListBullet"/>
      </w:pPr>
      <w:r>
        <w:t>debate y objeciones;</w:t>
      </w:r>
    </w:p>
    <w:p>
      <w:pPr>
        <w:pStyle w:val="ListBullet"/>
      </w:pPr>
      <w:r>
        <w:t>decisión o conjunto de decisiones aprobables;</w:t>
      </w:r>
    </w:p>
    <w:p>
      <w:pPr>
        <w:pStyle w:val="ListBullet"/>
      </w:pPr>
      <w:r>
        <w:t>limitaciones y preguntas abiertas;</w:t>
      </w:r>
    </w:p>
    <w:p>
      <w:pPr>
        <w:pStyle w:val="ListBullet"/>
      </w:pPr>
      <w:r>
        <w:t>mapeo de cada proceso aprobado a las entidades de GOEI-PMM-0001;</w:t>
      </w:r>
    </w:p>
    <w:p>
      <w:pPr>
        <w:pStyle w:val="ListBullet"/>
      </w:pPr>
      <w:r>
        <w:t>declaración de cierre o pendientes de B1.</w:t>
      </w:r>
    </w:p>
    <w:p>
      <w:pPr>
        <w:spacing w:after="40"/>
      </w:pPr>
    </w:p>
    <w:p>
      <w:pPr>
        <w:pStyle w:val="Heading3"/>
      </w:pPr>
      <w:r>
        <w:t>Criterio de aceptación técnica</w:t>
      </w:r>
    </w:p>
    <w:p>
      <w:pPr>
        <w:spacing w:after="40"/>
      </w:pPr>
    </w:p>
    <w:p>
      <w:r>
        <w:t>La Oficina Técnica verificará completitud, IDs, trazabilidad, correspondencia con el metamodelo y ausencia de contradicciones formales. No evaluará la validez científica.</w:t>
      </w:r>
    </w:p>
    <w:p>
      <w:pPr>
        <w:spacing w:after="40"/>
      </w:pPr>
    </w:p>
    <w:p>
      <w:pPr>
        <w:pStyle w:val="Heading3"/>
      </w:pPr>
      <w:r>
        <w:t>Resultado de recepción</w:t>
      </w:r>
    </w:p>
    <w:p>
      <w:pPr>
        <w:spacing w:after="40"/>
      </w:pPr>
    </w:p>
    <w:p>
      <w:r>
        <w:t>El expediente fue recibido y auditado en handoffs/GOEI_HANDOFF_0001_B1_Procesos_Universales.md. La cola científica queda en espera de la resolución directiva de D-008 y cierre B1; no requiere investigación adicional para ser remitida a Dirección, aunque conserva limitaciones para validación/publicación.</w:t>
      </w:r>
    </w:p>
    <w:p>
      <w:r>
        <w:br w:type="page"/>
      </w:r>
    </w:p>
    <w:p>
      <w:pPr>
        <w:pStyle w:val="Heading1"/>
        <w:keepNext/>
      </w:pPr>
      <w:r>
        <w:t>Fuente 18: 00_Gobernanza/coordinacion/cola_cientifica/GOEI_SCI_QUEUE_0002_B2_Taxonomia_Universal.md</w:t>
      </w:r>
    </w:p>
    <w:p>
      <w:pPr>
        <w:spacing w:after="200"/>
      </w:pPr>
      <w:r>
        <w:rPr>
          <w:rFonts w:ascii="Consolas" w:hAnsi="Consolas"/>
          <w:color w:val="595959"/>
          <w:sz w:val="16"/>
        </w:rPr>
        <w:t>Ruta: 00_Gobernanza/coordinacion/cola_cientifica/GOEI_SCI_QUEUE_0002_B2_Taxonomia_Universal.md</w:t>
        <w:br/>
        <w:t>Tamaño: 10626 bytes</w:t>
        <w:br/>
        <w:t>SHA-256: 07664f83fde4c97a869e1cb02e02496e286b86d39197a86e337b2dafceae5a76</w:t>
      </w:r>
    </w:p>
    <w:p>
      <w:pPr>
        <w:pStyle w:val="Heading2"/>
      </w:pPr>
      <w:r>
        <w:t>Paquete de activación científica — B2 Taxonomía Universal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GOEI-SCI-QUEUE-0002 |</w:t>
      </w:r>
    </w:p>
    <w:p>
      <w:pPr>
        <w:spacing w:after="20" w:line="240" w:lineRule="auto"/>
      </w:pPr>
      <w:r>
        <w:rPr>
          <w:rFonts w:ascii="Consolas" w:hAnsi="Consolas"/>
          <w:sz w:val="14"/>
        </w:rPr>
        <w:t>| Fase | B2 — Taxonomía Universal |</w:t>
      </w:r>
    </w:p>
    <w:p>
      <w:pPr>
        <w:spacing w:after="20" w:line="240" w:lineRule="auto"/>
      </w:pPr>
      <w:r>
        <w:rPr>
          <w:rFonts w:ascii="Consolas" w:hAnsi="Consolas"/>
          <w:sz w:val="14"/>
        </w:rPr>
        <w:t>| Tipo | Contrato técnico vacío de investigación y handoff |</w:t>
      </w:r>
    </w:p>
    <w:p>
      <w:pPr>
        <w:spacing w:after="20" w:line="240" w:lineRule="auto"/>
      </w:pPr>
      <w:r>
        <w:rPr>
          <w:rFonts w:ascii="Consolas" w:hAnsi="Consolas"/>
          <w:sz w:val="14"/>
        </w:rPr>
        <w:t>| Estado | **CERRADO E INTEGRADO mediante GOEI-DIR-RES-0002** |</w:t>
      </w:r>
    </w:p>
    <w:p>
      <w:pPr>
        <w:spacing w:after="20" w:line="240" w:lineRule="auto"/>
      </w:pPr>
      <w:r>
        <w:rPr>
          <w:rFonts w:ascii="Consolas" w:hAnsi="Consolas"/>
          <w:sz w:val="14"/>
        </w:rPr>
        <w:t>| Responsable del contenido científico | Comité Científico GOEI |</w:t>
      </w:r>
    </w:p>
    <w:p>
      <w:pPr>
        <w:spacing w:after="20" w:line="240" w:lineRule="auto"/>
      </w:pPr>
      <w:r>
        <w:rPr>
          <w:rFonts w:ascii="Consolas" w:hAnsi="Consolas"/>
          <w:sz w:val="14"/>
        </w:rPr>
        <w:t>| Responsable de control técnico | Oficina Técnica GOEI |</w:t>
      </w:r>
    </w:p>
    <w:p>
      <w:pPr>
        <w:spacing w:after="20" w:line="240" w:lineRule="auto"/>
      </w:pPr>
      <w:r>
        <w:rPr>
          <w:rFonts w:ascii="Consolas" w:hAnsi="Consolas"/>
          <w:sz w:val="14"/>
        </w:rPr>
        <w:t>| Autoridad de aprobación | Dirección General, conforme a la gobernanza vigente |</w:t>
      </w:r>
    </w:p>
    <w:p>
      <w:pPr>
        <w:spacing w:after="20" w:line="240" w:lineRule="auto"/>
      </w:pPr>
      <w:r>
        <w:rPr>
          <w:rFonts w:ascii="Consolas" w:hAnsi="Consolas"/>
          <w:sz w:val="14"/>
        </w:rPr>
        <w:t>| Versión del paquete | 0.1.0 |</w:t>
      </w:r>
    </w:p>
    <w:p>
      <w:pPr>
        <w:spacing w:after="20" w:line="240" w:lineRule="auto"/>
      </w:pPr>
      <w:r>
        <w:rPr>
          <w:rFonts w:ascii="Consolas" w:hAnsi="Consolas"/>
          <w:sz w:val="14"/>
        </w:rPr>
        <w:t>| Contenido normativo | Ninguno |</w:t>
      </w:r>
    </w:p>
    <w:p>
      <w:pPr>
        <w:spacing w:after="40"/>
      </w:pPr>
    </w:p>
    <w:p>
      <w:pPr>
        <w:pStyle w:val="Heading3"/>
      </w:pPr>
      <w:r>
        <w:t>1. Propósito</w:t>
      </w:r>
    </w:p>
    <w:p>
      <w:pPr>
        <w:spacing w:after="40"/>
      </w:pPr>
    </w:p>
    <w:p>
      <w:r>
        <w:t>Definir el contenedor, las entradas, las dependencias y el contrato de entrega que permitirán iniciar B2 una vez que B1 haya sido cerrada e integrada formalmente.</w:t>
      </w:r>
    </w:p>
    <w:p>
      <w:pPr>
        <w:spacing w:after="40"/>
      </w:pPr>
    </w:p>
    <w:p>
      <w:r>
        <w:t>Este paquete no investiga, enumera ni propone categorías, clases, criterios taxonómicos o resultados científicos. Su existencia no habilita por sí sola el inicio de B2.</w:t>
      </w:r>
    </w:p>
    <w:p>
      <w:pPr>
        <w:spacing w:after="40"/>
      </w:pPr>
    </w:p>
    <w:p>
      <w:pPr>
        <w:pStyle w:val="Heading3"/>
      </w:pPr>
      <w:r>
        <w:t>2. Condición estricta de activación</w:t>
      </w:r>
    </w:p>
    <w:p>
      <w:pPr>
        <w:spacing w:after="40"/>
      </w:pPr>
    </w:p>
    <w:p>
      <w:r>
        <w:t>El estado cambió de bloqueado a habilitado mediante GOEI-DIR-RES-0001, tras comprobarse los elementos siguientes:</w:t>
      </w:r>
    </w:p>
    <w:p>
      <w:pPr>
        <w:spacing w:after="40"/>
      </w:pPr>
    </w:p>
    <w:p>
      <w:pPr>
        <w:pStyle w:val="ListNumber"/>
      </w:pPr>
      <w:r>
        <w:t>decisión D-008, o la decisión que la sustituya, aprobada y registrada por la autoridad competente;</w:t>
      </w:r>
    </w:p>
    <w:p>
      <w:pPr>
        <w:pStyle w:val="ListNumber"/>
      </w:pPr>
      <w:r>
        <w:t>declaración directiva inequívoca de cierre de B1;</w:t>
      </w:r>
    </w:p>
    <w:p>
      <w:pPr>
        <w:pStyle w:val="ListNumber"/>
      </w:pPr>
      <w:r>
        <w:t>integración técnica completa y versionada de los componentes aprobados en B1;</w:t>
      </w:r>
    </w:p>
    <w:p>
      <w:pPr>
        <w:pStyle w:val="ListNumber"/>
      </w:pPr>
      <w:r>
        <w:t>catálogo oficial de procesos resultante de B1, con identificadores estables y alcance declarado;</w:t>
      </w:r>
    </w:p>
    <w:p>
      <w:pPr>
        <w:pStyle w:val="ListNumber"/>
      </w:pPr>
      <w:r>
        <w:t>unidad de análisis y alcance vigentes disponibles como entradas controladas;</w:t>
      </w:r>
    </w:p>
    <w:p>
      <w:pPr>
        <w:pStyle w:val="ListNumber"/>
      </w:pPr>
      <w:r>
        <w:t>disposición explícita de los Issues críticos heredados de B1;</w:t>
      </w:r>
    </w:p>
    <w:p>
      <w:pPr>
        <w:pStyle w:val="ListNumber"/>
      </w:pPr>
      <w:r>
        <w:t>ontología baseline D-006 v0.1 disponible sin modificaciones no autorizadas;</w:t>
      </w:r>
    </w:p>
    <w:p>
      <w:pPr>
        <w:pStyle w:val="ListNumber"/>
      </w:pPr>
      <w:r>
        <w:t>verificación técnica satisfactoria de trazabilidad, dependencias y ausencia de contradicciones formales.</w:t>
      </w:r>
    </w:p>
    <w:p>
      <w:pPr>
        <w:spacing w:after="40"/>
      </w:pPr>
    </w:p>
    <w:p>
      <w:r>
        <w:t>Mientras falte cualquiera de estas condiciones, el Comité no deberá interpretar este paquete como una orden para iniciar investigación dependiente de B1.</w:t>
      </w:r>
    </w:p>
    <w:p>
      <w:pPr>
        <w:spacing w:after="40"/>
      </w:pPr>
    </w:p>
    <w:p>
      <w:pPr>
        <w:pStyle w:val="Heading3"/>
      </w:pPr>
      <w:r>
        <w:t>3. Entradas controladas requeridas</w:t>
      </w:r>
    </w:p>
    <w:p>
      <w:pPr>
        <w:spacing w:after="40"/>
      </w:pPr>
    </w:p>
    <w:p>
      <w:r>
        <w:t>Al activarse, la Oficina Técnica deberá completar esta tabla únicamente con referencias a artefactos oficiales:</w:t>
      </w:r>
    </w:p>
    <w:p>
      <w:pPr>
        <w:spacing w:after="40"/>
      </w:pPr>
    </w:p>
    <w:p>
      <w:pPr>
        <w:spacing w:after="20" w:line="240" w:lineRule="auto"/>
      </w:pPr>
      <w:r>
        <w:rPr>
          <w:rFonts w:ascii="Consolas" w:hAnsi="Consolas"/>
          <w:sz w:val="14"/>
        </w:rPr>
        <w:t>| Entrada | Identificador o ruta | Versión | Estado requerido | Estado actual |</w:t>
      </w:r>
    </w:p>
    <w:p>
      <w:pPr>
        <w:spacing w:after="20" w:line="240" w:lineRule="auto"/>
      </w:pPr>
      <w:r>
        <w:rPr>
          <w:rFonts w:ascii="Consolas" w:hAnsi="Consolas"/>
          <w:sz w:val="14"/>
        </w:rPr>
        <w:t>|---|---|---|---|---|</w:t>
      </w:r>
    </w:p>
    <w:p>
      <w:pPr>
        <w:spacing w:after="20" w:line="240" w:lineRule="auto"/>
      </w:pPr>
      <w:r>
        <w:rPr>
          <w:rFonts w:ascii="Consolas" w:hAnsi="Consolas"/>
          <w:sz w:val="14"/>
        </w:rPr>
        <w:t>| Decisión de cierre B1 | `GOEI-DIR-RES-0001` | 1.0.0 | Aprobada | Disponible |</w:t>
      </w:r>
    </w:p>
    <w:p>
      <w:pPr>
        <w:spacing w:after="20" w:line="240" w:lineRule="auto"/>
      </w:pPr>
      <w:r>
        <w:rPr>
          <w:rFonts w:ascii="Consolas" w:hAnsi="Consolas"/>
          <w:sz w:val="14"/>
        </w:rPr>
        <w:t>| Catálogo de procesos B1 | `GOEI-BSL-PROC-0001` | 0.1.0 | Integrado y versionado | Disponible con reservas |</w:t>
      </w:r>
    </w:p>
    <w:p>
      <w:pPr>
        <w:spacing w:after="20" w:line="240" w:lineRule="auto"/>
      </w:pPr>
      <w:r>
        <w:rPr>
          <w:rFonts w:ascii="Consolas" w:hAnsi="Consolas"/>
          <w:sz w:val="14"/>
        </w:rPr>
        <w:t>| Alcance GOEI vigente | D-008 / `GOEI-DIR-RES-0001` | Process Baseline v0.1.0 | Vigente | Disponible: foodservice comercial y no comercial/institucional |</w:t>
      </w:r>
    </w:p>
    <w:p>
      <w:pPr>
        <w:spacing w:after="20" w:line="240" w:lineRule="auto"/>
      </w:pPr>
      <w:r>
        <w:rPr>
          <w:rFonts w:ascii="Consolas" w:hAnsi="Consolas"/>
          <w:sz w:val="14"/>
        </w:rPr>
        <w:t>| Unidad de análisis | D-006 / `GOEI-BSL-ONT-0001` | Ontology Baseline v0.1 | Aprobada con reserva | Disponible: Establecimiento como ancla; configuraciones multiunidad siguen bajo `GOEI-ISS-008` y bloquean solo esa rama |</w:t>
      </w:r>
    </w:p>
    <w:p>
      <w:pPr>
        <w:spacing w:after="20" w:line="240" w:lineRule="auto"/>
      </w:pPr>
      <w:r>
        <w:rPr>
          <w:rFonts w:ascii="Consolas" w:hAnsi="Consolas"/>
          <w:sz w:val="14"/>
        </w:rPr>
        <w:t>| Ontología conceptual | D-006 | Baseline v0.1 | Congelada | Disponible; modificación solo mediante Issue |</w:t>
      </w:r>
    </w:p>
    <w:p>
      <w:pPr>
        <w:spacing w:after="20" w:line="240" w:lineRule="auto"/>
      </w:pPr>
      <w:r>
        <w:rPr>
          <w:rFonts w:ascii="Consolas" w:hAnsi="Consolas"/>
          <w:sz w:val="14"/>
        </w:rPr>
        <w:t>| MetaModelo de procesos | GOEI-PMM-0001 | 0.1.0-draft o versión vigente | Referencia técnica | Disponible como estructura, no como contenido científico |</w:t>
      </w:r>
    </w:p>
    <w:p>
      <w:pPr>
        <w:spacing w:after="20" w:line="240" w:lineRule="auto"/>
      </w:pPr>
      <w:r>
        <w:rPr>
          <w:rFonts w:ascii="Consolas" w:hAnsi="Consolas"/>
          <w:sz w:val="14"/>
        </w:rPr>
        <w:t>| Issues heredados | `GOEI-ISS-014`, `015`, `043` | N/A | Dispuestos formalmente | Disponibles; bloqueo selectivo, no general |</w:t>
      </w:r>
    </w:p>
    <w:p>
      <w:pPr>
        <w:spacing w:after="40"/>
      </w:pPr>
    </w:p>
    <w:p>
      <w:r>
        <w:t>No se aceptarán borradores, manuscritos, inferencias ni recomendaciones no aprobadas como sustitutos de una entrada requerida.</w:t>
      </w:r>
    </w:p>
    <w:p>
      <w:pPr>
        <w:spacing w:after="40"/>
      </w:pPr>
    </w:p>
    <w:p>
      <w:pPr>
        <w:pStyle w:val="Heading3"/>
      </w:pPr>
      <w:r>
        <w:t>4. Pregunta científica del paquete — resuelta</w:t>
      </w:r>
    </w:p>
    <w:p>
      <w:pPr>
        <w:spacing w:after="40"/>
      </w:pPr>
    </w:p>
    <w:p>
      <w:pPr>
        <w:spacing w:after="100"/>
        <w:ind w:left="360" w:right="216"/>
      </w:pPr>
      <w:r>
        <w:rPr>
          <w:i/>
          <w:color w:val="595959"/>
        </w:rPr>
        <w:t>¿Qué sistema de clasificación permite delimitar y comparar las entidades comprendidas por el GOEI, con qué ejes, criterios de pertenencia, exclusiones y tratamiento de casos límite?</w:t>
      </w:r>
    </w:p>
    <w:p>
      <w:pPr>
        <w:spacing w:after="40"/>
      </w:pPr>
    </w:p>
    <w:p>
      <w:r>
        <w:t>Esta pregunta perteneció exclusivamente al Comité Científico. Fue respondida por D-017 y ratificada con alcance limitado por GOEI-DIR-RES-0002; el contrato técnico no anticipó ni originó la respuesta.</w:t>
      </w:r>
    </w:p>
    <w:p>
      <w:pPr>
        <w:spacing w:after="40"/>
      </w:pPr>
    </w:p>
    <w:p>
      <w:pPr>
        <w:pStyle w:val="Heading3"/>
      </w:pPr>
      <w:r>
        <w:t>5. Alcance de la investigación a definir por el Comité</w:t>
      </w:r>
    </w:p>
    <w:p>
      <w:pPr>
        <w:spacing w:after="40"/>
      </w:pPr>
    </w:p>
    <w:p>
      <w:r>
        <w:t>El expediente deberá declarar, sin que la Oficina Técnica lo determine:</w:t>
      </w:r>
    </w:p>
    <w:p>
      <w:pPr>
        <w:spacing w:after="40"/>
      </w:pPr>
    </w:p>
    <w:p>
      <w:pPr>
        <w:pStyle w:val="ListBullet"/>
      </w:pPr>
      <w:r>
        <w:t>alcance de la pregunta;</w:t>
      </w:r>
    </w:p>
    <w:p>
      <w:pPr>
        <w:pStyle w:val="ListBullet"/>
      </w:pPr>
      <w:r>
        <w:t>unidad o unidades de clasificación;</w:t>
      </w:r>
    </w:p>
    <w:p>
      <w:pPr>
        <w:pStyle w:val="ListBullet"/>
      </w:pPr>
      <w:r>
        <w:t>protocolo o método de investigación;</w:t>
      </w:r>
    </w:p>
    <w:p>
      <w:pPr>
        <w:pStyle w:val="ListBullet"/>
      </w:pPr>
      <w:r>
        <w:t>criterios científicos para evaluar alternativas;</w:t>
      </w:r>
    </w:p>
    <w:p>
      <w:pPr>
        <w:pStyle w:val="ListBullet"/>
      </w:pPr>
      <w:r>
        <w:t>tratamiento de exclusiones y casos límite;</w:t>
      </w:r>
    </w:p>
    <w:p>
      <w:pPr>
        <w:pStyle w:val="ListBullet"/>
      </w:pPr>
      <w:r>
        <w:t>relación con los procesos aprobados en B1;</w:t>
      </w:r>
    </w:p>
    <w:p>
      <w:pPr>
        <w:pStyle w:val="ListBullet"/>
      </w:pPr>
      <w:r>
        <w:t>limitaciones, sesgos y condiciones de transferibilidad;</w:t>
      </w:r>
    </w:p>
    <w:p>
      <w:pPr>
        <w:pStyle w:val="ListBullet"/>
      </w:pPr>
      <w:r>
        <w:t>evidencia faltante y preguntas abiertas.</w:t>
      </w:r>
    </w:p>
    <w:p>
      <w:pPr>
        <w:spacing w:after="40"/>
      </w:pPr>
    </w:p>
    <w:p>
      <w:pPr>
        <w:pStyle w:val="Heading3"/>
      </w:pPr>
      <w:r>
        <w:t>6. Exclusiones obligatorias</w:t>
      </w:r>
    </w:p>
    <w:p>
      <w:pPr>
        <w:spacing w:after="40"/>
      </w:pPr>
    </w:p>
    <w:p>
      <w:r>
        <w:t>Este paquete no autoriza a la Oficina Técnica ni a ningún agente técnico a:</w:t>
      </w:r>
    </w:p>
    <w:p>
      <w:pPr>
        <w:spacing w:after="40"/>
      </w:pPr>
    </w:p>
    <w:p>
      <w:pPr>
        <w:pStyle w:val="ListBullet"/>
      </w:pPr>
      <w:r>
        <w:t>proponer o seleccionar taxonomías;</w:t>
      </w:r>
    </w:p>
    <w:p>
      <w:pPr>
        <w:pStyle w:val="ListBullet"/>
      </w:pPr>
      <w:r>
        <w:t>crear categorías, subcategorías, ejes o criterios de pertenencia;</w:t>
      </w:r>
    </w:p>
    <w:p>
      <w:pPr>
        <w:pStyle w:val="ListBullet"/>
      </w:pPr>
      <w:r>
        <w:t>interpretar literatura o determinar suficiencia científica;</w:t>
      </w:r>
    </w:p>
    <w:p>
      <w:pPr>
        <w:pStyle w:val="ListBullet"/>
      </w:pPr>
      <w:r>
        <w:t>resolver casos límite;</w:t>
      </w:r>
    </w:p>
    <w:p>
      <w:pPr>
        <w:pStyle w:val="ListBullet"/>
      </w:pPr>
      <w:r>
        <w:t>modificar D-006 o cualquier baseline sin un Issue formal;</w:t>
      </w:r>
    </w:p>
    <w:p>
      <w:pPr>
        <w:pStyle w:val="ListBullet"/>
      </w:pPr>
      <w:r>
        <w:t>crear KPI, fórmulas, ponderaciones, umbrales o reglas metodológicas;</w:t>
      </w:r>
    </w:p>
    <w:p>
      <w:pPr>
        <w:pStyle w:val="ListBullet"/>
      </w:pPr>
      <w:r>
        <w:t>presentar candidatos como contenido normativo;</w:t>
      </w:r>
    </w:p>
    <w:p>
      <w:pPr>
        <w:pStyle w:val="ListBullet"/>
      </w:pPr>
      <w:r>
        <w:t>declarar cerrada B2 sin decisión aprobada e integración técnica completa.</w:t>
      </w:r>
    </w:p>
    <w:p>
      <w:pPr>
        <w:spacing w:after="40"/>
      </w:pPr>
    </w:p>
    <w:p>
      <w:pPr>
        <w:pStyle w:val="Heading3"/>
      </w:pPr>
      <w:r>
        <w:t>7. Contrato del expediente científico B2</w:t>
      </w:r>
    </w:p>
    <w:p>
      <w:pPr>
        <w:spacing w:after="40"/>
      </w:pPr>
    </w:p>
    <w:p>
      <w:r>
        <w:t>El Comité deberá entregar un expediente único, versionado e inmutable por revisión, que incluya como mínimo:</w:t>
      </w:r>
    </w:p>
    <w:p>
      <w:pPr>
        <w:spacing w:after="40"/>
      </w:pPr>
    </w:p>
    <w:p>
      <w:pPr>
        <w:pStyle w:val="ListNumber"/>
      </w:pPr>
      <w:r>
        <w:t>identificador, título, fecha, versión, autoría y estado;</w:t>
      </w:r>
    </w:p>
    <w:p>
      <w:pPr>
        <w:pStyle w:val="ListNumber"/>
      </w:pPr>
      <w:r>
        <w:t>pregunta científica y alcance delimitados;</w:t>
      </w:r>
    </w:p>
    <w:p>
      <w:pPr>
        <w:pStyle w:val="ListNumber"/>
      </w:pPr>
      <w:r>
        <w:t>dependencias de B1 efectivamente utilizadas;</w:t>
      </w:r>
    </w:p>
    <w:p>
      <w:pPr>
        <w:pStyle w:val="ListNumber"/>
      </w:pPr>
      <w:r>
        <w:t>protocolo o método aplicado;</w:t>
      </w:r>
    </w:p>
    <w:p>
      <w:pPr>
        <w:pStyle w:val="ListNumber"/>
      </w:pPr>
      <w:r>
        <w:t>inventario de fuentes y evidencias con identificadores verificables;</w:t>
      </w:r>
    </w:p>
    <w:p>
      <w:pPr>
        <w:pStyle w:val="ListNumber"/>
      </w:pPr>
      <w:r>
        <w:t>alternativas taxonómicas consideradas;</w:t>
      </w:r>
    </w:p>
    <w:p>
      <w:pPr>
        <w:pStyle w:val="ListNumber"/>
      </w:pPr>
      <w:r>
        <w:t>criterios de evaluación, inclusión y exclusión;</w:t>
      </w:r>
    </w:p>
    <w:p>
      <w:pPr>
        <w:pStyle w:val="ListNumber"/>
      </w:pPr>
      <w:r>
        <w:t>resultados y propuesta científica claramente separados;</w:t>
      </w:r>
    </w:p>
    <w:p>
      <w:pPr>
        <w:pStyle w:val="ListNumber"/>
      </w:pPr>
      <w:r>
        <w:t>definiciones y elementos candidatos identificados como no normativos hasta su aprobación;</w:t>
      </w:r>
    </w:p>
    <w:p>
      <w:pPr>
        <w:pStyle w:val="ListNumber"/>
      </w:pPr>
      <w:r>
        <w:t>criterios de pertenencia y tratamiento de casos límite propuestos;</w:t>
      </w:r>
    </w:p>
    <w:p>
      <w:pPr>
        <w:pStyle w:val="ListNumber"/>
      </w:pPr>
      <w:r>
        <w:t>objeciones, desacuerdos y alternativas descartadas con sus razones;</w:t>
      </w:r>
    </w:p>
    <w:p>
      <w:pPr>
        <w:pStyle w:val="ListNumber"/>
      </w:pPr>
      <w:r>
        <w:t>limitaciones, sesgos, transferibilidad y evidencia faltante;</w:t>
      </w:r>
    </w:p>
    <w:p>
      <w:pPr>
        <w:pStyle w:val="ListNumber"/>
      </w:pPr>
      <w:r>
        <w:t>impacto esperado sobre ontología, procesos, Knowledge Graph, BOK, formularios, software, tesis y publicaciones;</w:t>
      </w:r>
    </w:p>
    <w:p>
      <w:pPr>
        <w:pStyle w:val="ListNumber"/>
      </w:pPr>
      <w:r>
        <w:t>Issues nuevos o heredados, con rama afectada y condición de cierre;</w:t>
      </w:r>
    </w:p>
    <w:p>
      <w:pPr>
        <w:pStyle w:val="ListNumber"/>
      </w:pPr>
      <w:r>
        <w:t>propuesta de decisión B2 con alcance exacto;</w:t>
      </w:r>
    </w:p>
    <w:p>
      <w:pPr>
        <w:pStyle w:val="ListNumber"/>
      </w:pPr>
      <w:r>
        <w:t>declaración del Comité sobre suficiencia del expediente y recomendación de cierre o devolución.</w:t>
      </w:r>
    </w:p>
    <w:p>
      <w:pPr>
        <w:spacing w:after="40"/>
      </w:pPr>
    </w:p>
    <w:p>
      <w:pPr>
        <w:pStyle w:val="Heading3"/>
      </w:pPr>
      <w:r>
        <w:t>8. Artefactos mínimos del handoff científico–técnico</w:t>
      </w:r>
    </w:p>
    <w:p>
      <w:pPr>
        <w:spacing w:after="40"/>
      </w:pPr>
    </w:p>
    <w:p>
      <w:r>
        <w:t>El handoff deberá acompañar el expediente con:</w:t>
      </w:r>
    </w:p>
    <w:p>
      <w:pPr>
        <w:spacing w:after="40"/>
      </w:pPr>
    </w:p>
    <w:p>
      <w:pPr>
        <w:pStyle w:val="ListBullet"/>
      </w:pPr>
      <w:r>
        <w:t>inventario de archivos y checksums;</w:t>
      </w:r>
    </w:p>
    <w:p>
      <w:pPr>
        <w:pStyle w:val="ListBullet"/>
      </w:pPr>
      <w:r>
        <w:t>tabla de identificadores candidatos;</w:t>
      </w:r>
    </w:p>
    <w:p>
      <w:pPr>
        <w:pStyle w:val="ListBullet"/>
      </w:pPr>
      <w:r>
        <w:t>vocabulario y definiciones propuestas;</w:t>
      </w:r>
    </w:p>
    <w:p>
      <w:pPr>
        <w:pStyle w:val="ListBullet"/>
      </w:pPr>
      <w:r>
        <w:t>matriz elemento–evidencia–propuesta de decisión;</w:t>
      </w:r>
    </w:p>
    <w:p>
      <w:pPr>
        <w:pStyle w:val="ListBullet"/>
      </w:pPr>
      <w:r>
        <w:t>mapa candidato hacia la ontología D-006, sin modificarla;</w:t>
      </w:r>
    </w:p>
    <w:p>
      <w:pPr>
        <w:pStyle w:val="ListBullet"/>
      </w:pPr>
      <w:r>
        <w:t>mapa candidato hacia los procesos aprobados en B1;</w:t>
      </w:r>
    </w:p>
    <w:p>
      <w:pPr>
        <w:pStyle w:val="ListBullet"/>
      </w:pPr>
      <w:r>
        <w:t>jerarquías y relaciones candidatas expresadas de forma auditable;</w:t>
      </w:r>
    </w:p>
    <w:p>
      <w:pPr>
        <w:pStyle w:val="ListBullet"/>
      </w:pPr>
      <w:r>
        <w:t>casos límite y estados no resueltos;</w:t>
      </w:r>
    </w:p>
    <w:p>
      <w:pPr>
        <w:pStyle w:val="ListBullet"/>
      </w:pPr>
      <w:r>
        <w:t>dependencias e impactos documentales;</w:t>
      </w:r>
    </w:p>
    <w:p>
      <w:pPr>
        <w:pStyle w:val="ListBullet"/>
      </w:pPr>
      <w:r>
        <w:t>historial de revisiones y respuesta a observaciones previas, si existen.</w:t>
      </w:r>
    </w:p>
    <w:p>
      <w:pPr>
        <w:spacing w:after="40"/>
      </w:pPr>
    </w:p>
    <w:p>
      <w:pPr>
        <w:pStyle w:val="Heading3"/>
      </w:pPr>
      <w:r>
        <w:t>9. Criterios de aceptación técnica del handoff</w:t>
      </w:r>
    </w:p>
    <w:p>
      <w:pPr>
        <w:spacing w:after="40"/>
      </w:pPr>
    </w:p>
    <w:p>
      <w:r>
        <w:t>La Oficina Técnica verificará exclusivamente:</w:t>
      </w:r>
    </w:p>
    <w:p>
      <w:pPr>
        <w:spacing w:after="40"/>
      </w:pPr>
    </w:p>
    <w:p>
      <w:pPr>
        <w:pStyle w:val="ListBullet"/>
      </w:pPr>
      <w:r>
        <w:t>completitud de los campos contractuales;</w:t>
      </w:r>
    </w:p>
    <w:p>
      <w:pPr>
        <w:pStyle w:val="ListBullet"/>
      </w:pPr>
      <w:r>
        <w:t>identidad, unicidad y estabilidad de los identificadores;</w:t>
      </w:r>
    </w:p>
    <w:p>
      <w:pPr>
        <w:pStyle w:val="ListBullet"/>
      </w:pPr>
      <w:r>
        <w:t>trazabilidad bidireccional entre propuesta, evidencia y decisión;</w:t>
      </w:r>
    </w:p>
    <w:p>
      <w:pPr>
        <w:pStyle w:val="ListBullet"/>
      </w:pPr>
      <w:r>
        <w:t>separación explícita entre metamodelo, tipos e instancias;</w:t>
      </w:r>
    </w:p>
    <w:p>
      <w:pPr>
        <w:pStyle w:val="ListBullet"/>
      </w:pPr>
      <w:r>
        <w:t>ausencia de jerarquías circulares o referencias huérfanas en la representación entregada;</w:t>
      </w:r>
    </w:p>
    <w:p>
      <w:pPr>
        <w:pStyle w:val="ListBullet"/>
      </w:pPr>
      <w:r>
        <w:t>cardinalidades y relaciones declaradas sin ambigüedad técnica;</w:t>
      </w:r>
    </w:p>
    <w:p>
      <w:pPr>
        <w:pStyle w:val="ListBullet"/>
      </w:pPr>
      <w:r>
        <w:t>consistencia terminológica interna;</w:t>
      </w:r>
    </w:p>
    <w:p>
      <w:pPr>
        <w:pStyle w:val="ListBullet"/>
      </w:pPr>
      <w:r>
        <w:t>compatibilidad representacional con formularios manuales, software y Knowledge Graph;</w:t>
      </w:r>
    </w:p>
    <w:p>
      <w:pPr>
        <w:pStyle w:val="ListBullet"/>
      </w:pPr>
      <w:r>
        <w:t>correspondencia con las entradas aprobadas de B1;</w:t>
      </w:r>
    </w:p>
    <w:p>
      <w:pPr>
        <w:pStyle w:val="ListBullet"/>
      </w:pPr>
      <w:r>
        <w:t>registro selectivo de dependencias no resueltas;</w:t>
      </w:r>
    </w:p>
    <w:p>
      <w:pPr>
        <w:pStyle w:val="ListBullet"/>
      </w:pPr>
      <w:r>
        <w:t>ausencia de promoción normativa previa a la aprobación.</w:t>
      </w:r>
    </w:p>
    <w:p>
      <w:pPr>
        <w:spacing w:after="40"/>
      </w:pPr>
    </w:p>
    <w:p>
      <w:r>
        <w:t>La aceptación técnica no equivale a validación científica ni aprobación directiva.</w:t>
      </w:r>
    </w:p>
    <w:p>
      <w:pPr>
        <w:spacing w:after="40"/>
      </w:pPr>
    </w:p>
    <w:p>
      <w:pPr>
        <w:pStyle w:val="Heading3"/>
      </w:pPr>
      <w:r>
        <w:t>10. Blockers iniciales</w:t>
      </w:r>
    </w:p>
    <w:p>
      <w:pPr>
        <w:spacing w:after="40"/>
      </w:pPr>
    </w:p>
    <w:p>
      <w:pPr>
        <w:spacing w:after="20" w:line="240" w:lineRule="auto"/>
      </w:pPr>
      <w:r>
        <w:rPr>
          <w:rFonts w:ascii="Consolas" w:hAnsi="Consolas"/>
          <w:sz w:val="14"/>
        </w:rPr>
        <w:t>| Bloqueador | Rama afectada | Impacto | Condición de desbloqueo |</w:t>
      </w:r>
    </w:p>
    <w:p>
      <w:pPr>
        <w:spacing w:after="20" w:line="240" w:lineRule="auto"/>
      </w:pPr>
      <w:r>
        <w:rPr>
          <w:rFonts w:ascii="Consolas" w:hAnsi="Consolas"/>
          <w:sz w:val="14"/>
        </w:rPr>
        <w:t>|---|---|---|---|</w:t>
      </w:r>
    </w:p>
    <w:p>
      <w:pPr>
        <w:spacing w:after="20" w:line="240" w:lineRule="auto"/>
      </w:pPr>
      <w:r>
        <w:rPr>
          <w:rFonts w:ascii="Consolas" w:hAnsi="Consolas"/>
          <w:sz w:val="14"/>
        </w:rPr>
        <w:t>| D-008 sin ratificación normativa | Resuelto | Entrada oficial disponible | `GOEI-DIR-RES-0001` |</w:t>
      </w:r>
    </w:p>
    <w:p>
      <w:pPr>
        <w:spacing w:after="20" w:line="240" w:lineRule="auto"/>
      </w:pPr>
      <w:r>
        <w:rPr>
          <w:rFonts w:ascii="Consolas" w:hAnsi="Consolas"/>
          <w:sz w:val="14"/>
        </w:rPr>
        <w:t>| B1 sin cierre directivo | Resuelto | Pregunta nuclear cerrada | `GOEI-DIR-RES-0001` |</w:t>
      </w:r>
    </w:p>
    <w:p>
      <w:pPr>
        <w:spacing w:after="20" w:line="240" w:lineRule="auto"/>
      </w:pPr>
      <w:r>
        <w:rPr>
          <w:rFonts w:ascii="Consolas" w:hAnsi="Consolas"/>
          <w:sz w:val="14"/>
        </w:rPr>
        <w:t>| Integración técnica B1 pendiente | Resuelto | Entradas versionadas consumibles | `GOEI-BSL-PROC-0001 v0.1.0` |</w:t>
      </w:r>
    </w:p>
    <w:p>
      <w:pPr>
        <w:spacing w:after="20" w:line="240" w:lineRule="auto"/>
      </w:pPr>
      <w:r>
        <w:rPr>
          <w:rFonts w:ascii="Consolas" w:hAnsi="Consolas"/>
          <w:sz w:val="14"/>
        </w:rPr>
        <w:t>| Issues críticos B1 sin disposición | Solo ramas dependientes | Puede dejar alcance o conceptos sin base aprobada | Cierre, aceptación de riesgo o disposición formal |</w:t>
      </w:r>
    </w:p>
    <w:p>
      <w:pPr>
        <w:spacing w:after="20" w:line="240" w:lineRule="auto"/>
      </w:pPr>
      <w:r>
        <w:rPr>
          <w:rFonts w:ascii="Consolas" w:hAnsi="Consolas"/>
          <w:sz w:val="14"/>
        </w:rPr>
        <w:t>| Entradas de alcance/unidad de análisis no vinculadas | Delimitación del expediente | Impide auditar cobertura y pertenencia | Referencias oficiales registradas |</w:t>
      </w:r>
    </w:p>
    <w:p>
      <w:pPr>
        <w:spacing w:after="40"/>
      </w:pPr>
    </w:p>
    <w:p>
      <w:r>
        <w:t>Todo bloqueador adicional detectado deberá registrarse como Issue. Se detendrá únicamente la rama materialmente dependiente.</w:t>
      </w:r>
    </w:p>
    <w:p>
      <w:pPr>
        <w:spacing w:after="40"/>
      </w:pPr>
    </w:p>
    <w:p>
      <w:pPr>
        <w:pStyle w:val="Heading3"/>
      </w:pPr>
      <w:r>
        <w:t>11. Resultado permitido de la auditoría técnica</w:t>
      </w:r>
    </w:p>
    <w:p>
      <w:pPr>
        <w:spacing w:after="40"/>
      </w:pPr>
    </w:p>
    <w:p>
      <w:r>
        <w:t>La Oficina Técnica emitirá uno de estos resultados:</w:t>
      </w:r>
    </w:p>
    <w:p>
      <w:pPr>
        <w:spacing w:after="40"/>
      </w:pPr>
    </w:p>
    <w:p>
      <w:pPr>
        <w:pStyle w:val="ListBullet"/>
      </w:pPr>
      <w:r>
        <w:t>aceptable para decisión: expediente formalmente completo y trazable;</w:t>
      </w:r>
    </w:p>
    <w:p>
      <w:pPr>
        <w:pStyle w:val="ListBullet"/>
      </w:pPr>
      <w:r>
        <w:t>devolver por defecto formal: faltan elementos corregibles sin decisión científica nueva;</w:t>
      </w:r>
    </w:p>
    <w:p>
      <w:pPr>
        <w:pStyle w:val="ListBullet"/>
      </w:pPr>
      <w:r>
        <w:t>no auditable: no es posible reconstruir identidad, evidencia, propuesta o dependencias.</w:t>
      </w:r>
    </w:p>
    <w:p>
      <w:pPr>
        <w:spacing w:after="40"/>
      </w:pPr>
    </w:p>
    <w:p>
      <w:r>
        <w:t>Ninguno de estos resultados aprueba la taxonomía.</w:t>
      </w:r>
    </w:p>
    <w:p>
      <w:pPr>
        <w:spacing w:after="40"/>
      </w:pPr>
    </w:p>
    <w:p>
      <w:pPr>
        <w:pStyle w:val="Heading3"/>
      </w:pPr>
      <w:r>
        <w:t>12. Criterios de handoff a decisión</w:t>
      </w:r>
    </w:p>
    <w:p>
      <w:pPr>
        <w:spacing w:after="40"/>
      </w:pPr>
    </w:p>
    <w:p>
      <w:r>
        <w:t>El expediente solo podrá elevarse a la Dirección General cuando:</w:t>
      </w:r>
    </w:p>
    <w:p>
      <w:pPr>
        <w:spacing w:after="40"/>
      </w:pPr>
    </w:p>
    <w:p>
      <w:pPr>
        <w:pStyle w:val="ListNumber"/>
      </w:pPr>
      <w:r>
        <w:t>todas las entradas obligatorias estén identificadas y versionadas;</w:t>
      </w:r>
    </w:p>
    <w:p>
      <w:pPr>
        <w:pStyle w:val="ListNumber"/>
      </w:pPr>
      <w:r>
        <w:t>el Comité haya declarado finalizada su revisión para esta versión;</w:t>
      </w:r>
    </w:p>
    <w:p>
      <w:pPr>
        <w:pStyle w:val="ListNumber"/>
      </w:pPr>
      <w:r>
        <w:t>cada elemento candidato sea trazable a evidencia y a una propuesta de decisión;</w:t>
      </w:r>
    </w:p>
    <w:p>
      <w:pPr>
        <w:pStyle w:val="ListNumber"/>
      </w:pPr>
      <w:r>
        <w:t>las limitaciones y preguntas abiertas estén registradas;</w:t>
      </w:r>
    </w:p>
    <w:p>
      <w:pPr>
        <w:pStyle w:val="ListNumber"/>
      </w:pPr>
      <w:r>
        <w:t>los cambios potenciales a baselines estén vinculados a Issues formales;</w:t>
      </w:r>
    </w:p>
    <w:p>
      <w:pPr>
        <w:pStyle w:val="ListNumber"/>
      </w:pPr>
      <w:r>
        <w:t>la auditoría técnica determine aceptable para decisión;</w:t>
      </w:r>
    </w:p>
    <w:p>
      <w:pPr>
        <w:pStyle w:val="ListNumber"/>
      </w:pPr>
      <w:r>
        <w:t>exista análisis de impacto sobre componentes dependientes.</w:t>
      </w:r>
    </w:p>
    <w:p>
      <w:pPr>
        <w:spacing w:after="40"/>
      </w:pPr>
    </w:p>
    <w:p>
      <w:pPr>
        <w:pStyle w:val="Heading3"/>
      </w:pPr>
      <w:r>
        <w:t>13. Criterios posteriores de cierre B2</w:t>
      </w:r>
    </w:p>
    <w:p>
      <w:pPr>
        <w:spacing w:after="40"/>
      </w:pPr>
    </w:p>
    <w:p>
      <w:r>
        <w:t>B2 solo podrá declararse cerrada después de:</w:t>
      </w:r>
    </w:p>
    <w:p>
      <w:pPr>
        <w:spacing w:after="40"/>
      </w:pPr>
    </w:p>
    <w:p>
      <w:pPr>
        <w:pStyle w:val="ListBullet"/>
      </w:pPr>
      <w:r>
        <w:t>decisión directiva explícita de aprobación y cierre;</w:t>
      </w:r>
    </w:p>
    <w:p>
      <w:pPr>
        <w:pStyle w:val="ListBullet"/>
      </w:pPr>
      <w:r>
        <w:t>registro de la decisión en los registros maestros;</w:t>
      </w:r>
    </w:p>
    <w:p>
      <w:pPr>
        <w:pStyle w:val="ListBullet"/>
      </w:pPr>
      <w:r>
        <w:t>integración técnica fiel del contenido aprobado;</w:t>
      </w:r>
    </w:p>
    <w:p>
      <w:pPr>
        <w:pStyle w:val="ListBullet"/>
      </w:pPr>
      <w:r>
        <w:t>asignación de versión y baseline cuando corresponda;</w:t>
      </w:r>
    </w:p>
    <w:p>
      <w:pPr>
        <w:pStyle w:val="ListBullet"/>
      </w:pPr>
      <w:r>
        <w:t>actualización controlada de Knowledge Graph, BOK y trazabilidad;</w:t>
      </w:r>
    </w:p>
    <w:p>
      <w:pPr>
        <w:pStyle w:val="ListBullet"/>
      </w:pPr>
      <w:r>
        <w:t>validación de integridad del repositorio;</w:t>
      </w:r>
    </w:p>
    <w:p>
      <w:pPr>
        <w:pStyle w:val="ListBullet"/>
      </w:pPr>
      <w:r>
        <w:t>disposición de los Issues críticos de B2.</w:t>
      </w:r>
    </w:p>
    <w:p>
      <w:pPr>
        <w:spacing w:after="40"/>
      </w:pPr>
    </w:p>
    <w:p>
      <w:r>
        <w:t>Solo entonces podrá habilitarse B3. La existencia de este paquete, del expediente o de una recomendación científica no satisface el cierre.</w:t>
      </w:r>
    </w:p>
    <w:p>
      <w:pPr>
        <w:spacing w:after="40"/>
      </w:pPr>
    </w:p>
    <w:p>
      <w:pPr>
        <w:pStyle w:val="Heading3"/>
      </w:pPr>
      <w:r>
        <w:t>14. Registro de activación</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de habilitación | 2026-08-04 |</w:t>
      </w:r>
    </w:p>
    <w:p>
      <w:pPr>
        <w:spacing w:after="20" w:line="240" w:lineRule="auto"/>
      </w:pPr>
      <w:r>
        <w:rPr>
          <w:rFonts w:ascii="Consolas" w:hAnsi="Consolas"/>
          <w:sz w:val="14"/>
        </w:rPr>
        <w:t>| Decisión habilitante | `GOEI-DIR-RES-0001` bajo `GOEI-DIR-0004` |</w:t>
      </w:r>
    </w:p>
    <w:p>
      <w:pPr>
        <w:spacing w:after="20" w:line="240" w:lineRule="auto"/>
      </w:pPr>
      <w:r>
        <w:rPr>
          <w:rFonts w:ascii="Consolas" w:hAnsi="Consolas"/>
          <w:sz w:val="14"/>
        </w:rPr>
        <w:t>| Responsable del cambio de estado | Oficina Técnica GOEI por delegación directiva |</w:t>
      </w:r>
    </w:p>
    <w:p>
      <w:pPr>
        <w:spacing w:after="20" w:line="240" w:lineRule="auto"/>
      </w:pPr>
      <w:r>
        <w:rPr>
          <w:rFonts w:ascii="Consolas" w:hAnsi="Consolas"/>
          <w:sz w:val="14"/>
        </w:rPr>
        <w:t>| Entradas verificadas por | Oficina Técnica GOEI; controles de repositorio y roadmap conformes |</w:t>
      </w:r>
    </w:p>
    <w:p>
      <w:pPr>
        <w:spacing w:after="20" w:line="240" w:lineRule="auto"/>
      </w:pPr>
      <w:r>
        <w:rPr>
          <w:rFonts w:ascii="Consolas" w:hAnsi="Consolas"/>
          <w:sz w:val="14"/>
        </w:rPr>
        <w:t>| Estado resultante | Cerrado; B2 integrada en alcance nuclear |</w:t>
      </w:r>
    </w:p>
    <w:p>
      <w:pPr>
        <w:spacing w:after="20" w:line="240" w:lineRule="auto"/>
      </w:pPr>
      <w:r>
        <w:rPr>
          <w:rFonts w:ascii="Consolas" w:hAnsi="Consolas"/>
          <w:sz w:val="14"/>
        </w:rPr>
        <w:t>| Observaciones | D-017 ratificada con promoción limitada; `GOEI-BSL-TAX-0001 v0.1.0`; ISS-008/054 mantienen bloqueos selectivos |</w:t>
      </w:r>
    </w:p>
    <w:p>
      <w:r>
        <w:br w:type="page"/>
      </w:r>
    </w:p>
    <w:p>
      <w:pPr>
        <w:pStyle w:val="Heading1"/>
        <w:keepNext/>
      </w:pPr>
      <w:r>
        <w:t>Fuente 19: 00_Gobernanza/coordinacion/cola_tecnica/README.md</w:t>
      </w:r>
    </w:p>
    <w:p>
      <w:pPr>
        <w:spacing w:after="200"/>
      </w:pPr>
      <w:r>
        <w:rPr>
          <w:rFonts w:ascii="Consolas" w:hAnsi="Consolas"/>
          <w:color w:val="595959"/>
          <w:sz w:val="16"/>
        </w:rPr>
        <w:t>Ruta: 00_Gobernanza/coordinacion/cola_tecnica/README.md</w:t>
        <w:br/>
        <w:t>Tamaño: 445 bytes</w:t>
        <w:br/>
        <w:t>SHA-256: 192f7d609aee3d31bb7d78b18f15b766551f8de04b9e58fab988295285afe47e</w:t>
      </w:r>
    </w:p>
    <w:p>
      <w:pPr>
        <w:pStyle w:val="Heading2"/>
      </w:pPr>
      <w:r>
        <w:t>Cola técnica GOEI</w:t>
      </w:r>
    </w:p>
    <w:p>
      <w:pPr>
        <w:spacing w:after="40"/>
      </w:pPr>
    </w:p>
    <w:p>
      <w:r>
        <w:t>Solo ingresan decisiones científicas aprobadas y expedientes completos. Cada ítem debe indicar decisión, componentes objetivo, dependencias, versión objetivo, pruebas y responsable técnico.</w:t>
      </w:r>
    </w:p>
    <w:p>
      <w:pPr>
        <w:spacing w:after="40"/>
      </w:pPr>
    </w:p>
    <w:p>
      <w:pPr>
        <w:pStyle w:val="Heading3"/>
      </w:pPr>
      <w:r>
        <w:t>Estado actual</w:t>
      </w:r>
    </w:p>
    <w:p>
      <w:pPr>
        <w:spacing w:after="40"/>
      </w:pPr>
    </w:p>
    <w:p>
      <w:r>
        <w:t>No existe un nuevo expediente listo para integración normativa posterior a Ontology Baseline v0.1. B1 fue recibido, pero D-008 y el cierre directivo siguen pendientes; por tanto permanece fuera de esta cola.</w:t>
      </w:r>
    </w:p>
    <w:p>
      <w:r>
        <w:br w:type="page"/>
      </w:r>
    </w:p>
    <w:p>
      <w:pPr>
        <w:pStyle w:val="Heading1"/>
        <w:keepNext/>
      </w:pPr>
      <w:r>
        <w:t>Fuente 20: 00_Gobernanza/coordinacion/decisiones_cientificas/GTRM/DS_GTRM_01_Entrada.md</w:t>
      </w:r>
    </w:p>
    <w:p>
      <w:pPr>
        <w:spacing w:after="200"/>
      </w:pPr>
      <w:r>
        <w:rPr>
          <w:rFonts w:ascii="Consolas" w:hAnsi="Consolas"/>
          <w:color w:val="595959"/>
          <w:sz w:val="16"/>
        </w:rPr>
        <w:t>Ruta: 00_Gobernanza/coordinacion/decisiones_cientificas/GTRM/DS_GTRM_01_Entrada.md</w:t>
        <w:br/>
        <w:t>Tamaño: 5732 bytes</w:t>
        <w:br/>
        <w:t>SHA-256: 5b451a7b73ebe4a7e3a0cb759412252ddf95815a0201d15709a4de734788c5a0</w:t>
      </w:r>
    </w:p>
    <w:p>
      <w:pPr>
        <w:pStyle w:val="Heading2"/>
      </w:pPr>
      <w:r>
        <w:t>DS-GTRM-01 — Naturaleza y entrada de la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GOEI-DS-GTRM-01-0001 |</w:t>
      </w:r>
    </w:p>
    <w:p>
      <w:pPr>
        <w:spacing w:after="20" w:line="240" w:lineRule="auto"/>
      </w:pPr>
      <w:r>
        <w:rPr>
          <w:rFonts w:ascii="Consolas" w:hAnsi="Consolas"/>
          <w:sz w:val="14"/>
        </w:rPr>
        <w:t>| Slot de origen | DS-GTRM-01 |</w:t>
      </w:r>
    </w:p>
    <w:p>
      <w:pPr>
        <w:spacing w:after="20" w:line="240" w:lineRule="auto"/>
      </w:pPr>
      <w:r>
        <w:rPr>
          <w:rFonts w:ascii="Consolas" w:hAnsi="Consolas"/>
          <w:sz w:val="14"/>
        </w:rPr>
        <w:t>| Identificador de decisión | D-009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D-009; no habilita instancias GTRM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¿La GTRM actúa sobre la observación, sobre la medición registrada o sobre el valor de KPI?</w:t>
      </w:r>
    </w:p>
    <w:p>
      <w:r>
        <w:t>Incluye: definir el objeto de entrada de la transformación GTRM en la cadena de procedencia.</w:t>
      </w:r>
    </w:p>
    <w:p>
      <w:r>
        <w:t>Excluye: definir la forma de la función, la normalización, la referencia, los parámetros o cualquier KPI concreto.</w:t>
      </w:r>
    </w:p>
    <w:p>
      <w:r>
        <w:t>Conceptos de D-006 usados sin modificación: Observación (ocurrente, anclada AX-11: entidad-proceso-evento-periodo), Medición/valor crudo, Valor de KPI (token de una definición de KPI), distinción type/token, tres estratos (Realidad/Norma/Datos).</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Actuar sobre la **observación** cruda | Cercana al fenómeno | Mezcla captura con puntuación; impide auditar el dato crudo; viola la separación observación→valor | Rechazada |</w:t>
      </w:r>
    </w:p>
    <w:p>
      <w:pPr>
        <w:spacing w:after="20" w:line="240" w:lineRule="auto"/>
      </w:pPr>
      <w:r>
        <w:rPr>
          <w:rFonts w:ascii="Consolas" w:hAnsi="Consolas"/>
          <w:sz w:val="14"/>
        </w:rPr>
        <w:t>| ALT-02 | Actuar sobre la **medición registrada** aislada | Dato persistente y trazable | Una medición aislada no es aún el KPI; muchos KPI derivan de varias mediciones | Rechazada |</w:t>
      </w:r>
    </w:p>
    <w:p>
      <w:pPr>
        <w:spacing w:after="20" w:line="240" w:lineRule="auto"/>
      </w:pPr>
      <w:r>
        <w:rPr>
          <w:rFonts w:ascii="Consolas" w:hAnsi="Consolas"/>
          <w:sz w:val="14"/>
        </w:rPr>
        <w:t>| ALT-03 | Actuar sobre el **valor de KPI** derivado de mediciones registradas | Preserva la cadena de procedencia; objeto puntuable inequívoco | Requiere que la regla de derivación del KPI esté versionada | **Adoptada** |</w:t>
      </w:r>
    </w:p>
    <w:p>
      <w:pPr>
        <w:spacing w:after="20" w:line="240" w:lineRule="auto"/>
      </w:pPr>
      <w:r>
        <w:rPr>
          <w:rFonts w:ascii="Consolas" w:hAnsi="Consolas"/>
          <w:sz w:val="14"/>
        </w:rPr>
        <w:t>| ALT-04 | No incorporar / mantener estado actual | Sin costo | Deja sin resolver la procedencia del puntaje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metodológica | Nardo, M., Saisana, M., Saltelli, A., &amp; Tarantola, S. (2008). *Handbook on constructing composite indicators*. OECD. | https://doi.org/10.1787/9789264043466-en | La transformación opera sobre indicadores ya definidos, no sobre datos sin definición |</w:t>
      </w:r>
    </w:p>
    <w:p>
      <w:pPr>
        <w:spacing w:after="20" w:line="240" w:lineRule="auto"/>
      </w:pPr>
      <w:r>
        <w:rPr>
          <w:rFonts w:ascii="Consolas" w:hAnsi="Consolas"/>
          <w:sz w:val="14"/>
        </w:rPr>
        <w:t>| Evidencia bibliográfica | Keeney, R. L., &amp; Raiffa, H. (1976). *Decisions with multiple objectives*. Wiley. | (reimpr. Cambridge Univ. Press, 1993) | Las funciones de valor mapean el **desempeño en un atributo** (valor del criterio), no la observación bruta |</w:t>
      </w:r>
    </w:p>
    <w:p>
      <w:pPr>
        <w:spacing w:after="20" w:line="240" w:lineRule="auto"/>
      </w:pPr>
      <w:r>
        <w:rPr>
          <w:rFonts w:ascii="Consolas" w:hAnsi="Consolas"/>
          <w:sz w:val="14"/>
        </w:rPr>
        <w:t>| Decisión propia (hecho de proyecto) | D-006/D-006-REV, ontología vigente | Archivo canónico | *Valor de KPI* es el token puntuable; *Observación* y *medición* son insumos |</w:t>
      </w:r>
    </w:p>
    <w:p>
      <w:pPr>
        <w:spacing w:after="40"/>
      </w:pPr>
    </w:p>
    <w:p>
      <w:r>
        <w:t>Clasificación: norma (OECD/JRC), evidencia bibliográfica (MCDA), hecho de proyecto (D-006).</w:t>
      </w:r>
    </w:p>
    <w:p>
      <w:pPr>
        <w:spacing w:after="40"/>
      </w:pPr>
    </w:p>
    <w:p>
      <w:pPr>
        <w:pStyle w:val="Heading3"/>
      </w:pPr>
      <w:r>
        <w:t>4. Análisis científico</w:t>
      </w:r>
    </w:p>
    <w:p>
      <w:r>
        <w:t>Método: análisis ontológico de la cadena de procedencia y comparación con la práctica MCDA de funciones de valor.</w:t>
      </w:r>
    </w:p>
    <w:p>
      <w:r>
        <w:t>Incertidumbre y sesgos: la incertidumbre de entrada proviene de la medición y de la regla de derivación del KPI (se trata en DS-GTRM-05); riesgo de sesgo si se puntúa una medición aislada como si fuera el KPI.</w:t>
      </w:r>
    </w:p>
    <w:p>
      <w:r>
        <w:t>Comparabilidad/reproducibilidad: fijar el objeto en el valor de KPI garantiza que dos evaluadores puntúen el mismo objeto trazable.</w:t>
      </w:r>
    </w:p>
    <w:p>
      <w:pPr>
        <w:spacing w:after="40"/>
      </w:pPr>
    </w:p>
    <w:p>
      <w:pPr>
        <w:pStyle w:val="Heading3"/>
      </w:pPr>
      <w:r>
        <w:t>5. Decisión propuesta</w:t>
      </w:r>
    </w:p>
    <w:p>
      <w:r>
        <w:t>Disposición: adoptar ALT-03.</w:t>
      </w:r>
    </w:p>
    <w:p>
      <w:r>
        <w:t>Texto inequívoco: La GTRM actúa sobre el valor de KPI (token derivado de una o más mediciones registradas mediante una definición y regla de cálculo versionadas), no sobre la observación cruda ni sobre una medición registrada aislada.</w:t>
      </w:r>
    </w:p>
    <w:p>
      <w:r>
        <w:t>Justificación (separada de la evidencia): solo el valor de KPI es el objeto puntuable inequívoco del estándar; anclar la GTRM antes de ese punto rompería la auditabilidad del dato crudo y confundiría captura con puntuación.</w:t>
      </w:r>
    </w:p>
    <w:p>
      <w:r>
        <w:t>Qué no decide este acto: no define la función, la referencia, la normalización ni ningún KPI.</w:t>
      </w:r>
    </w:p>
    <w:p>
      <w:pPr>
        <w:spacing w:after="40"/>
      </w:pPr>
    </w:p>
    <w:p>
      <w:pPr>
        <w:pStyle w:val="Heading3"/>
      </w:pPr>
      <w:r>
        <w:t>6. Limitaciones, vigencia y pendientes</w:t>
      </w:r>
    </w:p>
    <w:p>
      <w:r>
        <w:t>Limitaciones: presupone que la regla de derivación de cada KPI estará versionada (dependencia de B4/B5).</w:t>
      </w:r>
    </w:p>
    <w:p>
      <w:r>
        <w:t>Incertidumbre/supuestos: se asume trazabilidad AX-11 de las mediciones que alimentan el valor.</w:t>
      </w:r>
    </w:p>
    <w:p>
      <w:r>
        <w:t>Preguntas abiertas / Issues: formalizar en B5 la separación captura→registro→valor (Issue sucesor).</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Ontología D-006 | Sin cambio (usa entidades vigentes); posible ampliación futura vía Issue | Issue específico obligatorio |</w:t>
      </w:r>
    </w:p>
    <w:p>
      <w:pPr>
        <w:spacing w:after="20" w:line="240" w:lineRule="auto"/>
      </w:pPr>
      <w:r>
        <w:rPr>
          <w:rFonts w:ascii="Consolas" w:hAnsi="Consolas"/>
          <w:sz w:val="14"/>
        </w:rPr>
        <w:t>| B5 medición | Reescribir para separar captura/registro/valor KPI | B5 |</w:t>
      </w:r>
    </w:p>
    <w:p>
      <w:pPr>
        <w:spacing w:after="20" w:line="240" w:lineRule="auto"/>
      </w:pPr>
      <w:r>
        <w:rPr>
          <w:rFonts w:ascii="Consolas" w:hAnsi="Consolas"/>
          <w:sz w:val="14"/>
        </w:rPr>
        <w:t>| B6 normalización | Recibe el valor de KPI como entrada | DS-GTRM-02 |</w:t>
      </w:r>
    </w:p>
    <w:p>
      <w:pPr>
        <w:spacing w:after="20" w:line="240" w:lineRule="auto"/>
      </w:pPr>
      <w:r>
        <w:rPr>
          <w:rFonts w:ascii="Consolas" w:hAnsi="Consolas"/>
          <w:sz w:val="14"/>
        </w:rPr>
        <w:t>| Formularios/manual | El evaluador registra medición → calcula valor KPI → consulta GTRM | — |</w:t>
      </w:r>
    </w:p>
    <w:p>
      <w:pPr>
        <w:spacing w:after="20" w:line="240" w:lineRule="auto"/>
      </w:pPr>
      <w:r>
        <w:rPr>
          <w:rFonts w:ascii="Consolas" w:hAnsi="Consolas"/>
          <w:sz w:val="14"/>
        </w:rPr>
        <w:t>| Software | Igual contrato de entrada | — |</w:t>
      </w:r>
    </w:p>
    <w:p>
      <w:pPr>
        <w:spacing w:after="40"/>
      </w:pPr>
    </w:p>
    <w:p>
      <w:r>
        <w:t>Efecto papel–software: idéntico objeto de entrada (valor de KPI) en ambos medios.</w:t>
      </w:r>
    </w:p>
    <w:p>
      <w:r>
        <w:t>Efecto histórico: ninguno si se adopta antes de emitir GTRM reales.</w:t>
      </w:r>
    </w:p>
    <w:p>
      <w:pPr>
        <w:spacing w:after="40"/>
      </w:pPr>
    </w:p>
    <w:p>
      <w:pPr>
        <w:pStyle w:val="Heading3"/>
      </w:pPr>
      <w:r>
        <w:t>8. Recomendación de integración</w:t>
      </w:r>
    </w:p>
    <w:p>
      <w:r>
        <w:t>Recomendar incorporación como contrato de entrada después de auditoría técnica y aprobación competente. No crea versión ni baseline.</w:t>
      </w:r>
    </w:p>
    <w:p>
      <w:pPr>
        <w:spacing w:after="40"/>
      </w:pPr>
    </w:p>
    <w:p>
      <w:pPr>
        <w:pStyle w:val="Heading3"/>
      </w:pPr>
      <w:r>
        <w:t>9. Controles</w:t>
      </w:r>
    </w:p>
    <w:p>
      <w:r>
        <w:t>Pregunta y alcance inequívocos; alternativas incluida la de no incorporar; evidencia clasificada; decisión separada de justificación; incertidumbre declarada; dependencias documentadas; papel y software considerados; D-006 no editada; preguntas abiertas convertidas en Issue; recomendación explícita.</w:t>
      </w:r>
    </w:p>
    <w:p>
      <w:r>
        <w:t>Fecha efectiva: al ratificarse · Autoridad científica: Comité Científico GOEI.</w:t>
      </w:r>
    </w:p>
    <w:p>
      <w:r>
        <w:br w:type="page"/>
      </w:r>
    </w:p>
    <w:p>
      <w:pPr>
        <w:pStyle w:val="Heading1"/>
        <w:keepNext/>
      </w:pPr>
      <w:r>
        <w:t>Fuente 21: 00_Gobernanza/coordinacion/decisiones_cientificas/GTRM/DS_GTRM_02_Normalizacion.md</w:t>
      </w:r>
    </w:p>
    <w:p>
      <w:pPr>
        <w:spacing w:after="200"/>
      </w:pPr>
      <w:r>
        <w:rPr>
          <w:rFonts w:ascii="Consolas" w:hAnsi="Consolas"/>
          <w:color w:val="595959"/>
          <w:sz w:val="16"/>
        </w:rPr>
        <w:t>Ruta: 00_Gobernanza/coordinacion/decisiones_cientificas/GTRM/DS_GTRM_02_Normalizacion.md</w:t>
        <w:br/>
        <w:t>Tamaño: 5317 bytes</w:t>
        <w:br/>
        <w:t>SHA-256: c19360c36e8e486e01883454fdfe46d79ac808d1d57bcfcd1baac4ce8b6dde4d</w:t>
      </w:r>
    </w:p>
    <w:p>
      <w:pPr>
        <w:pStyle w:val="Heading2"/>
      </w:pPr>
      <w:r>
        <w:t>DS-GTRM-02 — Resultado y normalización</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GOEI-DS-GTRM-02-0001 |</w:t>
      </w:r>
    </w:p>
    <w:p>
      <w:pPr>
        <w:spacing w:after="20" w:line="240" w:lineRule="auto"/>
      </w:pPr>
      <w:r>
        <w:rPr>
          <w:rFonts w:ascii="Consolas" w:hAnsi="Consolas"/>
          <w:sz w:val="14"/>
        </w:rPr>
        <w:t>| Slot de origen | DS-GTRM-02 |</w:t>
      </w:r>
    </w:p>
    <w:p>
      <w:pPr>
        <w:spacing w:after="20" w:line="240" w:lineRule="auto"/>
      </w:pPr>
      <w:r>
        <w:rPr>
          <w:rFonts w:ascii="Consolas" w:hAnsi="Consolas"/>
          <w:sz w:val="14"/>
        </w:rPr>
        <w:t>| Identificador de decisión | D-010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D-010; contenido concreto diferido a B6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¿La GTRM es función normativa, parametrización o tabla; y produce parámetros o puntuación normalizada? ¿Existe doble normalización?</w:t>
      </w:r>
    </w:p>
    <w:p>
      <w:r>
        <w:t>Incluye: naturaleza lógica de la GTRM, su salida y su relación con el paso de normalización (B6).</w:t>
      </w:r>
    </w:p>
    <w:p>
      <w:r>
        <w:t>Excluye: la forma concreta de la función, sus coeficientes, umbrales o tolerancias.</w:t>
      </w:r>
    </w:p>
    <w:p>
      <w:r>
        <w:t>Conceptos usados: regla de normalización y condición de referencia (D-006, sin modificación); escala común 0–100 como convención de proyecto (sin fijar aquí).</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GTRM = **tabla manual** como núcleo | Simple para lápiz y papel | Reintroduce arbitrariedad ("números con portada"); sin función generadora | Rechazada |</w:t>
      </w:r>
    </w:p>
    <w:p>
      <w:pPr>
        <w:spacing w:after="20" w:line="240" w:lineRule="auto"/>
      </w:pPr>
      <w:r>
        <w:rPr>
          <w:rFonts w:ascii="Consolas" w:hAnsi="Consolas"/>
          <w:sz w:val="14"/>
        </w:rPr>
        <w:t>| ALT-02 | GTRM produce **parámetros** entregados al pipeline | Transparencia | El pipeline consume puntuaciones, no parámetros sueltos; traslada la transformación aguas abajo | Rechazada como salida |</w:t>
      </w:r>
    </w:p>
    <w:p>
      <w:pPr>
        <w:spacing w:after="20" w:line="240" w:lineRule="auto"/>
      </w:pPr>
      <w:r>
        <w:rPr>
          <w:rFonts w:ascii="Consolas" w:hAnsi="Consolas"/>
          <w:sz w:val="14"/>
        </w:rPr>
        <w:t>| ALT-03 | GTRM = **función de valor normativa parametrizada**; su aplicación **única** produce la **puntuación normalizada**; tabla/software = representaciones derivadas | Elimina doble normalización; auditable; equivalencia papel–software | Exige especificación formal de la función | **Adoptada** |</w:t>
      </w:r>
    </w:p>
    <w:p>
      <w:pPr>
        <w:spacing w:after="20" w:line="240" w:lineRule="auto"/>
      </w:pPr>
      <w:r>
        <w:rPr>
          <w:rFonts w:ascii="Consolas" w:hAnsi="Consolas"/>
          <w:sz w:val="14"/>
        </w:rPr>
        <w:t>| ALT-04 | Mantener GTRM + Sistema de Normalización como **dos** transformaciones | Ninguna | **Doble normalización**: distorsión y opacidad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metodológica | Nardo et al. (2008), OECD Handbook | https://doi.org/10.1787/9789264043466-en | La normalización es un paso único con método explícito; el doble tratamiento distorsiona |</w:t>
      </w:r>
    </w:p>
    <w:p>
      <w:pPr>
        <w:spacing w:after="20" w:line="240" w:lineRule="auto"/>
      </w:pPr>
      <w:r>
        <w:rPr>
          <w:rFonts w:ascii="Consolas" w:hAnsi="Consolas"/>
          <w:sz w:val="14"/>
        </w:rPr>
        <w:t>| Evidencia bibliográfica | von Winterfeldt, D., &amp; Edwards, W. (1986). *Decision analysis and behavioral research*. Cambridge Univ. Press. | — | La función de valor es la fuente lógica; su tabla es una representación |</w:t>
      </w:r>
    </w:p>
    <w:p>
      <w:pPr>
        <w:spacing w:after="20" w:line="240" w:lineRule="auto"/>
      </w:pPr>
      <w:r>
        <w:rPr>
          <w:rFonts w:ascii="Consolas" w:hAnsi="Consolas"/>
          <w:sz w:val="14"/>
        </w:rPr>
        <w:t>| Evidencia bibliográfica | Keeney &amp; Raiffa (1976) | (Cambridge, 1993) | La puntuación deriva de una función parametrizada, no de asignaciones ad hoc |</w:t>
      </w:r>
    </w:p>
    <w:p>
      <w:pPr>
        <w:spacing w:after="40"/>
      </w:pPr>
    </w:p>
    <w:p>
      <w:pPr>
        <w:pStyle w:val="Heading3"/>
      </w:pPr>
      <w:r>
        <w:t>4. Análisis científico</w:t>
      </w:r>
    </w:p>
    <w:p>
      <w:r>
        <w:t>Método: análisis de flujo (detección de doble transformación) + teoría de funciones de valor.</w:t>
      </w:r>
    </w:p>
    <w:p>
      <w:r>
        <w:t>Incertidumbre/sesgos: la discretización de la tabla introduce error de representación (DS-GTRM-08); la función explícita lo acota.</w:t>
      </w:r>
    </w:p>
    <w:p>
      <w:r>
        <w:t>Comparabilidad/reproducibilidad: una sola función versionada garantiza reproducibilidad; dos transformaciones la rompen.</w:t>
      </w:r>
    </w:p>
    <w:p>
      <w:pPr>
        <w:spacing w:after="40"/>
      </w:pPr>
    </w:p>
    <w:p>
      <w:pPr>
        <w:pStyle w:val="Heading3"/>
      </w:pPr>
      <w:r>
        <w:t>5. Decisión propuesta</w:t>
      </w:r>
    </w:p>
    <w:p>
      <w:r>
        <w:t>Disposición: adoptar ALT-03.</w:t>
      </w:r>
    </w:p>
    <w:p>
      <w:r>
        <w:t>Texto inequívoco: La GTRM es una función de valor normativa parametrizada (fuente lógica/especificación). Su aplicación única dentro del paso de normalización produce la puntuación normalizada del KPI (no el resultado GOEI, no parámetros como salida del pipeline). La tabla manual y el software son representaciones derivadas de la misma especificación. En consecuencia, GTRM y motor de normalización (B6) constituyen un único paso lógico: queda prohibida la doble normalización.</w:t>
      </w:r>
    </w:p>
    <w:p>
      <w:r>
        <w:t>Justificación: solo una función explícita y única evita simultáneamente la arbitrariedad (tabla sin fundamento) y la distorsión (doble transformación).</w:t>
      </w:r>
    </w:p>
    <w:p>
      <w:r>
        <w:t>Qué no decide: no fija la forma funcional, los parámetros ni la escala numérica (competencia de B6 con evidencia).</w:t>
      </w:r>
    </w:p>
    <w:p>
      <w:pPr>
        <w:spacing w:after="40"/>
      </w:pPr>
    </w:p>
    <w:p>
      <w:pPr>
        <w:pStyle w:val="Heading3"/>
      </w:pPr>
      <w:r>
        <w:t>6. Limitaciones, vigencia y pendientes</w:t>
      </w:r>
    </w:p>
    <w:p>
      <w:r>
        <w:t>Limitaciones: requiere que B6 se rediseñe para consumir la especificación GTRM como parametrización de una única normalización.</w:t>
      </w:r>
    </w:p>
    <w:p>
      <w:r>
        <w:t>Preguntas abiertas: formas funcionales admisibles y su justificación → Issue en B6.</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B6 normalización | **Reescribir**: una sola función, GTRM como especificación gobernada | B6 |</w:t>
      </w:r>
    </w:p>
    <w:p>
      <w:pPr>
        <w:spacing w:after="20" w:line="240" w:lineRule="auto"/>
      </w:pPr>
      <w:r>
        <w:rPr>
          <w:rFonts w:ascii="Consolas" w:hAnsi="Consolas"/>
          <w:sz w:val="14"/>
        </w:rPr>
        <w:t>| Ponderación/agregación | Sin cambio; consume solo puntuaciones normalizadas válidas | — |</w:t>
      </w:r>
    </w:p>
    <w:p>
      <w:pPr>
        <w:spacing w:after="20" w:line="240" w:lineRule="auto"/>
      </w:pPr>
      <w:r>
        <w:rPr>
          <w:rFonts w:ascii="Consolas" w:hAnsi="Consolas"/>
          <w:sz w:val="14"/>
        </w:rPr>
        <w:t>| Ontología | Ampliación futura (artefacto GTRM) vía Issue | Issue |</w:t>
      </w:r>
    </w:p>
    <w:p>
      <w:pPr>
        <w:spacing w:after="20" w:line="240" w:lineRule="auto"/>
      </w:pPr>
      <w:r>
        <w:rPr>
          <w:rFonts w:ascii="Consolas" w:hAnsi="Consolas"/>
          <w:sz w:val="14"/>
        </w:rPr>
        <w:t>| Software/manual | Derivan de una misma especificación | DS-GTRM-08 |</w:t>
      </w:r>
    </w:p>
    <w:p>
      <w:pPr>
        <w:spacing w:after="40"/>
      </w:pPr>
    </w:p>
    <w:p>
      <w:r>
        <w:t>Efecto papel–software: tabla = discretización de la función; ambos de una sola especificación.</w:t>
      </w:r>
    </w:p>
    <w:p>
      <w:r>
        <w:t>Efecto histórico: la versión de la función determina el puntaje; congelar versión por evaluación (DS-GTRM-08).</w:t>
      </w:r>
    </w:p>
    <w:p>
      <w:pPr>
        <w:spacing w:after="40"/>
      </w:pPr>
    </w:p>
    <w:p>
      <w:pPr>
        <w:pStyle w:val="Heading3"/>
      </w:pPr>
      <w:r>
        <w:t>8. Recomendación de integración</w:t>
      </w:r>
    </w:p>
    <w:p>
      <w:r>
        <w:t>Recomendar incorporación tras auditoría técnica y aprobación; condición: reescritura de B6 sin doble normalización.</w:t>
      </w:r>
    </w:p>
    <w:p>
      <w:pPr>
        <w:spacing w:after="40"/>
      </w:pPr>
    </w:p>
    <w:p>
      <w:pPr>
        <w:pStyle w:val="Heading3"/>
      </w:pPr>
      <w:r>
        <w:t>9. Controles</w:t>
      </w:r>
    </w:p>
    <w:p>
      <w:r>
        <w:t>Cumplidos: alcance, alternativas (incl. no incorporar), evidencia clasificada, decisión/justificación separadas, incertidumbre, dependencias, papel–software, D-006 intacta, recomendación explícita.</w:t>
      </w:r>
    </w:p>
    <w:p>
      <w:r>
        <w:br w:type="page"/>
      </w:r>
    </w:p>
    <w:p>
      <w:pPr>
        <w:pStyle w:val="Heading1"/>
        <w:keepNext/>
      </w:pPr>
      <w:r>
        <w:t>Fuente 22: 00_Gobernanza/coordinacion/decisiones_cientificas/GTRM/DS_GTRM_03_Referencia_Benchmark.md</w:t>
      </w:r>
    </w:p>
    <w:p>
      <w:pPr>
        <w:spacing w:after="200"/>
      </w:pPr>
      <w:r>
        <w:rPr>
          <w:rFonts w:ascii="Consolas" w:hAnsi="Consolas"/>
          <w:color w:val="595959"/>
          <w:sz w:val="16"/>
        </w:rPr>
        <w:t>Ruta: 00_Gobernanza/coordinacion/decisiones_cientificas/GTRM/DS_GTRM_03_Referencia_Benchmark.md</w:t>
        <w:br/>
        <w:t>Tamaño: 4745 bytes</w:t>
        <w:br/>
        <w:t>SHA-256: c2c4c2ac1905db8df7ecc74135734e0f2d82749fe77db43148f970fbdefd34e7</w:t>
      </w:r>
    </w:p>
    <w:p>
      <w:pPr>
        <w:pStyle w:val="Heading2"/>
      </w:pPr>
      <w:r>
        <w:t>DS-GTRM-03 — Condición de referencia y benchmark</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GOEI-DS-GTRM-03-0001 |</w:t>
      </w:r>
    </w:p>
    <w:p>
      <w:pPr>
        <w:spacing w:after="20" w:line="240" w:lineRule="auto"/>
      </w:pPr>
      <w:r>
        <w:rPr>
          <w:rFonts w:ascii="Consolas" w:hAnsi="Consolas"/>
          <w:sz w:val="14"/>
        </w:rPr>
        <w:t>| Slot de origen | DS-GTRM-03 |</w:t>
      </w:r>
    </w:p>
    <w:p>
      <w:pPr>
        <w:spacing w:after="20" w:line="240" w:lineRule="auto"/>
      </w:pPr>
      <w:r>
        <w:rPr>
          <w:rFonts w:ascii="Consolas" w:hAnsi="Consolas"/>
          <w:sz w:val="14"/>
        </w:rPr>
        <w:t>| Identificador de decisión | D-011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D-011; cambio ontológico sujeto a GOEI-ISS-053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¿La condición de referencia y el benchmark son entidades diferentes y qué función cumple cada una?</w:t>
      </w:r>
    </w:p>
    <w:p>
      <w:r>
        <w:t>Incluye: delimitación semántica y relación entre ambos.</w:t>
      </w:r>
    </w:p>
    <w:p>
      <w:r>
        <w:t>Excluye: fijar la referencia concreta de ningún KPI, ni su valor.</w:t>
      </w:r>
    </w:p>
    <w:p>
      <w:r>
        <w:t>Conceptos usados: condición de referencia (D-006, entidad del estrato Norma), sin modificación.</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Son **entidades diferentes**: referencia prescriptiva, benchmark descriptivo | Rigor semántico; evita tratar lo empírico como norma | Exige gobernanza de cuándo un benchmark funda una referencia | **Adoptada** |</w:t>
      </w:r>
    </w:p>
    <w:p>
      <w:pPr>
        <w:spacing w:after="20" w:line="240" w:lineRule="auto"/>
      </w:pPr>
      <w:r>
        <w:rPr>
          <w:rFonts w:ascii="Consolas" w:hAnsi="Consolas"/>
          <w:sz w:val="14"/>
        </w:rPr>
        <w:t>| ALT-02 | Son **equivalentes** | Simplicidad | Convierte "lo que hacen los pares" en "lo que debe ser"; falacia naturalista | Rechazada |</w:t>
      </w:r>
    </w:p>
    <w:p>
      <w:pPr>
        <w:spacing w:after="20" w:line="240" w:lineRule="auto"/>
      </w:pPr>
      <w:r>
        <w:rPr>
          <w:rFonts w:ascii="Consolas" w:hAnsi="Consolas"/>
          <w:sz w:val="14"/>
        </w:rPr>
        <w:t>| ALT-03 | Benchmark **sustituye** a la referencia por defecto | Operativo sin normas | Automatiza un juicio normativo; no auditable | Rechazada |</w:t>
      </w:r>
    </w:p>
    <w:p>
      <w:pPr>
        <w:spacing w:after="20" w:line="240" w:lineRule="auto"/>
      </w:pPr>
      <w:r>
        <w:rPr>
          <w:rFonts w:ascii="Consolas" w:hAnsi="Consolas"/>
          <w:sz w:val="14"/>
        </w:rPr>
        <w:t>| ALT-04 | No distinguir / estado actual | — | Perpetúa la confusión de la fuente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Evidencia bibliográfica | Karr, J. R. (1981). Assessment of biotic integrity using fish communities. *Fisheries, 6*(6), 21–27. | https://doi.org/10.1577/1548-8446(1981)006&lt;0021:AOBIUF&gt;2.0.CO;2 | La *condición de referencia* es un estado normativo (sitio no perturbado), distinto de la distribución empírica |</w:t>
      </w:r>
    </w:p>
    <w:p>
      <w:pPr>
        <w:spacing w:after="20" w:line="240" w:lineRule="auto"/>
      </w:pPr>
      <w:r>
        <w:rPr>
          <w:rFonts w:ascii="Consolas" w:hAnsi="Consolas"/>
          <w:sz w:val="14"/>
        </w:rPr>
        <w:t>| Norma metodológica | Nardo et al. (2008), OECD | https://doi.org/10.1787/9789264043466-en | Distinción entre distancia a un objetivo/referencia y comparación con la distribución |</w:t>
      </w:r>
    </w:p>
    <w:p>
      <w:pPr>
        <w:spacing w:after="20" w:line="240" w:lineRule="auto"/>
      </w:pPr>
      <w:r>
        <w:rPr>
          <w:rFonts w:ascii="Consolas" w:hAnsi="Consolas"/>
          <w:sz w:val="14"/>
        </w:rPr>
        <w:t>| Consenso experto (método) | Linstone, H. A., &amp; Turoff, M. (Eds.). (1975). *The Delphi method*. Addison-Wesley. | — | Una referencia puede fundarse en consenso experto, no solo en datos |</w:t>
      </w:r>
    </w:p>
    <w:p>
      <w:pPr>
        <w:spacing w:after="40"/>
      </w:pPr>
    </w:p>
    <w:p>
      <w:pPr>
        <w:pStyle w:val="Heading3"/>
      </w:pPr>
      <w:r>
        <w:t>4. Análisis científico</w:t>
      </w:r>
    </w:p>
    <w:p>
      <w:r>
        <w:t>Método: análisis conceptual (prescriptivo vs descriptivo) y de falacia is–ought.</w:t>
      </w:r>
    </w:p>
    <w:p>
      <w:r>
        <w:t>Incertidumbre/sesgos: un benchmark con muestra sesgada, si se toma como referencia, propaga el sesgo como norma.</w:t>
      </w:r>
    </w:p>
    <w:p>
      <w:r>
        <w:t>Comparabilidad/reproducibilidad: separar ambos permite auditar de dónde proviene el ancla de puntuación.</w:t>
      </w:r>
    </w:p>
    <w:p>
      <w:pPr>
        <w:spacing w:after="40"/>
      </w:pPr>
    </w:p>
    <w:p>
      <w:pPr>
        <w:pStyle w:val="Heading3"/>
      </w:pPr>
      <w:r>
        <w:t>5. Decisión propuesta</w:t>
      </w:r>
    </w:p>
    <w:p>
      <w:r>
        <w:t>Disposición: adoptar ALT-01.</w:t>
      </w:r>
    </w:p>
    <w:p>
      <w:r>
        <w:t>Texto inequívoco: La condición de referencia (prescriptiva: el estado contra el cual se evalúa) y el benchmark (descriptivo: distribución empírica de una población/categoría/jurisdicción/periodo) son entidades diferentes. El benchmark puede informar la construcción de una referencia mediante decisión explícita y trazable, pero no la sustituye automáticamente.</w:t>
      </w:r>
    </w:p>
    <w:p>
      <w:r>
        <w:t>Justificación: derivar una norma directamente de una distribución empírica es una falacia (is–ought); la trazabilidad exige separar el ancla normativa de su eventual insumo empírico.</w:t>
      </w:r>
    </w:p>
    <w:p>
      <w:r>
        <w:t>Qué no decide: no fija ninguna referencia ni benchmark concretos (dependen de B4/B5 y de datos).</w:t>
      </w:r>
    </w:p>
    <w:p>
      <w:pPr>
        <w:spacing w:after="40"/>
      </w:pPr>
    </w:p>
    <w:p>
      <w:pPr>
        <w:pStyle w:val="Heading3"/>
      </w:pPr>
      <w:r>
        <w:t>6. Limitaciones, vigencia y pendientes</w:t>
      </w:r>
    </w:p>
    <w:p>
      <w:r>
        <w:t>Limitaciones: las instancias reales requieren B2 (dominios), B4 (admisibilidad) y B5 (medición).</w:t>
      </w:r>
    </w:p>
    <w:p>
      <w:r>
        <w:t>Preguntas abiertas: protocolo para que un benchmark funde una referencia → Issue en B5.</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Ontología | Ampliar (dos roles diferenciados) vía Issue; sin editar D-006 ahora | Issue |</w:t>
      </w:r>
    </w:p>
    <w:p>
      <w:pPr>
        <w:spacing w:after="20" w:line="240" w:lineRule="auto"/>
      </w:pPr>
      <w:r>
        <w:rPr>
          <w:rFonts w:ascii="Consolas" w:hAnsi="Consolas"/>
          <w:sz w:val="14"/>
        </w:rPr>
        <w:t>| B5 medición | Reescribir para separar referencia y benchmark | B5 |</w:t>
      </w:r>
    </w:p>
    <w:p>
      <w:pPr>
        <w:spacing w:after="20" w:line="240" w:lineRule="auto"/>
      </w:pPr>
      <w:r>
        <w:rPr>
          <w:rFonts w:ascii="Consolas" w:hAnsi="Consolas"/>
          <w:sz w:val="14"/>
        </w:rPr>
        <w:t>| B4 admisibilidad | Vincular admisibilidad a existencia de referencia (DS-GTRM-07) | B4 |</w:t>
      </w:r>
    </w:p>
    <w:p>
      <w:pPr>
        <w:spacing w:after="40"/>
      </w:pPr>
    </w:p>
    <w:p>
      <w:r>
        <w:t>Efecto papel–software: ambos medios deben mostrar la fuente del ancla (referencia) y, si aplica, el benchmark que la informó.</w:t>
      </w:r>
    </w:p>
    <w:p>
      <w:r>
        <w:t>Efecto histórico: cambios de referencia se versionan; no reescriben resultados previos.</w:t>
      </w:r>
    </w:p>
    <w:p>
      <w:pPr>
        <w:spacing w:after="40"/>
      </w:pPr>
    </w:p>
    <w:p>
      <w:pPr>
        <w:pStyle w:val="Heading3"/>
      </w:pPr>
      <w:r>
        <w:t>8. Recomendación de integración</w:t>
      </w:r>
    </w:p>
    <w:p>
      <w:r>
        <w:t>Recomendar incorporación como distinción ontológica de uso, tras auditoría y aprobación; sin editar la baseline.</w:t>
      </w:r>
    </w:p>
    <w:p>
      <w:pPr>
        <w:spacing w:after="40"/>
      </w:pPr>
    </w:p>
    <w:p>
      <w:pPr>
        <w:pStyle w:val="Heading3"/>
      </w:pPr>
      <w:r>
        <w:t>9. Controles</w:t>
      </w:r>
    </w:p>
    <w:p>
      <w:r>
        <w:t>Cumplidos íntegramente (alcance, alternativas, evidencia clasificada, decisión/justificación, incertidumbre, dependencias, papel–software, D-006 intacta, recomendación).</w:t>
      </w:r>
    </w:p>
    <w:p>
      <w:r>
        <w:br w:type="page"/>
      </w:r>
    </w:p>
    <w:p>
      <w:pPr>
        <w:pStyle w:val="Heading1"/>
        <w:keepNext/>
      </w:pPr>
      <w:r>
        <w:t>Fuente 23: 00_Gobernanza/coordinacion/decisiones_cientificas/GTRM/DS_GTRM_04_Aplicabilidad_Precedencia.md</w:t>
      </w:r>
    </w:p>
    <w:p>
      <w:pPr>
        <w:spacing w:after="200"/>
      </w:pPr>
      <w:r>
        <w:rPr>
          <w:rFonts w:ascii="Consolas" w:hAnsi="Consolas"/>
          <w:color w:val="595959"/>
          <w:sz w:val="16"/>
        </w:rPr>
        <w:t>Ruta: 00_Gobernanza/coordinacion/decisiones_cientificas/GTRM/DS_GTRM_04_Aplicabilidad_Precedencia.md</w:t>
        <w:br/>
        <w:t>Tamaño: 5404 bytes</w:t>
        <w:br/>
        <w:t>SHA-256: c926468063a611cef4847ba6b0c015cdd8fa59e9a9640f9a1c4b8ddc46293a79</w:t>
      </w:r>
    </w:p>
    <w:p>
      <w:pPr>
        <w:pStyle w:val="Heading2"/>
      </w:pPr>
      <w:r>
        <w:t>DS-GTRM-04 — Aplicabilidad y precedencia de referencias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GOEI-DS-GTRM-04-0001 |</w:t>
      </w:r>
    </w:p>
    <w:p>
      <w:pPr>
        <w:spacing w:after="20" w:line="240" w:lineRule="auto"/>
      </w:pPr>
      <w:r>
        <w:rPr>
          <w:rFonts w:ascii="Consolas" w:hAnsi="Consolas"/>
          <w:sz w:val="14"/>
        </w:rPr>
        <w:t>| Slot de origen | DS-GTRM-04 |</w:t>
      </w:r>
    </w:p>
    <w:p>
      <w:pPr>
        <w:spacing w:after="20" w:line="240" w:lineRule="auto"/>
      </w:pPr>
      <w:r>
        <w:rPr>
          <w:rFonts w:ascii="Consolas" w:hAnsi="Consolas"/>
          <w:sz w:val="14"/>
        </w:rPr>
        <w:t>| Identificador de decisión | D-012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D-012, con reserva interpretativa GOEI-AUDIT-0004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GOEI-ISS-048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¿Qué dominios de referencia pueden coexistir y cómo se elige entre ellos?</w:t>
      </w:r>
    </w:p>
    <w:p>
      <w:r>
        <w:t>Incluye: tipología de dominios y regla de selección/precedencia (marco, no valores).</w:t>
      </w:r>
    </w:p>
    <w:p>
      <w:r>
        <w:t>Excluye: fijar la referencia concreta de ningún KPI ni las precedencias numéricas por categoría.</w:t>
      </w:r>
    </w:p>
    <w:p>
      <w:r>
        <w:t>Conceptos usados: condición de referencia y regla crítica no compensable (AX-4), sin modificación de D-006.</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**Coexistencia de dominios** (universal, regulatorio, jurisdiccional, sectorial, categoría/población) con **selección científico-normativa explícita** | Fiel a la realidad regulatoria; auditable | Requiere gobernar conflictos | **Adoptada** |</w:t>
      </w:r>
    </w:p>
    <w:p>
      <w:pPr>
        <w:spacing w:after="20" w:line="240" w:lineRule="auto"/>
      </w:pPr>
      <w:r>
        <w:rPr>
          <w:rFonts w:ascii="Consolas" w:hAnsi="Consolas"/>
          <w:sz w:val="14"/>
        </w:rPr>
        <w:t>| ALT-02 | Toda referencia es **categorial** | Simple con la taxonomía | Falso: existen referencias universales/regulatorias (no demostrado lo contrario) | Rechazada |</w:t>
      </w:r>
    </w:p>
    <w:p>
      <w:pPr>
        <w:spacing w:after="20" w:line="240" w:lineRule="auto"/>
      </w:pPr>
      <w:r>
        <w:rPr>
          <w:rFonts w:ascii="Consolas" w:hAnsi="Consolas"/>
          <w:sz w:val="14"/>
        </w:rPr>
        <w:t>| ALT-03 | Selección **inferida por la taxonomía o el software** | Automática | Viola regla de bloqueo #3; automatiza un juicio normativo | Rechazada |</w:t>
      </w:r>
    </w:p>
    <w:p>
      <w:pPr>
        <w:spacing w:after="20" w:line="240" w:lineRule="auto"/>
      </w:pPr>
      <w:r>
        <w:rPr>
          <w:rFonts w:ascii="Consolas" w:hAnsi="Consolas"/>
          <w:sz w:val="14"/>
        </w:rPr>
        <w:t>| ALT-04 | Referencia **única universal** | Máxima comparabilidad | Ignora regulación local más estricta (inocuidad/legalidad)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internacional | FAO/WHO Codex Alimentarius Commission. (2020). *General principles of food hygiene (CXC 1-1969)*. FAO/WHO. | https://www.fao.org/fao-who-codexalimentarius | Existen referencias universales de inocuidad; conviven con regulación nacional |</w:t>
      </w:r>
    </w:p>
    <w:p>
      <w:pPr>
        <w:spacing w:after="20" w:line="240" w:lineRule="auto"/>
      </w:pPr>
      <w:r>
        <w:rPr>
          <w:rFonts w:ascii="Consolas" w:hAnsi="Consolas"/>
          <w:sz w:val="14"/>
        </w:rPr>
        <w:t>| Norma de conformidad | ISO/IEC 17065:2012. *Conformity assessment — Requirements for bodies certifying products, processes and services*. | https://www.iso.org/standard/46568.html | Esquemas de conformidad reconocen requisitos de esquema + sectoriales/jurisdiccionales |</w:t>
      </w:r>
    </w:p>
    <w:p>
      <w:pPr>
        <w:spacing w:after="20" w:line="240" w:lineRule="auto"/>
      </w:pPr>
      <w:r>
        <w:rPr>
          <w:rFonts w:ascii="Consolas" w:hAnsi="Consolas"/>
          <w:sz w:val="14"/>
        </w:rPr>
        <w:t>| Hecho de proyecto | D-006-REV (AX-4, no compensación) | Archivo canónico | La referencia regulatoria de inocuidad/legalidad opera como compuerta, fuera del tramo puntuable |</w:t>
      </w:r>
    </w:p>
    <w:p>
      <w:pPr>
        <w:spacing w:after="40"/>
      </w:pPr>
    </w:p>
    <w:p>
      <w:pPr>
        <w:pStyle w:val="Heading3"/>
      </w:pPr>
      <w:r>
        <w:t>4. Análisis científico</w:t>
      </w:r>
    </w:p>
    <w:p>
      <w:r>
        <w:t>Método: análisis jerárquico de autoridad de referencias (legal &gt; normativa internacional &gt; sectorial &gt; empírica).</w:t>
      </w:r>
    </w:p>
    <w:p>
      <w:r>
        <w:t>Incertidumbre/sesgos: referencias jurisdiccionales fragmentan la comparabilidad internacional (riesgo declarado).</w:t>
      </w:r>
    </w:p>
    <w:p>
      <w:r>
        <w:t>Comparabilidad/reproducibilidad: exige registrar, por cada puntuación, qué dominio de referencia se aplicó.</w:t>
      </w:r>
    </w:p>
    <w:p>
      <w:pPr>
        <w:spacing w:after="40"/>
      </w:pPr>
    </w:p>
    <w:p>
      <w:pPr>
        <w:pStyle w:val="Heading3"/>
      </w:pPr>
      <w:r>
        <w:t>5. Decisión propuesta</w:t>
      </w:r>
    </w:p>
    <w:p>
      <w:r>
        <w:t>Disposición: adoptar ALT-01.</w:t>
      </w:r>
    </w:p>
    <w:p>
      <w:r>
        <w:t>Texto inequívoco: Coexisten múltiples dominios de referencia (universal/internacional, regulatorio, jurisdiccional, sectorial, categoría/población y combinaciones controladas); no se asume que toda referencia sea categorial. La selección y la precedencia son una decisión científico-normativa explícita y trazable, nunca inferida por la taxonomía ni por el software. Se adopta como regla candidata (no como valores fijos) la precedencia por autoridad legal y mayor exigencia de protección: la referencia regulatoria/jurisdiccional de inocuidad/legalidad prevalece y opera como regla crítica no compensable (AX-4), por encima de la universal, la sectorial y la empírica por categoría.</w:t>
      </w:r>
    </w:p>
    <w:p>
      <w:r>
        <w:t>Justificación: la autoridad legal y la protección de la salud pública no pueden subordinarse a benchmarks empíricos; la elección debe ser un acto normativo auditable, no un artefacto técnico.</w:t>
      </w:r>
    </w:p>
    <w:p>
      <w:r>
        <w:t>Qué no decide: no fija precedencias numéricas ni referencias concretas (dependen de B2/B4 y de datos/normas aplicables).</w:t>
      </w:r>
    </w:p>
    <w:p>
      <w:pPr>
        <w:spacing w:after="40"/>
      </w:pPr>
    </w:p>
    <w:p>
      <w:pPr>
        <w:pStyle w:val="Heading3"/>
      </w:pPr>
      <w:r>
        <w:t>6. Limitaciones, vigencia y pendientes</w:t>
      </w:r>
    </w:p>
    <w:p>
      <w:r>
        <w:t>Limitaciones: los dominios categoriales requieren B2 cerrada; la precedencia definitiva requiere ratificación.</w:t>
      </w:r>
    </w:p>
    <w:p>
      <w:r>
        <w:t>Preguntas abiertas: catálogo de dominios y su precedencia operativa → Issue vinculado a B2/B4 (GOEI-ISS-048).</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Taxonomía (B2) | Provee dominios categoriales | B2 |</w:t>
      </w:r>
    </w:p>
    <w:p>
      <w:pPr>
        <w:spacing w:after="20" w:line="240" w:lineRule="auto"/>
      </w:pPr>
      <w:r>
        <w:rPr>
          <w:rFonts w:ascii="Consolas" w:hAnsi="Consolas"/>
          <w:sz w:val="14"/>
        </w:rPr>
        <w:t>| Reglas críticas | Referencia regulatoria = compuerta AX-4 | GOEI-ISS-015 |</w:t>
      </w:r>
    </w:p>
    <w:p>
      <w:pPr>
        <w:spacing w:after="20" w:line="240" w:lineRule="auto"/>
      </w:pPr>
      <w:r>
        <w:rPr>
          <w:rFonts w:ascii="Consolas" w:hAnsi="Consolas"/>
          <w:sz w:val="14"/>
        </w:rPr>
        <w:t>| B5/B6 | Registran el dominio aplicado por puntuación | B5/B6 |</w:t>
      </w:r>
    </w:p>
    <w:p>
      <w:pPr>
        <w:spacing w:after="40"/>
      </w:pPr>
    </w:p>
    <w:p>
      <w:r>
        <w:t>Efecto papel–software: ambos deben registrar explícitamente el dominio y la referencia aplicados; el software no infiere precedencia.</w:t>
      </w:r>
    </w:p>
    <w:p>
      <w:r>
        <w:t>Efecto histórico: cambios de dominio/precedencia se versionan; no reescriben resultados previos.</w:t>
      </w:r>
    </w:p>
    <w:p>
      <w:pPr>
        <w:spacing w:after="40"/>
      </w:pPr>
    </w:p>
    <w:p>
      <w:pPr>
        <w:pStyle w:val="Heading3"/>
      </w:pPr>
      <w:r>
        <w:t>8. Recomendación de integración</w:t>
      </w:r>
    </w:p>
    <w:p>
      <w:r>
        <w:t>Recomendar incorporación del marco de coexistencia y precedencia tras auditoría y ratificación; las precedencias concretas quedan diferidas a B2/B4.</w:t>
      </w:r>
    </w:p>
    <w:p>
      <w:pPr>
        <w:spacing w:after="40"/>
      </w:pPr>
    </w:p>
    <w:p>
      <w:pPr>
        <w:pStyle w:val="Heading3"/>
      </w:pPr>
      <w:r>
        <w:t>9. Controles</w:t>
      </w:r>
    </w:p>
    <w:p>
      <w:r>
        <w:t>Cumplidos (alcance, alternativas incl. no incorporar, evidencia clasificada, decisión/justificación, incertidumbre, dependencias, papel–software, D-006 intacta, recomendación).</w:t>
      </w:r>
    </w:p>
    <w:p>
      <w:r>
        <w:br w:type="page"/>
      </w:r>
    </w:p>
    <w:p>
      <w:pPr>
        <w:pStyle w:val="Heading1"/>
        <w:keepNext/>
      </w:pPr>
      <w:r>
        <w:t>Fuente 24: 00_Gobernanza/coordinacion/decisiones_cientificas/GTRM/DS_GTRM_05_Incertidumbre.md</w:t>
      </w:r>
    </w:p>
    <w:p>
      <w:pPr>
        <w:spacing w:after="200"/>
      </w:pPr>
      <w:r>
        <w:rPr>
          <w:rFonts w:ascii="Consolas" w:hAnsi="Consolas"/>
          <w:color w:val="595959"/>
          <w:sz w:val="16"/>
        </w:rPr>
        <w:t>Ruta: 00_Gobernanza/coordinacion/decisiones_cientificas/GTRM/DS_GTRM_05_Incertidumbre.md</w:t>
        <w:br/>
        <w:t>Tamaño: 4683 bytes</w:t>
        <w:br/>
        <w:t>SHA-256: fddd9b94913cc300276160b1b8daf42bedb844bed3e53a656d149bfc2f87aa4f</w:t>
      </w:r>
    </w:p>
    <w:p>
      <w:pPr>
        <w:pStyle w:val="Heading2"/>
      </w:pPr>
      <w:r>
        <w:t>DS-GTRM-05 — Incertidumbre</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GOEI-DS-GTRM-05-0001 |</w:t>
      </w:r>
    </w:p>
    <w:p>
      <w:pPr>
        <w:spacing w:after="20" w:line="240" w:lineRule="auto"/>
      </w:pPr>
      <w:r>
        <w:rPr>
          <w:rFonts w:ascii="Consolas" w:hAnsi="Consolas"/>
          <w:sz w:val="14"/>
        </w:rPr>
        <w:t>| Slot de origen | DS-GTRM-05 |</w:t>
      </w:r>
    </w:p>
    <w:p>
      <w:pPr>
        <w:spacing w:after="20" w:line="240" w:lineRule="auto"/>
      </w:pPr>
      <w:r>
        <w:rPr>
          <w:rFonts w:ascii="Consolas" w:hAnsi="Consolas"/>
          <w:sz w:val="14"/>
        </w:rPr>
        <w:t>| Identificador de decisión | D-013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D-013; método concreto diferido a B5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GOEI-ISS-049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¿Qué fuentes de incertidumbre se representan y mediante qué método o estado de suficiencia?</w:t>
      </w:r>
    </w:p>
    <w:p>
      <w:r>
        <w:t>Incluye: las fuentes a representar y el requisito arquitectónico de representarlas.</w:t>
      </w:r>
    </w:p>
    <w:p>
      <w:r>
        <w:t>Excluye: fijar método numérico, intervalos, clases de confianza, redondeos o tolerancias (dependen de B5 y de la familia aplicable).</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**Representar separadamente cinco fuentes** (medición, muestreo, benchmark, parámetros, puntuación propagada) como metadatos + estado de suficiencia obligatorio | Evita falsa precisión; auditable | Costo de documentación | **Adoptada** |</w:t>
      </w:r>
    </w:p>
    <w:p>
      <w:pPr>
        <w:spacing w:after="20" w:line="240" w:lineRule="auto"/>
      </w:pPr>
      <w:r>
        <w:rPr>
          <w:rFonts w:ascii="Consolas" w:hAnsi="Consolas"/>
          <w:sz w:val="14"/>
        </w:rPr>
        <w:t>| ALT-02 | **Ignorar** la incertidumbre | Simplicidad | Falsa precisión; "lava" arbitrariedad; inauditable | Rechazada |</w:t>
      </w:r>
    </w:p>
    <w:p>
      <w:pPr>
        <w:spacing w:after="20" w:line="240" w:lineRule="auto"/>
      </w:pPr>
      <w:r>
        <w:rPr>
          <w:rFonts w:ascii="Consolas" w:hAnsi="Consolas"/>
          <w:sz w:val="14"/>
        </w:rPr>
        <w:t>| ALT-03 | **Incertidumbre agregada única** | Menos campos | Opaca las fuentes; impide diagnóstico | Rechazada |</w:t>
      </w:r>
    </w:p>
    <w:p>
      <w:pPr>
        <w:spacing w:after="20" w:line="240" w:lineRule="auto"/>
      </w:pPr>
      <w:r>
        <w:rPr>
          <w:rFonts w:ascii="Consolas" w:hAnsi="Consolas"/>
          <w:sz w:val="14"/>
        </w:rPr>
        <w:t>| ALT-04 | Fijar aquí método y tolerancia | Cierre rápido | Excede el mandato; depende de evidencia y B5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metrológica | JCGM. (2008). *Evaluation of measurement data — Guide to the expression of uncertainty in measurement (JCGM 100:2008 / GUM)*. BIPM. | https://doi.org/10.59161/jcgm100-2008e | Marco estándar para evaluar y expresar incertidumbre de medición |</w:t>
      </w:r>
    </w:p>
    <w:p>
      <w:pPr>
        <w:spacing w:after="20" w:line="240" w:lineRule="auto"/>
      </w:pPr>
      <w:r>
        <w:rPr>
          <w:rFonts w:ascii="Consolas" w:hAnsi="Consolas"/>
          <w:sz w:val="14"/>
        </w:rPr>
        <w:t>| Norma metrológica | JCGM. (2012). *The role of measurement uncertainty in conformity assessment (JCGM 106:2012)*. BIPM. | https://www.bipm.org/en/committees/jc/jcgm/publications | La incertidumbre debe considerarse al decidir conformidad (puntuación/compuertas) |</w:t>
      </w:r>
    </w:p>
    <w:p>
      <w:pPr>
        <w:spacing w:after="20" w:line="240" w:lineRule="auto"/>
      </w:pPr>
      <w:r>
        <w:rPr>
          <w:rFonts w:ascii="Consolas" w:hAnsi="Consolas"/>
          <w:sz w:val="14"/>
        </w:rPr>
        <w:t>| Norma metodológica | Nardo et al. (2008), OECD | https://doi.org/10.1787/9789264043466-en | Análisis de incertidumbre y sensibilidad obligatorio en índices compuestos |</w:t>
      </w:r>
    </w:p>
    <w:p>
      <w:pPr>
        <w:spacing w:after="40"/>
      </w:pPr>
    </w:p>
    <w:p>
      <w:pPr>
        <w:pStyle w:val="Heading3"/>
      </w:pPr>
      <w:r>
        <w:t>4. Análisis científico</w:t>
      </w:r>
    </w:p>
    <w:p>
      <w:r>
        <w:t>Método: descomposición de fuentes de incertidumbre y propagación (GUM); principio de suficiencia declarada.</w:t>
      </w:r>
    </w:p>
    <w:p>
      <w:r>
        <w:t>Incertidumbre/sesgos: datos escasos por dominio elevan la incertidumbre de parámetros; el estado de suficiencia lo hace explícito.</w:t>
      </w:r>
    </w:p>
    <w:p>
      <w:r>
        <w:t>Comparabilidad/reproducibilidad: sin representación de incertidumbre, dos puntuaciones "iguales" pueden no ser comparables.</w:t>
      </w:r>
    </w:p>
    <w:p>
      <w:pPr>
        <w:spacing w:after="40"/>
      </w:pPr>
    </w:p>
    <w:p>
      <w:pPr>
        <w:pStyle w:val="Heading3"/>
      </w:pPr>
      <w:r>
        <w:t>5. Decisión propuesta</w:t>
      </w:r>
    </w:p>
    <w:p>
      <w:r>
        <w:t>Disposición: adoptar ALT-01.</w:t>
      </w:r>
    </w:p>
    <w:p>
      <w:r>
        <w:t>Texto inequívoco: La arquitectura GTRM debe representar separadamente la incertidumbre de (a) medición, (b) muestreo, (c) benchmark, (d) parámetros y (e) puntuación propagada, como metadatos con un estado de suficiencia obligatorio. Una GTRM sin declaración de incertidumbre es inadmisible. Se adopta el marco GUM (JCGM 100:2008) y su rol en conformidad (JCGM 106:2012) como referencia metodológica; el método concreto, los intervalos, las clases y las tolerancias NO se fijan aquí y quedan diferidos a B5 y a la familia aplicable.</w:t>
      </w:r>
    </w:p>
    <w:p>
      <w:r>
        <w:t>Justificación: representar la incertidumbre es la única defensa contra la falsa precisión, que es el principal riesgo de "lavar" arbitrariedad con apariencia de rigor.</w:t>
      </w:r>
    </w:p>
    <w:p>
      <w:r>
        <w:t>Qué no decide: no fija método numérico, intervalos ni tolerancias.</w:t>
      </w:r>
    </w:p>
    <w:p>
      <w:pPr>
        <w:spacing w:after="40"/>
      </w:pPr>
    </w:p>
    <w:p>
      <w:pPr>
        <w:pStyle w:val="Heading3"/>
      </w:pPr>
      <w:r>
        <w:t>6. Limitaciones, vigencia y pendientes</w:t>
      </w:r>
    </w:p>
    <w:p>
      <w:r>
        <w:t>Limitaciones: el método concreto depende de B5 y de la naturaleza del KPI.</w:t>
      </w:r>
    </w:p>
    <w:p>
      <w:r>
        <w:t>Preguntas abiertas: método por familia y umbral de suficiencia → Issue en B5 (GOEI-ISS-049).</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B5 medición | Define método de incertidumbre por familia | B5 |</w:t>
      </w:r>
    </w:p>
    <w:p>
      <w:pPr>
        <w:spacing w:after="20" w:line="240" w:lineRule="auto"/>
      </w:pPr>
      <w:r>
        <w:rPr>
          <w:rFonts w:ascii="Consolas" w:hAnsi="Consolas"/>
          <w:sz w:val="14"/>
        </w:rPr>
        <w:t>| Validación | Amplía a sensibilidad e incertidumbre | B9 |</w:t>
      </w:r>
    </w:p>
    <w:p>
      <w:pPr>
        <w:spacing w:after="20" w:line="240" w:lineRule="auto"/>
      </w:pPr>
      <w:r>
        <w:rPr>
          <w:rFonts w:ascii="Consolas" w:hAnsi="Consolas"/>
          <w:sz w:val="14"/>
        </w:rPr>
        <w:t>| Interpretación | Límites de inferencia según incertidumbre | B8 |</w:t>
      </w:r>
    </w:p>
    <w:p>
      <w:pPr>
        <w:spacing w:after="40"/>
      </w:pPr>
    </w:p>
    <w:p>
      <w:r>
        <w:t>Efecto papel–software: el manual puede usar clases de confianza/redondeos; el software propaga; ambos de la misma especificación.</w:t>
      </w:r>
    </w:p>
    <w:p>
      <w:r>
        <w:t>Efecto histórico: la representación de incertidumbre se versiona con la GTRM.</w:t>
      </w:r>
    </w:p>
    <w:p>
      <w:pPr>
        <w:spacing w:after="40"/>
      </w:pPr>
    </w:p>
    <w:p>
      <w:pPr>
        <w:pStyle w:val="Heading3"/>
      </w:pPr>
      <w:r>
        <w:t>8. Recomendación de integración</w:t>
      </w:r>
    </w:p>
    <w:p>
      <w:r>
        <w:t>Recomendar incorporación del requisito de representación de incertidumbre; el método se difiere a B5.</w:t>
      </w:r>
    </w:p>
    <w:p>
      <w:pPr>
        <w:spacing w:after="40"/>
      </w:pPr>
    </w:p>
    <w:p>
      <w:pPr>
        <w:pStyle w:val="Heading3"/>
      </w:pPr>
      <w:r>
        <w:t>9. Controles</w:t>
      </w:r>
    </w:p>
    <w:p>
      <w:r>
        <w:t>Cumplidos íntegramente.</w:t>
      </w:r>
    </w:p>
    <w:p>
      <w:r>
        <w:br w:type="page"/>
      </w:r>
    </w:p>
    <w:p>
      <w:pPr>
        <w:pStyle w:val="Heading1"/>
        <w:keepNext/>
      </w:pPr>
      <w:r>
        <w:t>Fuente 25: 00_Gobernanza/coordinacion/decisiones_cientificas/GTRM/DS_GTRM_06_Autoridad_Ciclo_Vida.md</w:t>
      </w:r>
    </w:p>
    <w:p>
      <w:pPr>
        <w:spacing w:after="200"/>
      </w:pPr>
      <w:r>
        <w:rPr>
          <w:rFonts w:ascii="Consolas" w:hAnsi="Consolas"/>
          <w:color w:val="595959"/>
          <w:sz w:val="16"/>
        </w:rPr>
        <w:t>Ruta: 00_Gobernanza/coordinacion/decisiones_cientificas/GTRM/DS_GTRM_06_Autoridad_Ciclo_Vida.md</w:t>
        <w:br/>
        <w:t>Tamaño: 4499 bytes</w:t>
        <w:br/>
        <w:t>SHA-256: f13389dc8e2a9ec7d51a82cd0dd12abbce1f4f6998872248657819326b1f8155</w:t>
      </w:r>
    </w:p>
    <w:p>
      <w:pPr>
        <w:pStyle w:val="Heading2"/>
      </w:pPr>
      <w:r>
        <w:t>DS-GTRM-06 — Autoridad y ciclo de vida</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GOEI-DS-GTRM-06-0001 |</w:t>
      </w:r>
    </w:p>
    <w:p>
      <w:pPr>
        <w:spacing w:after="20" w:line="240" w:lineRule="auto"/>
      </w:pPr>
      <w:r>
        <w:rPr>
          <w:rFonts w:ascii="Consolas" w:hAnsi="Consolas"/>
          <w:sz w:val="14"/>
        </w:rPr>
        <w:t>| Slot de origen | DS-GTRM-06 |</w:t>
      </w:r>
    </w:p>
    <w:p>
      <w:pPr>
        <w:spacing w:after="20" w:line="240" w:lineRule="auto"/>
      </w:pPr>
      <w:r>
        <w:rPr>
          <w:rFonts w:ascii="Consolas" w:hAnsi="Consolas"/>
          <w:sz w:val="14"/>
        </w:rPr>
        <w:t>| Identificador de decisión | D-014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D-014; órganos definitivos sujetos a GOEI-ISS-003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GOEI-ISS-050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¿Quién crea, aprueba, revisa, suspende y reemplaza una GTRM, y dónde reside su autoridad científica y normativa?</w:t>
      </w:r>
    </w:p>
    <w:p>
      <w:r>
        <w:t>Incluye: modelo de autoridad y ciclo de vida (marco).</w:t>
      </w:r>
    </w:p>
    <w:p>
      <w:r>
        <w:t>Excluye: designar personas u órganos concretos (depende de la gobernanza institucional, GOEI-ISS-003).</w:t>
      </w:r>
    </w:p>
    <w:p>
      <w:r>
        <w:t>Conceptos usados: planos T1 (gobernanza), T3 (validación-compuerta), T4 (versionado) y esquema K (conformidad) de D-005.</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**Doble autoridad separada**: científica (evidencia/método) + normativa (órgano de gobernanza) con ciclo de vida versionado e inmutable | Separa ciencia de norma; auditable; reproducible | Requiere gobernanza definida | **Adoptada** |</w:t>
      </w:r>
    </w:p>
    <w:p>
      <w:pPr>
        <w:spacing w:after="20" w:line="240" w:lineRule="auto"/>
      </w:pPr>
      <w:r>
        <w:rPr>
          <w:rFonts w:ascii="Consolas" w:hAnsi="Consolas"/>
          <w:sz w:val="14"/>
        </w:rPr>
        <w:t>| ALT-02 | **Autoridad única** | Simplicidad | Confunde validez científica con vigencia normativa | Rechazada |</w:t>
      </w:r>
    </w:p>
    <w:p>
      <w:pPr>
        <w:spacing w:after="20" w:line="240" w:lineRule="auto"/>
      </w:pPr>
      <w:r>
        <w:rPr>
          <w:rFonts w:ascii="Consolas" w:hAnsi="Consolas"/>
          <w:sz w:val="14"/>
        </w:rPr>
        <w:t>| ALT-03 | La **Oficina Técnica** funda la ciencia de la GTRM | Rápido | Viola regla #9 (artefacto técnico ≠ ciencia)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de conformidad | ISO/IEC 17065:2012 | https://www.iso.org/standard/46568.html | Separa competencia técnica, imparcialidad y autoridad del esquema |</w:t>
      </w:r>
    </w:p>
    <w:p>
      <w:pPr>
        <w:spacing w:after="20" w:line="240" w:lineRule="auto"/>
      </w:pPr>
      <w:r>
        <w:rPr>
          <w:rFonts w:ascii="Consolas" w:hAnsi="Consolas"/>
          <w:sz w:val="14"/>
        </w:rPr>
        <w:t>| Marco de madurez | CMMI Institute. (2018). *CMMI V2.0* (modelo, evaluación, certificación). ISACA. | https://cmmiinstitute.com | Ciclo de vida y autoridad de evaluación/versión de artefactos normativos |</w:t>
      </w:r>
    </w:p>
    <w:p>
      <w:pPr>
        <w:spacing w:after="20" w:line="240" w:lineRule="auto"/>
      </w:pPr>
      <w:r>
        <w:rPr>
          <w:rFonts w:ascii="Consolas" w:hAnsi="Consolas"/>
          <w:sz w:val="14"/>
        </w:rPr>
        <w:t>| Hecho de proyecto | D-005 (T1/T3/T4/K) | Archivo canónico | Gobernanza, validación-compuerta, versionado y conformidad ya definidos |</w:t>
      </w:r>
    </w:p>
    <w:p>
      <w:pPr>
        <w:spacing w:after="40"/>
      </w:pPr>
    </w:p>
    <w:p>
      <w:pPr>
        <w:pStyle w:val="Heading3"/>
      </w:pPr>
      <w:r>
        <w:t>4. Análisis científico</w:t>
      </w:r>
    </w:p>
    <w:p>
      <w:r>
        <w:t>Método: análisis de gobernanza de estándares (separación autor científico / autoridad normativa) y de gestión de versiones.</w:t>
      </w:r>
    </w:p>
    <w:p>
      <w:r>
        <w:t>Incertidumbre/sesgos: riesgo de que un artefacto técnico se tome como ciencia si la autoría no se separa.</w:t>
      </w:r>
    </w:p>
    <w:p>
      <w:r>
        <w:t>Reproducibilidad: inmutabilidad de versiones garantiza reproducibilidad histórica (enlaza DS-GTRM-08).</w:t>
      </w:r>
    </w:p>
    <w:p>
      <w:pPr>
        <w:spacing w:after="40"/>
      </w:pPr>
    </w:p>
    <w:p>
      <w:pPr>
        <w:pStyle w:val="Heading3"/>
      </w:pPr>
      <w:r>
        <w:t>5. Decisión propuesta</w:t>
      </w:r>
    </w:p>
    <w:p>
      <w:r>
        <w:t>Disposición: adoptar ALT-01.</w:t>
      </w:r>
    </w:p>
    <w:p>
      <w:r>
        <w:t>Texto inequívoco: Toda GTRM tiene doble autoridad separada: (i) científica —la evidencia y el método aprobados por el Comité Científico que fundan referencia, función y parámetros—; (ii) normativa —el órgano de gobernanza del estándar (D-005, T1) que ratifica, publica, versiona, suspende y retira—. Se adopta como marco de ciclo de vida: borrador → revisión científica → recomendada → aprobada → vigente, con ramas devuelta|rechazada, suspendida↔vigente y sustituida→retirada. Ninguna versión se sobrescribe; una evaluación histórica conserva la versión usada y una simulación con versión nueva se marca contrafactual.</w:t>
      </w:r>
    </w:p>
    <w:p>
      <w:r>
        <w:t>Justificación: sin autoría científica la GTRM es arbitraria; sin autoridad normativa no es exigible; sin inmutabilidad no es reproducible.</w:t>
      </w:r>
    </w:p>
    <w:p>
      <w:r>
        <w:t>Qué no decide: no designa órganos/personas concretas (GOEI-ISS-003).</w:t>
      </w:r>
    </w:p>
    <w:p>
      <w:pPr>
        <w:spacing w:after="40"/>
      </w:pPr>
    </w:p>
    <w:p>
      <w:pPr>
        <w:pStyle w:val="Heading3"/>
      </w:pPr>
      <w:r>
        <w:t>6. Limitaciones, vigencia y pendientes</w:t>
      </w:r>
    </w:p>
    <w:p>
      <w:r>
        <w:t>Limitaciones: depende de la definición institucional del propietario del estándar (GOEI-ISS-003).</w:t>
      </w:r>
    </w:p>
    <w:p>
      <w:r>
        <w:t>Preguntas abiertas: mapeo concreto de roles al órgano de gobernanza → Issue GOEI-ISS-050/003.</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Constitución/gobernanza | Define autoridad y roles | GOEI-ISS-003 |</w:t>
      </w:r>
    </w:p>
    <w:p>
      <w:pPr>
        <w:spacing w:after="20" w:line="240" w:lineRule="auto"/>
      </w:pPr>
      <w:r>
        <w:rPr>
          <w:rFonts w:ascii="Consolas" w:hAnsi="Consolas"/>
          <w:sz w:val="14"/>
        </w:rPr>
        <w:t>| T4 versionado | Aplica ciclo de vida GTRM | D-005 |</w:t>
      </w:r>
    </w:p>
    <w:p>
      <w:pPr>
        <w:spacing w:after="20" w:line="240" w:lineRule="auto"/>
      </w:pPr>
      <w:r>
        <w:rPr>
          <w:rFonts w:ascii="Consolas" w:hAnsi="Consolas"/>
          <w:sz w:val="14"/>
        </w:rPr>
        <w:t>| Knowledge Graph | Representa procedencia, autoridad, sucesión | Issue |</w:t>
      </w:r>
    </w:p>
    <w:p>
      <w:pPr>
        <w:spacing w:after="40"/>
      </w:pPr>
    </w:p>
    <w:p>
      <w:r>
        <w:t>Efecto papel–software: ambos citan ID, versión, estado y autoridad de la GTRM aplicada.</w:t>
      </w:r>
    </w:p>
    <w:p>
      <w:r>
        <w:t>Efecto histórico: inmutabilidad y sucesión explícitas.</w:t>
      </w:r>
    </w:p>
    <w:p>
      <w:pPr>
        <w:spacing w:after="40"/>
      </w:pPr>
    </w:p>
    <w:p>
      <w:pPr>
        <w:pStyle w:val="Heading3"/>
      </w:pPr>
      <w:r>
        <w:t>8. Recomendación de integración</w:t>
      </w:r>
    </w:p>
    <w:p>
      <w:r>
        <w:t>Recomendar incorporación del marco de autoridad y ciclo de vida tras auditoría y ratificación institucional.</w:t>
      </w:r>
    </w:p>
    <w:p>
      <w:pPr>
        <w:spacing w:after="40"/>
      </w:pPr>
    </w:p>
    <w:p>
      <w:pPr>
        <w:pStyle w:val="Heading3"/>
      </w:pPr>
      <w:r>
        <w:t>9. Controles</w:t>
      </w:r>
    </w:p>
    <w:p>
      <w:r>
        <w:t>Cumplidos íntegramente.</w:t>
      </w:r>
    </w:p>
    <w:p>
      <w:r>
        <w:br w:type="page"/>
      </w:r>
    </w:p>
    <w:p>
      <w:pPr>
        <w:pStyle w:val="Heading1"/>
        <w:keepNext/>
      </w:pPr>
      <w:r>
        <w:t>Fuente 26: 00_Gobernanza/coordinacion/decisiones_cientificas/GTRM/DS_GTRM_07_Ausencia_Conflicto.md</w:t>
      </w:r>
    </w:p>
    <w:p>
      <w:pPr>
        <w:spacing w:after="200"/>
      </w:pPr>
      <w:r>
        <w:rPr>
          <w:rFonts w:ascii="Consolas" w:hAnsi="Consolas"/>
          <w:color w:val="595959"/>
          <w:sz w:val="16"/>
        </w:rPr>
        <w:t>Ruta: 00_Gobernanza/coordinacion/decisiones_cientificas/GTRM/DS_GTRM_07_Ausencia_Conflicto.md</w:t>
        <w:br/>
        <w:t>Tamaño: 4522 bytes</w:t>
        <w:br/>
        <w:t>SHA-256: 5ec7763010c0f5a99a89f9241564c7d70e9505fb991848fe4a88ab81e11b5490</w:t>
      </w:r>
    </w:p>
    <w:p>
      <w:pPr>
        <w:pStyle w:val="Heading2"/>
      </w:pPr>
      <w:r>
        <w:t>DS-GTRM-07 — Ausencia, conflicto y puntuabilidad</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GOEI-DS-GTRM-07-0001 |</w:t>
      </w:r>
    </w:p>
    <w:p>
      <w:pPr>
        <w:spacing w:after="20" w:line="240" w:lineRule="auto"/>
      </w:pPr>
      <w:r>
        <w:rPr>
          <w:rFonts w:ascii="Consolas" w:hAnsi="Consolas"/>
          <w:sz w:val="14"/>
        </w:rPr>
        <w:t>| Slot de origen | DS-GTRM-07 |</w:t>
      </w:r>
    </w:p>
    <w:p>
      <w:pPr>
        <w:spacing w:after="20" w:line="240" w:lineRule="auto"/>
      </w:pPr>
      <w:r>
        <w:rPr>
          <w:rFonts w:ascii="Consolas" w:hAnsi="Consolas"/>
          <w:sz w:val="14"/>
        </w:rPr>
        <w:t>| Identificador de decisión | D-015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D-015; estados operativos diferidos a B4/B7/B8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GOEI-ISS-051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¿Qué ocurre sin referencia válida, ante conflicto de referencias o con un KPI sin función aprobada?</w:t>
      </w:r>
    </w:p>
    <w:p>
      <w:r>
        <w:t>Incluye: reglas de puntuabilidad y bloqueo selectivo.</w:t>
      </w:r>
    </w:p>
    <w:p>
      <w:r>
        <w:t>Excluye: definir KPI, referencias o fórmulas concretas.</w:t>
      </w:r>
    </w:p>
    <w:p>
      <w:r>
        <w:t>Conceptos usados: precedencia (DS-GTRM-04), estados de KPI, integridad del cálculo.</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**No calculable + bloqueo selectivo + Issue**; sin fallback | Integridad; transparencia; no fabrica valores | El resultado global puede quedar parcial | **Adoptada** |</w:t>
      </w:r>
    </w:p>
    <w:p>
      <w:pPr>
        <w:spacing w:after="20" w:line="240" w:lineRule="auto"/>
      </w:pPr>
      <w:r>
        <w:rPr>
          <w:rFonts w:ascii="Consolas" w:hAnsi="Consolas"/>
          <w:sz w:val="14"/>
        </w:rPr>
        <w:t>| ALT-02 | **Fallback** por cercanía taxonómica/estadística | Siempre produce número | Viola regla #3; inventa referencia; inauditable | Rechazada |</w:t>
      </w:r>
    </w:p>
    <w:p>
      <w:pPr>
        <w:spacing w:after="20" w:line="240" w:lineRule="auto"/>
      </w:pPr>
      <w:r>
        <w:rPr>
          <w:rFonts w:ascii="Consolas" w:hAnsi="Consolas"/>
          <w:sz w:val="14"/>
        </w:rPr>
        <w:t>| ALT-03 | **Promediar** referencias en conflicto | Cierra el conflicto | Oculta el conflicto; no auditable | Rechazada |</w:t>
      </w:r>
    </w:p>
    <w:p>
      <w:pPr>
        <w:spacing w:after="20" w:line="240" w:lineRule="auto"/>
      </w:pPr>
      <w:r>
        <w:rPr>
          <w:rFonts w:ascii="Consolas" w:hAnsi="Consolas"/>
          <w:sz w:val="14"/>
        </w:rPr>
        <w:t>| ALT-04 | **Bloqueo global** del resultado ante cualquier falta | Conservador | Desproporcionado; impide diagnóstico parcial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Principio metrológico | JCGM (2008), GUM | https://doi.org/10.59161/jcgm100-2008e | No hay medición interpretable sin referencia/escala definida |</w:t>
      </w:r>
    </w:p>
    <w:p>
      <w:pPr>
        <w:spacing w:after="20" w:line="240" w:lineRule="auto"/>
      </w:pPr>
      <w:r>
        <w:rPr>
          <w:rFonts w:ascii="Consolas" w:hAnsi="Consolas"/>
          <w:sz w:val="14"/>
        </w:rPr>
        <w:t>| Norma metodológica | Nardo et al. (2008), OECD | https://doi.org/10.1787/9789264043466-en | La imputación arbitraria distorsiona el índice; debe declararse el tratamiento de faltantes |</w:t>
      </w:r>
    </w:p>
    <w:p>
      <w:pPr>
        <w:spacing w:after="20" w:line="240" w:lineRule="auto"/>
      </w:pPr>
      <w:r>
        <w:rPr>
          <w:rFonts w:ascii="Consolas" w:hAnsi="Consolas"/>
          <w:sz w:val="14"/>
        </w:rPr>
        <w:t>| Hecho de proyecto | Expediente GOEI-EXP-ISS-044-0001 (reglas #3, #4, #7) | Archivo | Prohibido fallback; bloqueo debe ser selectivo |</w:t>
      </w:r>
    </w:p>
    <w:p>
      <w:pPr>
        <w:spacing w:after="40"/>
      </w:pPr>
    </w:p>
    <w:p>
      <w:pPr>
        <w:pStyle w:val="Heading3"/>
      </w:pPr>
      <w:r>
        <w:t>4. Análisis científico</w:t>
      </w:r>
    </w:p>
    <w:p>
      <w:r>
        <w:t>Método: análisis de integridad del cálculo y de propagación de faltantes.</w:t>
      </w:r>
    </w:p>
    <w:p>
      <w:r>
        <w:t>Incertidumbre/sesgos: un fallback introduce sesgo desconocido presentado como dato.</w:t>
      </w:r>
    </w:p>
    <w:p>
      <w:r>
        <w:t>Comparabilidad: marcar "no calculable" preserva la comparabilidad de lo que sí se calcula.</w:t>
      </w:r>
    </w:p>
    <w:p>
      <w:pPr>
        <w:spacing w:after="40"/>
      </w:pPr>
    </w:p>
    <w:p>
      <w:pPr>
        <w:pStyle w:val="Heading3"/>
      </w:pPr>
      <w:r>
        <w:t>5. Decisión propuesta</w:t>
      </w:r>
    </w:p>
    <w:p>
      <w:r>
        <w:t>Disposición: adoptar ALT-01.</w:t>
      </w:r>
    </w:p>
    <w:p>
      <w:r>
        <w:t>Texto inequívoco:</w:t>
      </w:r>
    </w:p>
    <w:p>
      <w:pPr>
        <w:pStyle w:val="ListBullet"/>
      </w:pPr>
      <w:r>
        <w:t>Ausencia de referencia válida → el KPI×dominio se marca no puntuable; se bloquea solo esa rama (bloqueo selectivo) y se abre/enlaza un Issue; no se crea fallback por cercanía taxonómica, estadística ni por inferencia del software.</w:t>
      </w:r>
    </w:p>
    <w:p>
      <w:pPr>
        <w:pStyle w:val="ListBullet"/>
      </w:pPr>
      <w:r>
        <w:t>Conflicto de referencias → se resuelve por la precedencia de DS-GTRM-04; si es entre fuentes de igual rango y no resoluble, se marca Issue abierto y no se emite la GTRM; nunca se promedia silenciosamente.</w:t>
      </w:r>
    </w:p>
    <w:p>
      <w:pPr>
        <w:pStyle w:val="ListBullet"/>
      </w:pPr>
      <w:r>
        <w:t>KPI sin función aprobada → puede existir como definido/candidato, pero no es puntuable ni agregable hasta disponer de una transformación vigente. Se adoptan estados separados: definido → admisible → puntuable → integrable.</w:t>
      </w:r>
    </w:p>
    <w:p>
      <w:r>
        <w:t>Justificación: la integridad del cálculo exige que la ausencia se declare, no se rellene; y que el bloqueo sea proporcional (selectivo).</w:t>
      </w:r>
    </w:p>
    <w:p>
      <w:r>
        <w:t>Qué no decide: no define los estados operativos finales del catálogo de KPI (competencia de B4).</w:t>
      </w:r>
    </w:p>
    <w:p>
      <w:pPr>
        <w:spacing w:after="40"/>
      </w:pPr>
    </w:p>
    <w:p>
      <w:pPr>
        <w:pStyle w:val="Heading3"/>
      </w:pPr>
      <w:r>
        <w:t>6. Limitaciones, vigencia y pendientes</w:t>
      </w:r>
    </w:p>
    <w:p>
      <w:r>
        <w:t>Limitaciones: los estados definitivos de KPI dependen de B4.</w:t>
      </w:r>
    </w:p>
    <w:p>
      <w:r>
        <w:t>Preguntas abiertas: formalización de estados definido/admisible/puntuable/integrable → Issue en B4 (GOEI-ISS-051).</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KPI/admisibilidad (B4) | Añade estados y regla de puntuabilidad | B4 |</w:t>
      </w:r>
    </w:p>
    <w:p>
      <w:pPr>
        <w:spacing w:after="20" w:line="240" w:lineRule="auto"/>
      </w:pPr>
      <w:r>
        <w:rPr>
          <w:rFonts w:ascii="Consolas" w:hAnsi="Consolas"/>
          <w:sz w:val="14"/>
        </w:rPr>
        <w:t>| Agregación | Consume solo puntuaciones válidas; maneja ramas no calculables | B7 |</w:t>
      </w:r>
    </w:p>
    <w:p>
      <w:pPr>
        <w:spacing w:after="20" w:line="240" w:lineRule="auto"/>
      </w:pPr>
      <w:r>
        <w:rPr>
          <w:rFonts w:ascii="Consolas" w:hAnsi="Consolas"/>
          <w:sz w:val="14"/>
        </w:rPr>
        <w:t>| Interpretación | Comunica resultados parciales y bloqueos | B8 |</w:t>
      </w:r>
    </w:p>
    <w:p>
      <w:pPr>
        <w:spacing w:after="40"/>
      </w:pPr>
    </w:p>
    <w:p>
      <w:r>
        <w:t>Efecto papel–software: ambos deben mostrar el estado "no calculable" y su motivo; el software no autocompleta.</w:t>
      </w:r>
    </w:p>
    <w:p>
      <w:r>
        <w:t>Efecto histórico: los bloqueos y su resolución quedan versionados.</w:t>
      </w:r>
    </w:p>
    <w:p>
      <w:pPr>
        <w:spacing w:after="40"/>
      </w:pPr>
    </w:p>
    <w:p>
      <w:pPr>
        <w:pStyle w:val="Heading3"/>
      </w:pPr>
      <w:r>
        <w:t>8. Recomendación de integración</w:t>
      </w:r>
    </w:p>
    <w:p>
      <w:r>
        <w:t>Recomendar incorporación de las reglas de ausencia/conflicto/puntuabilidad tras auditoría y aprobación.</w:t>
      </w:r>
    </w:p>
    <w:p>
      <w:pPr>
        <w:spacing w:after="40"/>
      </w:pPr>
    </w:p>
    <w:p>
      <w:pPr>
        <w:pStyle w:val="Heading3"/>
      </w:pPr>
      <w:r>
        <w:t>9. Controles</w:t>
      </w:r>
    </w:p>
    <w:p>
      <w:r>
        <w:t>Cumplidos íntegramente.</w:t>
      </w:r>
    </w:p>
    <w:p>
      <w:r>
        <w:br w:type="page"/>
      </w:r>
    </w:p>
    <w:p>
      <w:pPr>
        <w:pStyle w:val="Heading1"/>
        <w:keepNext/>
      </w:pPr>
      <w:r>
        <w:t>Fuente 27: 00_Gobernanza/coordinacion/decisiones_cientificas/GTRM/DS_GTRM_08_Equivalencia_Reproducibilidad.md</w:t>
      </w:r>
    </w:p>
    <w:p>
      <w:pPr>
        <w:spacing w:after="200"/>
      </w:pPr>
      <w:r>
        <w:rPr>
          <w:rFonts w:ascii="Consolas" w:hAnsi="Consolas"/>
          <w:color w:val="595959"/>
          <w:sz w:val="16"/>
        </w:rPr>
        <w:t>Ruta: 00_Gobernanza/coordinacion/decisiones_cientificas/GTRM/DS_GTRM_08_Equivalencia_Reproducibilidad.md</w:t>
        <w:br/>
        <w:t>Tamaño: 4752 bytes</w:t>
        <w:br/>
        <w:t>SHA-256: 26e467913b7ad681a124fde722689f44f94e280804a966cece550fefb258b072</w:t>
      </w:r>
    </w:p>
    <w:p>
      <w:pPr>
        <w:pStyle w:val="Heading2"/>
      </w:pPr>
      <w:r>
        <w:t>DS-GTRM-08 — Equivalencia papel–software y reproducibilidad</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GOEI-DS-GTRM-08-0001 |</w:t>
      </w:r>
    </w:p>
    <w:p>
      <w:pPr>
        <w:spacing w:after="20" w:line="240" w:lineRule="auto"/>
      </w:pPr>
      <w:r>
        <w:rPr>
          <w:rFonts w:ascii="Consolas" w:hAnsi="Consolas"/>
          <w:sz w:val="14"/>
        </w:rPr>
        <w:t>| Slot de origen | DS-GTRM-08 |</w:t>
      </w:r>
    </w:p>
    <w:p>
      <w:pPr>
        <w:spacing w:after="20" w:line="240" w:lineRule="auto"/>
      </w:pPr>
      <w:r>
        <w:rPr>
          <w:rFonts w:ascii="Consolas" w:hAnsi="Consolas"/>
          <w:sz w:val="14"/>
        </w:rPr>
        <w:t>| Identificador de decisión | D-016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Incorporada como marco científico por D-016; tolerancias y casos diferidos a B5/B6/B9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GOEI-ISS-052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20" w:line="240" w:lineRule="auto"/>
      </w:pPr>
      <w:r>
        <w:rPr>
          <w:rFonts w:ascii="Consolas" w:hAnsi="Consolas"/>
          <w:sz w:val="14"/>
        </w:rPr>
        <w:t>| Fecha | 2026-08-04 |</w:t>
      </w:r>
    </w:p>
    <w:p>
      <w:pPr>
        <w:spacing w:after="40"/>
      </w:pPr>
    </w:p>
    <w:p>
      <w:pPr>
        <w:pStyle w:val="Heading3"/>
      </w:pPr>
      <w:r>
        <w:t>1. Pregunta y alcance</w:t>
      </w:r>
    </w:p>
    <w:p>
      <w:r>
        <w:t>Pregunta exacta: ¿Qué especificación es fuente de verdad, qué casos canónicos se exigen y qué tolerancia rige la equivalencia papel–software?</w:t>
      </w:r>
    </w:p>
    <w:p>
      <w:r>
        <w:t>Incluye: fuente de verdad, batería de casos canónicos y régimen de tolerancia (marco).</w:t>
      </w:r>
    </w:p>
    <w:p>
      <w:r>
        <w:t>Excluye: fijar el valor numérico de la tolerancia (no lo fija la Oficina Técnica; requiere aprobación científica por familia).</w:t>
      </w:r>
    </w:p>
    <w:p>
      <w:pPr>
        <w:spacing w:after="40"/>
      </w:pPr>
    </w:p>
    <w:p>
      <w:pPr>
        <w:pStyle w:val="Heading3"/>
      </w:pPr>
      <w:r>
        <w:t>2. Alternativas consideradas</w:t>
      </w:r>
    </w:p>
    <w:p>
      <w:pPr>
        <w:spacing w:after="20" w:line="240" w:lineRule="auto"/>
      </w:pPr>
      <w:r>
        <w:rPr>
          <w:rFonts w:ascii="Consolas" w:hAnsi="Consolas"/>
          <w:sz w:val="14"/>
        </w:rPr>
        <w:t>| ID | Alternativa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**La especificación de la función es la fuente de verdad**; tabla y software son representaciones derivadas verificadas por casos canónicos con checksum | Reproducible; equivalencia auditable | Requiere mantener la especificación formal | **Adoptada** |</w:t>
      </w:r>
    </w:p>
    <w:p>
      <w:pPr>
        <w:spacing w:after="20" w:line="240" w:lineRule="auto"/>
      </w:pPr>
      <w:r>
        <w:rPr>
          <w:rFonts w:ascii="Consolas" w:hAnsi="Consolas"/>
          <w:sz w:val="14"/>
        </w:rPr>
        <w:t>| ALT-02 | **La tabla manual** es la fuente de verdad | Simple para papel | Viola regla #6; reintroduce arbitrariedad; congela discretización | Rechazada |</w:t>
      </w:r>
    </w:p>
    <w:p>
      <w:pPr>
        <w:spacing w:after="20" w:line="240" w:lineRule="auto"/>
      </w:pPr>
      <w:r>
        <w:rPr>
          <w:rFonts w:ascii="Consolas" w:hAnsi="Consolas"/>
          <w:sz w:val="14"/>
        </w:rPr>
        <w:t>| ALT-03 | **El software** es la fuente de verdad | Preciso | Viola independencia tecnológica (P-003); opaco | Rechazada |</w:t>
      </w:r>
    </w:p>
    <w:p>
      <w:pPr>
        <w:spacing w:after="40"/>
      </w:pPr>
    </w:p>
    <w:p>
      <w:pPr>
        <w:pStyle w:val="Heading3"/>
      </w:pPr>
      <w:r>
        <w:t>3. Evidencia y procedencia (APA 7)</w:t>
      </w:r>
    </w:p>
    <w:p>
      <w:pPr>
        <w:spacing w:after="20" w:line="240" w:lineRule="auto"/>
      </w:pPr>
      <w:r>
        <w:rPr>
          <w:rFonts w:ascii="Consolas" w:hAnsi="Consolas"/>
          <w:sz w:val="14"/>
        </w:rPr>
        <w:t>| Tipo | Fuente | Enlace/DOI | Afirmación |</w:t>
      </w:r>
    </w:p>
    <w:p>
      <w:pPr>
        <w:spacing w:after="20" w:line="240" w:lineRule="auto"/>
      </w:pPr>
      <w:r>
        <w:rPr>
          <w:rFonts w:ascii="Consolas" w:hAnsi="Consolas"/>
          <w:sz w:val="14"/>
        </w:rPr>
        <w:t>|---|---|---|---|</w:t>
      </w:r>
    </w:p>
    <w:p>
      <w:pPr>
        <w:spacing w:after="20" w:line="240" w:lineRule="auto"/>
      </w:pPr>
      <w:r>
        <w:rPr>
          <w:rFonts w:ascii="Consolas" w:hAnsi="Consolas"/>
          <w:sz w:val="14"/>
        </w:rPr>
        <w:t>| Norma metrológica | JCGM (2008), GUM | https://doi.org/10.59161/jcgm100-2008e | La comparación de resultados exige tolerancia e incertidumbre declaradas |</w:t>
      </w:r>
    </w:p>
    <w:p>
      <w:pPr>
        <w:spacing w:after="20" w:line="240" w:lineRule="auto"/>
      </w:pPr>
      <w:r>
        <w:rPr>
          <w:rFonts w:ascii="Consolas" w:hAnsi="Consolas"/>
          <w:sz w:val="14"/>
        </w:rPr>
        <w:t>| Norma metodológica | Nardo et al. (2008), OECD | https://doi.org/10.1787/9789264043466-en | La reproducibilidad exige documentar la construcción, no solo el resultado |</w:t>
      </w:r>
    </w:p>
    <w:p>
      <w:pPr>
        <w:spacing w:after="20" w:line="240" w:lineRule="auto"/>
      </w:pPr>
      <w:r>
        <w:rPr>
          <w:rFonts w:ascii="Consolas" w:hAnsi="Consolas"/>
          <w:sz w:val="14"/>
        </w:rPr>
        <w:t>| Hecho de proyecto | D-006-REV (AX-9, comparabilidad entre versiones) | Archivo | Resultados de distintas versiones no son comparables salvo mapa de compatibilidad |</w:t>
      </w:r>
    </w:p>
    <w:p>
      <w:pPr>
        <w:spacing w:after="40"/>
      </w:pPr>
    </w:p>
    <w:p>
      <w:pPr>
        <w:pStyle w:val="Heading3"/>
      </w:pPr>
      <w:r>
        <w:t>4. Análisis científico</w:t>
      </w:r>
    </w:p>
    <w:p>
      <w:r>
        <w:t>Método: verificación por casos canónicos (límites, adyacencias, extremos, faltantes, unidades, redondeos, conflictos, vigencias, incertidumbre); análisis de error de discretización.</w:t>
      </w:r>
    </w:p>
    <w:p>
      <w:r>
        <w:t>Incertidumbre/sesgos: la discretización de la tabla introduce error en fronteras de tramo (riesgo de gaming); la tolerancia debe acotarlo.</w:t>
      </w:r>
    </w:p>
    <w:p>
      <w:r>
        <w:t>Reproducibilidad: baselines inmutables + versión congelada por evaluación.</w:t>
      </w:r>
    </w:p>
    <w:p>
      <w:pPr>
        <w:spacing w:after="40"/>
      </w:pPr>
    </w:p>
    <w:p>
      <w:pPr>
        <w:pStyle w:val="Heading3"/>
      </w:pPr>
      <w:r>
        <w:t>5. Decisión propuesta</w:t>
      </w:r>
    </w:p>
    <w:p>
      <w:r>
        <w:t>Disposición: adoptar ALT-01.</w:t>
      </w:r>
    </w:p>
    <w:p>
      <w:r>
        <w:t>Texto inequívoco: La fuente de verdad es la especificación de la función (no la tabla ni el software). La tabla manual y el software son representaciones derivadas que deben generarse de esa única especificación y superar una batería de casos canónicos con checksum. La tolerancia de equivalencia requiere aprobación científica por familia y NO la fija la Oficina Técnica; una divergencia superior a la tolerancia aprobada bloquea la representación afectada. Para la reproducibilidad histórica: baselines inmutables, cada evaluación conserva la versión usada, y toda simulación con versión nueva se marca contrafactual (AX-9).</w:t>
      </w:r>
    </w:p>
    <w:p>
      <w:r>
        <w:t>Justificación: solo una especificación única como fuente de verdad garantiza a la vez independencia tecnológica (P-003), aplicación manual fiel (P-004) y reproducibilidad.</w:t>
      </w:r>
    </w:p>
    <w:p>
      <w:r>
        <w:t>Qué no decide: no fija el valor de la tolerancia ni el conjunto final de casos canónicos (por familia, con evidencia).</w:t>
      </w:r>
    </w:p>
    <w:p>
      <w:pPr>
        <w:spacing w:after="40"/>
      </w:pPr>
    </w:p>
    <w:p>
      <w:pPr>
        <w:pStyle w:val="Heading3"/>
      </w:pPr>
      <w:r>
        <w:t>6. Limitaciones, vigencia y pendientes</w:t>
      </w:r>
    </w:p>
    <w:p>
      <w:r>
        <w:t>Limitaciones: la tolerancia y los casos dependen de la familia y de B5/B6.</w:t>
      </w:r>
    </w:p>
    <w:p>
      <w:r>
        <w:t>Preguntas abiertas: valor de tolerancia y batería canónica por familia → Issue (GOEI-ISS-052).</w:t>
      </w:r>
    </w:p>
    <w:p>
      <w:pPr>
        <w:spacing w:after="40"/>
      </w:pPr>
    </w:p>
    <w:p>
      <w:pPr>
        <w:pStyle w:val="Heading3"/>
      </w:pPr>
      <w:r>
        <w:t>7. Impacto y dependencias</w:t>
      </w:r>
    </w:p>
    <w:p>
      <w:pPr>
        <w:spacing w:after="20" w:line="240" w:lineRule="auto"/>
      </w:pPr>
      <w:r>
        <w:rPr>
          <w:rFonts w:ascii="Consolas" w:hAnsi="Consolas"/>
          <w:sz w:val="14"/>
        </w:rPr>
        <w:t>| Componente | Efecto | Dependencia |</w:t>
      </w:r>
    </w:p>
    <w:p>
      <w:pPr>
        <w:spacing w:after="20" w:line="240" w:lineRule="auto"/>
      </w:pPr>
      <w:r>
        <w:rPr>
          <w:rFonts w:ascii="Consolas" w:hAnsi="Consolas"/>
          <w:sz w:val="14"/>
        </w:rPr>
        <w:t>|---|---|---|</w:t>
      </w:r>
    </w:p>
    <w:p>
      <w:pPr>
        <w:spacing w:after="20" w:line="240" w:lineRule="auto"/>
      </w:pPr>
      <w:r>
        <w:rPr>
          <w:rFonts w:ascii="Consolas" w:hAnsi="Consolas"/>
          <w:sz w:val="14"/>
        </w:rPr>
        <w:t>| Manual/formularios | Tabla derivada + estados + versión | DS-GTRM-02/05/06 |</w:t>
      </w:r>
    </w:p>
    <w:p>
      <w:pPr>
        <w:spacing w:after="20" w:line="240" w:lineRule="auto"/>
      </w:pPr>
      <w:r>
        <w:rPr>
          <w:rFonts w:ascii="Consolas" w:hAnsi="Consolas"/>
          <w:sz w:val="14"/>
        </w:rPr>
        <w:t>| Software | Implementa la misma especificación; pruebas de conformidad | DS-GTRM-02 |</w:t>
      </w:r>
    </w:p>
    <w:p>
      <w:pPr>
        <w:spacing w:after="20" w:line="240" w:lineRule="auto"/>
      </w:pPr>
      <w:r>
        <w:rPr>
          <w:rFonts w:ascii="Consolas" w:hAnsi="Consolas"/>
          <w:sz w:val="14"/>
        </w:rPr>
        <w:t>| Validación | Prueba de equivalencia como criterio | B9 |</w:t>
      </w:r>
    </w:p>
    <w:p>
      <w:pPr>
        <w:spacing w:after="40"/>
      </w:pPr>
    </w:p>
    <w:p>
      <w:r>
        <w:t>Efecto papel–software: equivalencia con error acotado y aprobado; divergencia = bloqueo de la representación.</w:t>
      </w:r>
    </w:p>
    <w:p>
      <w:r>
        <w:t>Efecto histórico: inmutabilidad de baselines; simulaciones marcadas contrafactuales.</w:t>
      </w:r>
    </w:p>
    <w:p>
      <w:pPr>
        <w:spacing w:after="40"/>
      </w:pPr>
    </w:p>
    <w:p>
      <w:pPr>
        <w:pStyle w:val="Heading3"/>
      </w:pPr>
      <w:r>
        <w:t>8. Recomendación de integración</w:t>
      </w:r>
    </w:p>
    <w:p>
      <w:r>
        <w:t>Recomendar incorporación del régimen de fuente de verdad, casos canónicos y tolerancia-aprobada tras auditoría; el valor de tolerancia se difiere.</w:t>
      </w:r>
    </w:p>
    <w:p>
      <w:pPr>
        <w:spacing w:after="40"/>
      </w:pPr>
    </w:p>
    <w:p>
      <w:pPr>
        <w:pStyle w:val="Heading3"/>
      </w:pPr>
      <w:r>
        <w:t>9. Controles</w:t>
      </w:r>
    </w:p>
    <w:p>
      <w:r>
        <w:t>Cumplidos íntegramente.</w:t>
      </w:r>
    </w:p>
    <w:p>
      <w:r>
        <w:br w:type="page"/>
      </w:r>
    </w:p>
    <w:p>
      <w:pPr>
        <w:pStyle w:val="Heading1"/>
        <w:keepNext/>
      </w:pPr>
      <w:r>
        <w:t>Fuente 28: 00_Gobernanza/coordinacion/decisiones_cientificas/GTRM/GOEI_CC_DICTAMEN_GTRM_INTEGRACION.md</w:t>
      </w:r>
    </w:p>
    <w:p>
      <w:pPr>
        <w:spacing w:after="200"/>
      </w:pPr>
      <w:r>
        <w:rPr>
          <w:rFonts w:ascii="Consolas" w:hAnsi="Consolas"/>
          <w:color w:val="595959"/>
          <w:sz w:val="16"/>
        </w:rPr>
        <w:t>Ruta: 00_Gobernanza/coordinacion/decisiones_cientificas/GTRM/GOEI_CC_DICTAMEN_GTRM_INTEGRACION.md</w:t>
        <w:br/>
        <w:t>Tamaño: 9477 bytes</w:t>
        <w:br/>
        <w:t>SHA-256: ee582616fb23f7277c6d6b3e81c9602491d82f2e70ee3eecb0e214c3a5f05f01</w:t>
      </w:r>
    </w:p>
    <w:p>
      <w:pPr>
        <w:pStyle w:val="Heading2"/>
      </w:pPr>
      <w:r>
        <w:t>Dictamen de integración del conjunto DS-GTRM-01…08 (consultivo)</w:t>
      </w:r>
    </w:p>
    <w:p>
      <w:pPr>
        <w:pStyle w:val="Heading3"/>
      </w:pPr>
      <w:r>
        <w:t>Comité Científico GOEI → Oficina Técnica / Dirección General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GOEI-CC-DICT-GTRM-INT-0001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Consultivo; sin efectos normativos hasta ratificación e Issue de cambio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protegida | D-006 Ontology Baseline v0.1 (sin modificación) |</w:t>
      </w:r>
    </w:p>
    <w:p>
      <w:pPr>
        <w:spacing w:after="20" w:line="240" w:lineRule="auto"/>
      </w:pPr>
      <w:r>
        <w:rPr>
          <w:rFonts w:ascii="Consolas" w:hAnsi="Consolas"/>
          <w:sz w:val="14"/>
        </w:rPr>
        <w:t>| Fecha | 2026-08-04 |</w:t>
      </w:r>
    </w:p>
    <w:p>
      <w:pPr>
        <w:spacing w:after="40"/>
      </w:pPr>
    </w:p>
    <w:p>
      <w:pPr>
        <w:pStyle w:val="Heading3"/>
      </w:pPr>
      <w:r>
        <w:t>1. Objeto</w:t>
      </w:r>
    </w:p>
    <w:p>
      <w:r>
        <w:t>Determinar si el conjunto de decisiones DS-GTRM-01 a DS-GTRM-08 es científicamente suficiente para la integración arquitectónica de la GTRM, y qué queda diferido a B2/B4/B5/B6 y a Issues subsistentes.</w:t>
      </w:r>
    </w:p>
    <w:p>
      <w:pPr>
        <w:spacing w:after="40"/>
      </w:pPr>
    </w:p>
    <w:p>
      <w:pPr>
        <w:pStyle w:val="Heading3"/>
      </w:pPr>
      <w:r>
        <w:t>2. Síntesis de las ocho decisiones</w:t>
      </w:r>
    </w:p>
    <w:p>
      <w:pPr>
        <w:spacing w:after="20" w:line="240" w:lineRule="auto"/>
      </w:pPr>
      <w:r>
        <w:rPr>
          <w:rFonts w:ascii="Consolas" w:hAnsi="Consolas"/>
          <w:sz w:val="14"/>
        </w:rPr>
        <w:t>| Slot | Decisión adoptada (resumen) |</w:t>
      </w:r>
    </w:p>
    <w:p>
      <w:pPr>
        <w:spacing w:after="20" w:line="240" w:lineRule="auto"/>
      </w:pPr>
      <w:r>
        <w:rPr>
          <w:rFonts w:ascii="Consolas" w:hAnsi="Consolas"/>
          <w:sz w:val="14"/>
        </w:rPr>
        <w:t>|---|---|</w:t>
      </w:r>
    </w:p>
    <w:p>
      <w:pPr>
        <w:spacing w:after="20" w:line="240" w:lineRule="auto"/>
      </w:pPr>
      <w:r>
        <w:rPr>
          <w:rFonts w:ascii="Consolas" w:hAnsi="Consolas"/>
          <w:sz w:val="14"/>
        </w:rPr>
        <w:t>| DS-GTRM-01 | La GTRM actúa sobre el **valor de KPI** (no sobre observación cruda ni medición aislada). |</w:t>
      </w:r>
    </w:p>
    <w:p>
      <w:pPr>
        <w:spacing w:after="20" w:line="240" w:lineRule="auto"/>
      </w:pPr>
      <w:r>
        <w:rPr>
          <w:rFonts w:ascii="Consolas" w:hAnsi="Consolas"/>
          <w:sz w:val="14"/>
        </w:rPr>
        <w:t>| DS-GTRM-02 | GTRM = **función de valor parametrizada**; su aplicación **única** produce la **puntuación normalizada**; **prohibida la doble normalización** (GTRM y B6 = un solo paso). |</w:t>
      </w:r>
    </w:p>
    <w:p>
      <w:pPr>
        <w:spacing w:after="20" w:line="240" w:lineRule="auto"/>
      </w:pPr>
      <w:r>
        <w:rPr>
          <w:rFonts w:ascii="Consolas" w:hAnsi="Consolas"/>
          <w:sz w:val="14"/>
        </w:rPr>
        <w:t>| DS-GTRM-03 | **Condición de referencia (prescriptiva) ≠ benchmark (descriptivo)**; el benchmark puede informar, no sustituir. |</w:t>
      </w:r>
    </w:p>
    <w:p>
      <w:pPr>
        <w:spacing w:after="20" w:line="240" w:lineRule="auto"/>
      </w:pPr>
      <w:r>
        <w:rPr>
          <w:rFonts w:ascii="Consolas" w:hAnsi="Consolas"/>
          <w:sz w:val="14"/>
        </w:rPr>
        <w:t>| DS-GTRM-04 | **Coexisten dominios** de referencia; selección/precedencia **explícita** (no por taxonomía ni software); regulatorio/jurisdiccional prevalece como compuerta (AX-4), como **regla candidata**. |</w:t>
      </w:r>
    </w:p>
    <w:p>
      <w:pPr>
        <w:spacing w:after="20" w:line="240" w:lineRule="auto"/>
      </w:pPr>
      <w:r>
        <w:rPr>
          <w:rFonts w:ascii="Consolas" w:hAnsi="Consolas"/>
          <w:sz w:val="14"/>
        </w:rPr>
        <w:t>| DS-GTRM-05 | **Cinco fuentes de incertidumbre** representadas + estado de suficiencia; marco **GUM/JCGM**; método y tolerancia **diferidos**. |</w:t>
      </w:r>
    </w:p>
    <w:p>
      <w:pPr>
        <w:spacing w:after="20" w:line="240" w:lineRule="auto"/>
      </w:pPr>
      <w:r>
        <w:rPr>
          <w:rFonts w:ascii="Consolas" w:hAnsi="Consolas"/>
          <w:sz w:val="14"/>
        </w:rPr>
        <w:t>| DS-GTRM-06 | **Doble autoridad** (científica + normativa) y **ciclo de vida versionado inmutable**. |</w:t>
      </w:r>
    </w:p>
    <w:p>
      <w:pPr>
        <w:spacing w:after="20" w:line="240" w:lineRule="auto"/>
      </w:pPr>
      <w:r>
        <w:rPr>
          <w:rFonts w:ascii="Consolas" w:hAnsi="Consolas"/>
          <w:sz w:val="14"/>
        </w:rPr>
        <w:t>| DS-GTRM-07 | Ausencia → **no calculable + bloqueo selectivo + Issue** (sin fallback); conflicto → precedencia o Issue; estados **definido→admisible→puntuable→integrable**. |</w:t>
      </w:r>
    </w:p>
    <w:p>
      <w:pPr>
        <w:spacing w:after="20" w:line="240" w:lineRule="auto"/>
      </w:pPr>
      <w:r>
        <w:rPr>
          <w:rFonts w:ascii="Consolas" w:hAnsi="Consolas"/>
          <w:sz w:val="14"/>
        </w:rPr>
        <w:t>| DS-GTRM-08 | **Fuente de verdad = especificación de la función**; tabla/software derivados; **tolerancia con aprobación científica**; reproducibilidad por baselines inmutables (AX-9). |</w:t>
      </w:r>
    </w:p>
    <w:p>
      <w:pPr>
        <w:spacing w:after="40"/>
      </w:pPr>
    </w:p>
    <w:p>
      <w:pPr>
        <w:pStyle w:val="Heading3"/>
      </w:pPr>
      <w:r>
        <w:t>3. Consistencia interna del conjunto</w:t>
      </w:r>
    </w:p>
    <w:p>
      <w:r>
        <w:t>El conjunto es internamente consistente y no contradictorio ([ANÁLISIS]): DS-01 fija la entrada; DS-02 la naturaleza y salida; DS-03/04 gobiernan las referencias; DS-05 la incertidumbre; DS-06 la autoridad; DS-07 la integridad ante faltas; DS-08 la equivalencia e historial. Cada decisión respeta las reglas de bloqueo del expediente (no fallback, no inferencia técnica, no edición de D-006, bloqueo selectivo) y las tres decisiones fundacionales del proyecto (D-003 constructo; D-004 formativo; D-005 arquitectura), sin modificar la baseline ontológica (D-006 v0.1).</w:t>
      </w:r>
    </w:p>
    <w:p>
      <w:pPr>
        <w:spacing w:after="40"/>
      </w:pPr>
    </w:p>
    <w:p>
      <w:pPr>
        <w:pStyle w:val="Heading3"/>
      </w:pPr>
      <w:r>
        <w:t>4. ¿Suficiencia para integración arquitectónica?</w:t>
      </w:r>
    </w:p>
    <w:p>
      <w:r>
        <w:t>*Dictamen: el conjunto es científicamente SUFICIENTE como contrato/marco de integración arquitectónica, pero NO habilita la integración normativa efectiva ni la emisión de GTRM reales. ([ANÁLISIS]*)</w:t>
      </w:r>
    </w:p>
    <w:p>
      <w:pPr>
        <w:spacing w:after="40"/>
      </w:pPr>
    </w:p>
    <w:p>
      <w:pPr>
        <w:pStyle w:val="ListBullet"/>
      </w:pPr>
      <w:r>
        <w:t>Suficiente para: (i) definir el sustrato GTRM como especificación gobernada de una única normalización; (ii) reescribir el diseño de B5 (separación captura/registro/valor/referencia/benchmark) y B6 (una sola función); (iii) abrir el Issue específico de cambio contra D-006 con alcance acotado (añadir el artefacto GTRM y separar observación/medición registrada); (iv) fijar el marco de autoridad, ciclo de vida, incertidumbre y equivalencia.</w:t>
      </w:r>
    </w:p>
    <w:p>
      <w:pPr>
        <w:pStyle w:val="ListBullet"/>
      </w:pPr>
      <w:r>
        <w:t>NO suficiente para: (i) emitir ninguna GTRM concreta; (ii) fijar referencias, funciones, parámetros, umbrales, tolerancias o precedencias numéricas; (iii) declarar KPI puntuables/integrables; (iv) modificar D-006 o cualquier baseline; (v) declarar versión del estándar o release.</w:t>
      </w:r>
    </w:p>
    <w:p>
      <w:pPr>
        <w:spacing w:after="40"/>
      </w:pPr>
    </w:p>
    <w:p>
      <w:pPr>
        <w:pStyle w:val="Heading3"/>
      </w:pPr>
      <w:r>
        <w:t>5. Diferido explícito a B2/B4/B5/B6</w:t>
      </w:r>
    </w:p>
    <w:p>
      <w:pPr>
        <w:spacing w:after="20" w:line="240" w:lineRule="auto"/>
      </w:pPr>
      <w:r>
        <w:rPr>
          <w:rFonts w:ascii="Consolas" w:hAnsi="Consolas"/>
          <w:sz w:val="14"/>
        </w:rPr>
        <w:t>| Fase | Qué queda diferido |</w:t>
      </w:r>
    </w:p>
    <w:p>
      <w:pPr>
        <w:spacing w:after="20" w:line="240" w:lineRule="auto"/>
      </w:pPr>
      <w:r>
        <w:rPr>
          <w:rFonts w:ascii="Consolas" w:hAnsi="Consolas"/>
          <w:sz w:val="14"/>
        </w:rPr>
        <w:t>|---|---|</w:t>
      </w:r>
    </w:p>
    <w:p>
      <w:pPr>
        <w:spacing w:after="20" w:line="240" w:lineRule="auto"/>
      </w:pPr>
      <w:r>
        <w:rPr>
          <w:rFonts w:ascii="Consolas" w:hAnsi="Consolas"/>
          <w:sz w:val="14"/>
        </w:rPr>
        <w:t>| **B2 Taxonomía** | Catálogo de dominios categoriales y su rol en la aplicabilidad (DS-04); no se emiten GTRM categoriales hasta B2. |</w:t>
      </w:r>
    </w:p>
    <w:p>
      <w:pPr>
        <w:spacing w:after="20" w:line="240" w:lineRule="auto"/>
      </w:pPr>
      <w:r>
        <w:rPr>
          <w:rFonts w:ascii="Consolas" w:hAnsi="Consolas"/>
          <w:sz w:val="14"/>
        </w:rPr>
        <w:t>| **B4 Admisibilidad** | Estados operativos del KPI (definido/admisible/puntuable/integrable) y criterio "existe referencia ⇒ puntuable" (DS-07). |</w:t>
      </w:r>
    </w:p>
    <w:p>
      <w:pPr>
        <w:spacing w:after="20" w:line="240" w:lineRule="auto"/>
      </w:pPr>
      <w:r>
        <w:rPr>
          <w:rFonts w:ascii="Consolas" w:hAnsi="Consolas"/>
          <w:sz w:val="14"/>
        </w:rPr>
        <w:t>| **B5 Medición** | Separación captura/registro/valor; método concreto de incertidumbre por familia (DS-05); protocolo para que un benchmark funde una referencia (DS-03). |</w:t>
      </w:r>
    </w:p>
    <w:p>
      <w:pPr>
        <w:spacing w:after="20" w:line="240" w:lineRule="auto"/>
      </w:pPr>
      <w:r>
        <w:rPr>
          <w:rFonts w:ascii="Consolas" w:hAnsi="Consolas"/>
          <w:sz w:val="14"/>
        </w:rPr>
        <w:t>| **B6 Normalización** | Reescritura como aplicación **única** de la función GTRM; formas funcionales admisibles y su justificación (DS-02); tolerancia y casos canónicos de equivalencia (DS-08). |</w:t>
      </w:r>
    </w:p>
    <w:p>
      <w:pPr>
        <w:spacing w:after="40"/>
      </w:pPr>
    </w:p>
    <w:p>
      <w:pPr>
        <w:pStyle w:val="Heading3"/>
      </w:pPr>
      <w:r>
        <w:t>6. Issues subsistentes</w:t>
      </w:r>
    </w:p>
    <w:p>
      <w:pPr>
        <w:pStyle w:val="ListBullet"/>
      </w:pPr>
      <w:r>
        <w:t>Abiertos por materia: GOEI-ISS-045…052 (DS-01…08) pasan a estado "resueltos por el Comité, pendientes de auditoría técnica de suficiencia conjunta y ratificación".</w:t>
      </w:r>
    </w:p>
    <w:p>
      <w:pPr>
        <w:pStyle w:val="ListBullet"/>
      </w:pPr>
      <w:r>
        <w:t>Nuevos/enlazados: Issue específico de cambio contra D-006 (separar observación/medición registrada + añadir artefacto GTRM), con análisis de impacto y versión objetivo; Issue de estudio de gobernanza de proliferación combinatoria (KPI×dominio×jurisdicción) y reutilización controlada; Issue de precedencia operativa de dominios (DS-04) ligado a B2/B4; Issue de método y tolerancia de incertidumbre (DS-05) y tolerancia papel–software (DS-08) ligados a B5/B6.</w:t>
      </w:r>
    </w:p>
    <w:p>
      <w:pPr>
        <w:pStyle w:val="ListBullet"/>
      </w:pPr>
      <w:r>
        <w:t>Dependencias de compuerta no alteradas: D-008/B1, B2, B4, B5 conservan sus compuertas; este dictamen no las abre ni las cierra.</w:t>
      </w:r>
    </w:p>
    <w:p>
      <w:pPr>
        <w:spacing w:after="40"/>
      </w:pPr>
    </w:p>
    <w:p>
      <w:pPr>
        <w:pStyle w:val="Heading3"/>
      </w:pPr>
      <w:r>
        <w:t>7. Recomendación de integración</w:t>
      </w:r>
    </w:p>
    <w:p>
      <w:r>
        <w:t>Recomendar la incorporación del MARCO definido por DS-GTRM-01…08 como contrato científico de la arquitectura de normalización, condicionada a: (1) auditoría técnica de suficiencia y consistencia conjunta por la Oficina Técnica; (2) Issue específico de cambio contra D-006 con nueva baseline propuesta; (3) cierre competente de B2, B4, B5 antes de emitir instancias reales; (4) ratificación directiva. No se recomienda crear entidades GTRM, editar D-006 ni declarar release en este acto.</w:t>
      </w:r>
    </w:p>
    <w:p>
      <w:pPr>
        <w:spacing w:after="40"/>
      </w:pPr>
    </w:p>
    <w:p>
      <w:pPr>
        <w:pStyle w:val="Heading3"/>
      </w:pPr>
      <w:r>
        <w:t>8. Tabla conclusión–evidencia–limitación–impacto</w:t>
      </w:r>
    </w:p>
    <w:p>
      <w:pPr>
        <w:spacing w:after="20" w:line="240" w:lineRule="auto"/>
      </w:pPr>
      <w:r>
        <w:rPr>
          <w:rFonts w:ascii="Consolas" w:hAnsi="Consolas"/>
          <w:sz w:val="14"/>
        </w:rPr>
        <w:t>| Conclusión | Evidencia | Limitación | Impacto |</w:t>
      </w:r>
    </w:p>
    <w:p>
      <w:pPr>
        <w:spacing w:after="20" w:line="240" w:lineRule="auto"/>
      </w:pPr>
      <w:r>
        <w:rPr>
          <w:rFonts w:ascii="Consolas" w:hAnsi="Consolas"/>
          <w:sz w:val="14"/>
        </w:rPr>
        <w:t>|---|---|---|---|</w:t>
      </w:r>
    </w:p>
    <w:p>
      <w:pPr>
        <w:spacing w:after="20" w:line="240" w:lineRule="auto"/>
      </w:pPr>
      <w:r>
        <w:rPr>
          <w:rFonts w:ascii="Consolas" w:hAnsi="Consolas"/>
          <w:sz w:val="14"/>
        </w:rPr>
        <w:t>| Conjunto consistente y suficiente como marco | DS-01…08; D-003/004/005; expediente EXP-ISS-044 | Suficiente como contrato, no para instancias | Habilita rediseño de B5/B6 y Issue D-006 |</w:t>
      </w:r>
    </w:p>
    <w:p>
      <w:pPr>
        <w:spacing w:after="20" w:line="240" w:lineRule="auto"/>
      </w:pPr>
      <w:r>
        <w:rPr>
          <w:rFonts w:ascii="Consolas" w:hAnsi="Consolas"/>
          <w:sz w:val="14"/>
        </w:rPr>
        <w:t>| GTRM = especificación de una única normalización | Nardo et al. (2008); Keeney &amp; Raiffa (1976) | Requiere reescritura de B6 | Elimina doble normalización |</w:t>
      </w:r>
    </w:p>
    <w:p>
      <w:pPr>
        <w:spacing w:after="20" w:line="240" w:lineRule="auto"/>
      </w:pPr>
      <w:r>
        <w:rPr>
          <w:rFonts w:ascii="Consolas" w:hAnsi="Consolas"/>
          <w:sz w:val="14"/>
        </w:rPr>
        <w:t>| Referencia ≠ benchmark; precedencia explícita | Karr (1981); Codex CXC 1-1969; AX-4 | Precedencias concretas diferidas a B2/B4 | Modelo de referencias auditable |</w:t>
      </w:r>
    </w:p>
    <w:p>
      <w:pPr>
        <w:spacing w:after="20" w:line="240" w:lineRule="auto"/>
      </w:pPr>
      <w:r>
        <w:rPr>
          <w:rFonts w:ascii="Consolas" w:hAnsi="Consolas"/>
          <w:sz w:val="14"/>
        </w:rPr>
        <w:t>| Incertidumbre obligatoria, método diferido | JCGM 100:2008; 106:2012 | Método por familia pendiente (B5) | Evita falsa precisión |</w:t>
      </w:r>
    </w:p>
    <w:p>
      <w:pPr>
        <w:spacing w:after="20" w:line="240" w:lineRule="auto"/>
      </w:pPr>
      <w:r>
        <w:rPr>
          <w:rFonts w:ascii="Consolas" w:hAnsi="Consolas"/>
          <w:sz w:val="14"/>
        </w:rPr>
        <w:t>| Autoridad doble y ciclo inmutable | ISO/IEC 17065; CMMI v2.0; D-005 | Depende de gobernanza (GOEI-ISS-003) | Reproducibilidad y trazabilidad |</w:t>
      </w:r>
    </w:p>
    <w:p>
      <w:pPr>
        <w:spacing w:after="20" w:line="240" w:lineRule="auto"/>
      </w:pPr>
      <w:r>
        <w:rPr>
          <w:rFonts w:ascii="Consolas" w:hAnsi="Consolas"/>
          <w:sz w:val="14"/>
        </w:rPr>
        <w:t>| Especificación como fuente de verdad | JCGM 100:2008; AX-9 | Tolerancia numérica no fijada | Equivalencia papel–software auditable |</w:t>
      </w:r>
    </w:p>
    <w:p>
      <w:pPr>
        <w:spacing w:after="40"/>
      </w:pPr>
    </w:p>
    <w:p>
      <w:pPr>
        <w:pStyle w:val="Heading3"/>
      </w:pPr>
      <w:r>
        <w:t>9. Bloqueos residuales</w:t>
      </w:r>
    </w:p>
    <w:p>
      <w:pPr>
        <w:pStyle w:val="ListNumber"/>
      </w:pPr>
      <w:r>
        <w:t>D-006 no puede modificarse sin Issue específico + análisis de impacto + versión objetivo + aprobación competente.</w:t>
      </w:r>
    </w:p>
    <w:p>
      <w:pPr>
        <w:pStyle w:val="ListNumber"/>
      </w:pPr>
      <w:r>
        <w:t>No hay GTRM reales posibles hasta cerrar B2, B4 y B5.</w:t>
      </w:r>
    </w:p>
    <w:p>
      <w:pPr>
        <w:pStyle w:val="ListNumber"/>
      </w:pPr>
      <w:r>
        <w:t>Precedencia concreta, método/tolerancia de incertidumbre y tolerancia papel–software quedan diferidos (DS-04/05/08).</w:t>
      </w:r>
    </w:p>
    <w:p>
      <w:pPr>
        <w:pStyle w:val="ListNumber"/>
      </w:pPr>
      <w:r>
        <w:t>Proliferación combinatoria no gobernada: requiere estudio antes de escalar.</w:t>
      </w:r>
    </w:p>
    <w:p>
      <w:pPr>
        <w:pStyle w:val="ListNumber"/>
      </w:pPr>
      <w:r>
        <w:t>La integración normativa exige auditoría técnica de consistencia conjunta de los ocho slots (regla #10 del expediente).</w:t>
      </w:r>
    </w:p>
    <w:p>
      <w:pPr>
        <w:spacing w:after="40"/>
      </w:pPr>
    </w:p>
    <w:p>
      <w:r>
        <w:t>---</w:t>
      </w:r>
    </w:p>
    <w:p>
      <w:pPr>
        <w:spacing w:after="40"/>
      </w:pPr>
    </w:p>
    <w:p>
      <w:pPr>
        <w:pStyle w:val="Heading3"/>
      </w:pPr>
      <w:r>
        <w:t>Referencias (APA 7)</w:t>
      </w:r>
    </w:p>
    <w:p>
      <w:pPr>
        <w:pStyle w:val="ListBullet"/>
      </w:pPr>
      <w:r>
        <w:t>Keeney, R. L., &amp; Raiffa, H. (1976). Decisions with multiple objectives: Preferences and value tradeoffs. Wiley. (Reimpr. Cambridge University Press, 1993.)</w:t>
      </w:r>
    </w:p>
    <w:p>
      <w:pPr>
        <w:pStyle w:val="ListBullet"/>
      </w:pPr>
      <w:r>
        <w:t>von Winterfeldt, D., &amp; Edwards, W. (1986). Decision analysis and behavioral research. Cambridge University Press.</w:t>
      </w:r>
    </w:p>
    <w:p>
      <w:pPr>
        <w:pStyle w:val="ListBullet"/>
      </w:pPr>
      <w:r>
        <w:t>Nardo, M., Saisana, M., Saltelli, A., &amp; Tarantola, S. (2008). Handbook on constructing composite indicators: Methodology and user guide. OECD Publishing. https://doi.org/10.1787/9789264043466-en</w:t>
      </w:r>
    </w:p>
    <w:p>
      <w:pPr>
        <w:pStyle w:val="ListBullet"/>
      </w:pPr>
      <w:r>
        <w:t>Joint Committee for Guides in Metrology. (2008). Evaluation of measurement data — Guide to the expression of uncertainty in measurement (JCGM 100:2008 / GUM). BIPM. https://doi.org/10.59161/jcgm100-2008e</w:t>
      </w:r>
    </w:p>
    <w:p>
      <w:pPr>
        <w:pStyle w:val="ListBullet"/>
      </w:pPr>
      <w:r>
        <w:t>Joint Committee for Guides in Metrology. (2012). The role of measurement uncertainty in conformity assessment (JCGM 106:2012). BIPM. https://www.bipm.org/en/committees/jc/jcgm/publications</w:t>
      </w:r>
    </w:p>
    <w:p>
      <w:pPr>
        <w:pStyle w:val="ListBullet"/>
      </w:pPr>
      <w:r>
        <w:t>Karr, J. R. (1981). Assessment of biotic integrity using fish communities. Fisheries, 6(6), 21–27. https://doi.org/10.1577/1548-8446(1981)006&lt;0021:AOBIUF&gt;2.0.CO;2</w:t>
      </w:r>
    </w:p>
    <w:p>
      <w:pPr>
        <w:pStyle w:val="ListBullet"/>
      </w:pPr>
      <w:r>
        <w:t>Linstone, H. A., &amp; Turoff, M. (Eds.). (1975). The Delphi method: Techniques and applications. Addison-Wesley.</w:t>
      </w:r>
    </w:p>
    <w:p>
      <w:pPr>
        <w:pStyle w:val="ListBullet"/>
      </w:pPr>
      <w:r>
        <w:t>FAO/WHO Codex Alimentarius Commission. (2020). General principles of food hygiene (CXC 1-1969). FAO/WHO. https://www.fao.org/fao-who-codexalimentarius</w:t>
      </w:r>
    </w:p>
    <w:p>
      <w:pPr>
        <w:pStyle w:val="ListBullet"/>
      </w:pPr>
      <w:r>
        <w:t>International Organization for Standardization. (2012). ISO/IEC 17065:2012 — Conformity assessment. ISO. https://www.iso.org/standard/46568.html</w:t>
      </w:r>
    </w:p>
    <w:p>
      <w:pPr>
        <w:pStyle w:val="ListBullet"/>
      </w:pPr>
      <w:r>
        <w:t>Thokala, P., Devlin, N., Marsh, K., Baltussen, R., Boysen, M., Kalo, Z., … Ijzerman, M. (2016). Multiple criteria decision analysis for health care decision making — An introduction. Value in Health, 19(1), 1–13. https://doi.org/10.1016/j.jval.2015.12.003</w:t>
      </w:r>
    </w:p>
    <w:p>
      <w:pPr>
        <w:spacing w:after="40"/>
      </w:pPr>
    </w:p>
    <w:p>
      <w:r>
        <w:t>Documento consultivo. No modifica registros maestros, ontología, BOK, tesis ni baselines. La adopción requiere auditoría técnica, Issue de cambio y ratificación directiva.</w:t>
      </w:r>
    </w:p>
    <w:p>
      <w:r>
        <w:br w:type="page"/>
      </w:r>
    </w:p>
    <w:p>
      <w:pPr>
        <w:pStyle w:val="Heading1"/>
        <w:keepNext/>
      </w:pPr>
      <w:r>
        <w:t>Fuente 29: 00_Gobernanza/coordinacion/entradas_comite/GOEI_SCI_HANDOFF_D008_Cierre_B1.md</w:t>
      </w:r>
    </w:p>
    <w:p>
      <w:pPr>
        <w:spacing w:after="200"/>
      </w:pPr>
      <w:r>
        <w:rPr>
          <w:rFonts w:ascii="Consolas" w:hAnsi="Consolas"/>
          <w:color w:val="595959"/>
          <w:sz w:val="16"/>
        </w:rPr>
        <w:t>Ruta: 00_Gobernanza/coordinacion/entradas_comite/GOEI_SCI_HANDOFF_D008_Cierre_B1.md</w:t>
        <w:br/>
        <w:t>Tamaño: 12230 bytes</w:t>
        <w:br/>
        <w:t>SHA-256: 0a607c61dab8e07b001fe15a023f1787262ce700093e1b9ceb6fa51b39daccc6</w:t>
      </w:r>
    </w:p>
    <w:p>
      <w:pPr>
        <w:pStyle w:val="Heading2"/>
      </w:pPr>
      <w:r>
        <w:t>GOEI · Entrada al Comité → Oficina Técnica</w:t>
      </w:r>
    </w:p>
    <w:p>
      <w:pPr>
        <w:pStyle w:val="Heading3"/>
      </w:pPr>
      <w:r>
        <w:t>Expediente formal D-008 y dictamen de cierre de la subfase B1 (Procesos Universales)</w:t>
      </w:r>
    </w:p>
    <w:p>
      <w:pPr>
        <w:spacing w:after="40"/>
      </w:pPr>
    </w:p>
    <w:p>
      <w:r>
        <w:t>Emisor: Comité Científico (Claude). Destino: Oficina Técnica (Codex) para auditoría e integración; ratificación de cierre: Dirección General.</w:t>
      </w:r>
    </w:p>
    <w:p>
      <w:r>
        <w:t>Naturaleza: dictamen científico. No modifica registros técnicos oficiales de Codex.</w:t>
      </w:r>
    </w:p>
    <w:p>
      <w:pPr>
        <w:spacing w:after="40"/>
      </w:pPr>
    </w:p>
    <w:p>
      <w:r>
        <w:t>---</w:t>
      </w:r>
    </w:p>
    <w:p>
      <w:pPr>
        <w:spacing w:after="40"/>
      </w:pPr>
    </w:p>
    <w:p>
      <w:pPr>
        <w:pStyle w:val="Heading4"/>
      </w:pPr>
      <w:r>
        <w:t>1. Identificador y título</w:t>
      </w:r>
    </w:p>
    <w:p>
      <w:r>
        <w:t>D-008 — Cierre de la subfase B1: determinación y estructura del núcleo universal de macroprocesos gastronómicos.</w:t>
      </w:r>
    </w:p>
    <w:p>
      <w:pPr>
        <w:spacing w:after="40"/>
      </w:pPr>
    </w:p>
    <w:p>
      <w:pPr>
        <w:pStyle w:val="Heading4"/>
      </w:pPr>
      <w:r>
        <w:t>2. Fecha, autoridad y estado</w:t>
      </w:r>
    </w:p>
    <w:p>
      <w:pPr>
        <w:pStyle w:val="ListBullet"/>
      </w:pPr>
      <w:r>
        <w:t>Fecha: 2026-08-04.</w:t>
      </w:r>
    </w:p>
    <w:p>
      <w:pPr>
        <w:pStyle w:val="ListBullet"/>
      </w:pPr>
      <w:r>
        <w:t>Autoridad: dictamen del Comité Científico; ratificación pendiente de la Dirección General (atiende GOEI-ISS-030).</w:t>
      </w:r>
    </w:p>
    <w:p>
      <w:pPr>
        <w:pStyle w:val="ListBullet"/>
      </w:pPr>
      <w:r>
        <w:t>Estado inequívoco de D-008: APROBADA (con condiciones de confirmación diferida, enumeradas en §6 y §12; ninguna condición invalida el hallazgo nuclear).</w:t>
      </w:r>
    </w:p>
    <w:p>
      <w:pPr>
        <w:spacing w:after="40"/>
      </w:pPr>
    </w:p>
    <w:p>
      <w:pPr>
        <w:pStyle w:val="Heading4"/>
      </w:pPr>
      <w:r>
        <w:t>3. Problema científico</w:t>
      </w:r>
    </w:p>
    <w:p>
      <w:r>
        <w:t>¿Existe, y con qué estructura, un conjunto de macroprocesos común a todo establecimiento gastronómico, con independencia de su categoría, que pueda servir de base comparable al GOEI? La pregunta nuclear de B1 es de existencia y estructura, no de calibración ni de diseño de indicadores.</w:t>
      </w:r>
    </w:p>
    <w:p>
      <w:pPr>
        <w:spacing w:after="40"/>
      </w:pPr>
    </w:p>
    <w:p>
      <w:pPr>
        <w:pStyle w:val="Heading4"/>
      </w:pPr>
      <w:r>
        <w:t>4. Alternativas consideradas</w:t>
      </w:r>
    </w:p>
    <w:p>
      <w:pPr>
        <w:pStyle w:val="ListNumber"/>
      </w:pPr>
      <w:r>
        <w:t>No existe núcleo común: los procesos serían idiosincrásicos por categoría.</w:t>
      </w:r>
    </w:p>
    <w:p>
      <w:pPr>
        <w:pStyle w:val="ListNumber"/>
      </w:pPr>
      <w:r>
        <w:t>Núcleo común a nivel de actividad concreta (p. ej., "servicio de mesa" como universal).</w:t>
      </w:r>
    </w:p>
    <w:p>
      <w:pPr>
        <w:pStyle w:val="ListNumber"/>
      </w:pPr>
      <w:r>
        <w:t>Núcleo común a nivel de subsistema funcional, con realizaciones específicas por categoría.</w:t>
      </w:r>
    </w:p>
    <w:p>
      <w:pPr>
        <w:spacing w:after="40"/>
      </w:pPr>
    </w:p>
    <w:p>
      <w:pPr>
        <w:pStyle w:val="Heading4"/>
      </w:pPr>
      <w:r>
        <w:t>5. Evidencia (referencias APA 7 con enlaces/DOI verificables)</w:t>
      </w:r>
    </w:p>
    <w:p>
      <w:r>
        <w:t>La convergencia procede de cuatro tradiciones independientes:</w:t>
      </w:r>
    </w:p>
    <w:p>
      <w:pPr>
        <w:pStyle w:val="ListBullet"/>
      </w:pPr>
      <w:r>
        <w:t>Gregoire, M. B., &amp; Spears, M. C. (2007). Foodservice organizations: A managerial and systems approach (6.ª ed.). Pearson. [Subsistemas: aprovisionamiento, producción, distribución/servicio, inocuidad-sanitización-mantenimiento.]</w:t>
      </w:r>
    </w:p>
    <w:p>
      <w:pPr>
        <w:pStyle w:val="ListBullet"/>
      </w:pPr>
      <w:r>
        <w:t>APQC. (s. f.). Process Classification Framework (PCF) — Cross-Industry. American Productivity &amp; Quality Center. https://www.apqc.org/process-frameworks [12 categorías = 5 operativas + 7 de gestión/soporte; marco industry-neutral.]</w:t>
      </w:r>
    </w:p>
    <w:p>
      <w:pPr>
        <w:pStyle w:val="ListBullet"/>
      </w:pPr>
      <w:r>
        <w:t>Nurdin, A. A., Pristanti, A. N., &amp; Samantha, N. (2022). Business process modeling at steak restaurant using business process model and notation. Journal of Soft Computing Exploration, 3(2), 85–92. https://doi.org/10.52465/joscex.v3i2.84 [Modelado BPMN de los procesos de pedido y aprovisionamiento (order-to-cash y procure-to-pay) de un restaurante; evidencia de que la operación gastronómica se representa formalmente como procesos de negocio.]</w:t>
      </w:r>
    </w:p>
    <w:p>
      <w:pPr>
        <w:pStyle w:val="ListBullet"/>
      </w:pPr>
      <w:r>
        <w:t>Kim, K., Kim, M., &amp; Lee, K.-E. (2010). Assessment of foodservice quality and identification of improvement strategies using hospital foodservice quality model. Nutrition Research and Practice, 4(2), 163–172. https://doi.org/10.4162/nrp.2010.4.2.163 [Foodservice institucional/no comercial estructurado en subsistemas de aprovisionamiento, producción y distribución/servicio con puntos críticos de control.]</w:t>
      </w:r>
    </w:p>
    <w:p>
      <w:pPr>
        <w:pStyle w:val="ListBullet"/>
      </w:pPr>
      <w:r>
        <w:t>Carino, S., Porter, J., Malekpour, S., &amp; Collins, J. (2020). Environmental sustainability of hospital foodservices across the food supply chain: A systematic review. Journal of the Academy of Nutrition and Dietetics, 120(5), 825–873. https://doi.org/10.1016/j.jand.2020.01.001 [Revisión sistemática de 80 estudios; etapas de producción/aprovisionamiento, distribución, preparación, consumo y gestión de residuos.]</w:t>
      </w:r>
    </w:p>
    <w:p>
      <w:pPr>
        <w:spacing w:after="40"/>
      </w:pPr>
    </w:p>
    <w:p>
      <w:r>
        <w:t>Referencias de soporte metodológico y de precedente:</w:t>
      </w:r>
    </w:p>
    <w:p>
      <w:pPr>
        <w:pStyle w:val="ListBullet"/>
      </w:pPr>
      <w:r>
        <w:t>Nardo, M., Saisana, M., Saltelli, A., &amp; Tarantola, S. (2008). Handbook on constructing composite indicators: Methodology and user guide. OECD Publishing. https://doi.org/10.1787/9789264043466-en</w:t>
      </w:r>
    </w:p>
    <w:p>
      <w:pPr>
        <w:pStyle w:val="ListBullet"/>
      </w:pPr>
      <w:r>
        <w:t>U.S. Census Bureau. (2022). North American Industry Classification System (NAICS) — Subsector 722, Food Services and Drinking Places. https://www.census.gov/naics/ [Clasificación de referencia para futura taxonomía B2.]</w:t>
      </w:r>
    </w:p>
    <w:p>
      <w:pPr>
        <w:spacing w:after="40"/>
      </w:pPr>
    </w:p>
    <w:p>
      <w:r>
        <w:t>Nota de trazabilidad: las tres referencias antes marcadas como pendientes fueron cotejadas y completadas —autoría, año, título, revista, volumen, número, páginas y DOI verificable— el 2026-08-04 con fuentes primarias. Ninguna fuente debió eliminarse, por lo que el soporte evidencial de D-008 se mantiene íntegro. Véase la sección «Registro de cotejo».</w:t>
      </w:r>
    </w:p>
    <w:p>
      <w:pPr>
        <w:spacing w:after="40"/>
      </w:pPr>
    </w:p>
    <w:p>
      <w:pPr>
        <w:pStyle w:val="Heading4"/>
      </w:pPr>
      <w:r>
        <w:t>6. Decisión y justificación</w:t>
      </w:r>
    </w:p>
    <w:p>
      <w:r>
        <w:t>Decisión: se adopta la Alternativa 3 (núcleo común a nivel de subsistema funcional, con realizaciones específicas por categoría).</w:t>
      </w:r>
    </w:p>
    <w:p>
      <w:r>
        <w:t>Justificación: la existencia del núcleo está sostenida por convergencia entre fuentes independientes, incluida una autoridad industry-neutral (APQC) y evidencia del sector no comercial. La variación observada afecta a la realización (modo de entrega, sistema de producción), no a la existencia del subsistema. La universalidad a nivel de actividad concreta (Alternativa 2) se descarta porque servicio de mesa, entrega a domicilio, transporte a evento y distribución institucional son mutuamente excluyentes.</w:t>
      </w:r>
    </w:p>
    <w:p>
      <w:pPr>
        <w:spacing w:after="40"/>
      </w:pPr>
    </w:p>
    <w:p>
      <w:pPr>
        <w:pStyle w:val="Heading4"/>
      </w:pPr>
      <w:r>
        <w:t>7. Alcance comercial/no comercial y resolución de P6</w:t>
      </w:r>
    </w:p>
    <w:p>
      <w:r>
        <w:t>Resuelto. El alcance incluye foodservice comercial y no comercial (institucional). En consecuencia, P6 se generaliza de "venta" a "cierre transaccional": se realiza como venta en el ámbito comercial y como requisición/registro interno en el no comercial. Sustento: evidencia de foodservice hospitalario con los mismos subsistemas. (Cierra GOEI-ISS-012, sujeto a ratificación.)</w:t>
      </w:r>
    </w:p>
    <w:p>
      <w:pPr>
        <w:spacing w:after="40"/>
      </w:pPr>
    </w:p>
    <w:p>
      <w:pPr>
        <w:pStyle w:val="Heading4"/>
      </w:pPr>
      <w:r>
        <w:t>8. Tratamiento de residuos/merma</w:t>
      </w:r>
    </w:p>
    <w:p>
      <w:r>
        <w:t>No resuelto; issue abierto acotado. La revisión sistemática hospitalaria identifica la gestión de residuos/merma como etapa post-consumo diferenciada. Se registra como proceso transversal candidato dentro del bloque de sostenibilidad. Su estatus definitivo —macroproceso propio frente a subproceso— queda pendiente de resolución mediante consenso de expertos (Delphi). No bloquea el hallazgo nuclear de B1.</w:t>
      </w:r>
    </w:p>
    <w:p>
      <w:pPr>
        <w:spacing w:after="40"/>
      </w:pPr>
    </w:p>
    <w:p>
      <w:pPr>
        <w:pStyle w:val="Heading4"/>
      </w:pPr>
      <w:r>
        <w:t>9. Estructura de procesos: uno o dos niveles</w:t>
      </w:r>
    </w:p>
    <w:p>
      <w:r>
        <w:t>Resuelto: DOS NIVELES.</w:t>
      </w:r>
    </w:p>
    <w:p>
      <w:pPr>
        <w:pStyle w:val="ListBullet"/>
      </w:pPr>
      <w:r>
        <w:t>Nivel 1 — cadena operativa primaria: P1 planificación/menú-demanda · P2 aprovisionamiento · P3 recepción-almacenamiento-inventario · P4 producción · P5 distribución/entrega al consumidor · P6 cierre transaccional.</w:t>
      </w:r>
    </w:p>
    <w:p>
      <w:pPr>
        <w:pStyle w:val="ListBullet"/>
      </w:pPr>
      <w:r>
        <w:t>Nivel 2 — procesos transversales de gestión/soporte: inocuidad/higiene-sanitización · mantenimiento · gestión (finanzas/costos, personas, calidad/control) · gestión de residuos (candidato, §8).</w:t>
      </w:r>
    </w:p>
    <w:p>
      <w:r>
        <w:t>Sustento: partición operativo/soporte de APQC y tipología Core/Support/Management. (Cierra GOEI-ISS-013, sujeto a ratificación.)</w:t>
      </w:r>
    </w:p>
    <w:p>
      <w:pPr>
        <w:spacing w:after="40"/>
      </w:pPr>
    </w:p>
    <w:p>
      <w:pPr>
        <w:pStyle w:val="Heading4"/>
      </w:pPr>
      <w:r>
        <w:t>10. Papel del sistema de producción (entrada a B2, sin desarrollar B2)</w:t>
      </w:r>
    </w:p>
    <w:p>
      <w:r>
        <w:t>El tipo de sistema de producción (convencional, cook-chill/ready-prepared, commissary, assembly-serve) se registra como entrada para la taxonomía (B2), por ser el principal determinante de la variación en P4–P5. No se desarrolla B2 en este expediente. (Mantiene GOEI-ISS-014 abierto, asignado a B2.)</w:t>
      </w:r>
    </w:p>
    <w:p>
      <w:pPr>
        <w:spacing w:after="40"/>
      </w:pPr>
    </w:p>
    <w:p>
      <w:pPr>
        <w:pStyle w:val="Heading4"/>
      </w:pPr>
      <w:r>
        <w:t>11. Doble rol de inocuidad / dependencia pendiente</w:t>
      </w:r>
    </w:p>
    <w:p>
      <w:r>
        <w:t>En B1 se confirma la inocuidad como proceso transversal presente en todo el núcleo, con puntos de control en cada eslabón. Su eventual papel adicional como dimensión y/o como regla crítica no compensatoria es una decisión de fases posteriores (catálogo/admisibilidad y modelo matemático), no de B1. Dependencia exacta pendiente: definir si inocuidad entra además como dimensión y/o como compuerta. (Mantiene GOEI-ISS-015 abierto, asignado a fases posteriores.)</w:t>
      </w:r>
    </w:p>
    <w:p>
      <w:pPr>
        <w:spacing w:after="40"/>
      </w:pPr>
    </w:p>
    <w:p>
      <w:pPr>
        <w:pStyle w:val="Heading4"/>
      </w:pPr>
      <w:r>
        <w:t>12. Limitaciones, sesgos, transferibilidad y evidencia faltante</w:t>
      </w:r>
    </w:p>
    <w:p>
      <w:pPr>
        <w:pStyle w:val="ListBullet"/>
      </w:pPr>
      <w:r>
        <w:t>Naturaleza de la revisión: revisión estructurada de tipo rápido que aproxima PRISMA; NO es una PRISMA completa (sin búsqueda multibase con doble cribado independiente ni diagrama de flujo).</w:t>
      </w:r>
    </w:p>
    <w:p>
      <w:pPr>
        <w:pStyle w:val="ListBullet"/>
      </w:pPr>
      <w:r>
        <w:t>Sesgos: presencia de fuentes de marco/industria junto a revisadas por pares; posible sesgo de selección e idioma. Los metadatos antes pendientes fueron cotejados el 2026-08-04 (§5 y Registro de cotejo).</w:t>
      </w:r>
    </w:p>
    <w:p>
      <w:pPr>
        <w:pStyle w:val="ListBullet"/>
      </w:pPr>
      <w:r>
        <w:t>Transferibilidad: confirmada a comercial y hospitalario; por confirmar en contextos no cubiertos (aéreo, penitenciario, escolar a gran escala).</w:t>
      </w:r>
    </w:p>
    <w:p>
      <w:pPr>
        <w:pStyle w:val="ListBullet"/>
      </w:pPr>
      <w:r>
        <w:t>Evidencia faltante: (a) PRISMA completa multibase (Scopus/WoS) con doble cribado y diagrama de flujo; (b) consenso de expertos (Delphi) como confirmación del núcleo y del estatus de residuos/merma. (El cotejo bibliográfico de las referencias antes pendientes quedó resuelto el 2026-08-04; véase «Registro de cotejo».)</w:t>
      </w:r>
    </w:p>
    <w:p>
      <w:pPr>
        <w:spacing w:after="40"/>
      </w:pPr>
    </w:p>
    <w:p>
      <w:pPr>
        <w:pStyle w:val="Heading4"/>
      </w:pPr>
      <w:r>
        <w:t>13. Issues cerrados y abiertos</w:t>
      </w:r>
    </w:p>
    <w:p>
      <w:pPr>
        <w:pStyle w:val="ListBullet"/>
      </w:pPr>
      <w:r>
        <w:t>Cerrados (propuestos, sujetos a ratificación): GOEI-ISS-012 (alcance/P6), GOEI-ISS-013 (dos niveles).</w:t>
      </w:r>
    </w:p>
    <w:p>
      <w:pPr>
        <w:pStyle w:val="ListBullet"/>
      </w:pPr>
      <w:r>
        <w:t>Atendido: GOEI-ISS-030 (resolución directiva de D-008) — se provee expediente; ratificación pendiente de la Dirección.</w:t>
      </w:r>
    </w:p>
    <w:p>
      <w:pPr>
        <w:pStyle w:val="ListBullet"/>
      </w:pPr>
      <w:r>
        <w:t>Abiertos/reasignados: GOEI-ISS-014 (sistema de producción → B2); GOEI-ISS-015 (doble rol de inocuidad → fases posteriores); nuevo issue — estatus de "gestión de residuos/merma" (macroproceso vs subproceso → Delphi).</w:t>
      </w:r>
    </w:p>
    <w:p>
      <w:pPr>
        <w:spacing w:after="40"/>
      </w:pPr>
    </w:p>
    <w:p>
      <w:pPr>
        <w:pStyle w:val="Heading4"/>
      </w:pPr>
      <w:r>
        <w:t>14. Componentes/documentos afectados</w:t>
      </w:r>
    </w:p>
    <w:p>
      <w:r>
        <w:t>Matriz/catálogo de procesos (capa N3); taxonomía (capa N2, como entrada); modelo conceptual (N1); Knowledge Graph (EPIC-001); registros de issues (EPIC-001/EPIC-002); registro oficial de decisiones (a cargo de Codex).</w:t>
      </w:r>
    </w:p>
    <w:p>
      <w:pPr>
        <w:spacing w:after="40"/>
      </w:pPr>
    </w:p>
    <w:p>
      <w:pPr>
        <w:pStyle w:val="Heading4"/>
      </w:pPr>
      <w:r>
        <w:t>15. Versión objetivo</w:t>
      </w:r>
    </w:p>
    <w:p>
      <w:r>
        <w:t>Incorporación a la línea base de procesos del GOEI (etiqueta propuesta: GOEI-BSL-PROC-0001 v0.1), a confirmar por la Oficina Técnica según su esquema de versionado. El Comité no fija la etiqueta oficial.</w:t>
      </w:r>
    </w:p>
    <w:p>
      <w:pPr>
        <w:spacing w:after="40"/>
      </w:pPr>
    </w:p>
    <w:p>
      <w:pPr>
        <w:pStyle w:val="Heading4"/>
      </w:pPr>
      <w:r>
        <w:t>16. Dictamen final B1</w:t>
      </w:r>
    </w:p>
    <w:p>
      <w:r>
        <w:t>B1 — CERRADA en su pregunta nuclear (existencia y estructura a dos niveles del núcleo universal), con estado de respondibilidad "Respondible por evidencia bibliográfica convergente", y con las condiciones de confirmación diferida del §12 (PRISMA completa y Delphi) y los issues abiertos del §13. El avance a B2 queda supeditado a la ratificación directiva de este cierre.</w:t>
      </w:r>
    </w:p>
    <w:p>
      <w:pPr>
        <w:spacing w:after="40"/>
      </w:pPr>
    </w:p>
    <w:p>
      <w:r>
        <w:t>---</w:t>
      </w:r>
    </w:p>
    <w:p>
      <w:pPr>
        <w:spacing w:after="40"/>
      </w:pPr>
    </w:p>
    <w:p>
      <w:r>
        <w:t>Referencias APA 7 completas en §5. Este expediente no declara terminada la tesis ni desarrolla B2, taxonomía, KPI, SIPOC, normalización ni modelo matemático.</w:t>
      </w:r>
    </w:p>
    <w:p>
      <w:pPr>
        <w:spacing w:after="40"/>
      </w:pPr>
    </w:p>
    <w:p>
      <w:r>
        <w:t>---</w:t>
      </w:r>
    </w:p>
    <w:p>
      <w:pPr>
        <w:spacing w:after="40"/>
      </w:pPr>
    </w:p>
    <w:p>
      <w:pPr>
        <w:pStyle w:val="Heading4"/>
      </w:pPr>
      <w:r>
        <w:t>Registro de cotejo</w:t>
      </w:r>
    </w:p>
    <w:p>
      <w:pPr>
        <w:spacing w:after="40"/>
      </w:pPr>
    </w:p>
    <w:p>
      <w:r>
        <w:t>Cotejo bibliográfico de las tres referencias previamente marcadas como pendientes. Fecha de cotejo: 2026-08-04. Resultado: las tres se verificaron y completaron con fuentes primarias; ninguna fue eliminada; el soporte evidencial de D-008 permanece íntegro.</w:t>
      </w:r>
    </w:p>
    <w:p>
      <w:pPr>
        <w:spacing w:after="40"/>
      </w:pPr>
    </w:p>
    <w:p>
      <w:pPr>
        <w:spacing w:after="20" w:line="240" w:lineRule="auto"/>
      </w:pPr>
      <w:r>
        <w:rPr>
          <w:rFonts w:ascii="Consolas" w:hAnsi="Consolas"/>
          <w:sz w:val="14"/>
        </w:rPr>
        <w:t>| # | Referencia (APA 7 verificada) | DOI | Fuente(s) primaria(s) consultada(s) | Resultado |</w:t>
      </w:r>
    </w:p>
    <w:p>
      <w:pPr>
        <w:spacing w:after="20" w:line="240" w:lineRule="auto"/>
      </w:pPr>
      <w:r>
        <w:rPr>
          <w:rFonts w:ascii="Consolas" w:hAnsi="Consolas"/>
          <w:sz w:val="14"/>
        </w:rPr>
        <w:t>|---|---|---|---|---|</w:t>
      </w:r>
    </w:p>
    <w:p>
      <w:pPr>
        <w:spacing w:after="20" w:line="240" w:lineRule="auto"/>
      </w:pPr>
      <w:r>
        <w:rPr>
          <w:rFonts w:ascii="Consolas" w:hAnsi="Consolas"/>
          <w:sz w:val="14"/>
        </w:rPr>
        <w:t>| 1 | Nurdin, A. A., Pristanti, A. N., &amp; Samantha, N. (2022). Business process modeling at steak restaurant using business process model and notation. *Journal of Soft Computing Exploration, 3*(2), 85–92. | 10.52465/joscex.v3i2.84 | Página del artículo y metadatos del editor (SHM Publisher/OJS): https://shmpublisher.com/index.php/joscex/article/view/84 | Autoría, año, volumen, número, páginas y DOI confirmados |</w:t>
      </w:r>
    </w:p>
    <w:p>
      <w:pPr>
        <w:spacing w:after="20" w:line="240" w:lineRule="auto"/>
      </w:pPr>
      <w:r>
        <w:rPr>
          <w:rFonts w:ascii="Consolas" w:hAnsi="Consolas"/>
          <w:sz w:val="14"/>
        </w:rPr>
        <w:t>| 2 | Kim, K., Kim, M., &amp; Lee, K.-E. (2010). Assessment of foodservice quality and identification of improvement strategies using hospital foodservice quality model. *Nutrition Research and Practice, 4*(2), 163–172. | 10.4162/nrp.2010.4.2.163 | Registro PubMed (PMID 20461206): https://pubmed.ncbi.nlm.nih.gov/20461206/ | Autoría, año, volumen, número, páginas y DOI confirmados |</w:t>
      </w:r>
    </w:p>
    <w:p>
      <w:pPr>
        <w:spacing w:after="20" w:line="240" w:lineRule="auto"/>
      </w:pPr>
      <w:r>
        <w:rPr>
          <w:rFonts w:ascii="Consolas" w:hAnsi="Consolas"/>
          <w:sz w:val="14"/>
        </w:rPr>
        <w:t>| 3 | Carino, S., Porter, J., Malekpour, S., &amp; Collins, J. (2020). Environmental sustainability of hospital foodservices across the food supply chain: A systematic review. *Journal of the Academy of Nutrition and Dietetics, 120*(5), 825–873. | 10.1016/j.jand.2020.01.001 | Registro de la revista (JAND): https://www.jandonline.org/article/S2212-2672(20)30001-0/abstract | Autoría, año, volumen, número, páginas y DOI confirmados |</w:t>
      </w:r>
    </w:p>
    <w:p>
      <w:pPr>
        <w:spacing w:after="40"/>
      </w:pPr>
    </w:p>
    <w:p>
      <w:r>
        <w:t>Impacto científico: nulo respecto de la decisión; positivo respecto de la trazabilidad. Al confirmarse las tres fuentes, no se altera el soporte de §5 ni el dictamen de §16. El único ajuste de contenido es la anotación de la referencia 1, precisada para reflejar con exactitud que documenta el modelado BPMN de procesos de un restaurante (pedido y aprovisionamiento) y no una tipología de clasificación de procesos, cuyo respaldo recae en el marco APQC.</w:t>
      </w:r>
    </w:p>
    <w:p>
      <w:r>
        <w:br w:type="page"/>
      </w:r>
    </w:p>
    <w:p>
      <w:pPr>
        <w:pStyle w:val="Heading1"/>
        <w:keepNext/>
      </w:pPr>
      <w:r>
        <w:t>Fuente 30: 00_Gobernanza/coordinacion/entradas_comite/GOEI_SCI_HANDOFF_D017_Cierre_B2.md</w:t>
      </w:r>
    </w:p>
    <w:p>
      <w:pPr>
        <w:spacing w:after="200"/>
      </w:pPr>
      <w:r>
        <w:rPr>
          <w:rFonts w:ascii="Consolas" w:hAnsi="Consolas"/>
          <w:color w:val="595959"/>
          <w:sz w:val="16"/>
        </w:rPr>
        <w:t>Ruta: 00_Gobernanza/coordinacion/entradas_comite/GOEI_SCI_HANDOFF_D017_Cierre_B2.md</w:t>
        <w:br/>
        <w:t>Tamaño: 8788 bytes</w:t>
        <w:br/>
        <w:t>SHA-256: 78297ec16d620fe03c090033f5747d62168691fd6f4ca77f1ae8ec537c7a9e20</w:t>
      </w:r>
    </w:p>
    <w:p>
      <w:pPr>
        <w:pStyle w:val="Heading2"/>
      </w:pPr>
      <w:r>
        <w:t>GOEI · Entrada al Comité → Oficina Técnica</w:t>
      </w:r>
    </w:p>
    <w:p>
      <w:pPr>
        <w:pStyle w:val="Heading3"/>
      </w:pPr>
      <w:r>
        <w:t>Expediente formal D-017 y dictamen de cierre de la subfase B2 (Taxonomía Universal)</w:t>
      </w:r>
    </w:p>
    <w:p>
      <w:pPr>
        <w:spacing w:after="40"/>
      </w:pPr>
    </w:p>
    <w:p>
      <w:r>
        <w:t>Emisor: Comité Científico (Claude). Destino: Oficina Técnica (Codex) para auditoría de suficiencia; ratificación de cierre: Dirección General.</w:t>
      </w:r>
    </w:p>
    <w:p>
      <w:r>
        <w:t>Naturaleza: dictamen científico. No modifica registros maestros, baselines ni D-006.</w:t>
      </w:r>
    </w:p>
    <w:p>
      <w:r>
        <w:t>Fuentes canónicas consumidas: GOEI-SCI-QUEUE-0002, GOEI-BSL-PROC-0001 v0.1.0, GOEI-DIR-RES-0001, GOEI-PMM-0001, D-006 v0.1.</w:t>
      </w:r>
    </w:p>
    <w:p>
      <w:r>
        <w:t>Documentos científicos asociados: 01_Estado_del_arte/FaseB_B2_Revision_taxonomia_universal.md; 03_Taxonomia_negocios/FaseB_B2_Taxonomia_universal_candidata.md.</w:t>
      </w:r>
    </w:p>
    <w:p>
      <w:r>
        <w:t>Fecha: 2026-08-04.</w:t>
      </w:r>
    </w:p>
    <w:p>
      <w:pPr>
        <w:spacing w:after="40"/>
      </w:pPr>
    </w:p>
    <w:p>
      <w:r>
        <w:t>---</w:t>
      </w:r>
    </w:p>
    <w:p>
      <w:pPr>
        <w:spacing w:after="40"/>
      </w:pPr>
    </w:p>
    <w:p>
      <w:pPr>
        <w:pStyle w:val="Heading4"/>
      </w:pPr>
      <w:r>
        <w:t>1. Identificador y título</w:t>
      </w:r>
    </w:p>
    <w:p>
      <w:r>
        <w:t>D-017 — Cierre de la subfase B2: sistema de clasificación (taxonomía universal) de establecimientos gastronómicos.</w:t>
      </w:r>
    </w:p>
    <w:p>
      <w:pPr>
        <w:spacing w:after="40"/>
      </w:pPr>
    </w:p>
    <w:p>
      <w:pPr>
        <w:pStyle w:val="Heading4"/>
      </w:pPr>
      <w:r>
        <w:t>2. Fecha, autoridad y estado</w:t>
      </w:r>
    </w:p>
    <w:p>
      <w:pPr>
        <w:pStyle w:val="ListBullet"/>
      </w:pPr>
      <w:r>
        <w:t>Fecha: 2026-08-04.</w:t>
      </w:r>
    </w:p>
    <w:p>
      <w:pPr>
        <w:pStyle w:val="ListBullet"/>
      </w:pPr>
      <w:r>
        <w:t>Autoridad: dictamen del Comité Científico; ratificación pendiente de la Dirección General (conforme a §13 de GOEI-SCI-QUEUE-0002).</w:t>
      </w:r>
    </w:p>
    <w:p>
      <w:pPr>
        <w:pStyle w:val="ListBullet"/>
      </w:pPr>
      <w:r>
        <w:t>Estado de D-017: APROBADA por el Comité (con ramas abiertas por bloqueo selectivo; ninguna invalida la pregunta nuclear).</w:t>
      </w:r>
    </w:p>
    <w:p>
      <w:pPr>
        <w:spacing w:after="40"/>
      </w:pPr>
    </w:p>
    <w:p>
      <w:pPr>
        <w:pStyle w:val="Heading4"/>
      </w:pPr>
      <w:r>
        <w:t>3. Problema científico</w:t>
      </w:r>
    </w:p>
    <w:p>
      <w:r>
        <w:t>¿Qué sistema de clasificación permite delimitar y comparar las entidades comprendidas por el GOEI, con qué ejes, criterios de pertenencia, exclusiones y tratamiento de casos límite?</w:t>
      </w:r>
    </w:p>
    <w:p>
      <w:pPr>
        <w:spacing w:after="40"/>
      </w:pPr>
    </w:p>
    <w:p>
      <w:pPr>
        <w:pStyle w:val="Heading4"/>
      </w:pPr>
      <w:r>
        <w:t>4. Alternativas consideradas</w:t>
      </w:r>
    </w:p>
    <w:p>
      <w:pPr>
        <w:pStyle w:val="ListNumber"/>
      </w:pPr>
      <w:r>
        <w:t>Adoptar una clasificación estadística existente (ISIC/NACE/NAICS) como taxonomía GOEI.</w:t>
      </w:r>
    </w:p>
    <w:p>
      <w:pPr>
        <w:pStyle w:val="ListNumber"/>
      </w:pPr>
      <w:r>
        <w:t>Taxonomía jerárquica única propia (mono-eje).</w:t>
      </w:r>
    </w:p>
    <w:p>
      <w:pPr>
        <w:pStyle w:val="ListNumber"/>
      </w:pPr>
      <w:r>
        <w:t>Taxonomía universal multieje (facetada), operacional-analítica, compatible pero no idéntica a las estadísticas.</w:t>
      </w:r>
    </w:p>
    <w:p>
      <w:pPr>
        <w:pStyle w:val="ListNumber"/>
      </w:pPr>
      <w:r>
        <w:t>No definir taxonomía (mantener estado actual).</w:t>
      </w:r>
    </w:p>
    <w:p>
      <w:pPr>
        <w:spacing w:after="40"/>
      </w:pPr>
    </w:p>
    <w:p>
      <w:pPr>
        <w:pStyle w:val="Heading4"/>
      </w:pPr>
      <w:r>
        <w:t>5. Evidencia (APA 7, DOI/URL verificables)</w:t>
      </w:r>
    </w:p>
    <w:p>
      <w:pPr>
        <w:pStyle w:val="ListBullet"/>
      </w:pPr>
      <w:r>
        <w:t>United Nations Statistics Division. (2008). ISIC Rev. 4 (Series M, No. 4/Rev.4). UN. https://unstats.un.org/unsd/classifications/Econ/Detail/EN/27/5610 — [NORMA] clasificación por actividad principal, no por instalación.</w:t>
      </w:r>
    </w:p>
    <w:p>
      <w:pPr>
        <w:pStyle w:val="ListBullet"/>
      </w:pPr>
      <w:r>
        <w:t>Eurostat. (2008). NACE Rev. 2. Publications Office of the EU. https://ec.europa.eu/eurostat/web/products-manuals-and-guidelines/-/ks-ra-07-015 — [NORMA] derivada de ISIC.</w:t>
      </w:r>
    </w:p>
    <w:p>
      <w:pPr>
        <w:pStyle w:val="ListBullet"/>
      </w:pPr>
      <w:r>
        <w:t>U.S. Census Bureau. (2022). NAICS — Subsector 722. https://www.census.gov/naics/ — [NORMA] full/limited-service, special food services, drinking places.</w:t>
      </w:r>
    </w:p>
    <w:p>
      <w:pPr>
        <w:pStyle w:val="ListBullet"/>
      </w:pPr>
      <w:r>
        <w:t>Gregoire, M. B., &amp; Spears, M. C. (2007). Foodservice organizations (6th ed.). Pearson. — [EVIDENCIA] sistemas de producción.</w:t>
      </w:r>
    </w:p>
    <w:p>
      <w:pPr>
        <w:pStyle w:val="ListBullet"/>
      </w:pPr>
      <w:r>
        <w:t>Broughton, V. (2006). The need for a faceted classification… Aslib Proceedings, 58(1/2), 49–72. https://doi.org/10.1108/00012530610648671 — [EVIDENCIA] clasificación facetada para objetos multidimensionales.</w:t>
      </w:r>
    </w:p>
    <w:p>
      <w:pPr>
        <w:pStyle w:val="ListBullet"/>
      </w:pPr>
      <w:r>
        <w:t>Bailey, K. D. (1994). Typologies and taxonomies. Sage. https://doi.org/10.4135/9781412986397 — [EVIDENCIA] metodología de clasificación.</w:t>
      </w:r>
    </w:p>
    <w:p>
      <w:pPr>
        <w:spacing w:after="40"/>
      </w:pPr>
    </w:p>
    <w:p>
      <w:r>
        <w:t>Clasificación de la evidencia: norma internacional (ISIC/NACE/NAICS), evidencia bibliográfica (Spears; Broughton; Bailey), hecho de proyecto (D-006, baseline de procesos).</w:t>
      </w:r>
    </w:p>
    <w:p>
      <w:pPr>
        <w:spacing w:after="40"/>
      </w:pPr>
    </w:p>
    <w:p>
      <w:pPr>
        <w:pStyle w:val="Heading4"/>
      </w:pPr>
      <w:r>
        <w:t>6. Decisión y justificación</w:t>
      </w:r>
    </w:p>
    <w:p>
      <w:r>
        <w:t>Decisión inequívoca: se adopta la Alternativa 3: una taxonomía universal MULTIEJE (facetada), de naturaleza operacional-analítica, con:</w:t>
      </w:r>
    </w:p>
    <w:p>
      <w:pPr>
        <w:pStyle w:val="ListBullet"/>
      </w:pPr>
      <w:r>
        <w:t>Unidad de clasificación = Establecimiento (token, D-006); multiunidad bajo GOEI-ISS-008;</w:t>
      </w:r>
    </w:p>
    <w:p>
      <w:pPr>
        <w:pStyle w:val="ListBullet"/>
      </w:pPr>
      <w:r>
        <w:t>Categoría = combinación de valores de facetas (type-level, Norma);</w:t>
      </w:r>
    </w:p>
    <w:p>
      <w:pPr>
        <w:pStyle w:val="ListBullet"/>
      </w:pPr>
      <w:r>
        <w:t>Ejes indispensables (candidatos): (FX-1) modalidad de servicio/entrega, (FX-2) sistema de producción, (FX-3) naturaleza económica comercial/no comercial;</w:t>
      </w:r>
    </w:p>
    <w:p>
      <w:pPr>
        <w:pStyle w:val="ListBullet"/>
      </w:pPr>
      <w:r>
        <w:t>Ejes opcionales/modulares: complejidad de oferta, segmento, tamaño, jurisdicción;</w:t>
      </w:r>
    </w:p>
    <w:p>
      <w:pPr>
        <w:pStyle w:val="ListBullet"/>
      </w:pPr>
      <w:r>
        <w:t>Compatibilidad con ISIC/NACE/NAICS vía crosswalk, sin subordinación.</w:t>
      </w:r>
    </w:p>
    <w:p>
      <w:pPr>
        <w:spacing w:after="40"/>
      </w:pPr>
    </w:p>
    <w:p>
      <w:r>
        <w:t>Justificación: las clasificaciones estadísticas son mono-jerárquicas por actividad económica y no representan la variación operativa (sistema de producción, no comercial, dark kitchen, multi-marca) que gobierna la comparabilidad de la salud operacional; la teoría de clasificación facetada (Broughton; Bailey) prescribe multieje cuando los objetos varían en dimensiones ortogonales; la solución es coherente con el modelo de dos niveles (D-008) y con el metamodelo type/token (GOEI-PMM-0001).</w:t>
      </w:r>
    </w:p>
    <w:p>
      <w:pPr>
        <w:spacing w:after="40"/>
      </w:pPr>
    </w:p>
    <w:p>
      <w:pPr>
        <w:pStyle w:val="Heading4"/>
      </w:pPr>
      <w:r>
        <w:t>7. Relación con los procesos P1–P9</w:t>
      </w:r>
    </w:p>
    <w:p>
      <w:r>
        <w:t>La taxonomía no altera la baseline; selecciona la realización: FX-1→P5; FX-2→P4–P5; FX-3→P6. P1–P4, P7–P9 estables entre categorías. La taxonomía constituye el nivel de "realización específica" del modelo de dos niveles ratificado en D-008.</w:t>
      </w:r>
    </w:p>
    <w:p>
      <w:pPr>
        <w:spacing w:after="40"/>
      </w:pPr>
    </w:p>
    <w:p>
      <w:pPr>
        <w:pStyle w:val="Heading4"/>
      </w:pPr>
      <w:r>
        <w:t>8. Compatibilidad internacional y jurisdiccional</w:t>
      </w:r>
    </w:p>
    <w:p>
      <w:r>
        <w:t>Los ejes operativos son jurisdiction-neutral → mayor portabilidad internacional que los códigos legales. Se provee crosswalk candidato GOEI→ISIC/NACE/NAICS para interoperar con estadística oficial.</w:t>
      </w:r>
    </w:p>
    <w:p>
      <w:pPr>
        <w:spacing w:after="40"/>
      </w:pPr>
    </w:p>
    <w:p>
      <w:pPr>
        <w:pStyle w:val="Heading4"/>
      </w:pPr>
      <w:r>
        <w:t>9. Estabilidad, extensibilidad y versionado</w:t>
      </w:r>
    </w:p>
    <w:p>
      <w:r>
        <w:t>Facetas estables; valores en enumeraciones abiertas extensibles bajo gobernanza (añadir valor = versión menor; redefinir faceta = versión mayor + crosswalk); reclasificación de tokens con historial preservado.</w:t>
      </w:r>
    </w:p>
    <w:p>
      <w:pPr>
        <w:spacing w:after="40"/>
      </w:pPr>
    </w:p>
    <w:p>
      <w:pPr>
        <w:pStyle w:val="Heading4"/>
      </w:pPr>
      <w:r>
        <w:t>10. Tratamiento de casos límite</w:t>
      </w:r>
    </w:p>
    <w:p>
      <w:r>
        <w:t>Híbridos (modalidad primaria + secundarias, o flujo operativo); cadenas y dark kitchen multi-marca (cada local = token; unidad multi-marca pendiente, GOEI-ISS-008); catering (banquete/transporte); institucional (no comercial, bandeja, P6=requisición). Detalle en el documento de taxonomía candidata.</w:t>
      </w:r>
    </w:p>
    <w:p>
      <w:pPr>
        <w:spacing w:after="40"/>
      </w:pPr>
    </w:p>
    <w:p>
      <w:pPr>
        <w:pStyle w:val="Heading4"/>
      </w:pPr>
      <w:r>
        <w:t>11. Limitaciones, sesgos, incertidumbre y transferibilidad</w:t>
      </w:r>
    </w:p>
    <w:p>
      <w:r>
        <w:t>Revisión estructurada, no PRISMA completa; sesgo hacia foodservice comercial occidental; subrepresentación del sector informal y de configuraciones emergentes; incertidumbre de clasificación en fronteras. Validación futura: Delphi + prueba empírica de que las facetas predicen diferencias operativas (clustering). El catálogo concreto de valores es candidato no normativo.</w:t>
      </w:r>
    </w:p>
    <w:p>
      <w:pPr>
        <w:spacing w:after="40"/>
      </w:pPr>
    </w:p>
    <w:p>
      <w:pPr>
        <w:pStyle w:val="Heading4"/>
      </w:pPr>
      <w:r>
        <w:t>12. Issues cerrados y abiertos</w:t>
      </w:r>
    </w:p>
    <w:p>
      <w:pPr>
        <w:pStyle w:val="ListBullet"/>
      </w:pPr>
      <w:r>
        <w:t>Resuelto por decisión (sujeto a ratificación): pregunta nuclear de B2 (estructura facetada y ejes); recomendación de cerrar GOEI-ISS-014 (sistema de producción sí es eje indispensable).</w:t>
      </w:r>
    </w:p>
    <w:p>
      <w:pPr>
        <w:pStyle w:val="ListBullet"/>
      </w:pPr>
      <w:r>
        <w:t>Abiertos/reasignados: GOEI-ISS-008 (unidad multiunidad/marca) — bloquea solo esa rama; catálogo de valores por faceta → validación (nuevo Issue, Delphi/empírico); GOEI-ISS-015 (doble rol inocuidad) — ajeno a B2; GOEI-ISS-043 (residuos/merma) — ajeno a B2.</w:t>
      </w:r>
    </w:p>
    <w:p>
      <w:pPr>
        <w:pStyle w:val="ListBullet"/>
      </w:pPr>
      <w:r>
        <w:t>Dependencia futura registrada: DS-GTRM-04/D-012 — los dominios categoriales de referencia consumirán esta taxonomía; no se crean GTRM.</w:t>
      </w:r>
    </w:p>
    <w:p>
      <w:pPr>
        <w:spacing w:after="40"/>
      </w:pPr>
    </w:p>
    <w:p>
      <w:pPr>
        <w:pStyle w:val="Heading4"/>
      </w:pPr>
      <w:r>
        <w:t>13. Componentes/documentos afectados</w:t>
      </w:r>
    </w:p>
    <w:p>
      <w:r>
        <w:t>Ontología D-006 (sin cambio; eventual entidad Faceta/Categoría solo por Issue); baseline de procesos (sin cambio; provee realización); Knowledge Graph/MetaModel (representar facetas/categorías como tipos, tras aprobación); B3/B4 (dominio de aplicabilidad de KPI); manual/formularios/software (selección de categoría por facetas); tesis/publicaciones (describen taxonomía como candidata hasta release).</w:t>
      </w:r>
    </w:p>
    <w:p>
      <w:pPr>
        <w:spacing w:after="40"/>
      </w:pPr>
    </w:p>
    <w:p>
      <w:pPr>
        <w:pStyle w:val="Heading4"/>
      </w:pPr>
      <w:r>
        <w:t>14. Versión objetivo</w:t>
      </w:r>
    </w:p>
    <w:p>
      <w:r>
        <w:t>Incorporación futura a una línea base de taxonomía (etiqueta propuesta: GOEI-BSL-TAX-0001 v0.1.0), a confirmar por la Oficina Técnica; el Comité no fija la etiqueta oficial.</w:t>
      </w:r>
    </w:p>
    <w:p>
      <w:pPr>
        <w:spacing w:after="40"/>
      </w:pPr>
    </w:p>
    <w:p>
      <w:pPr>
        <w:pStyle w:val="Heading4"/>
      </w:pPr>
      <w:r>
        <w:t>15. Estado de cierre de B2 y condiciones de integración</w:t>
      </w:r>
    </w:p>
    <w:p>
      <w:r>
        <w:t>Dictamen: B2 CERRABLE en su pregunta nuclear (estructura facetada, ejes indispensables y unidad de clasificación), con ramas abiertas por bloqueo selectivo (unidad multiunidad GOEI-ISS-008; catálogo de valores; ratificación de FX-2). Condiciones de integración: (1) auditoría técnica de suficiencia aceptable para decisión (§11 del paquete); (2) ratificación directiva y registro en maestros; (3) integración versionada y actualización controlada de Knowledge Graph/BOK; (4) los valores concretos permanecen no normativos hasta validación. El cierre efectivo es directorial, no del Comité.</w:t>
      </w:r>
    </w:p>
    <w:p>
      <w:pPr>
        <w:spacing w:after="40"/>
      </w:pPr>
    </w:p>
    <w:p>
      <w:r>
        <w:t>---</w:t>
      </w:r>
    </w:p>
    <w:p>
      <w:pPr>
        <w:spacing w:after="40"/>
      </w:pPr>
    </w:p>
    <w:p>
      <w:pPr>
        <w:pStyle w:val="Heading4"/>
      </w:pPr>
      <w:r>
        <w:t>Registro de suficiencia (declaración del Comité)</w:t>
      </w:r>
    </w:p>
    <w:p>
      <w:r>
        <w:t>El Comité declara finalizada su revisión para esta versión (0.1.0): pregunta y alcance delimitados; dependencias de B1 utilizadas; método declarado; fuentes con identificadores verificables; alternativas comparadas (incluida no incorporar); resultados y propuesta separados; casos límite tratados; limitaciones y preguntas abiertas registradas; impacto y dependencias documentados; Issues con rama afectada y condición de cierre; propuesta de decisión con alcance exacto. Recomendación: elevar a decisión directiva con las ramas abiertas indicadas.</w:t>
      </w:r>
    </w:p>
    <w:p>
      <w:pPr>
        <w:spacing w:after="40"/>
      </w:pPr>
    </w:p>
    <w:p>
      <w:r>
        <w:t>Documento consultivo. No modifica registros maestros, baselines, BOK, tesis ni software. La adopción requiere auditoría técnica, ratificación directiva e integración controlada.</w:t>
      </w:r>
    </w:p>
    <w:p>
      <w:r>
        <w:br w:type="page"/>
      </w:r>
    </w:p>
    <w:p>
      <w:pPr>
        <w:pStyle w:val="Heading1"/>
        <w:keepNext/>
      </w:pPr>
      <w:r>
        <w:t>Fuente 31: 00_Gobernanza/coordinacion/entradas_comite/GOEI_SCI_HANDOFF_D018_Cierre_B3.md</w:t>
      </w:r>
    </w:p>
    <w:p>
      <w:pPr>
        <w:spacing w:after="200"/>
      </w:pPr>
      <w:r>
        <w:rPr>
          <w:rFonts w:ascii="Consolas" w:hAnsi="Consolas"/>
          <w:color w:val="595959"/>
          <w:sz w:val="16"/>
        </w:rPr>
        <w:t>Ruta: 00_Gobernanza/coordinacion/entradas_comite/GOEI_SCI_HANDOFF_D018_Cierre_B3.md</w:t>
        <w:br/>
        <w:t>Tamaño: 13065 bytes</w:t>
        <w:br/>
        <w:t>SHA-256: 511ea02a423a691faf52c2cca2e8638e9c8ada33abd221732f9362df63a7f666</w:t>
      </w:r>
    </w:p>
    <w:p>
      <w:pPr>
        <w:pStyle w:val="Heading2"/>
      </w:pPr>
      <w:r>
        <w:t>GOEI · Entrada al Comité → Oficina Técnica</w:t>
      </w:r>
    </w:p>
    <w:p>
      <w:pPr>
        <w:pStyle w:val="Heading3"/>
      </w:pPr>
      <w:r>
        <w:t>Expediente formal D-018 y dictamen de cierre de la subfase B3 (Universo y catálogo candidato de KPI)</w:t>
      </w:r>
    </w:p>
    <w:p>
      <w:pPr>
        <w:spacing w:after="40"/>
      </w:pPr>
    </w:p>
    <w:p>
      <w:r>
        <w:t>Emisor: Comité Científico (Claude). Destino: Oficina Técnica (Codex) para auditoría de suficiencia; ratificación de cierre: Dirección General.</w:t>
      </w:r>
    </w:p>
    <w:p>
      <w:r>
        <w:t>Naturaleza: dictamen científico. No modifica registros maestros, baselines, BOK, tesis, software ni D-006. No declara admisibilidad, no crea KPI, fórmula GOEI, pesos, puntajes, referencias GTRM, umbrales ni rangos.</w:t>
      </w:r>
    </w:p>
    <w:p>
      <w:r>
        <w:t>Fuentes canónicas consumidas: GOEI-BSL-PROC-0001 v0.1.0, GOEI-BSL-TAX-0001 v0.1.0, GOEI-DIR-RES-0002, D-006/D-006-REV, GOEI-PMM-0001 (PM16), GOEI-PIPE-B2-B10-0001 (§B3).</w:t>
      </w:r>
    </w:p>
    <w:p>
      <w:r>
        <w:t>Documentos científicos asociados: 01_Estado_del_arte/FaseB_B3_Revision_universo_KPI.md; 05_Catalogo_KPI/GOEI_Catalogo_KPI_Candidatos_B3.md; 05_Catalogo_KPI/GOEI_Matriz_Cobertura_KPI_Candidatos_B3.md.</w:t>
      </w:r>
    </w:p>
    <w:p>
      <w:r>
        <w:t>Fecha: 2026-08-04.</w:t>
      </w:r>
    </w:p>
    <w:p>
      <w:pPr>
        <w:spacing w:after="40"/>
      </w:pPr>
    </w:p>
    <w:p>
      <w:r>
        <w:t>---</w:t>
      </w:r>
    </w:p>
    <w:p>
      <w:pPr>
        <w:spacing w:after="40"/>
      </w:pPr>
    </w:p>
    <w:p>
      <w:pPr>
        <w:pStyle w:val="Heading4"/>
      </w:pPr>
      <w:r>
        <w:t>1. Identificador y título</w:t>
      </w:r>
    </w:p>
    <w:p>
      <w:r>
        <w:t>D-018 — Cierre limitado de la subfase B3: universo y catálogo candidato de indicadores (KPI) del GOEI.</w:t>
      </w:r>
    </w:p>
    <w:p>
      <w:pPr>
        <w:spacing w:after="40"/>
      </w:pPr>
    </w:p>
    <w:p>
      <w:pPr>
        <w:pStyle w:val="Heading4"/>
      </w:pPr>
      <w:r>
        <w:t>2. Fecha, autoridad y estado</w:t>
      </w:r>
    </w:p>
    <w:p>
      <w:pPr>
        <w:pStyle w:val="ListBullet"/>
      </w:pPr>
      <w:r>
        <w:t>Fecha: 2026-08-04.</w:t>
      </w:r>
    </w:p>
    <w:p>
      <w:pPr>
        <w:pStyle w:val="ListBullet"/>
      </w:pPr>
      <w:r>
        <w:t>Autoridad: dictamen del Comité Científico; ratificación pendiente de la Dirección General (conforme al pipeline GOEI-PIPE-B2-B10-0001 §B3 y §9).</w:t>
      </w:r>
    </w:p>
    <w:p>
      <w:pPr>
        <w:pStyle w:val="ListBullet"/>
      </w:pPr>
      <w:r>
        <w:t>Estado de D-018: APROBADA por el Comité (con vacíos y ramas abiertas por bloqueo selectivo; ninguno invalida la pregunta nuclear de B3).</w:t>
      </w:r>
    </w:p>
    <w:p>
      <w:pPr>
        <w:spacing w:after="40"/>
      </w:pPr>
    </w:p>
    <w:p>
      <w:pPr>
        <w:pStyle w:val="Heading4"/>
      </w:pPr>
      <w:r>
        <w:t>3. Problema científico</w:t>
      </w:r>
    </w:p>
    <w:p>
      <w:r>
        <w:t>¿Qué indicadores documentados podrían representar los procesos P1–P9 y el alcance estructural facetado FX-1/FX-2/FX-3 como universo candidato del GOEI, de forma trazable y no normativa?</w:t>
      </w:r>
    </w:p>
    <w:p>
      <w:pPr>
        <w:spacing w:after="40"/>
      </w:pPr>
    </w:p>
    <w:p>
      <w:pPr>
        <w:pStyle w:val="Heading4"/>
      </w:pPr>
      <w:r>
        <w:t>4. Alternativas consideradas</w:t>
      </w:r>
    </w:p>
    <w:p>
      <w:pPr>
        <w:pStyle w:val="ListNumber"/>
      </w:pPr>
      <w:r>
        <w:t>No inventariar y pasar directamente a diseñar KPI del estándar. — Rechazada: viola el pipeline (B3 antes de B4) y produciría KPI sin procedencia.</w:t>
      </w:r>
    </w:p>
    <w:p>
      <w:pPr>
        <w:pStyle w:val="ListNumber"/>
      </w:pPr>
      <w:r>
        <w:t>Adoptar un conjunto único preexistente (p. ej., sólo el sistema uniforme de cuentas, o sólo SCOR) como universo. — Rechazada: ninguna fuente cubre los nueve procesos ni las tres facetas; sesga hacia lo económico y omite inocuidad, mantenimiento y servicio.</w:t>
      </w:r>
    </w:p>
    <w:p>
      <w:pPr>
        <w:pStyle w:val="ListNumber"/>
      </w:pPr>
      <w:r>
        <w:t>Construir un inventario trazable multi-fuente, no normativo, anclado a P1–P9 y FX-1/2/3, con estado CANDIDATO por registro y vacíos explícitos. — Adoptada.</w:t>
      </w:r>
    </w:p>
    <w:p>
      <w:pPr>
        <w:pStyle w:val="ListNumber"/>
      </w:pPr>
      <w:r>
        <w:t>Esperar a PRISMA completa antes de emitir cualquier universo. — Rechazada como bloqueo total: PRISMA es una validación posterior (coherente con B1/B2); se registra como Issue sin detener el carácter candidato del inventario.</w:t>
      </w:r>
    </w:p>
    <w:p>
      <w:pPr>
        <w:spacing w:after="40"/>
      </w:pPr>
    </w:p>
    <w:p>
      <w:pPr>
        <w:pStyle w:val="Heading4"/>
      </w:pPr>
      <w:r>
        <w:t>5. Evidencia (APA 7, DOI/URL verificables)</w:t>
      </w:r>
    </w:p>
    <w:p>
      <w:pPr>
        <w:pStyle w:val="ListBullet"/>
      </w:pPr>
      <w:r>
        <w:t>Association for Supply Chain Management. (2022). SCOR Digital Standard (Version 14.0). ASCM. https://scor.ascm.org/ — [NORMA/MARCO] cumplimiento de pedido perfecto, tiempo de ciclo.</w:t>
      </w:r>
    </w:p>
    <w:p>
      <w:pPr>
        <w:pStyle w:val="ListBullet"/>
      </w:pPr>
      <w:r>
        <w:t>Codex Alimentarius Commission. (2020). General principles of food hygiene (CXC 1-1969, Rev. 2020). FAO/WHO. https://www.fao.org/fao-who-codexalimentarius/ — [NORMA] HACCP, higiene, temperatura.</w:t>
      </w:r>
    </w:p>
    <w:p>
      <w:pPr>
        <w:pStyle w:val="ListBullet"/>
      </w:pPr>
      <w:r>
        <w:t>European Committee for Standardization. (2019). EN 15341:2019 — Maintenance — Maintenance key performance indicators. CEN. — [NORMA] MTBF, MTTR, disponibilidad.</w:t>
      </w:r>
    </w:p>
    <w:p>
      <w:pPr>
        <w:pStyle w:val="ListBullet"/>
      </w:pPr>
      <w:r>
        <w:t>Food and Agriculture Organization of the United Nations. (2019). The state of food and agriculture 2019. FAO. https://www.fao.org/sustainable-development-goals-data-portal/data/indicators/1231-global-food-losses/en — [NORMA] Food Loss/Waste Index (SDG 12.3.1).</w:t>
      </w:r>
    </w:p>
    <w:p>
      <w:pPr>
        <w:pStyle w:val="ListBullet"/>
      </w:pPr>
      <w:r>
        <w:t>Gregoire, M. B., &amp; Spears, M. C. (2007). Foodservice organizations (6th ed.). Pearson. — [EVIDENCIA] pronóstico, rendimiento, productividad, costo por comida.</w:t>
      </w:r>
    </w:p>
    <w:p>
      <w:pPr>
        <w:pStyle w:val="ListBullet"/>
      </w:pPr>
      <w:r>
        <w:t>International Organization for Standardization. (2018). ISO 30414:2018. ISO. https://www.iso.org/standard/69338.html — [NORMA] rotación de personal.</w:t>
      </w:r>
    </w:p>
    <w:p>
      <w:pPr>
        <w:pStyle w:val="ListBullet"/>
      </w:pPr>
      <w:r>
        <w:t>Kaplan, R. S., &amp; Norton, D. P. (1992). The balanced scorecard. Harvard Business Review, 70(1), 71–79. — [MARCO].</w:t>
      </w:r>
    </w:p>
    <w:p>
      <w:pPr>
        <w:pStyle w:val="ListBullet"/>
      </w:pPr>
      <w:r>
        <w:t>Kasavana, M. L., &amp; Smith, D. J. (1982). Menu engineering. Hospitality Publishers. — [EVIDENCIA] margen de contribución, mezcla de menú.</w:t>
      </w:r>
    </w:p>
    <w:p>
      <w:pPr>
        <w:pStyle w:val="ListBullet"/>
      </w:pPr>
      <w:r>
        <w:t>Kimes, S. E., Chase, R. B., Choi, S., Lee, P. Y., &amp; Ngonzi, E. N. (1998). Restaurant revenue management. Cornell HRAQ, 39(3), 32–39. https://doi.org/10.1177/001088049803900308 — [EVIDENCIA] RevPASH, rotación de mesas.</w:t>
      </w:r>
    </w:p>
    <w:p>
      <w:pPr>
        <w:pStyle w:val="ListBullet"/>
      </w:pPr>
      <w:r>
        <w:t>Nakajima, S. (1988). Introduction to TPM. Productivity Press. — [EVIDENCIA] OEE.</w:t>
      </w:r>
    </w:p>
    <w:p>
      <w:pPr>
        <w:pStyle w:val="ListBullet"/>
      </w:pPr>
      <w:r>
        <w:t>National Restaurant Association. (2012). Uniform system of accounts for restaurants (8th ed.). — [NORMA] food cost %, prime cost %, cheque promedio, márgenes.</w:t>
      </w:r>
    </w:p>
    <w:p>
      <w:pPr>
        <w:pStyle w:val="ListBullet"/>
      </w:pPr>
      <w:r>
        <w:t>Stevens, P., Knutson, B., &amp; Patton, M. (1995). DINESERV. Cornell HRAQ, 36(2), 56–60. https://doi.org/10.1177/001088049503600226 — [EVIDENCIA] calidad de servicio.</w:t>
      </w:r>
    </w:p>
    <w:p>
      <w:pPr>
        <w:pStyle w:val="ListBullet"/>
      </w:pPr>
      <w:r>
        <w:t>U.S. Food and Drug Administration. (2022). Food Code 2022. FDA. https://www.fda.gov/food/fda-food-code/food-code-2022 — [NORMA] inspección, temperatura.</w:t>
      </w:r>
    </w:p>
    <w:p>
      <w:pPr>
        <w:pStyle w:val="ListBullet"/>
      </w:pPr>
      <w:r>
        <w:t>Horngren, C. T., Datar, S. M., &amp; Rajan, M. V. (2015). Cost accounting (15th ed.). Pearson. — [EVIDENCIA] rotación de inventario, variación de precio.</w:t>
      </w:r>
    </w:p>
    <w:p>
      <w:pPr>
        <w:pStyle w:val="ListBullet"/>
      </w:pPr>
      <w:r>
        <w:t>Organisation for Economic Co-operation and Development, &amp; Joint Research Centre. (2008). Handbook on constructing composite indicators. OECD Publishing. https://doi.org/10.1787/9789264043466-en — [MARCO] referencia metodológica.</w:t>
      </w:r>
    </w:p>
    <w:p>
      <w:pPr>
        <w:spacing w:after="40"/>
      </w:pPr>
    </w:p>
    <w:p>
      <w:r>
        <w:t>Clasificación de la evidencia: norma/estándar u organismo oficial (Codex, EN 15341, FDA, FAO, ISO, ASCM/SCOR, sistema uniforme de cuentas), literatura o texto académico revisado (Kimes, Stevens et al., Nakajima, Kasavana &amp; Smith, Spears &amp; Gregoire, Horngren et al.), y marco metodológico (OECD/JRC, BSC).</w:t>
      </w:r>
    </w:p>
    <w:p>
      <w:pPr>
        <w:spacing w:after="40"/>
      </w:pPr>
    </w:p>
    <w:p>
      <w:pPr>
        <w:pStyle w:val="Heading4"/>
      </w:pPr>
      <w:r>
        <w:t>6. Decisión y justificación</w:t>
      </w:r>
    </w:p>
    <w:p>
      <w:r>
        <w:t>Decisión inequívoca: se adopta la Alternativa 3: un inventario trazable, multi-fuente y no normativo de 32 registros CANDIDATO (31 indicadores documentados + 1 marco), asociados a P1–P9 y al condicionamiento de realización por FX-1/FX-2/FX-3, con procedencia APA 7, requisitos de datos, limitaciones, duplicados y vacíos explícitos.</w:t>
      </w:r>
    </w:p>
    <w:p>
      <w:pPr>
        <w:spacing w:after="40"/>
      </w:pPr>
    </w:p>
    <w:p>
      <w:r>
        <w:t>Justificación: el pipeline exige, para B3, un catálogo candidato con IDs estables, procedencia, estado no normativo, relaciones proceso–categoría–evidencia y lista explícita de vacíos, sin evaluar pertinencia. Ninguna fuente única cubre el dominio; la construcción multi-fuente es la única que satisface la cobertura de los nueve procesos y las tres facetas sin fabricar definiciones. El estado CANDIDATO por registro y la separación estricta respecto de admisibilidad/fórmula preservan la frontera B3/B4.</w:t>
      </w:r>
    </w:p>
    <w:p>
      <w:pPr>
        <w:spacing w:after="40"/>
      </w:pPr>
    </w:p>
    <w:p>
      <w:pPr>
        <w:pStyle w:val="Heading4"/>
      </w:pPr>
      <w:r>
        <w:t>7. Relación con procesos P1–P9 y facetas FX-1/2/3</w:t>
      </w:r>
    </w:p>
    <w:p>
      <w:r>
        <w:t>La asociación indicador→proceso usa la interfaz abstracta Indicador (PM16, EPIC-002) y no altera la baseline de procesos. La asociación indicador→faceta se declara sólo al nivel de identidad (FX-1 condiciona P5; FX-2 condiciona P4–P5; FX-3 condiciona P6), nunca por valores concretos. Detalle en la matriz GOEI-MTZ-KPI-C-0001.</w:t>
      </w:r>
    </w:p>
    <w:p>
      <w:pPr>
        <w:spacing w:after="40"/>
      </w:pPr>
    </w:p>
    <w:p>
      <w:pPr>
        <w:pStyle w:val="Heading4"/>
      </w:pPr>
      <w:r>
        <w:t>8. Declaración de suficiencia</w:t>
      </w:r>
    </w:p>
    <w:p>
      <w:r>
        <w:t>El Comité declara finalizada su revisión de universo candidato para la versión 0.1.0: pregunta y alcance delimitados; dependencias de B2 utilizadas; método declarado; fuentes con identificadores verificables; alternativas comparadas (incluida no inventariar); inventario y matriz separados del juicio de admisibilidad; duplicados y vacíos registrados; limitaciones y sesgos explícitos; Issues con rama afectada y condición de cierre. La suficiencia es para insumo de B4, no aprobación de KPI.</w:t>
      </w:r>
    </w:p>
    <w:p>
      <w:pPr>
        <w:spacing w:after="40"/>
      </w:pPr>
    </w:p>
    <w:p>
      <w:pPr>
        <w:pStyle w:val="Heading4"/>
      </w:pPr>
      <w:r>
        <w:t>9. Limitaciones, sesgos e incertidumbre</w:t>
      </w:r>
    </w:p>
    <w:p>
      <w:pPr>
        <w:pStyle w:val="ListBullet"/>
      </w:pPr>
      <w:r>
        <w:t>Búsqueda estructurada, no exhaustiva/PRISMA; riesgo de omisión.</w:t>
      </w:r>
    </w:p>
    <w:p>
      <w:pPr>
        <w:pStyle w:val="ListBullet"/>
      </w:pPr>
      <w:r>
        <w:t>Vacío en P1 (exactitud de pronóstico).</w:t>
      </w:r>
    </w:p>
    <w:p>
      <w:pPr>
        <w:pStyle w:val="ListBullet"/>
      </w:pPr>
      <w:r>
        <w:t>Dependencia de fuentes genéricas (SCOR, ISO 30414) a adaptar.</w:t>
      </w:r>
    </w:p>
    <w:p>
      <w:pPr>
        <w:pStyle w:val="ListBullet"/>
      </w:pPr>
      <w:r>
        <w:t>Heterogeneidad jurisdiccional de puntajes de inspección (P7).</w:t>
      </w:r>
    </w:p>
    <w:p>
      <w:pPr>
        <w:pStyle w:val="ListBullet"/>
      </w:pPr>
      <w:r>
        <w:t>Sesgo hacia foodservice comercial occidental; subrepresentación del sector informal y no comercial.</w:t>
      </w:r>
    </w:p>
    <w:p>
      <w:pPr>
        <w:pStyle w:val="ListBullet"/>
      </w:pPr>
      <w:r>
        <w:t>Algunos indicadores de P7 pueden operar como restricción crítica (AX-4), no sólo como métrica.</w:t>
      </w:r>
    </w:p>
    <w:p>
      <w:pPr>
        <w:spacing w:after="40"/>
      </w:pPr>
    </w:p>
    <w:p>
      <w:pPr>
        <w:pStyle w:val="Heading4"/>
      </w:pPr>
      <w:r>
        <w:t>10. Duplicados y solapamientos</w:t>
      </w:r>
    </w:p>
    <w:p>
      <w:r>
        <w:t>Registrados en el catálogo y la matriz: prime cost % ⊇ {food cost %, labor cost %}; RevPASH ↔ ventas por asiento; cheque promedio ↔ ventas por asiento; Order Fulfillment Cycle Time en dos lados (C-005/C-014); OEE ⊃ disponibilidad (EN 15341); FLI ↔ FWI; OEE con doble lectura de proceso (P4/P8). La de-duplicación normativa se difiere a B4.</w:t>
      </w:r>
    </w:p>
    <w:p>
      <w:pPr>
        <w:spacing w:after="40"/>
      </w:pPr>
    </w:p>
    <w:p>
      <w:pPr>
        <w:pStyle w:val="Heading4"/>
      </w:pPr>
      <w:r>
        <w:t>11. Vacíos e Issues</w:t>
      </w:r>
    </w:p>
    <w:p>
      <w:pPr>
        <w:pStyle w:val="ListBullet"/>
      </w:pPr>
      <w:r>
        <w:t>GOEI-ISS-055 (propuesto) — Revisión sistemática PRISMA del universo de KPI antes de fijar admisibilidad. Rama afectada: completitud del universo. Cierre: PRISMA ejecutada y contrastada.</w:t>
      </w:r>
    </w:p>
    <w:p>
      <w:pPr>
        <w:pStyle w:val="ListBullet"/>
      </w:pPr>
      <w:r>
        <w:t>GOEI-ISS-056 (propuesto) — Indicador documentado de exactitud de pronóstico de demanda específico de foodservice (vacío P1). Rama: cobertura P1. Cierre: fuente citable identificada o vacío ratificado.</w:t>
      </w:r>
    </w:p>
    <w:p>
      <w:pPr>
        <w:pStyle w:val="ListBullet"/>
      </w:pPr>
      <w:r>
        <w:t>GOEI-ISS-057 (propuesto) — Adaptación de dominio de indicadores genéricos (SCOR, ISO 30414) a foodservice. Rama: C-005, C-014, C-015, C-030. Cierre: definiciones de dominio validadas en B4/B5.</w:t>
      </w:r>
    </w:p>
    <w:p>
      <w:pPr>
        <w:pStyle w:val="ListBullet"/>
      </w:pPr>
      <w:r>
        <w:t>GOEI-ISS-058 (propuesto) — Comparabilidad de puntajes de inspección sanitaria entre jurisdicciones. Rama: C-021. Cierre: esquema de normalización jurisdiccional decidido (no en B3).</w:t>
      </w:r>
    </w:p>
    <w:p>
      <w:pPr>
        <w:pStyle w:val="ListBullet"/>
      </w:pPr>
      <w:r>
        <w:t>Reservas heredadas: GOEI-ISS-043 (merma fuera de baseline, toca C-007) y GOEI-ISS-015 (doble rol inocuidad, toca P7). Se registran; no bloquean B3.</w:t>
      </w:r>
    </w:p>
    <w:p>
      <w:pPr>
        <w:spacing w:after="40"/>
      </w:pPr>
    </w:p>
    <w:p>
      <w:pPr>
        <w:pStyle w:val="Heading4"/>
      </w:pPr>
      <w:r>
        <w:t>12. Bloqueos selectivos (explícitos)</w:t>
      </w:r>
    </w:p>
    <w:p>
      <w:r>
        <w:t>Conforme al mandato, se bloquean únicamente las ramas dependientes de:</w:t>
      </w:r>
    </w:p>
    <w:p>
      <w:pPr>
        <w:pStyle w:val="ListBullet"/>
      </w:pPr>
      <w:r>
        <w:t>GOEI-ISS-008 — toda agregación multiunidad, multi-marca o por flujo. Todos los candidatos se declaran a nivel de Establecimiento token; cualquier rollup queda fuera de B3.</w:t>
      </w:r>
    </w:p>
    <w:p>
      <w:pPr>
        <w:pStyle w:val="ListBullet"/>
      </w:pPr>
      <w:r>
        <w:t>GOEI-ISS-054 — todo uso de valores concretos de faceta. La asociación a FX-1/2/3 se limita a la identidad de la faceta.</w:t>
      </w:r>
    </w:p>
    <w:p>
      <w:pPr>
        <w:spacing w:after="40"/>
      </w:pPr>
    </w:p>
    <w:p>
      <w:r>
        <w:t>Ninguna otra rama se bloquea. GOEI-ISS-043 y GOEI-ISS-015 permanecen como reservas informativas.</w:t>
      </w:r>
    </w:p>
    <w:p>
      <w:pPr>
        <w:spacing w:after="40"/>
      </w:pPr>
    </w:p>
    <w:p>
      <w:pPr>
        <w:pStyle w:val="Heading4"/>
      </w:pPr>
      <w:r>
        <w:t>13. Componentes/documentos afectados (análisis de impacto)</w:t>
      </w:r>
    </w:p>
    <w:p>
      <w:pPr>
        <w:pStyle w:val="ListBullet"/>
      </w:pPr>
      <w:r>
        <w:t>Baselines de procesos y taxonomía: sin cambio; se consumen como marco.</w:t>
      </w:r>
    </w:p>
    <w:p>
      <w:pPr>
        <w:pStyle w:val="ListBullet"/>
      </w:pPr>
      <w:r>
        <w:t>Ontología D-006 / GOEI-BSL-ONT-0001: sin cambio; PM16 se usa como interfaz abstracta.</w:t>
      </w:r>
    </w:p>
    <w:p>
      <w:pPr>
        <w:pStyle w:val="ListBullet"/>
      </w:pPr>
      <w:r>
        <w:t>Knowledge Graph / EPIC-002: representar los 32 candidatos como instancias registrales de Indicador con estado CANDIDATO, sin promoverlos a KPI-def (equivalencia bloqueada por Issue en PM16).</w:t>
      </w:r>
    </w:p>
    <w:p>
      <w:pPr>
        <w:pStyle w:val="ListBullet"/>
      </w:pPr>
      <w:r>
        <w:t>BOK / manual / formularios / software: sólo contenedores y trazabilidad; no poblar fórmulas ni umbrales.</w:t>
      </w:r>
    </w:p>
    <w:p>
      <w:pPr>
        <w:pStyle w:val="ListBullet"/>
      </w:pPr>
      <w:r>
        <w:t>Tesis / publicaciones: pueden describir el universo como candidato; no presentarlo como conjunto de KPI aprobados.</w:t>
      </w:r>
    </w:p>
    <w:p>
      <w:pPr>
        <w:pStyle w:val="ListBullet"/>
      </w:pPr>
      <w:r>
        <w:t>B4: recibe el catálogo congelado como cola de evaluación de admisibilidad.</w:t>
      </w:r>
    </w:p>
    <w:p>
      <w:pPr>
        <w:spacing w:after="40"/>
      </w:pPr>
    </w:p>
    <w:p>
      <w:pPr>
        <w:pStyle w:val="Heading4"/>
      </w:pPr>
      <w:r>
        <w:t>14. Versión objetivo</w:t>
      </w:r>
    </w:p>
    <w:p>
      <w:r>
        <w:t>Incorporación futura como registro controlado de KPI candidatos (etiqueta propuesta: GOEI-CAT-KPI-C-0001 v0.1.0 y matriz GOEI-MTZ-KPI-C-0001 v0.1.0), a confirmar por la Oficina Técnica; el Comité no fija la etiqueta oficial ni crea baseline normativa de KPI.</w:t>
      </w:r>
    </w:p>
    <w:p>
      <w:pPr>
        <w:spacing w:after="40"/>
      </w:pPr>
    </w:p>
    <w:p>
      <w:pPr>
        <w:pStyle w:val="Heading4"/>
      </w:pPr>
      <w:r>
        <w:t>15. Estado de cierre de B3 y condiciones de integración</w:t>
      </w:r>
    </w:p>
    <w:p>
      <w:r>
        <w:t>Dictamen: B3 CERRABLE en su pregunta nuclear (existe un universo candidato trazable y no normativo que cubre P1–P9 y las tres facetas al nivel de identidad), con vacíos registrados (P1; PRISMA; fuentes genéricas; jurisdicción P7) y ramas bloqueadas por GOEI-ISS-008 y GOEI-ISS-054.</w:t>
      </w:r>
    </w:p>
    <w:p>
      <w:pPr>
        <w:spacing w:after="40"/>
      </w:pPr>
    </w:p>
    <w:p>
      <w:r>
        <w:t>Condiciones de integración y apertura de B4:</w:t>
      </w:r>
    </w:p>
    <w:p>
      <w:pPr>
        <w:pStyle w:val="ListNumber"/>
      </w:pPr>
      <w:r>
        <w:t>auditoría técnica de suficiencia con resultado aceptable para decisión (esquema completo; ausencia de candidatos sin fuente; control de duplicidad; consistencia de unidades y términos como datos declarados; cobertura trazable sin evaluar pertinencia);</w:t>
      </w:r>
    </w:p>
    <w:p>
      <w:pPr>
        <w:pStyle w:val="ListNumber"/>
      </w:pPr>
      <w:r>
        <w:t>ratificación directiva de D-018 y registro en maestros;</w:t>
      </w:r>
    </w:p>
    <w:p>
      <w:pPr>
        <w:pStyle w:val="ListNumber"/>
      </w:pPr>
      <w:r>
        <w:t>congelación del catálogo candidato e integración registral controlada del Knowledge Graph;</w:t>
      </w:r>
    </w:p>
    <w:p>
      <w:pPr>
        <w:pStyle w:val="ListNumber"/>
      </w:pPr>
      <w:r>
        <w:t>los candidatos permanecen no normativos; aceptar el universo candidato no incorpora ningún KPI al estándar ni le confiere admisibilidad, fórmula, peso, umbral o referencia.</w:t>
      </w:r>
    </w:p>
    <w:p>
      <w:pPr>
        <w:spacing w:after="40"/>
      </w:pPr>
    </w:p>
    <w:p>
      <w:r>
        <w:t>El cierre efectivo es directorial, no del Comité. Con la ratificación y la integración, B4 puede abrirse para evaluar admisibilidad sobre el catálogo congelado.</w:t>
      </w:r>
    </w:p>
    <w:p>
      <w:pPr>
        <w:spacing w:after="40"/>
      </w:pPr>
    </w:p>
    <w:p>
      <w:r>
        <w:t>---</w:t>
      </w:r>
    </w:p>
    <w:p>
      <w:pPr>
        <w:spacing w:after="40"/>
      </w:pPr>
    </w:p>
    <w:p>
      <w:pPr>
        <w:pStyle w:val="Heading4"/>
      </w:pPr>
      <w:r>
        <w:t>Registro de suficiencia (declaración del Comité)</w:t>
      </w:r>
    </w:p>
    <w:p>
      <w:r>
        <w:t>El Comité declara finalizada su revisión para esta versión (0.1.0): pregunta y alcance delimitados; método declarado y sus límites reconocidos; inventario con IDs estables, procedencia verificable, unidades y num/den sólo cuando la fuente los provee; cobertura y vacíos trazables; duplicados identificados; Issues con rama y condición de cierre; propuesta de decisión con alcance exacto y separada de la evidencia. Recomendación: elevar a decisión directiva D-018 el cierre limitado de B3 y la apertura de B4, con los vacíos y bloqueos indicados.</w:t>
      </w:r>
    </w:p>
    <w:p>
      <w:pPr>
        <w:spacing w:after="40"/>
      </w:pPr>
    </w:p>
    <w:p>
      <w:r>
        <w:t>Documento consultivo. No modifica registros maestros, baselines, BOK, tesis ni software. La adopción requiere auditoría técnica, ratificación directiva e integración controlada. Aceptar el universo candidato no aprueba ningún KPI.</w:t>
      </w:r>
    </w:p>
    <w:p>
      <w:r>
        <w:br w:type="page"/>
      </w:r>
    </w:p>
    <w:p>
      <w:pPr>
        <w:pStyle w:val="Heading1"/>
        <w:keepNext/>
      </w:pPr>
      <w:r>
        <w:t>Fuente 32: 00_Gobernanza/coordinacion/entradas_comite/README.md</w:t>
      </w:r>
    </w:p>
    <w:p>
      <w:pPr>
        <w:spacing w:after="200"/>
      </w:pPr>
      <w:r>
        <w:rPr>
          <w:rFonts w:ascii="Consolas" w:hAnsi="Consolas"/>
          <w:color w:val="595959"/>
          <w:sz w:val="16"/>
        </w:rPr>
        <w:t>Ruta: 00_Gobernanza/coordinacion/entradas_comite/README.md</w:t>
        <w:br/>
        <w:t>Tamaño: 200 bytes</w:t>
        <w:br/>
        <w:t>SHA-256: 3435989168dc65deb86208a22d14e9a0e06ce1f765101db2c236828d6f52cf87</w:t>
      </w:r>
    </w:p>
    <w:p>
      <w:pPr>
        <w:pStyle w:val="Heading2"/>
      </w:pPr>
      <w:r>
        <w:t>Entradas del Comité Científico</w:t>
      </w:r>
    </w:p>
    <w:p>
      <w:pPr>
        <w:spacing w:after="40"/>
      </w:pPr>
    </w:p>
    <w:p>
      <w:r>
        <w:t>Zona de recepción controlada. Un archivo aquí no se considera aprobado ni integrable hasta superar auditoría formal y estar enlazado a una decisión registrada.</w:t>
      </w:r>
    </w:p>
    <w:p>
      <w:r>
        <w:br w:type="page"/>
      </w:r>
    </w:p>
    <w:p>
      <w:pPr>
        <w:pStyle w:val="Heading1"/>
        <w:keepNext/>
      </w:pPr>
      <w:r>
        <w:t>Fuente 33: 00_Gobernanza/coordinacion/ESTADO_MAESTRO.md</w:t>
      </w:r>
    </w:p>
    <w:p>
      <w:pPr>
        <w:spacing w:after="200"/>
      </w:pPr>
      <w:r>
        <w:rPr>
          <w:rFonts w:ascii="Consolas" w:hAnsi="Consolas"/>
          <w:color w:val="595959"/>
          <w:sz w:val="16"/>
        </w:rPr>
        <w:t>Ruta: 00_Gobernanza/coordinacion/ESTADO_MAESTRO.md</w:t>
        <w:br/>
        <w:t>Tamaño: 5477 bytes</w:t>
        <w:br/>
        <w:t>SHA-256: a684d01d5687da7d05d84a8a23ed65b826801e90ca180cb8053ef353c41e8d06</w:t>
      </w:r>
    </w:p>
    <w:p>
      <w:pPr>
        <w:pStyle w:val="Heading2"/>
      </w:pPr>
      <w:r>
        <w:t>Estado maestro del programa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GOEI-STATUS-0001 |</w:t>
      </w:r>
    </w:p>
    <w:p>
      <w:pPr>
        <w:spacing w:after="20" w:line="240" w:lineRule="auto"/>
      </w:pPr>
      <w:r>
        <w:rPr>
          <w:rFonts w:ascii="Consolas" w:hAnsi="Consolas"/>
          <w:sz w:val="14"/>
        </w:rPr>
        <w:t>| Fecha de corte | 2026-08-04 |</w:t>
      </w:r>
    </w:p>
    <w:p>
      <w:pPr>
        <w:spacing w:after="20" w:line="240" w:lineRule="auto"/>
      </w:pPr>
      <w:r>
        <w:rPr>
          <w:rFonts w:ascii="Consolas" w:hAnsi="Consolas"/>
          <w:sz w:val="14"/>
        </w:rPr>
        <w:t>| Estado global | En desarrollo — fundamentos y arquitectura técnica |</w:t>
      </w:r>
    </w:p>
    <w:p>
      <w:pPr>
        <w:spacing w:after="20" w:line="240" w:lineRule="auto"/>
      </w:pPr>
      <w:r>
        <w:rPr>
          <w:rFonts w:ascii="Consolas" w:hAnsi="Consolas"/>
          <w:sz w:val="14"/>
        </w:rPr>
        <w:t>| Baseline científica congelada | Ontología v0.1 |</w:t>
      </w:r>
    </w:p>
    <w:p>
      <w:pPr>
        <w:spacing w:after="20" w:line="240" w:lineRule="auto"/>
      </w:pPr>
      <w:r>
        <w:rPr>
          <w:rFonts w:ascii="Consolas" w:hAnsi="Consolas"/>
          <w:sz w:val="14"/>
        </w:rPr>
        <w:t>| Requisito mínimo de tesis | GOEI-THS-REQ-0001 / GOEI-DIR-0002 |</w:t>
      </w:r>
    </w:p>
    <w:p>
      <w:pPr>
        <w:spacing w:after="20" w:line="240" w:lineRule="auto"/>
      </w:pPr>
      <w:r>
        <w:rPr>
          <w:rFonts w:ascii="Consolas" w:hAnsi="Consolas"/>
          <w:sz w:val="14"/>
        </w:rPr>
        <w:t>| Automatización técnica | Activa |</w:t>
      </w:r>
    </w:p>
    <w:p>
      <w:pPr>
        <w:spacing w:after="40"/>
      </w:pPr>
    </w:p>
    <w:p>
      <w:pPr>
        <w:pStyle w:val="Heading3"/>
      </w:pPr>
      <w:r>
        <w:t>Fases</w:t>
      </w:r>
    </w:p>
    <w:p>
      <w:pPr>
        <w:spacing w:after="40"/>
      </w:pPr>
    </w:p>
    <w:p>
      <w:pPr>
        <w:spacing w:after="20" w:line="240" w:lineRule="auto"/>
      </w:pPr>
      <w:r>
        <w:rPr>
          <w:rFonts w:ascii="Consolas" w:hAnsi="Consolas"/>
          <w:sz w:val="14"/>
        </w:rPr>
        <w:t>| Fase | Responsable principal | Estado verificable | Compuerta pendiente |</w:t>
      </w:r>
    </w:p>
    <w:p>
      <w:pPr>
        <w:spacing w:after="20" w:line="240" w:lineRule="auto"/>
      </w:pPr>
      <w:r>
        <w:rPr>
          <w:rFonts w:ascii="Consolas" w:hAnsi="Consolas"/>
          <w:sz w:val="14"/>
        </w:rPr>
        <w:t>|---|---|---|---|</w:t>
      </w:r>
    </w:p>
    <w:p>
      <w:pPr>
        <w:spacing w:after="20" w:line="240" w:lineRule="auto"/>
      </w:pPr>
      <w:r>
        <w:rPr>
          <w:rFonts w:ascii="Consolas" w:hAnsi="Consolas"/>
          <w:sz w:val="14"/>
        </w:rPr>
        <w:t>| A Fundamentos científicos | Comité Científico | En cierre según Master Plan | cierre oficial y ausencia de bloqueos críticos |</w:t>
      </w:r>
    </w:p>
    <w:p>
      <w:pPr>
        <w:spacing w:after="20" w:line="240" w:lineRule="auto"/>
      </w:pPr>
      <w:r>
        <w:rPr>
          <w:rFonts w:ascii="Consolas" w:hAnsi="Consolas"/>
          <w:sz w:val="14"/>
        </w:rPr>
        <w:t>| B Construcción del conocimiento | Comité Científico | B1–B3 cerradas en sus preguntas nucleares; B4 habilitada | método, criterios y evaluación científica B4; luego B5–B10 secuenciales |</w:t>
      </w:r>
    </w:p>
    <w:p>
      <w:pPr>
        <w:spacing w:after="20" w:line="240" w:lineRule="auto"/>
      </w:pPr>
      <w:r>
        <w:rPr>
          <w:rFonts w:ascii="Consolas" w:hAnsi="Consolas"/>
          <w:sz w:val="14"/>
        </w:rPr>
        <w:t>| C Construcción del estándar | Oficina Técnica | Preparación arquitectónica anticipada; contenido bloqueado | cierre oficial de Fase B |</w:t>
      </w:r>
    </w:p>
    <w:p>
      <w:pPr>
        <w:spacing w:after="20" w:line="240" w:lineRule="auto"/>
      </w:pPr>
      <w:r>
        <w:rPr>
          <w:rFonts w:ascii="Consolas" w:hAnsi="Consolas"/>
          <w:sz w:val="14"/>
        </w:rPr>
        <w:t>| D Validación piloto | Director + Comité | No iniciada | Standard candidato y protocolo aprobado |</w:t>
      </w:r>
    </w:p>
    <w:p>
      <w:pPr>
        <w:spacing w:after="20" w:line="240" w:lineRule="auto"/>
      </w:pPr>
      <w:r>
        <w:rPr>
          <w:rFonts w:ascii="Consolas" w:hAnsi="Consolas"/>
          <w:sz w:val="14"/>
        </w:rPr>
        <w:t>| E Publicaciones | Autoridad/Comité/Oficina | Estructura editorial únicamente | resultados y aprobaciones previas |</w:t>
      </w:r>
    </w:p>
    <w:p>
      <w:pPr>
        <w:spacing w:after="20" w:line="240" w:lineRule="auto"/>
      </w:pPr>
      <w:r>
        <w:rPr>
          <w:rFonts w:ascii="Consolas" w:hAnsi="Consolas"/>
          <w:sz w:val="14"/>
        </w:rPr>
        <w:t>| F Software | Oficina Técnica | Arquitectura conceptual únicamente | estándar estable |</w:t>
      </w:r>
    </w:p>
    <w:p>
      <w:pPr>
        <w:spacing w:after="40"/>
      </w:pPr>
    </w:p>
    <w:p>
      <w:pPr>
        <w:pStyle w:val="Heading3"/>
      </w:pPr>
      <w:r>
        <w:t>Trabajo técnico completado</w:t>
      </w:r>
    </w:p>
    <w:p>
      <w:pPr>
        <w:spacing w:after="40"/>
      </w:pPr>
    </w:p>
    <w:p>
      <w:pPr>
        <w:pStyle w:val="ListBullet"/>
      </w:pPr>
      <w:r>
        <w:t>arquitectura documental y del repositorio;</w:t>
      </w:r>
    </w:p>
    <w:p>
      <w:pPr>
        <w:pStyle w:val="ListBullet"/>
      </w:pPr>
      <w:r>
        <w:t>Constitución en esqueleto;</w:t>
      </w:r>
    </w:p>
    <w:p>
      <w:pPr>
        <w:pStyle w:val="ListBullet"/>
      </w:pPr>
      <w:r>
        <w:t>Oficina Técnica formalizada;</w:t>
      </w:r>
    </w:p>
    <w:p>
      <w:pPr>
        <w:pStyle w:val="ListBullet"/>
      </w:pPr>
      <w:r>
        <w:t>Ontología Baseline v0.1 e Issue-only;</w:t>
      </w:r>
    </w:p>
    <w:p>
      <w:pPr>
        <w:pStyle w:val="ListBullet"/>
      </w:pPr>
      <w:r>
        <w:t>Knowledge Graph y MetaModel EPIC-001;</w:t>
      </w:r>
    </w:p>
    <w:p>
      <w:pPr>
        <w:pStyle w:val="ListBullet"/>
      </w:pPr>
      <w:r>
        <w:t>Universal Process MetaModel EPIC-002 como candidato;</w:t>
      </w:r>
    </w:p>
    <w:p>
      <w:pPr>
        <w:pStyle w:val="ListBullet"/>
      </w:pPr>
      <w:r>
        <w:t>registros maestros y trazabilidad inicial.</w:t>
      </w:r>
    </w:p>
    <w:p>
      <w:pPr>
        <w:pStyle w:val="ListBullet"/>
      </w:pPr>
      <w:r>
        <w:t>política de releases, manifiestos reproducibles y comparación de líneas base;</w:t>
      </w:r>
    </w:p>
    <w:p>
      <w:pPr>
        <w:pStyle w:val="ListBullet"/>
      </w:pPr>
      <w:r>
        <w:t>contrato procesable y evaluador de compuertas G0–G5;</w:t>
      </w:r>
    </w:p>
    <w:p>
      <w:pPr>
        <w:pStyle w:val="ListBullet"/>
      </w:pPr>
      <w:r>
        <w:t>pruebas automatizadas de identidad, trazabilidad, integridad y autoridad documental.</w:t>
      </w:r>
    </w:p>
    <w:p>
      <w:pPr>
        <w:pStyle w:val="ListBullet"/>
      </w:pPr>
      <w:r>
        <w:t>arquitectura directoral de tesis: 4 tomos, 17 capítulos y cobertura auxiliar controlada.</w:t>
      </w:r>
    </w:p>
    <w:p>
      <w:pPr>
        <w:pStyle w:val="ListBullet"/>
      </w:pPr>
      <w:r>
        <w:t>evaluador procesable de 64 requisitos mínimos de tesis con vocabulario de estados normalizado.</w:t>
      </w:r>
    </w:p>
    <w:p>
      <w:pPr>
        <w:pStyle w:val="ListBullet"/>
      </w:pPr>
      <w:r>
        <w:t>roadmap técnico maestro procesable con 15 paquetes, dependencias y targets finales.</w:t>
      </w:r>
    </w:p>
    <w:p>
      <w:pPr>
        <w:pStyle w:val="ListBullet"/>
      </w:pPr>
      <w:r>
        <w:t>repositorio Git local, política de contribución, CHANGELOG y CI preparados; protecciones remotas pendientes bajo GOEI-ISS-042.</w:t>
      </w:r>
    </w:p>
    <w:p>
      <w:pPr>
        <w:pStyle w:val="ListBullet"/>
      </w:pPr>
      <w:r>
        <w:t>esquema y catálogo bibliográfico procesable disponibles; tres fuentes de D-008 migradas con metadatos verificados y estado científico under_review.</w:t>
      </w:r>
    </w:p>
    <w:p>
      <w:pPr>
        <w:pStyle w:val="ListBullet"/>
      </w:pPr>
      <w:r>
        <w:t>Knowledge Graph registral implementado como proyección JSON regenerable; persistencia oficial sigue bajo GOEI-ISS-037.</w:t>
      </w:r>
    </w:p>
    <w:p>
      <w:pPr>
        <w:pStyle w:val="ListBullet"/>
      </w:pPr>
      <w:r>
        <w:t>consultas de nodo, vecindad, caminos e impacto directo disponibles sobre la proyección registral sin inferencia.</w:t>
      </w:r>
    </w:p>
    <w:p>
      <w:pPr>
        <w:pStyle w:val="ListBullet"/>
      </w:pPr>
      <w:r>
        <w:t>auditoría científica y arquitectónica GTRM emitida con dictamen consultivo B; ninguna modificación del estándar autorizada y GOEI-ISS-044 abierto.</w:t>
      </w:r>
    </w:p>
    <w:p>
      <w:pPr>
        <w:pStyle w:val="ListBullet"/>
      </w:pPr>
      <w:r>
        <w:t>expediente formal GOEI-ISS-044 preparado con resolución directiva A/B/C y ocho slots científicos separados; ninguna opción seleccionada.</w:t>
      </w:r>
    </w:p>
    <w:p>
      <w:pPr>
        <w:pStyle w:val="ListBullet"/>
      </w:pPr>
      <w:r>
        <w:t>auditoría GOEI-AUDIT-0003 confirma que D-008/B1 está lista para resolución directiva y que GOEI-ISS-043 bloquea solo la clasificación normativa de residuos/merma.</w:t>
      </w:r>
    </w:p>
    <w:p>
      <w:pPr>
        <w:pStyle w:val="ListBullet"/>
      </w:pPr>
      <w:r>
        <w:t>GOEI-DIR-RES-0001 ratifica D-008, cierra B1 en su pregunta nuclear, crea GOEI-BSL-PROC-0001 v0.1.0 y habilita B2; PRISMA completa y Delphi quedan como validaciones posteriores.</w:t>
      </w:r>
    </w:p>
    <w:p>
      <w:pPr>
        <w:pStyle w:val="ListBullet"/>
      </w:pPr>
      <w:r>
        <w:t>D-009–D-016 incorporan el marco científico GTRM tras GOEI-AUDIT-0004; GOEI-ISS-045–052 quedan cerrados solo en su alcance de marco.</w:t>
      </w:r>
    </w:p>
    <w:p>
      <w:pPr>
        <w:pStyle w:val="ListBullet"/>
      </w:pPr>
      <w:r>
        <w:t>GOEI-ONT-CAND-0001 y GOEI-ARQ-GTRM-0001 preparan el cambio ontológico y los contratos B5/B6 sin modificar D-006 ni habilitar instancias, fórmulas, parámetros o tolerancias.</w:t>
      </w:r>
    </w:p>
    <w:p>
      <w:pPr>
        <w:pStyle w:val="ListBullet"/>
      </w:pPr>
      <w:r>
        <w:t>D-017 y GOEI-DIR-RES-0002 cierran B2 en su pregunta nuclear y congelan GOEI-BSL-TAX-0001 v0.1.0; valores, multiunidad, facetas opcionales y crosswalks permanecen excluidos.</w:t>
      </w:r>
    </w:p>
    <w:p>
      <w:pPr>
        <w:pStyle w:val="ListBullet"/>
      </w:pPr>
      <w:r>
        <w:t>D-018 y GOEI-DIR-RES-0003 cierran B3 en su pregunta nuclear y congelan GOEI-BSL-KPI-C-0001 v0.1.0: 31 indicadores candidatos pasan a la cola B4 y C-032 queda preservado solo como marco contextual; ningún KPI ha sido aprobado.</w:t>
      </w:r>
    </w:p>
    <w:p>
      <w:pPr>
        <w:spacing w:after="40"/>
      </w:pPr>
    </w:p>
    <w:p>
      <w:pPr>
        <w:pStyle w:val="Heading3"/>
      </w:pPr>
      <w:r>
        <w:t>Próxima dependencia científica crítica</w:t>
      </w:r>
    </w:p>
    <w:p>
      <w:pPr>
        <w:spacing w:after="40"/>
      </w:pPr>
    </w:p>
    <w:p>
      <w:r>
        <w:t>La dependencia crítica activa es B4 — Admisibilidad y selección de KPI. Antes de evaluar candidatos, el Comité debe decidir el método y los criterios. GOEI-ISS-055–058 y las reservas heredadas bloquean únicamente las ramas declaradas; GOEI-ISS-053 protege D-006.</w:t>
      </w:r>
    </w:p>
    <w:p>
      <w:pPr>
        <w:spacing w:after="40"/>
      </w:pPr>
    </w:p>
    <w:p>
      <w:pPr>
        <w:pStyle w:val="Heading3"/>
      </w:pPr>
      <w:r>
        <w:t>Política de avance</w:t>
      </w:r>
    </w:p>
    <w:p>
      <w:pPr>
        <w:spacing w:after="40"/>
      </w:pPr>
    </w:p>
    <w:p>
      <w:r>
        <w:t>La Oficina Técnica preservará las baselines de ontología, procesos, taxonomía y catálogo candidato; coordinará B4 sin crear criterios científicos ni promover KPI por inferencia.</w:t>
      </w:r>
    </w:p>
    <w:p>
      <w:pPr>
        <w:spacing w:after="40"/>
      </w:pPr>
    </w:p>
    <w:p>
      <w:r>
        <w:t>El ciclo técnico GOEI-CYCLE-0002 confirmó la reconstrucción determinista del inventario de Ontology Baseline v0.1 y dejó preparadas las compuertas G0–G5. Estas compuertas describen requisitos de promoción, pero ninguna herramienta puede otorgar aprobación científica o institucional.</w:t>
      </w:r>
    </w:p>
    <w:p>
      <w:pPr>
        <w:spacing w:after="40"/>
      </w:pPr>
    </w:p>
    <w:p>
      <w:pPr>
        <w:pStyle w:val="Heading3"/>
      </w:pPr>
      <w:r>
        <w:t>Control de productos derivados</w:t>
      </w:r>
    </w:p>
    <w:p>
      <w:pPr>
        <w:spacing w:after="40"/>
      </w:pPr>
    </w:p>
    <w:p>
      <w:r>
        <w:t>Los archivos 12_Tesis/GOEI_Tesis_Manuscrito.md y 13_Publicaciones/GOEI_Articulo_metodologico.md fueron auditados mediante GOEI-AUDIT-0001 y se encuentran en cuarentena. Contienen propuestas científicas prematuras y no prueban avance de Fase E. Las fuentes válidas de estado son las matrices de ensamblaje y program_state.json.</w:t>
      </w:r>
    </w:p>
    <w:p>
      <w:pPr>
        <w:spacing w:after="40"/>
      </w:pPr>
    </w:p>
    <w:p>
      <w:pPr>
        <w:pStyle w:val="Heading3"/>
      </w:pPr>
      <w:r>
        <w:t>Preparación verificable</w:t>
      </w:r>
    </w:p>
    <w:p>
      <w:pPr>
        <w:spacing w:after="40"/>
      </w:pPr>
    </w:p>
    <w:p>
      <w:r>
        <w:t>El estado procesable por máquinas se mantiene en program_state.json. A este corte, los tres objetivos finales —Standard validado, tesis terminada y manuscrito publicable— permanecen bloqueados por compuertas científicas y de validación explícitas.</w:t>
      </w:r>
    </w:p>
    <w:p>
      <w:r>
        <w:br w:type="page"/>
      </w:r>
    </w:p>
    <w:p>
      <w:pPr>
        <w:pStyle w:val="Heading1"/>
        <w:keepNext/>
      </w:pPr>
      <w:r>
        <w:t>Fuente 34: 00_Gobernanza/coordinacion/expedientes/GTRM/GOEI_CC_DEC_GTRM_SLOT_PLANTILLA.md</w:t>
      </w:r>
    </w:p>
    <w:p>
      <w:pPr>
        <w:spacing w:after="200"/>
      </w:pPr>
      <w:r>
        <w:rPr>
          <w:rFonts w:ascii="Consolas" w:hAnsi="Consolas"/>
          <w:color w:val="595959"/>
          <w:sz w:val="16"/>
        </w:rPr>
        <w:t>Ruta: 00_Gobernanza/coordinacion/expedientes/GTRM/GOEI_CC_DEC_GTRM_SLOT_PLANTILLA.md</w:t>
        <w:br/>
        <w:t>Tamaño: 5260 bytes</w:t>
        <w:br/>
        <w:t>SHA-256: 5ccafef79d6450fdb45fdefedf54122fa2d4f7373ceb8a996f40f2f97537b187</w:t>
      </w:r>
    </w:p>
    <w:p>
      <w:pPr>
        <w:pStyle w:val="Heading2"/>
      </w:pPr>
      <w:r>
        <w:t>Plantilla de decisión científica GTRM por materia</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expediente | Pendiente |</w:t>
      </w:r>
    </w:p>
    <w:p>
      <w:pPr>
        <w:spacing w:after="20" w:line="240" w:lineRule="auto"/>
      </w:pPr>
      <w:r>
        <w:rPr>
          <w:rFonts w:ascii="Consolas" w:hAnsi="Consolas"/>
          <w:sz w:val="14"/>
        </w:rPr>
        <w:t>| Slot de origen | DS-GTRM-__ |</w:t>
      </w:r>
    </w:p>
    <w:p>
      <w:pPr>
        <w:spacing w:after="20" w:line="240" w:lineRule="auto"/>
      </w:pPr>
      <w:r>
        <w:rPr>
          <w:rFonts w:ascii="Consolas" w:hAnsi="Consolas"/>
          <w:sz w:val="14"/>
        </w:rPr>
        <w:t>| Identificador de decisión | Pendiente de asignación al aprobarse |</w:t>
      </w:r>
    </w:p>
    <w:p>
      <w:pPr>
        <w:spacing w:after="20" w:line="240" w:lineRule="auto"/>
      </w:pPr>
      <w:r>
        <w:rPr>
          <w:rFonts w:ascii="Consolas" w:hAnsi="Consolas"/>
          <w:sz w:val="14"/>
        </w:rPr>
        <w:t>| Versión documental | 0.1.0 |</w:t>
      </w:r>
    </w:p>
    <w:p>
      <w:pPr>
        <w:spacing w:after="20" w:line="240" w:lineRule="auto"/>
      </w:pPr>
      <w:r>
        <w:rPr>
          <w:rFonts w:ascii="Consolas" w:hAnsi="Consolas"/>
          <w:sz w:val="14"/>
        </w:rPr>
        <w:t>| Estado | Plantilla sin completar; sin efectos normativos |</w:t>
      </w:r>
    </w:p>
    <w:p>
      <w:pPr>
        <w:spacing w:after="20" w:line="240" w:lineRule="auto"/>
      </w:pPr>
      <w:r>
        <w:rPr>
          <w:rFonts w:ascii="Consolas" w:hAnsi="Consolas"/>
          <w:sz w:val="14"/>
        </w:rPr>
        <w:t>| Autoridad científica | Comité Científico GOEI |</w:t>
      </w:r>
    </w:p>
    <w:p>
      <w:pPr>
        <w:spacing w:after="20" w:line="240" w:lineRule="auto"/>
      </w:pPr>
      <w:r>
        <w:rPr>
          <w:rFonts w:ascii="Consolas" w:hAnsi="Consolas"/>
          <w:sz w:val="14"/>
        </w:rPr>
        <w:t>| Issue relacionado | GOEI-ISS-044 / Issue sucesor: __________ |</w:t>
      </w:r>
    </w:p>
    <w:p>
      <w:pPr>
        <w:spacing w:after="20" w:line="240" w:lineRule="auto"/>
      </w:pPr>
      <w:r>
        <w:rPr>
          <w:rFonts w:ascii="Consolas" w:hAnsi="Consolas"/>
          <w:sz w:val="14"/>
        </w:rPr>
        <w:t>| Expediente rector | GOEI-EXP-ISS-044-0001 |</w:t>
      </w:r>
    </w:p>
    <w:p>
      <w:pPr>
        <w:spacing w:after="20" w:line="240" w:lineRule="auto"/>
      </w:pPr>
      <w:r>
        <w:rPr>
          <w:rFonts w:ascii="Consolas" w:hAnsi="Consolas"/>
          <w:sz w:val="14"/>
        </w:rPr>
        <w:t>| Baseline de referencia | D-006 Ontology Baseline v0.1, sin modificación |</w:t>
      </w:r>
    </w:p>
    <w:p>
      <w:pPr>
        <w:spacing w:after="40"/>
      </w:pPr>
    </w:p>
    <w:p>
      <w:pPr>
        <w:spacing w:after="100"/>
        <w:ind w:left="360" w:right="216"/>
      </w:pPr>
      <w:r>
        <w:rPr>
          <w:i/>
          <w:color w:val="595959"/>
        </w:rPr>
        <w:t>Completar una copia independiente por cada slot. No combinar materias cuando ello impida identificar evidencia, autoridad, dependencias o impacto de cada decisión.</w:t>
      </w:r>
    </w:p>
    <w:p>
      <w:pPr>
        <w:spacing w:after="40"/>
      </w:pPr>
    </w:p>
    <w:p>
      <w:pPr>
        <w:pStyle w:val="Heading3"/>
      </w:pPr>
      <w:r>
        <w:t>1. Pregunta y alcance</w:t>
      </w:r>
    </w:p>
    <w:p>
      <w:pPr>
        <w:spacing w:after="40"/>
      </w:pPr>
    </w:p>
    <w:p>
      <w:r>
        <w:t>Pregunta exacta:</w:t>
      </w:r>
    </w:p>
    <w:p>
      <w:r>
        <w:t>________________________________________________________________________</w:t>
      </w:r>
    </w:p>
    <w:p>
      <w:pPr>
        <w:spacing w:after="40"/>
      </w:pPr>
    </w:p>
    <w:p>
      <w:r>
        <w:t>Incluye:</w:t>
      </w:r>
    </w:p>
    <w:p>
      <w:r>
        <w:t>________________________________________________________________________</w:t>
      </w:r>
    </w:p>
    <w:p>
      <w:pPr>
        <w:spacing w:after="40"/>
      </w:pPr>
    </w:p>
    <w:p>
      <w:r>
        <w:t>Excluye:</w:t>
      </w:r>
    </w:p>
    <w:p>
      <w:r>
        <w:t>________________________________________________________________________</w:t>
      </w:r>
    </w:p>
    <w:p>
      <w:pPr>
        <w:spacing w:after="40"/>
      </w:pPr>
    </w:p>
    <w:p>
      <w:r>
        <w:t>Conceptos de D-006 u otras decisiones utilizados sin modificación:</w:t>
      </w:r>
    </w:p>
    <w:p>
      <w:r>
        <w:t>________________________________________________________________________</w:t>
      </w:r>
    </w:p>
    <w:p>
      <w:pPr>
        <w:spacing w:after="40"/>
      </w:pPr>
    </w:p>
    <w:p>
      <w:pPr>
        <w:pStyle w:val="Heading3"/>
      </w:pPr>
      <w:r>
        <w:t>2. Alternativas consideradas</w:t>
      </w:r>
    </w:p>
    <w:p>
      <w:pPr>
        <w:spacing w:after="40"/>
      </w:pPr>
    </w:p>
    <w:p>
      <w:pPr>
        <w:spacing w:after="20" w:line="240" w:lineRule="auto"/>
      </w:pPr>
      <w:r>
        <w:rPr>
          <w:rFonts w:ascii="Consolas" w:hAnsi="Consolas"/>
          <w:sz w:val="14"/>
        </w:rPr>
        <w:t>| ID | Alternativa | Fuente en el expediente | Evidencia examinada | Fortalezas | Limitaciones | Estado |</w:t>
      </w:r>
    </w:p>
    <w:p>
      <w:pPr>
        <w:spacing w:after="20" w:line="240" w:lineRule="auto"/>
      </w:pPr>
      <w:r>
        <w:rPr>
          <w:rFonts w:ascii="Consolas" w:hAnsi="Consolas"/>
          <w:sz w:val="14"/>
        </w:rPr>
        <w:t>|---|---|---|---|---|---|---|</w:t>
      </w:r>
    </w:p>
    <w:p>
      <w:pPr>
        <w:spacing w:after="20" w:line="240" w:lineRule="auto"/>
      </w:pPr>
      <w:r>
        <w:rPr>
          <w:rFonts w:ascii="Consolas" w:hAnsi="Consolas"/>
          <w:sz w:val="14"/>
        </w:rPr>
        <w:t>| ALT-01 |  |  |  |  |  | considerada |</w:t>
      </w:r>
    </w:p>
    <w:p>
      <w:pPr>
        <w:spacing w:after="20" w:line="240" w:lineRule="auto"/>
      </w:pPr>
      <w:r>
        <w:rPr>
          <w:rFonts w:ascii="Consolas" w:hAnsi="Consolas"/>
          <w:sz w:val="14"/>
        </w:rPr>
        <w:t>| ALT-02 |  |  |  |  |  | considerada |</w:t>
      </w:r>
    </w:p>
    <w:p>
      <w:pPr>
        <w:spacing w:after="20" w:line="240" w:lineRule="auto"/>
      </w:pPr>
      <w:r>
        <w:rPr>
          <w:rFonts w:ascii="Consolas" w:hAnsi="Consolas"/>
          <w:sz w:val="14"/>
        </w:rPr>
        <w:t>| ALT-03 | No incorporar / mantener estado actual | GOEI-EXP-ISS-044-0001 |  |  |  | considerada |</w:t>
      </w:r>
    </w:p>
    <w:p>
      <w:pPr>
        <w:spacing w:after="40"/>
      </w:pPr>
    </w:p>
    <w:p>
      <w:r>
        <w:t>La alternativa elegida no puede derivarse únicamente de conveniencia técnica, capacidad del software o completitud de metadatos.</w:t>
      </w:r>
    </w:p>
    <w:p>
      <w:pPr>
        <w:spacing w:after="40"/>
      </w:pPr>
    </w:p>
    <w:p>
      <w:pPr>
        <w:pStyle w:val="Heading3"/>
      </w:pPr>
      <w:r>
        <w:t>3. Evidencia y procedencia</w:t>
      </w:r>
    </w:p>
    <w:p>
      <w:pPr>
        <w:spacing w:after="40"/>
      </w:pPr>
    </w:p>
    <w:p>
      <w:pPr>
        <w:spacing w:after="20" w:line="240" w:lineRule="auto"/>
      </w:pPr>
      <w:r>
        <w:rPr>
          <w:rFonts w:ascii="Consolas" w:hAnsi="Consolas"/>
          <w:sz w:val="14"/>
        </w:rPr>
        <w:t>| Evidencia/Fuente ID | Tipo | Autor, año y título | Enlace/DOI verificable | Afirmación respaldada | Limitaciones | Estado de verificación |</w:t>
      </w:r>
    </w:p>
    <w:p>
      <w:pPr>
        <w:spacing w:after="20" w:line="240" w:lineRule="auto"/>
      </w:pPr>
      <w:r>
        <w:rPr>
          <w:rFonts w:ascii="Consolas" w:hAnsi="Consolas"/>
          <w:sz w:val="14"/>
        </w:rPr>
        <w:t>|---|---|---|---|---|---|---|</w:t>
      </w:r>
    </w:p>
    <w:p>
      <w:pPr>
        <w:spacing w:after="20" w:line="240" w:lineRule="auto"/>
      </w:pPr>
      <w:r>
        <w:rPr>
          <w:rFonts w:ascii="Consolas" w:hAnsi="Consolas"/>
          <w:sz w:val="14"/>
        </w:rPr>
        <w:t>|  |  |  |  |  |  |  |</w:t>
      </w:r>
    </w:p>
    <w:p>
      <w:pPr>
        <w:spacing w:after="40"/>
      </w:pPr>
    </w:p>
    <w:p>
      <w:r>
        <w:t>Clasificar cada elemento como evidencia bibliográfica, norma/regulación, dato empírico, consenso experto o propuesta provisional.</w:t>
      </w:r>
    </w:p>
    <w:p>
      <w:pPr>
        <w:spacing w:after="40"/>
      </w:pPr>
    </w:p>
    <w:p>
      <w:pPr>
        <w:pStyle w:val="Heading3"/>
      </w:pPr>
      <w:r>
        <w:t>4. Análisis científico</w:t>
      </w:r>
    </w:p>
    <w:p>
      <w:pPr>
        <w:spacing w:after="40"/>
      </w:pPr>
    </w:p>
    <w:p>
      <w:r>
        <w:t>Método utilizado:</w:t>
      </w:r>
    </w:p>
    <w:p>
      <w:r>
        <w:t>________________________________________________________________________</w:t>
      </w:r>
    </w:p>
    <w:p>
      <w:pPr>
        <w:spacing w:after="40"/>
      </w:pPr>
    </w:p>
    <w:p>
      <w:r>
        <w:t>Criterios de evaluación:</w:t>
      </w:r>
    </w:p>
    <w:p>
      <w:r>
        <w:t>________________________________________________________________________</w:t>
      </w:r>
    </w:p>
    <w:p>
      <w:pPr>
        <w:spacing w:after="40"/>
      </w:pPr>
    </w:p>
    <w:p>
      <w:r>
        <w:t>Análisis de incertidumbre y sesgos:</w:t>
      </w:r>
    </w:p>
    <w:p>
      <w:r>
        <w:t>________________________________________________________________________</w:t>
      </w:r>
    </w:p>
    <w:p>
      <w:pPr>
        <w:spacing w:after="40"/>
      </w:pPr>
    </w:p>
    <w:p>
      <w:r>
        <w:t>Comparabilidad, validez y reproducibilidad:</w:t>
      </w:r>
    </w:p>
    <w:p>
      <w:r>
        <w:t>________________________________________________________________________</w:t>
      </w:r>
    </w:p>
    <w:p>
      <w:pPr>
        <w:spacing w:after="40"/>
      </w:pPr>
    </w:p>
    <w:p>
      <w:pPr>
        <w:pStyle w:val="Heading3"/>
      </w:pPr>
      <w:r>
        <w:t>5. Decisión propuesta</w:t>
      </w:r>
    </w:p>
    <w:p>
      <w:pPr>
        <w:spacing w:after="40"/>
      </w:pPr>
    </w:p>
    <w:p>
      <w:r>
        <w:t>Seleccionar exactamente una disposición antes de aprobación:</w:t>
      </w:r>
    </w:p>
    <w:p>
      <w:pPr>
        <w:spacing w:after="40"/>
      </w:pPr>
    </w:p>
    <w:p>
      <w:pPr>
        <w:pStyle w:val="ListBullet"/>
      </w:pPr>
      <w:r>
        <w:t>[ ] adoptar la alternativa identificada: ____________________;</w:t>
      </w:r>
    </w:p>
    <w:p>
      <w:pPr>
        <w:pStyle w:val="ListBullet"/>
      </w:pPr>
      <w:r>
        <w:t>[ ] devolver para evidencia o análisis adicional;</w:t>
      </w:r>
    </w:p>
    <w:p>
      <w:pPr>
        <w:pStyle w:val="ListBullet"/>
      </w:pPr>
      <w:r>
        <w:t>[ ] rechazar todas las alternativas e impedir incorporación en este alcance.</w:t>
      </w:r>
    </w:p>
    <w:p>
      <w:pPr>
        <w:spacing w:after="40"/>
      </w:pPr>
    </w:p>
    <w:p>
      <w:r>
        <w:t>Texto inequívoco de la decisión:</w:t>
      </w:r>
    </w:p>
    <w:p>
      <w:r>
        <w:t>________________________________________________________________________</w:t>
      </w:r>
    </w:p>
    <w:p>
      <w:pPr>
        <w:spacing w:after="40"/>
      </w:pPr>
    </w:p>
    <w:p>
      <w:r>
        <w:t>Justificación científica:</w:t>
      </w:r>
    </w:p>
    <w:p>
      <w:r>
        <w:t>________________________________________________________________________</w:t>
      </w:r>
    </w:p>
    <w:p>
      <w:pPr>
        <w:spacing w:after="40"/>
      </w:pPr>
    </w:p>
    <w:p>
      <w:r>
        <w:t>Qué no decide este acto:</w:t>
      </w:r>
    </w:p>
    <w:p>
      <w:r>
        <w:t>________________________________________________________________________</w:t>
      </w:r>
    </w:p>
    <w:p>
      <w:pPr>
        <w:spacing w:after="40"/>
      </w:pPr>
    </w:p>
    <w:p>
      <w:pPr>
        <w:pStyle w:val="Heading3"/>
      </w:pPr>
      <w:r>
        <w:t>6. Limitaciones, vigencia y pendientes</w:t>
      </w:r>
    </w:p>
    <w:p>
      <w:pPr>
        <w:spacing w:after="40"/>
      </w:pPr>
    </w:p>
    <w:p>
      <w:r>
        <w:t>Limitaciones:</w:t>
      </w:r>
    </w:p>
    <w:p>
      <w:r>
        <w:t>________________________________________________________________________</w:t>
      </w:r>
    </w:p>
    <w:p>
      <w:pPr>
        <w:spacing w:after="40"/>
      </w:pPr>
    </w:p>
    <w:p>
      <w:r>
        <w:t>Condiciones de vigencia o revisión:</w:t>
      </w:r>
    </w:p>
    <w:p>
      <w:r>
        <w:t>________________________________________________________________________</w:t>
      </w:r>
    </w:p>
    <w:p>
      <w:pPr>
        <w:spacing w:after="40"/>
      </w:pPr>
    </w:p>
    <w:p>
      <w:r>
        <w:t>Preguntas abiertas / Issues requeridos:</w:t>
      </w:r>
    </w:p>
    <w:p>
      <w:r>
        <w:t>________________________________________________________________________</w:t>
      </w:r>
    </w:p>
    <w:p>
      <w:pPr>
        <w:spacing w:after="40"/>
      </w:pPr>
    </w:p>
    <w:p>
      <w:pPr>
        <w:pStyle w:val="Heading3"/>
      </w:pPr>
      <w:r>
        <w:t>7. Impacto y dependencias</w:t>
      </w:r>
    </w:p>
    <w:p>
      <w:pPr>
        <w:spacing w:after="40"/>
      </w:pPr>
    </w:p>
    <w:p>
      <w:pPr>
        <w:spacing w:after="20" w:line="240" w:lineRule="auto"/>
      </w:pPr>
      <w:r>
        <w:rPr>
          <w:rFonts w:ascii="Consolas" w:hAnsi="Consolas"/>
          <w:sz w:val="14"/>
        </w:rPr>
        <w:t>| Componente | Sin cambio / ampliar / reescribir / decisión requerida | Efecto autorizado o esperado | Dependencia | Versión objetivo propuesta |</w:t>
      </w:r>
    </w:p>
    <w:p>
      <w:pPr>
        <w:spacing w:after="20" w:line="240" w:lineRule="auto"/>
      </w:pPr>
      <w:r>
        <w:rPr>
          <w:rFonts w:ascii="Consolas" w:hAnsi="Consolas"/>
          <w:sz w:val="14"/>
        </w:rPr>
        <w:t>|---|---|---|---|---|</w:t>
      </w:r>
    </w:p>
    <w:p>
      <w:pPr>
        <w:spacing w:after="20" w:line="240" w:lineRule="auto"/>
      </w:pPr>
      <w:r>
        <w:rPr>
          <w:rFonts w:ascii="Consolas" w:hAnsi="Consolas"/>
          <w:sz w:val="14"/>
        </w:rPr>
        <w:t>| Ontología D-006 |  |  | Issue específico obligatorio |  |</w:t>
      </w:r>
    </w:p>
    <w:p>
      <w:pPr>
        <w:spacing w:after="20" w:line="240" w:lineRule="auto"/>
      </w:pPr>
      <w:r>
        <w:rPr>
          <w:rFonts w:ascii="Consolas" w:hAnsi="Consolas"/>
          <w:sz w:val="14"/>
        </w:rPr>
        <w:t>| B5 Medición |  |  |  |  |</w:t>
      </w:r>
    </w:p>
    <w:p>
      <w:pPr>
        <w:spacing w:after="20" w:line="240" w:lineRule="auto"/>
      </w:pPr>
      <w:r>
        <w:rPr>
          <w:rFonts w:ascii="Consolas" w:hAnsi="Consolas"/>
          <w:sz w:val="14"/>
        </w:rPr>
        <w:t>| B6 Normalización |  |  |  |  |</w:t>
      </w:r>
    </w:p>
    <w:p>
      <w:pPr>
        <w:spacing w:after="20" w:line="240" w:lineRule="auto"/>
      </w:pPr>
      <w:r>
        <w:rPr>
          <w:rFonts w:ascii="Consolas" w:hAnsi="Consolas"/>
          <w:sz w:val="14"/>
        </w:rPr>
        <w:t>| Formularios/manual |  |  |  |  |</w:t>
      </w:r>
    </w:p>
    <w:p>
      <w:pPr>
        <w:spacing w:after="20" w:line="240" w:lineRule="auto"/>
      </w:pPr>
      <w:r>
        <w:rPr>
          <w:rFonts w:ascii="Consolas" w:hAnsi="Consolas"/>
          <w:sz w:val="14"/>
        </w:rPr>
        <w:t>| Software |  |  |  |  |</w:t>
      </w:r>
    </w:p>
    <w:p>
      <w:pPr>
        <w:spacing w:after="20" w:line="240" w:lineRule="auto"/>
      </w:pPr>
      <w:r>
        <w:rPr>
          <w:rFonts w:ascii="Consolas" w:hAnsi="Consolas"/>
          <w:sz w:val="14"/>
        </w:rPr>
        <w:t>| Validación |  |  |  |  |</w:t>
      </w:r>
    </w:p>
    <w:p>
      <w:pPr>
        <w:spacing w:after="20" w:line="240" w:lineRule="auto"/>
      </w:pPr>
      <w:r>
        <w:rPr>
          <w:rFonts w:ascii="Consolas" w:hAnsi="Consolas"/>
          <w:sz w:val="14"/>
        </w:rPr>
        <w:t>| Knowledge Graph/BOK |  |  |  |  |</w:t>
      </w:r>
    </w:p>
    <w:p>
      <w:pPr>
        <w:spacing w:after="20" w:line="240" w:lineRule="auto"/>
      </w:pPr>
      <w:r>
        <w:rPr>
          <w:rFonts w:ascii="Consolas" w:hAnsi="Consolas"/>
          <w:sz w:val="14"/>
        </w:rPr>
        <w:t>| Tesis/publicaciones |  |  |  |  |</w:t>
      </w:r>
    </w:p>
    <w:p>
      <w:pPr>
        <w:spacing w:after="40"/>
      </w:pPr>
    </w:p>
    <w:p>
      <w:r>
        <w:t>Efecto papel–software:</w:t>
      </w:r>
    </w:p>
    <w:p>
      <w:r>
        <w:t>________________________________________________________________________</w:t>
      </w:r>
    </w:p>
    <w:p>
      <w:pPr>
        <w:spacing w:after="40"/>
      </w:pPr>
    </w:p>
    <w:p>
      <w:r>
        <w:t>Efecto sobre evaluaciones históricas:</w:t>
      </w:r>
    </w:p>
    <w:p>
      <w:r>
        <w:t>________________________________________________________________________</w:t>
      </w:r>
    </w:p>
    <w:p>
      <w:pPr>
        <w:spacing w:after="40"/>
      </w:pPr>
    </w:p>
    <w:p>
      <w:pPr>
        <w:pStyle w:val="Heading3"/>
      </w:pPr>
      <w:r>
        <w:t>8. Recomendación de integración</w:t>
      </w:r>
    </w:p>
    <w:p>
      <w:pPr>
        <w:spacing w:after="40"/>
      </w:pPr>
    </w:p>
    <w:p>
      <w:pPr>
        <w:pStyle w:val="ListBullet"/>
      </w:pPr>
      <w:r>
        <w:t>[ ] recomendar incorporación después de auditoría técnica y aprobación competente;</w:t>
      </w:r>
    </w:p>
    <w:p>
      <w:pPr>
        <w:pStyle w:val="ListBullet"/>
      </w:pPr>
      <w:r>
        <w:t>[ ] recomendar devolución;</w:t>
      </w:r>
    </w:p>
    <w:p>
      <w:pPr>
        <w:pStyle w:val="ListBullet"/>
      </w:pPr>
      <w:r>
        <w:t>[ ] recomendar rechazo.</w:t>
      </w:r>
    </w:p>
    <w:p>
      <w:pPr>
        <w:spacing w:after="40"/>
      </w:pPr>
    </w:p>
    <w:p>
      <w:r>
        <w:t>Esta recomendación no crea versión, baseline ni release.</w:t>
      </w:r>
    </w:p>
    <w:p>
      <w:pPr>
        <w:spacing w:after="40"/>
      </w:pPr>
    </w:p>
    <w:p>
      <w:pPr>
        <w:pStyle w:val="Heading3"/>
      </w:pPr>
      <w:r>
        <w:t>9. Controles y aprobación</w:t>
      </w:r>
    </w:p>
    <w:p>
      <w:pPr>
        <w:spacing w:after="40"/>
      </w:pPr>
    </w:p>
    <w:p>
      <w:pPr>
        <w:pStyle w:val="ListBullet"/>
      </w:pPr>
      <w:r>
        <w:t>[ ] pregunta y alcance inequívocos;</w:t>
      </w:r>
    </w:p>
    <w:p>
      <w:pPr>
        <w:pStyle w:val="ListBullet"/>
      </w:pPr>
      <w:r>
        <w:t>[ ] alternativas comparadas, incluida no incorporación;</w:t>
      </w:r>
    </w:p>
    <w:p>
      <w:pPr>
        <w:pStyle w:val="ListBullet"/>
      </w:pPr>
      <w:r>
        <w:t>[ ] evidencia identificable y clasificada;</w:t>
      </w:r>
    </w:p>
    <w:p>
      <w:pPr>
        <w:pStyle w:val="ListBullet"/>
      </w:pPr>
      <w:r>
        <w:t>[ ] decisión separada de su justificación;</w:t>
      </w:r>
    </w:p>
    <w:p>
      <w:pPr>
        <w:pStyle w:val="ListBullet"/>
      </w:pPr>
      <w:r>
        <w:t>[ ] incertidumbre, limitaciones y sesgos declarados;</w:t>
      </w:r>
    </w:p>
    <w:p>
      <w:pPr>
        <w:pStyle w:val="ListBullet"/>
      </w:pPr>
      <w:r>
        <w:t>[ ] dependencias e impacto documentados;</w:t>
      </w:r>
    </w:p>
    <w:p>
      <w:pPr>
        <w:pStyle w:val="ListBullet"/>
      </w:pPr>
      <w:r>
        <w:t>[ ] aplicación manual y software considerados;</w:t>
      </w:r>
    </w:p>
    <w:p>
      <w:pPr>
        <w:pStyle w:val="ListBullet"/>
      </w:pPr>
      <w:r>
        <w:t>[ ] D-006 no fue editada mediante este expediente;</w:t>
      </w:r>
    </w:p>
    <w:p>
      <w:pPr>
        <w:pStyle w:val="ListBullet"/>
      </w:pPr>
      <w:r>
        <w:t>[ ] preguntas abiertas convertidas en Issues;</w:t>
      </w:r>
    </w:p>
    <w:p>
      <w:pPr>
        <w:pStyle w:val="ListBullet"/>
      </w:pPr>
      <w:r>
        <w:t>[ ] recomendación de integración explícita;</w:t>
      </w:r>
    </w:p>
    <w:p>
      <w:pPr>
        <w:pStyle w:val="ListBullet"/>
      </w:pPr>
      <w:r>
        <w:t>[ ] aprobación verificable del Comité.</w:t>
      </w:r>
    </w:p>
    <w:p>
      <w:pPr>
        <w:spacing w:after="40"/>
      </w:pPr>
    </w:p>
    <w:p>
      <w:r>
        <w:t>Fecha efectiva: ____________________</w:t>
      </w:r>
    </w:p>
    <w:p>
      <w:r>
        <w:t>Autoridad científica: ____________________</w:t>
      </w:r>
    </w:p>
    <w:p>
      <w:r>
        <w:t>Firma o mecanismo verificable: ____________________</w:t>
      </w:r>
    </w:p>
    <w:p>
      <w:pPr>
        <w:spacing w:after="40"/>
      </w:pPr>
    </w:p>
    <w:p>
      <w:r>
        <w:t>---</w:t>
      </w:r>
    </w:p>
    <w:p>
      <w:pPr>
        <w:spacing w:after="40"/>
      </w:pPr>
    </w:p>
    <w:p>
      <w:r>
        <w:t>Estado actual: PLANTILLA. No contiene respuesta científica ni decisión seleccionada.</w:t>
      </w:r>
    </w:p>
    <w:p>
      <w:r>
        <w:br w:type="page"/>
      </w:r>
    </w:p>
    <w:p>
      <w:pPr>
        <w:pStyle w:val="Heading1"/>
        <w:keepNext/>
      </w:pPr>
      <w:r>
        <w:t>Fuente 35: 00_Gobernanza/coordinacion/expedientes/GTRM/GOEI_DIR_RES_ISS_044_GTRM.md</w:t>
      </w:r>
    </w:p>
    <w:p>
      <w:pPr>
        <w:spacing w:after="200"/>
      </w:pPr>
      <w:r>
        <w:rPr>
          <w:rFonts w:ascii="Consolas" w:hAnsi="Consolas"/>
          <w:color w:val="595959"/>
          <w:sz w:val="16"/>
        </w:rPr>
        <w:t>Ruta: 00_Gobernanza/coordinacion/expedientes/GTRM/GOEI_DIR_RES_ISS_044_GTRM.md</w:t>
        <w:br/>
        <w:t>Tamaño: 4534 bytes</w:t>
        <w:br/>
        <w:t>SHA-256: 8491a46f21d675fd7415c2b5888cd908b1b2695f0c31d454f9626da68a2dcc02</w:t>
      </w:r>
    </w:p>
    <w:p>
      <w:pPr>
        <w:pStyle w:val="Heading2"/>
      </w:pPr>
      <w:r>
        <w:t>GOEI-DIR-RES-GTRM-0001 — Resolución directiva sobre GOEI-ISS-044</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GOEI-DIR-RES-GTRM-0001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Autoridad | Dirección General GOEI, ejercida por Codex conforme a GOEI-DIR-0004 |</w:t>
      </w:r>
    </w:p>
    <w:p>
      <w:pPr>
        <w:spacing w:after="20" w:line="240" w:lineRule="auto"/>
      </w:pPr>
      <w:r>
        <w:rPr>
          <w:rFonts w:ascii="Consolas" w:hAnsi="Consolas"/>
          <w:sz w:val="14"/>
        </w:rPr>
        <w:t>| Expediente | GOEI-EXP-GTRM-0001 |</w:t>
      </w:r>
    </w:p>
    <w:p>
      <w:pPr>
        <w:spacing w:after="20" w:line="240" w:lineRule="auto"/>
      </w:pPr>
      <w:r>
        <w:rPr>
          <w:rFonts w:ascii="Consolas" w:hAnsi="Consolas"/>
          <w:sz w:val="14"/>
        </w:rPr>
        <w:t>| Dictamen de origen | GOEI-GTRM-AUD-0001 — B: aceptar con modificaciones |</w:t>
      </w:r>
    </w:p>
    <w:p>
      <w:pPr>
        <w:spacing w:after="20" w:line="240" w:lineRule="auto"/>
      </w:pPr>
      <w:r>
        <w:rPr>
          <w:rFonts w:ascii="Consolas" w:hAnsi="Consolas"/>
          <w:sz w:val="14"/>
        </w:rPr>
        <w:t>| Opción resuelta | A — Ratificar como base de trabajo |</w:t>
      </w:r>
    </w:p>
    <w:p>
      <w:pPr>
        <w:spacing w:after="20" w:line="240" w:lineRule="auto"/>
      </w:pPr>
      <w:r>
        <w:rPr>
          <w:rFonts w:ascii="Consolas" w:hAnsi="Consolas"/>
          <w:sz w:val="14"/>
        </w:rPr>
        <w:t>| Estado | VIGENTE |</w:t>
      </w:r>
    </w:p>
    <w:p>
      <w:pPr>
        <w:spacing w:after="20" w:line="240" w:lineRule="auto"/>
      </w:pPr>
      <w:r>
        <w:rPr>
          <w:rFonts w:ascii="Consolas" w:hAnsi="Consolas"/>
          <w:sz w:val="14"/>
        </w:rPr>
        <w:t>| Versión documental | 1.0.0 |</w:t>
      </w:r>
    </w:p>
    <w:p>
      <w:pPr>
        <w:spacing w:after="20" w:line="240" w:lineRule="auto"/>
      </w:pPr>
      <w:r>
        <w:rPr>
          <w:rFonts w:ascii="Consolas" w:hAnsi="Consolas"/>
          <w:sz w:val="14"/>
        </w:rPr>
        <w:t>| Mecanismo verificable | Instrucción expresa de la Dirección General en la tarea oficial GOEI |</w:t>
      </w:r>
    </w:p>
    <w:p>
      <w:pPr>
        <w:spacing w:after="40"/>
      </w:pPr>
    </w:p>
    <w:p>
      <w:pPr>
        <w:pStyle w:val="Heading3"/>
      </w:pPr>
      <w:r>
        <w:t>1. Resolución</w:t>
      </w:r>
    </w:p>
    <w:p>
      <w:pPr>
        <w:spacing w:after="40"/>
      </w:pPr>
    </w:p>
    <w:p>
      <w:r>
        <w:t>La Dirección General:</w:t>
      </w:r>
    </w:p>
    <w:p>
      <w:pPr>
        <w:spacing w:after="40"/>
      </w:pPr>
    </w:p>
    <w:p>
      <w:pPr>
        <w:pStyle w:val="ListNumber"/>
      </w:pPr>
      <w:r>
        <w:t>ratifica el dictamen B exclusivamente como diagnóstico y base de trabajo para subsanar y resolver las materias científicas identificadas;</w:t>
      </w:r>
    </w:p>
    <w:p>
      <w:pPr>
        <w:pStyle w:val="ListNumber"/>
      </w:pPr>
      <w:r>
        <w:t>cierra GOEI-ISS-044 únicamente respecto de la selección del destino del dictamen;</w:t>
      </w:r>
    </w:p>
    <w:p>
      <w:pPr>
        <w:pStyle w:val="ListNumber"/>
      </w:pPr>
      <w:r>
        <w:t>ordena abrir y tramitar por separado DS-GTRM-01 a DS-GTRM-08, registrados como GOEI-ISS-045 a GOEI-ISS-052;</w:t>
      </w:r>
    </w:p>
    <w:p>
      <w:pPr>
        <w:pStyle w:val="ListNumber"/>
      </w:pPr>
      <w:r>
        <w:t>encarga al Comité Científico resolver esas ocho materias sin respuestas predeterminadas y con la suficiencia exigida por GOEI-EXP-GTRM-0001;</w:t>
      </w:r>
    </w:p>
    <w:p>
      <w:pPr>
        <w:pStyle w:val="ListNumber"/>
      </w:pPr>
      <w:r>
        <w:t>dispone una nueva auditoría técnica consolidada cuando existan decisiones científicas suficientes para la rama evaluada;</w:t>
      </w:r>
    </w:p>
    <w:p>
      <w:pPr>
        <w:pStyle w:val="ListNumber"/>
      </w:pPr>
      <w:r>
        <w:t>mantiene sin cambios D-006 Ontology Baseline v0.1, B5, B6 y el pipeline normativo vigente;</w:t>
      </w:r>
    </w:p>
    <w:p>
      <w:pPr>
        <w:pStyle w:val="ListNumber"/>
      </w:pPr>
      <w:r>
        <w:t>exige un Issue formal específico antes de proponer cualquier cambio contra D-006;</w:t>
      </w:r>
    </w:p>
    <w:p>
      <w:pPr>
        <w:pStyle w:val="ListNumber"/>
      </w:pPr>
      <w:r>
        <w:t>no autoriza una GTRM concreta, baseline, release, fórmula, función, parámetro, punto de corte, umbral, tolerancia ni regla de precedencia.</w:t>
      </w:r>
    </w:p>
    <w:p>
      <w:pPr>
        <w:spacing w:after="40"/>
      </w:pPr>
    </w:p>
    <w:p>
      <w:pPr>
        <w:pStyle w:val="Heading3"/>
      </w:pPr>
      <w:r>
        <w:t>2. Materias científicas activadas</w:t>
      </w:r>
    </w:p>
    <w:p>
      <w:pPr>
        <w:spacing w:after="40"/>
      </w:pPr>
    </w:p>
    <w:p>
      <w:pPr>
        <w:spacing w:after="20" w:line="240" w:lineRule="auto"/>
      </w:pPr>
      <w:r>
        <w:rPr>
          <w:rFonts w:ascii="Consolas" w:hAnsi="Consolas"/>
          <w:sz w:val="14"/>
        </w:rPr>
        <w:t>| Slot | Issue | Materia | Autoridad de contenido |</w:t>
      </w:r>
    </w:p>
    <w:p>
      <w:pPr>
        <w:spacing w:after="20" w:line="240" w:lineRule="auto"/>
      </w:pPr>
      <w:r>
        <w:rPr>
          <w:rFonts w:ascii="Consolas" w:hAnsi="Consolas"/>
          <w:sz w:val="14"/>
        </w:rPr>
        <w:t>|---|---|---|---|</w:t>
      </w:r>
    </w:p>
    <w:p>
      <w:pPr>
        <w:spacing w:after="20" w:line="240" w:lineRule="auto"/>
      </w:pPr>
      <w:r>
        <w:rPr>
          <w:rFonts w:ascii="Consolas" w:hAnsi="Consolas"/>
          <w:sz w:val="14"/>
        </w:rPr>
        <w:t>| DS-GTRM-01 | GOEI-ISS-045 | Entrada de la transformación | Comité Científico |</w:t>
      </w:r>
    </w:p>
    <w:p>
      <w:pPr>
        <w:spacing w:after="20" w:line="240" w:lineRule="auto"/>
      </w:pPr>
      <w:r>
        <w:rPr>
          <w:rFonts w:ascii="Consolas" w:hAnsi="Consolas"/>
          <w:sz w:val="14"/>
        </w:rPr>
        <w:t>| DS-GTRM-02 | GOEI-ISS-046 | Naturaleza, salida y relación con normalización | Comité Científico |</w:t>
      </w:r>
    </w:p>
    <w:p>
      <w:pPr>
        <w:spacing w:after="20" w:line="240" w:lineRule="auto"/>
      </w:pPr>
      <w:r>
        <w:rPr>
          <w:rFonts w:ascii="Consolas" w:hAnsi="Consolas"/>
          <w:sz w:val="14"/>
        </w:rPr>
        <w:t>| DS-GTRM-03 | GOEI-ISS-047 | Condición de referencia y benchmark | Comité Científico |</w:t>
      </w:r>
    </w:p>
    <w:p>
      <w:pPr>
        <w:spacing w:after="20" w:line="240" w:lineRule="auto"/>
      </w:pPr>
      <w:r>
        <w:rPr>
          <w:rFonts w:ascii="Consolas" w:hAnsi="Consolas"/>
          <w:sz w:val="14"/>
        </w:rPr>
        <w:t>| DS-GTRM-04 | GOEI-ISS-048 | Dominios, coexistencia, aplicabilidad y precedencia | Comité Científico |</w:t>
      </w:r>
    </w:p>
    <w:p>
      <w:pPr>
        <w:spacing w:after="20" w:line="240" w:lineRule="auto"/>
      </w:pPr>
      <w:r>
        <w:rPr>
          <w:rFonts w:ascii="Consolas" w:hAnsi="Consolas"/>
          <w:sz w:val="14"/>
        </w:rPr>
        <w:t>| DS-GTRM-05 | GOEI-ISS-049 | Fuentes y representación de incertidumbre | Comité Científico |</w:t>
      </w:r>
    </w:p>
    <w:p>
      <w:pPr>
        <w:spacing w:after="20" w:line="240" w:lineRule="auto"/>
      </w:pPr>
      <w:r>
        <w:rPr>
          <w:rFonts w:ascii="Consolas" w:hAnsi="Consolas"/>
          <w:sz w:val="14"/>
        </w:rPr>
        <w:t>| DS-GTRM-06 | GOEI-ISS-050 | Autoridad científica/normativa y ciclo de vida | Comité Científico; Dirección General para adopción normativa |</w:t>
      </w:r>
    </w:p>
    <w:p>
      <w:pPr>
        <w:spacing w:after="20" w:line="240" w:lineRule="auto"/>
      </w:pPr>
      <w:r>
        <w:rPr>
          <w:rFonts w:ascii="Consolas" w:hAnsi="Consolas"/>
          <w:sz w:val="14"/>
        </w:rPr>
        <w:t>| DS-GTRM-07 | GOEI-ISS-051 | Ausencia, conflicto y estado de puntuabilidad | Comité Científico |</w:t>
      </w:r>
    </w:p>
    <w:p>
      <w:pPr>
        <w:spacing w:after="20" w:line="240" w:lineRule="auto"/>
      </w:pPr>
      <w:r>
        <w:rPr>
          <w:rFonts w:ascii="Consolas" w:hAnsi="Consolas"/>
          <w:sz w:val="14"/>
        </w:rPr>
        <w:t>| DS-GTRM-08 | GOEI-ISS-052 | Fuente de verdad, equivalencia y reproducibilidad | Comité Científico para tolerancias; Oficina Técnica para implementación posterior |</w:t>
      </w:r>
    </w:p>
    <w:p>
      <w:pPr>
        <w:spacing w:after="40"/>
      </w:pPr>
    </w:p>
    <w:p>
      <w:r>
        <w:t>La apertura de estos slots constituye autorización para investigar y formular decisiones. No constituye aprobación anticipada de ninguna respuesta.</w:t>
      </w:r>
    </w:p>
    <w:p>
      <w:pPr>
        <w:spacing w:after="40"/>
      </w:pPr>
    </w:p>
    <w:p>
      <w:pPr>
        <w:pStyle w:val="Heading3"/>
      </w:pPr>
      <w:r>
        <w:t>3. Compuertas de integración</w:t>
      </w:r>
    </w:p>
    <w:p>
      <w:pPr>
        <w:spacing w:after="40"/>
      </w:pPr>
    </w:p>
    <w:p>
      <w:r>
        <w:t>Ninguna recomendación GTRM podrá promoverse a componente normativo hasta que:</w:t>
      </w:r>
    </w:p>
    <w:p>
      <w:pPr>
        <w:spacing w:after="40"/>
      </w:pPr>
    </w:p>
    <w:p>
      <w:pPr>
        <w:pStyle w:val="ListNumber"/>
      </w:pPr>
      <w:r>
        <w:t>el Comité emita las decisiones científicas aplicables;</w:t>
      </w:r>
    </w:p>
    <w:p>
      <w:pPr>
        <w:pStyle w:val="ListNumber"/>
      </w:pPr>
      <w:r>
        <w:t>cada decisión identifique evidencia, justificación, limitaciones, autoridad y efecto;</w:t>
      </w:r>
    </w:p>
    <w:p>
      <w:pPr>
        <w:pStyle w:val="ListNumber"/>
      </w:pPr>
      <w:r>
        <w:t>la Oficina Técnica verifique consistencia, trazabilidad, impacto y compatibilidad;</w:t>
      </w:r>
    </w:p>
    <w:p>
      <w:pPr>
        <w:pStyle w:val="ListNumber"/>
      </w:pPr>
      <w:r>
        <w:t>todo cambio ontológico se tramite mediante un Issue propio y una nueva versión;</w:t>
      </w:r>
    </w:p>
    <w:p>
      <w:pPr>
        <w:pStyle w:val="ListNumber"/>
      </w:pPr>
      <w:r>
        <w:t>la autoridad competente apruebe la incorporación normativa resultante.</w:t>
      </w:r>
    </w:p>
    <w:p>
      <w:pPr>
        <w:spacing w:after="40"/>
      </w:pPr>
    </w:p>
    <w:p>
      <w:r>
        <w:t>Las ramas independientes pueden avanzar. Solo queda detenida la incorporación normativa que dependa de respuestas todavía inexistentes.</w:t>
      </w:r>
    </w:p>
    <w:p>
      <w:pPr>
        <w:spacing w:after="40"/>
      </w:pPr>
    </w:p>
    <w:p>
      <w:pPr>
        <w:pStyle w:val="Heading3"/>
      </w:pPr>
      <w:r>
        <w:t>4. Efectos</w:t>
      </w:r>
    </w:p>
    <w:p>
      <w:pPr>
        <w:spacing w:after="40"/>
      </w:pPr>
    </w:p>
    <w:p>
      <w:pPr>
        <w:spacing w:after="20" w:line="240" w:lineRule="auto"/>
      </w:pPr>
      <w:r>
        <w:rPr>
          <w:rFonts w:ascii="Consolas" w:hAnsi="Consolas"/>
          <w:sz w:val="14"/>
        </w:rPr>
        <w:t>| Objeto | Efecto de esta resolución |</w:t>
      </w:r>
    </w:p>
    <w:p>
      <w:pPr>
        <w:spacing w:after="20" w:line="240" w:lineRule="auto"/>
      </w:pPr>
      <w:r>
        <w:rPr>
          <w:rFonts w:ascii="Consolas" w:hAnsi="Consolas"/>
          <w:sz w:val="14"/>
        </w:rPr>
        <w:t>|---|---|</w:t>
      </w:r>
    </w:p>
    <w:p>
      <w:pPr>
        <w:spacing w:after="20" w:line="240" w:lineRule="auto"/>
      </w:pPr>
      <w:r>
        <w:rPr>
          <w:rFonts w:ascii="Consolas" w:hAnsi="Consolas"/>
          <w:sz w:val="14"/>
        </w:rPr>
        <w:t>| GOEI-ISS-044 | Cerrado respecto del destino del dictamen B |</w:t>
      </w:r>
    </w:p>
    <w:p>
      <w:pPr>
        <w:spacing w:after="20" w:line="240" w:lineRule="auto"/>
      </w:pPr>
      <w:r>
        <w:rPr>
          <w:rFonts w:ascii="Consolas" w:hAnsi="Consolas"/>
          <w:sz w:val="14"/>
        </w:rPr>
        <w:t>| Dictamen B | Ratificado como base de trabajo, no como contenido del estándar |</w:t>
      </w:r>
    </w:p>
    <w:p>
      <w:pPr>
        <w:spacing w:after="20" w:line="240" w:lineRule="auto"/>
      </w:pPr>
      <w:r>
        <w:rPr>
          <w:rFonts w:ascii="Consolas" w:hAnsi="Consolas"/>
          <w:sz w:val="14"/>
        </w:rPr>
        <w:t>| DS-GTRM-01–08 | Activados como expedientes científicos independientes |</w:t>
      </w:r>
    </w:p>
    <w:p>
      <w:pPr>
        <w:spacing w:after="20" w:line="240" w:lineRule="auto"/>
      </w:pPr>
      <w:r>
        <w:rPr>
          <w:rFonts w:ascii="Consolas" w:hAnsi="Consolas"/>
          <w:sz w:val="14"/>
        </w:rPr>
        <w:t>| D-006 v0.1 | Sin cambio; baseline congelada |</w:t>
      </w:r>
    </w:p>
    <w:p>
      <w:pPr>
        <w:spacing w:after="20" w:line="240" w:lineRule="auto"/>
      </w:pPr>
      <w:r>
        <w:rPr>
          <w:rFonts w:ascii="Consolas" w:hAnsi="Consolas"/>
          <w:sz w:val="14"/>
        </w:rPr>
        <w:t>| B5/B6 | Sin cambio; no se habilita integración GTRM |</w:t>
      </w:r>
    </w:p>
    <w:p>
      <w:pPr>
        <w:spacing w:after="20" w:line="240" w:lineRule="auto"/>
      </w:pPr>
      <w:r>
        <w:rPr>
          <w:rFonts w:ascii="Consolas" w:hAnsi="Consolas"/>
          <w:sz w:val="14"/>
        </w:rPr>
        <w:t>| Baselines y releases | Ninguno |</w:t>
      </w:r>
    </w:p>
    <w:p>
      <w:pPr>
        <w:spacing w:after="20" w:line="240" w:lineRule="auto"/>
      </w:pPr>
      <w:r>
        <w:rPr>
          <w:rFonts w:ascii="Consolas" w:hAnsi="Consolas"/>
          <w:sz w:val="14"/>
        </w:rPr>
        <w:t>| Instancias GTRM | No autorizadas |</w:t>
      </w:r>
    </w:p>
    <w:p>
      <w:pPr>
        <w:spacing w:after="40"/>
      </w:pPr>
    </w:p>
    <w:p>
      <w:pPr>
        <w:pStyle w:val="Heading3"/>
      </w:pPr>
      <w:r>
        <w:t>5. Trazabilidad de autoridad</w:t>
      </w:r>
    </w:p>
    <w:p>
      <w:pPr>
        <w:spacing w:after="40"/>
      </w:pPr>
    </w:p>
    <w:p>
      <w:r>
        <w:t>Esta resolución ejecuta la delegación GOEI-DIR-0004, por la cual la Dirección General autorizó a Codex a adoptar y ejecutar resoluciones finales sin solicitar nuevas validaciones del Director, conservando los límites científicos vigentes. Por ello, Codex puede seleccionar la opción directiva y activar el trabajo; no puede completar las ocho materias mediante inferencia técnica.</w:t>
      </w:r>
    </w:p>
    <w:p>
      <w:pPr>
        <w:spacing w:after="40"/>
      </w:pPr>
    </w:p>
    <w:p>
      <w:r>
        <w:t>---</w:t>
      </w:r>
    </w:p>
    <w:p>
      <w:pPr>
        <w:spacing w:after="40"/>
      </w:pPr>
    </w:p>
    <w:p>
      <w:r>
        <w:t>Resolución final: Opción A.</w:t>
      </w:r>
    </w:p>
    <w:p>
      <w:r>
        <w:t>Fecha efectiva: 2026-08-04.</w:t>
      </w:r>
    </w:p>
    <w:p>
      <w:r>
        <w:t>Autoridad: Dirección General GOEI, por delegación ejecutiva a Codex.</w:t>
      </w:r>
    </w:p>
    <w:p>
      <w:r>
        <w:t>Constancia: instrucción expresa preservada en el historial de la tarea oficial GOEI.</w:t>
      </w:r>
    </w:p>
    <w:p>
      <w:r>
        <w:br w:type="page"/>
      </w:r>
    </w:p>
    <w:p>
      <w:pPr>
        <w:pStyle w:val="Heading1"/>
        <w:keepNext/>
      </w:pPr>
      <w:r>
        <w:t>Fuente 36: 00_Gobernanza/coordinacion/expedientes/GTRM/GOEI_DIR_RES_ISS_044_GTRM_BORRADOR.md</w:t>
      </w:r>
    </w:p>
    <w:p>
      <w:pPr>
        <w:spacing w:after="200"/>
      </w:pPr>
      <w:r>
        <w:rPr>
          <w:rFonts w:ascii="Consolas" w:hAnsi="Consolas"/>
          <w:color w:val="595959"/>
          <w:sz w:val="16"/>
        </w:rPr>
        <w:t>Ruta: 00_Gobernanza/coordinacion/expedientes/GTRM/GOEI_DIR_RES_ISS_044_GTRM_BORRADOR.md</w:t>
        <w:br/>
        <w:t>Tamaño: 5202 bytes</w:t>
        <w:br/>
        <w:t>SHA-256: 304e782d8f30fde9f7ff16373bd2b76af43969f938f90ab7d17052253fb598d5</w:t>
      </w:r>
    </w:p>
    <w:p>
      <w:pPr>
        <w:pStyle w:val="Heading2"/>
      </w:pPr>
      <w:r>
        <w:t>Borrador de resolución directiva sobre GOEI-ISS-044 y el dictamen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resolución | Pendiente de asignación al aprobarse |</w:t>
      </w:r>
    </w:p>
    <w:p>
      <w:pPr>
        <w:spacing w:after="20" w:line="240" w:lineRule="auto"/>
      </w:pPr>
      <w:r>
        <w:rPr>
          <w:rFonts w:ascii="Consolas" w:hAnsi="Consolas"/>
          <w:sz w:val="14"/>
        </w:rPr>
        <w:t>| Naturaleza | Borrador técnico no firmado y no aprobado |</w:t>
      </w:r>
    </w:p>
    <w:p>
      <w:pPr>
        <w:spacing w:after="20" w:line="240" w:lineRule="auto"/>
      </w:pPr>
      <w:r>
        <w:rPr>
          <w:rFonts w:ascii="Consolas" w:hAnsi="Consolas"/>
          <w:sz w:val="14"/>
        </w:rPr>
        <w:t>| Fecha de preparación | 2026-08-04 |</w:t>
      </w:r>
    </w:p>
    <w:p>
      <w:pPr>
        <w:spacing w:after="20" w:line="240" w:lineRule="auto"/>
      </w:pPr>
      <w:r>
        <w:rPr>
          <w:rFonts w:ascii="Consolas" w:hAnsi="Consolas"/>
          <w:sz w:val="14"/>
        </w:rPr>
        <w:t>| Autoridad competente | Dirección General GOEI |</w:t>
      </w:r>
    </w:p>
    <w:p>
      <w:pPr>
        <w:spacing w:after="20" w:line="240" w:lineRule="auto"/>
      </w:pPr>
      <w:r>
        <w:rPr>
          <w:rFonts w:ascii="Consolas" w:hAnsi="Consolas"/>
          <w:sz w:val="14"/>
        </w:rPr>
        <w:t>| Preparó | Oficina Técnica GOEI |</w:t>
      </w:r>
    </w:p>
    <w:p>
      <w:pPr>
        <w:spacing w:after="20" w:line="240" w:lineRule="auto"/>
      </w:pPr>
      <w:r>
        <w:rPr>
          <w:rFonts w:ascii="Consolas" w:hAnsi="Consolas"/>
          <w:sz w:val="14"/>
        </w:rPr>
        <w:t>| Expediente | GOEI-EXP-ISS-044-0001 |</w:t>
      </w:r>
    </w:p>
    <w:p>
      <w:pPr>
        <w:spacing w:after="20" w:line="240" w:lineRule="auto"/>
      </w:pPr>
      <w:r>
        <w:rPr>
          <w:rFonts w:ascii="Consolas" w:hAnsi="Consolas"/>
          <w:sz w:val="14"/>
        </w:rPr>
        <w:t>| Dictamen | GOEI-GTRM-AUD-0001 — B: aceptar con modificaciones |</w:t>
      </w:r>
    </w:p>
    <w:p>
      <w:pPr>
        <w:spacing w:after="20" w:line="240" w:lineRule="auto"/>
      </w:pPr>
      <w:r>
        <w:rPr>
          <w:rFonts w:ascii="Consolas" w:hAnsi="Consolas"/>
          <w:sz w:val="14"/>
        </w:rPr>
        <w:t>| Estado | BORRADOR — SIN EFECTOS NORMATIVOS |</w:t>
      </w:r>
    </w:p>
    <w:p>
      <w:pPr>
        <w:spacing w:after="40"/>
      </w:pPr>
    </w:p>
    <w:p>
      <w:pPr>
        <w:spacing w:after="100"/>
        <w:ind w:left="360" w:right="216"/>
      </w:pPr>
      <w:r>
        <w:rPr>
          <w:i/>
          <w:color w:val="595959"/>
        </w:rPr>
        <w:t>Seleccionar exactamente una opción. Este borrador no aprueba una GTRM, no adopta las recomendaciones científicas y no modifica D-006 Ontology Baseline v0.1.</w:t>
      </w:r>
    </w:p>
    <w:p>
      <w:pPr>
        <w:spacing w:after="40"/>
      </w:pPr>
    </w:p>
    <w:p>
      <w:pPr>
        <w:pStyle w:val="Heading3"/>
      </w:pPr>
      <w:r>
        <w:t>1. Antecedentes</w:t>
      </w:r>
    </w:p>
    <w:p>
      <w:pPr>
        <w:spacing w:after="40"/>
      </w:pPr>
    </w:p>
    <w:p>
      <w:pPr>
        <w:pStyle w:val="ListNumber"/>
      </w:pPr>
      <w:r>
        <w:t>El Comité Científico y la Oficina Técnica auditaron la propuesta GTRM dentro de sus respectivas competencias.</w:t>
      </w:r>
    </w:p>
    <w:p>
      <w:pPr>
        <w:pStyle w:val="ListNumber"/>
      </w:pPr>
      <w:r>
        <w:t>El dictamen consolidado fue B: aceptar con modificaciones, con efecto exclusivamente consultivo.</w:t>
      </w:r>
    </w:p>
    <w:p>
      <w:pPr>
        <w:pStyle w:val="ListNumber"/>
      </w:pPr>
      <w:r>
        <w:t>GOEI-ISS-044 exige una resolución formal sobre el destino del dictamen.</w:t>
      </w:r>
    </w:p>
    <w:p>
      <w:pPr>
        <w:pStyle w:val="ListNumber"/>
      </w:pPr>
      <w:r>
        <w:t>La auditoría identificó ocho materias que requieren decisiones científicas separadas antes de cualquier incorporación.</w:t>
      </w:r>
    </w:p>
    <w:p>
      <w:pPr>
        <w:pStyle w:val="ListNumber"/>
      </w:pPr>
      <w:r>
        <w:t>D-006 v0.1 permanece congelada y toda modificación futura exige Issue formal y nueva versión.</w:t>
      </w:r>
    </w:p>
    <w:p>
      <w:pPr>
        <w:spacing w:after="40"/>
      </w:pPr>
    </w:p>
    <w:p>
      <w:pPr>
        <w:pStyle w:val="Heading3"/>
      </w:pPr>
      <w:r>
        <w:t>2. Opciones — seleccionar exactamente una</w:t>
      </w:r>
    </w:p>
    <w:p>
      <w:pPr>
        <w:spacing w:after="40"/>
      </w:pPr>
    </w:p>
    <w:p>
      <w:pPr>
        <w:pStyle w:val="Heading4"/>
      </w:pPr>
      <w:r>
        <w:t>Opción A — Ratificar el dictamen B como base de trabajo</w:t>
      </w:r>
    </w:p>
    <w:p>
      <w:pPr>
        <w:spacing w:after="40"/>
      </w:pPr>
    </w:p>
    <w:p>
      <w:pPr>
        <w:pStyle w:val="ListBullet"/>
      </w:pPr>
      <w:r>
        <w:t>[ ] SELECCIONADA</w:t>
      </w:r>
    </w:p>
    <w:p>
      <w:pPr>
        <w:spacing w:after="40"/>
      </w:pPr>
    </w:p>
    <w:p>
      <w:r>
        <w:t>La Dirección General:</w:t>
      </w:r>
    </w:p>
    <w:p>
      <w:pPr>
        <w:spacing w:after="40"/>
      </w:pPr>
    </w:p>
    <w:p>
      <w:pPr>
        <w:pStyle w:val="ListNumber"/>
      </w:pPr>
      <w:r>
        <w:t>ratifica el dictamen B exclusivamente como diagnóstico y mandato de subsanación científica;</w:t>
      </w:r>
    </w:p>
    <w:p>
      <w:pPr>
        <w:pStyle w:val="ListNumber"/>
      </w:pPr>
      <w:r>
        <w:t>ordena al Comité Científico resolver separadamente DS-GTRM-01 a DS-GTRM-08;</w:t>
      </w:r>
    </w:p>
    <w:p>
      <w:pPr>
        <w:pStyle w:val="ListNumber"/>
      </w:pPr>
      <w:r>
        <w:t>mantiene sin cambios D-006, B5, B6 y el pipeline vigente;</w:t>
      </w:r>
    </w:p>
    <w:p>
      <w:pPr>
        <w:pStyle w:val="ListNumber"/>
      </w:pPr>
      <w:r>
        <w:t>prohíbe que la Oficina Técnica transforme recomendaciones candidatas en reglas normativas;</w:t>
      </w:r>
    </w:p>
    <w:p>
      <w:pPr>
        <w:pStyle w:val="ListNumber"/>
      </w:pPr>
      <w:r>
        <w:t>dispone una auditoría técnica consolidada después de recibir todas las decisiones necesarias;</w:t>
      </w:r>
    </w:p>
    <w:p>
      <w:pPr>
        <w:pStyle w:val="ListNumber"/>
      </w:pPr>
      <w:r>
        <w:t>exige un Issue específico antes de cualquier propuesta de cambio contra D-006;</w:t>
      </w:r>
    </w:p>
    <w:p>
      <w:pPr>
        <w:pStyle w:val="ListNumber"/>
      </w:pPr>
      <w:r>
        <w:t>no autoriza baseline, release, GTRM concreta, fórmula, parámetro, umbral o tolerancia.</w:t>
      </w:r>
    </w:p>
    <w:p>
      <w:pPr>
        <w:spacing w:after="40"/>
      </w:pPr>
    </w:p>
    <w:p>
      <w:pPr>
        <w:pStyle w:val="Heading4"/>
      </w:pPr>
      <w:r>
        <w:t>Opción B — Devolver el dictamen para subsanación</w:t>
      </w:r>
    </w:p>
    <w:p>
      <w:pPr>
        <w:spacing w:after="40"/>
      </w:pPr>
    </w:p>
    <w:p>
      <w:pPr>
        <w:pStyle w:val="ListBullet"/>
      </w:pPr>
      <w:r>
        <w:t>[ ] SELECCIONADA</w:t>
      </w:r>
    </w:p>
    <w:p>
      <w:pPr>
        <w:spacing w:after="40"/>
      </w:pPr>
    </w:p>
    <w:p>
      <w:r>
        <w:t>La Dirección General:</w:t>
      </w:r>
    </w:p>
    <w:p>
      <w:pPr>
        <w:spacing w:after="40"/>
      </w:pPr>
    </w:p>
    <w:p>
      <w:pPr>
        <w:pStyle w:val="ListNumber"/>
      </w:pPr>
      <w:r>
        <w:t>devuelve el dictamen sin aprobar ni rechazar la hipótesis GTRM;</w:t>
      </w:r>
    </w:p>
    <w:p>
      <w:pPr>
        <w:pStyle w:val="ListNumber"/>
      </w:pPr>
      <w:r>
        <w:t>mantiene abierto GOEI-ISS-044;</w:t>
      </w:r>
    </w:p>
    <w:p>
      <w:pPr>
        <w:pStyle w:val="ListNumber"/>
      </w:pPr>
      <w:r>
        <w:t>requiere estas subsanaciones: _________________________________________;</w:t>
      </w:r>
    </w:p>
    <w:p>
      <w:pPr>
        <w:pStyle w:val="ListNumber"/>
      </w:pPr>
      <w:r>
        <w:t>mantiene bloqueadas las decisiones científicas y toda integración GTRM;</w:t>
      </w:r>
    </w:p>
    <w:p>
      <w:pPr>
        <w:pStyle w:val="ListNumber"/>
      </w:pPr>
      <w:r>
        <w:t>confirma que D-006 permanece sin cambios.</w:t>
      </w:r>
    </w:p>
    <w:p>
      <w:pPr>
        <w:spacing w:after="40"/>
      </w:pPr>
    </w:p>
    <w:p>
      <w:pPr>
        <w:pStyle w:val="Heading4"/>
      </w:pPr>
      <w:r>
        <w:t>Opción C — Rechazar la incorporación propuesta</w:t>
      </w:r>
    </w:p>
    <w:p>
      <w:pPr>
        <w:spacing w:after="40"/>
      </w:pPr>
    </w:p>
    <w:p>
      <w:pPr>
        <w:pStyle w:val="ListBullet"/>
      </w:pPr>
      <w:r>
        <w:t>[ ] SELECCIONADA</w:t>
      </w:r>
    </w:p>
    <w:p>
      <w:pPr>
        <w:spacing w:after="40"/>
      </w:pPr>
    </w:p>
    <w:p>
      <w:r>
        <w:t>La Dirección General:</w:t>
      </w:r>
    </w:p>
    <w:p>
      <w:pPr>
        <w:spacing w:after="40"/>
      </w:pPr>
    </w:p>
    <w:p>
      <w:pPr>
        <w:pStyle w:val="ListNumber"/>
      </w:pPr>
      <w:r>
        <w:t>rechaza la incorporación basada en este expediente;</w:t>
      </w:r>
    </w:p>
    <w:p>
      <w:pPr>
        <w:pStyle w:val="ListNumber"/>
      </w:pPr>
      <w:r>
        <w:t>dispone cerrar GOEI-ISS-044 mediante esta resolución;</w:t>
      </w:r>
    </w:p>
    <w:p>
      <w:pPr>
        <w:pStyle w:val="ListNumber"/>
      </w:pPr>
      <w:r>
        <w:t>conserva auditorías y fuente como historial no normativo;</w:t>
      </w:r>
    </w:p>
    <w:p>
      <w:pPr>
        <w:pStyle w:val="ListNumber"/>
      </w:pPr>
      <w:r>
        <w:t>exige nuevo Issue y expediente para cualquier propuesta futura;</w:t>
      </w:r>
    </w:p>
    <w:p>
      <w:pPr>
        <w:pStyle w:val="ListNumber"/>
      </w:pPr>
      <w:r>
        <w:t>registra el fundamento: ______________________________________________;</w:t>
      </w:r>
    </w:p>
    <w:p>
      <w:pPr>
        <w:pStyle w:val="ListNumber"/>
      </w:pPr>
      <w:r>
        <w:t>confirma que D-006 permanece sin cambios.</w:t>
      </w:r>
    </w:p>
    <w:p>
      <w:pPr>
        <w:spacing w:after="40"/>
      </w:pPr>
    </w:p>
    <w:p>
      <w:pPr>
        <w:pStyle w:val="Heading3"/>
      </w:pPr>
      <w:r>
        <w:t>3. Mandato científico condicionado a la Opción A</w:t>
      </w:r>
    </w:p>
    <w:p>
      <w:pPr>
        <w:spacing w:after="40"/>
      </w:pPr>
    </w:p>
    <w:p>
      <w:r>
        <w:t>La Opción A encarga al Comité decidir, sin respuestas predeterminadas:</w:t>
      </w:r>
    </w:p>
    <w:p>
      <w:pPr>
        <w:spacing w:after="40"/>
      </w:pPr>
    </w:p>
    <w:p>
      <w:pPr>
        <w:pStyle w:val="ListBullet"/>
      </w:pPr>
      <w:r>
        <w:t>[ ] DS-GTRM-01 — entrada de la transformación;</w:t>
      </w:r>
    </w:p>
    <w:p>
      <w:pPr>
        <w:pStyle w:val="ListBullet"/>
      </w:pPr>
      <w:r>
        <w:t>[ ] DS-GTRM-02 — naturaleza, salida y relación con normalización;</w:t>
      </w:r>
    </w:p>
    <w:p>
      <w:pPr>
        <w:pStyle w:val="ListBullet"/>
      </w:pPr>
      <w:r>
        <w:t>[ ] DS-GTRM-03 — distinción entre condición de referencia y benchmark;</w:t>
      </w:r>
    </w:p>
    <w:p>
      <w:pPr>
        <w:pStyle w:val="ListBullet"/>
      </w:pPr>
      <w:r>
        <w:t>[ ] DS-GTRM-04 — dominios, coexistencia, aplicabilidad y precedencia;</w:t>
      </w:r>
    </w:p>
    <w:p>
      <w:pPr>
        <w:pStyle w:val="ListBullet"/>
      </w:pPr>
      <w:r>
        <w:t>[ ] DS-GTRM-05 — fuentes y representación de incertidumbre;</w:t>
      </w:r>
    </w:p>
    <w:p>
      <w:pPr>
        <w:pStyle w:val="ListBullet"/>
      </w:pPr>
      <w:r>
        <w:t>[ ] DS-GTRM-06 — autoridad científica/normativa y ciclo de vida;</w:t>
      </w:r>
    </w:p>
    <w:p>
      <w:pPr>
        <w:pStyle w:val="ListBullet"/>
      </w:pPr>
      <w:r>
        <w:t>[ ] DS-GTRM-07 — ausencia, conflicto y estado de puntuabilidad;</w:t>
      </w:r>
    </w:p>
    <w:p>
      <w:pPr>
        <w:pStyle w:val="ListBullet"/>
      </w:pPr>
      <w:r>
        <w:t>[ ] DS-GTRM-08 — fuente de verdad, equivalencia y reproducibilidad.</w:t>
      </w:r>
    </w:p>
    <w:p>
      <w:pPr>
        <w:spacing w:after="40"/>
      </w:pPr>
    </w:p>
    <w:p>
      <w:r>
        <w:t>Cada entrega deberá satisfacer los criterios de suficiencia de GOEI-EXP-ISS-044-0001. La marcación de esta lista confirma asignación o recepción, no aprobación del contenido.</w:t>
      </w:r>
    </w:p>
    <w:p>
      <w:pPr>
        <w:spacing w:after="40"/>
      </w:pPr>
    </w:p>
    <w:p>
      <w:pPr>
        <w:pStyle w:val="Heading3"/>
      </w:pPr>
      <w:r>
        <w:t>4. Disposición de GOEI-ISS-044</w:t>
      </w:r>
    </w:p>
    <w:p>
      <w:pPr>
        <w:spacing w:after="40"/>
      </w:pPr>
    </w:p>
    <w:p>
      <w:r>
        <w:t>Seleccionar una disposición coherente con la opción principal:</w:t>
      </w:r>
    </w:p>
    <w:p>
      <w:pPr>
        <w:spacing w:after="40"/>
      </w:pPr>
    </w:p>
    <w:p>
      <w:pPr>
        <w:pStyle w:val="ListBullet"/>
      </w:pPr>
      <w:r>
        <w:t>[ ] Opción A: cerrar solo la consulta sobre destino del dictamen y abrir/registrar los ocho slots científicos independientes.</w:t>
      </w:r>
    </w:p>
    <w:p>
      <w:pPr>
        <w:pStyle w:val="ListBullet"/>
      </w:pPr>
      <w:r>
        <w:t>[ ] Opción B: mantener abierto hasta verificar la subsanación indicada.</w:t>
      </w:r>
    </w:p>
    <w:p>
      <w:pPr>
        <w:pStyle w:val="ListBullet"/>
      </w:pPr>
      <w:r>
        <w:t>[ ] Opción C: cerrar por rechazo y exigir nuevo Issue para una propuesta futura.</w:t>
      </w:r>
    </w:p>
    <w:p>
      <w:pPr>
        <w:spacing w:after="40"/>
      </w:pPr>
    </w:p>
    <w:p>
      <w:pPr>
        <w:pStyle w:val="Heading3"/>
      </w:pPr>
      <w:r>
        <w:t>5. Efecto normativo y de versionado</w:t>
      </w:r>
    </w:p>
    <w:p>
      <w:pPr>
        <w:spacing w:after="40"/>
      </w:pPr>
    </w:p>
    <w:p>
      <w:pPr>
        <w:pStyle w:val="ListBullet"/>
      </w:pPr>
      <w:r>
        <w:t>Efecto sobre D-006 v0.1: ninguno.</w:t>
      </w:r>
    </w:p>
    <w:p>
      <w:pPr>
        <w:pStyle w:val="ListBullet"/>
      </w:pPr>
      <w:r>
        <w:t>Efecto sobre B5/B6: ninguno hasta decisiones e integración posteriores.</w:t>
      </w:r>
    </w:p>
    <w:p>
      <w:pPr>
        <w:pStyle w:val="ListBullet"/>
      </w:pPr>
      <w:r>
        <w:t>Efecto sobre baselines/releases: ninguno.</w:t>
      </w:r>
    </w:p>
    <w:p>
      <w:pPr>
        <w:pStyle w:val="ListBullet"/>
      </w:pPr>
      <w:r>
        <w:t>Efecto sobre instancias GTRM: no autorizadas.</w:t>
      </w:r>
    </w:p>
    <w:p>
      <w:pPr>
        <w:pStyle w:val="ListBullet"/>
      </w:pPr>
      <w:r>
        <w:t>Versión objetivo del estándar: no asignada por esta resolución.</w:t>
      </w:r>
    </w:p>
    <w:p>
      <w:pPr>
        <w:spacing w:after="40"/>
      </w:pPr>
    </w:p>
    <w:p>
      <w:pPr>
        <w:pStyle w:val="Heading3"/>
      </w:pPr>
      <w:r>
        <w:t>6. Controles previos a firma</w:t>
      </w:r>
    </w:p>
    <w:p>
      <w:pPr>
        <w:spacing w:after="40"/>
      </w:pPr>
    </w:p>
    <w:p>
      <w:pPr>
        <w:pStyle w:val="ListBullet"/>
      </w:pPr>
      <w:r>
        <w:t>[ ] se seleccionó exactamente una opción principal;</w:t>
      </w:r>
    </w:p>
    <w:p>
      <w:pPr>
        <w:pStyle w:val="ListBullet"/>
      </w:pPr>
      <w:r>
        <w:t>[ ] se completó el fundamento o subsanación cuando corresponde;</w:t>
      </w:r>
    </w:p>
    <w:p>
      <w:pPr>
        <w:pStyle w:val="ListBullet"/>
      </w:pPr>
      <w:r>
        <w:t>[ ] la disposición del Issue coincide con la opción;</w:t>
      </w:r>
    </w:p>
    <w:p>
      <w:pPr>
        <w:pStyle w:val="ListBullet"/>
      </w:pPr>
      <w:r>
        <w:t>[ ] se confirmó expresamente la protección de D-006 v0.1;</w:t>
      </w:r>
    </w:p>
    <w:p>
      <w:pPr>
        <w:pStyle w:val="ListBullet"/>
      </w:pPr>
      <w:r>
        <w:t>[ ] no se insertó contenido científico en la resolución;</w:t>
      </w:r>
    </w:p>
    <w:p>
      <w:pPr>
        <w:pStyle w:val="ListBullet"/>
      </w:pPr>
      <w:r>
        <w:t>[ ] se identificaron fecha y autoridad;</w:t>
      </w:r>
    </w:p>
    <w:p>
      <w:pPr>
        <w:pStyle w:val="ListBullet"/>
      </w:pPr>
      <w:r>
        <w:t>[ ] existe mecanismo verificable de aprobación.</w:t>
      </w:r>
    </w:p>
    <w:p>
      <w:pPr>
        <w:spacing w:after="40"/>
      </w:pPr>
    </w:p>
    <w:p>
      <w:r>
        <w:t>Opción resuelta: ____________________</w:t>
      </w:r>
    </w:p>
    <w:p>
      <w:r>
        <w:t>Fecha efectiva: ____________________</w:t>
      </w:r>
    </w:p>
    <w:p>
      <w:r>
        <w:t>Nombre y cargo de la autoridad: ____________________</w:t>
      </w:r>
    </w:p>
    <w:p>
      <w:r>
        <w:t>Firma o mecanismo de aprobación verificable: ____________________</w:t>
      </w:r>
    </w:p>
    <w:p>
      <w:pPr>
        <w:spacing w:after="40"/>
      </w:pPr>
    </w:p>
    <w:p>
      <w:r>
        <w:t>---</w:t>
      </w:r>
    </w:p>
    <w:p>
      <w:pPr>
        <w:spacing w:after="40"/>
      </w:pPr>
    </w:p>
    <w:p>
      <w:r>
        <w:t>Estado documental actual: BORRADOR TÉCNICO. Todas las opciones permanecen sin seleccionar.</w:t>
      </w:r>
    </w:p>
    <w:p>
      <w:r>
        <w:br w:type="page"/>
      </w:r>
    </w:p>
    <w:p>
      <w:pPr>
        <w:pStyle w:val="Heading1"/>
        <w:keepNext/>
      </w:pPr>
      <w:r>
        <w:t>Fuente 37: 00_Gobernanza/coordinacion/expedientes/GTRM/GOEI_EXP_ISS_044_RESOLUCION_GTRM.md</w:t>
      </w:r>
    </w:p>
    <w:p>
      <w:pPr>
        <w:spacing w:after="200"/>
      </w:pPr>
      <w:r>
        <w:rPr>
          <w:rFonts w:ascii="Consolas" w:hAnsi="Consolas"/>
          <w:color w:val="595959"/>
          <w:sz w:val="16"/>
        </w:rPr>
        <w:t>Ruta: 00_Gobernanza/coordinacion/expedientes/GTRM/GOEI_EXP_ISS_044_RESOLUCION_GTRM.md</w:t>
        <w:br/>
        <w:t>Tamaño: 13684 bytes</w:t>
        <w:br/>
        <w:t>SHA-256: 7c4616afb319acb1544152ac5041ec63827806fdd81312bed4e367f66bb3d7fa</w:t>
      </w:r>
    </w:p>
    <w:p>
      <w:pPr>
        <w:pStyle w:val="Heading2"/>
      </w:pPr>
      <w:r>
        <w:t>Expediente formal para la resolución de GOEI-ISS-044</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GOEI-EXP-ISS-044-0001 |</w:t>
      </w:r>
    </w:p>
    <w:p>
      <w:pPr>
        <w:spacing w:after="20" w:line="240" w:lineRule="auto"/>
      </w:pPr>
      <w:r>
        <w:rPr>
          <w:rFonts w:ascii="Consolas" w:hAnsi="Consolas"/>
          <w:sz w:val="14"/>
        </w:rPr>
        <w:t>| Versión documental | 1.0.0 |</w:t>
      </w:r>
    </w:p>
    <w:p>
      <w:pPr>
        <w:spacing w:after="20" w:line="240" w:lineRule="auto"/>
      </w:pPr>
      <w:r>
        <w:rPr>
          <w:rFonts w:ascii="Consolas" w:hAnsi="Consolas"/>
          <w:sz w:val="14"/>
        </w:rPr>
        <w:t>| Fecha de preparación | 2026-08-04 |</w:t>
      </w:r>
    </w:p>
    <w:p>
      <w:pPr>
        <w:spacing w:after="20" w:line="240" w:lineRule="auto"/>
      </w:pPr>
      <w:r>
        <w:rPr>
          <w:rFonts w:ascii="Consolas" w:hAnsi="Consolas"/>
          <w:sz w:val="14"/>
        </w:rPr>
        <w:t>| Estado | Resuelto por GOEI-DIR-RES-GTRM-0001; Opción A |</w:t>
      </w:r>
    </w:p>
    <w:p>
      <w:pPr>
        <w:spacing w:after="20" w:line="240" w:lineRule="auto"/>
      </w:pPr>
      <w:r>
        <w:rPr>
          <w:rFonts w:ascii="Consolas" w:hAnsi="Consolas"/>
          <w:sz w:val="14"/>
        </w:rPr>
        <w:t>| Issue de origen | GOEI-ISS-044 |</w:t>
      </w:r>
    </w:p>
    <w:p>
      <w:pPr>
        <w:spacing w:after="20" w:line="240" w:lineRule="auto"/>
      </w:pPr>
      <w:r>
        <w:rPr>
          <w:rFonts w:ascii="Consolas" w:hAnsi="Consolas"/>
          <w:sz w:val="14"/>
        </w:rPr>
        <w:t>| Dictamen sometido | GOEI-GTRM-AUD-0001 — B: aceptar con modificaciones |</w:t>
      </w:r>
    </w:p>
    <w:p>
      <w:pPr>
        <w:spacing w:after="20" w:line="240" w:lineRule="auto"/>
      </w:pPr>
      <w:r>
        <w:rPr>
          <w:rFonts w:ascii="Consolas" w:hAnsi="Consolas"/>
          <w:sz w:val="14"/>
        </w:rPr>
        <w:t>| Autoridad científica del dictamen | Comité Científico GOEI |</w:t>
      </w:r>
    </w:p>
    <w:p>
      <w:pPr>
        <w:spacing w:after="20" w:line="240" w:lineRule="auto"/>
      </w:pPr>
      <w:r>
        <w:rPr>
          <w:rFonts w:ascii="Consolas" w:hAnsi="Consolas"/>
          <w:sz w:val="14"/>
        </w:rPr>
        <w:t>| Preparó | Oficina Técnica GOEI |</w:t>
      </w:r>
    </w:p>
    <w:p>
      <w:pPr>
        <w:spacing w:after="20" w:line="240" w:lineRule="auto"/>
      </w:pPr>
      <w:r>
        <w:rPr>
          <w:rFonts w:ascii="Consolas" w:hAnsi="Consolas"/>
          <w:sz w:val="14"/>
        </w:rPr>
        <w:t>| Autoridad de resolución inicial | Dirección General GOEI |</w:t>
      </w:r>
    </w:p>
    <w:p>
      <w:pPr>
        <w:spacing w:after="20" w:line="240" w:lineRule="auto"/>
      </w:pPr>
      <w:r>
        <w:rPr>
          <w:rFonts w:ascii="Consolas" w:hAnsi="Consolas"/>
          <w:sz w:val="14"/>
        </w:rPr>
        <w:t>| Baseline protegida | D-006 Ontology Baseline v0.1 |</w:t>
      </w:r>
    </w:p>
    <w:p>
      <w:pPr>
        <w:spacing w:after="20" w:line="240" w:lineRule="auto"/>
      </w:pPr>
      <w:r>
        <w:rPr>
          <w:rFonts w:ascii="Consolas" w:hAnsi="Consolas"/>
          <w:sz w:val="14"/>
        </w:rPr>
        <w:t>| Efecto actual sobre el estándar | Ninguno; habilita únicamente DS-GTRM-01–08 |</w:t>
      </w:r>
    </w:p>
    <w:p>
      <w:pPr>
        <w:spacing w:after="40"/>
      </w:pPr>
    </w:p>
    <w:p>
      <w:pPr>
        <w:spacing w:after="100"/>
        <w:ind w:left="360" w:right="216"/>
      </w:pPr>
      <w:r>
        <w:rPr>
          <w:i/>
          <w:color w:val="595959"/>
        </w:rPr>
        <w:t>Este expediente organiza decisiones pendientes. No selecciona alternativas, no aprueba la GTRM, no modifica D-006, no cambia B5/B6 y no autoriza instancias, fórmulas, parámetros, umbrales ni tolerancias.</w:t>
      </w:r>
    </w:p>
    <w:p>
      <w:pPr>
        <w:spacing w:after="40"/>
      </w:pPr>
    </w:p>
    <w:p>
      <w:pPr>
        <w:pStyle w:val="Heading3"/>
      </w:pPr>
      <w:r>
        <w:t>1. Objeto</w:t>
      </w:r>
    </w:p>
    <w:p>
      <w:pPr>
        <w:spacing w:after="40"/>
      </w:pPr>
    </w:p>
    <w:p>
      <w:r>
        <w:t>Permitir que la Dirección General resuelva el destino del dictamen consultivo B y, si lo ratifica, encargue al Comité Científico decisiones separadas, trazables y no sustituibles entre sí sobre la arquitectura metodológica GTRM.</w:t>
      </w:r>
    </w:p>
    <w:p>
      <w:pPr>
        <w:spacing w:after="40"/>
      </w:pPr>
    </w:p>
    <w:p>
      <w:r>
        <w:t>La resolución debe preservar esta secuencia:</w:t>
      </w:r>
    </w:p>
    <w:p>
      <w:pPr>
        <w:spacing w:after="40"/>
      </w:pPr>
    </w:p>
    <w:p>
      <w:pPr>
        <w:spacing w:after="20" w:line="240" w:lineRule="auto"/>
        <w:ind w:left="259"/>
      </w:pPr>
      <w:r>
        <w:rPr>
          <w:rFonts w:ascii="Consolas" w:hAnsi="Consolas"/>
          <w:sz w:val="15"/>
        </w:rPr>
        <w:t>Resolución directiva sobre el dictamen B</w:t>
      </w:r>
    </w:p>
    <w:p>
      <w:pPr>
        <w:spacing w:after="20" w:line="240" w:lineRule="auto"/>
        <w:ind w:left="259"/>
      </w:pPr>
      <w:r>
        <w:rPr>
          <w:rFonts w:ascii="Consolas" w:hAnsi="Consolas"/>
          <w:sz w:val="15"/>
        </w:rPr>
        <w:t>→ mandato científico explícito por materia</w:t>
      </w:r>
    </w:p>
    <w:p>
      <w:pPr>
        <w:spacing w:after="20" w:line="240" w:lineRule="auto"/>
        <w:ind w:left="259"/>
      </w:pPr>
      <w:r>
        <w:rPr>
          <w:rFonts w:ascii="Consolas" w:hAnsi="Consolas"/>
          <w:sz w:val="15"/>
        </w:rPr>
        <w:t>→ expedientes y decisiones del Comité</w:t>
      </w:r>
    </w:p>
    <w:p>
      <w:pPr>
        <w:spacing w:after="20" w:line="240" w:lineRule="auto"/>
        <w:ind w:left="259"/>
      </w:pPr>
      <w:r>
        <w:rPr>
          <w:rFonts w:ascii="Consolas" w:hAnsi="Consolas"/>
          <w:sz w:val="15"/>
        </w:rPr>
        <w:t>→ auditoría técnica de suficiencia y consistencia</w:t>
      </w:r>
    </w:p>
    <w:p>
      <w:pPr>
        <w:spacing w:after="20" w:line="240" w:lineRule="auto"/>
        <w:ind w:left="259"/>
      </w:pPr>
      <w:r>
        <w:rPr>
          <w:rFonts w:ascii="Consolas" w:hAnsi="Consolas"/>
          <w:sz w:val="15"/>
        </w:rPr>
        <w:t>→ Issue de cambio específico contra D-006, cuando corresponda</w:t>
      </w:r>
    </w:p>
    <w:p>
      <w:pPr>
        <w:spacing w:after="20" w:line="240" w:lineRule="auto"/>
        <w:ind w:left="259"/>
      </w:pPr>
      <w:r>
        <w:rPr>
          <w:rFonts w:ascii="Consolas" w:hAnsi="Consolas"/>
          <w:sz w:val="15"/>
        </w:rPr>
        <w:t>→ integración técnica controlada</w:t>
      </w:r>
    </w:p>
    <w:p>
      <w:pPr>
        <w:spacing w:after="20" w:line="240" w:lineRule="auto"/>
        <w:ind w:left="259"/>
      </w:pPr>
      <w:r>
        <w:rPr>
          <w:rFonts w:ascii="Consolas" w:hAnsi="Consolas"/>
          <w:sz w:val="15"/>
        </w:rPr>
        <w:t>→ pruebas, baseline y release mediante expedientes propios</w:t>
      </w:r>
    </w:p>
    <w:p>
      <w:pPr>
        <w:spacing w:after="40"/>
      </w:pPr>
    </w:p>
    <w:p>
      <w:r>
        <w:t>La ratificación del dictamen B no equivale a aprobar ninguna solución científica contenida como candidata en la auditoría.</w:t>
      </w:r>
    </w:p>
    <w:p>
      <w:pPr>
        <w:spacing w:after="40"/>
      </w:pPr>
    </w:p>
    <w:p>
      <w:pPr>
        <w:pStyle w:val="Heading3"/>
      </w:pPr>
      <w:r>
        <w:t>2. Antecedentes controlados</w:t>
      </w:r>
    </w:p>
    <w:p>
      <w:pPr>
        <w:spacing w:after="40"/>
      </w:pPr>
    </w:p>
    <w:p>
      <w:pPr>
        <w:pStyle w:val="ListNumber"/>
      </w:pPr>
      <w:r>
        <w:t>La propuesta original se preserva como GTRM_PROPUESTA_FUENTE_NO_NORMATIVA.txt, SHA-256 6462dbe1d827cef5abd91ad020a1f9ae7d791930aa66bbeb6a40eeee7562f6d2.</w:t>
      </w:r>
    </w:p>
    <w:p>
      <w:pPr>
        <w:pStyle w:val="ListNumber"/>
      </w:pPr>
      <w:r>
        <w:t>El Comité Científico emitió GOEI_GTRM_DICTAMEN_CIENTIFICO.md con dictamen B.</w:t>
      </w:r>
    </w:p>
    <w:p>
      <w:pPr>
        <w:pStyle w:val="ListNumber"/>
      </w:pPr>
      <w:r>
        <w:t>La Oficina Técnica emitió GOEI_GTRM_AUDITORIA_ARQUITECTONICA.md y la matriz de controles.</w:t>
      </w:r>
    </w:p>
    <w:p>
      <w:pPr>
        <w:pStyle w:val="ListNumber"/>
      </w:pPr>
      <w:r>
        <w:t>GOEI_GTRM_AUDITORIA_CONSOLIDADA.md integró ambos análisis como GOEI-GTRM-AUD-0001.</w:t>
      </w:r>
    </w:p>
    <w:p>
      <w:pPr>
        <w:pStyle w:val="ListNumber"/>
      </w:pPr>
      <w:r>
        <w:t>La auditoría no tiene efectos normativos y abrió GOEI-ISS-044.</w:t>
      </w:r>
    </w:p>
    <w:p>
      <w:pPr>
        <w:pStyle w:val="ListNumber"/>
      </w:pPr>
      <w:r>
        <w:t>D-006 permanece congelada como Ontology Baseline v0.1; cualquier modificación requiere Issue formal, decisión competente, nueva versión y trazabilidad de impacto.</w:t>
      </w:r>
    </w:p>
    <w:p>
      <w:pPr>
        <w:pStyle w:val="ListNumber"/>
      </w:pPr>
      <w:r>
        <w:t>D-008/B1 y B2 conservan sus compuertas y no son resueltos por este expediente.</w:t>
      </w:r>
    </w:p>
    <w:p>
      <w:pPr>
        <w:spacing w:after="40"/>
      </w:pPr>
    </w:p>
    <w:p>
      <w:pPr>
        <w:pStyle w:val="Heading3"/>
      </w:pPr>
      <w:r>
        <w:t>3. Alcance y exclusiones</w:t>
      </w:r>
    </w:p>
    <w:p>
      <w:pPr>
        <w:spacing w:after="40"/>
      </w:pPr>
    </w:p>
    <w:p>
      <w:pPr>
        <w:pStyle w:val="Heading4"/>
      </w:pPr>
      <w:r>
        <w:t>Incluye</w:t>
      </w:r>
    </w:p>
    <w:p>
      <w:pPr>
        <w:spacing w:after="40"/>
      </w:pPr>
    </w:p>
    <w:p>
      <w:pPr>
        <w:pStyle w:val="ListBullet"/>
      </w:pPr>
      <w:r>
        <w:t>destino formal del dictamen B;</w:t>
      </w:r>
    </w:p>
    <w:p>
      <w:pPr>
        <w:pStyle w:val="ListBullet"/>
      </w:pPr>
      <w:r>
        <w:t>separación de materias científicas pendientes;</w:t>
      </w:r>
    </w:p>
    <w:p>
      <w:pPr>
        <w:pStyle w:val="ListBullet"/>
      </w:pPr>
      <w:r>
        <w:t>alternativas ya registradas en la auditoría;</w:t>
      </w:r>
    </w:p>
    <w:p>
      <w:pPr>
        <w:pStyle w:val="ListBullet"/>
      </w:pPr>
      <w:r>
        <w:t>dependencias, efectos y criterios de suficiencia formal;</w:t>
      </w:r>
    </w:p>
    <w:p>
      <w:pPr>
        <w:pStyle w:val="ListBullet"/>
      </w:pPr>
      <w:r>
        <w:t>mandato y orden de ejecución condicionados;</w:t>
      </w:r>
    </w:p>
    <w:p>
      <w:pPr>
        <w:pStyle w:val="ListBullet"/>
      </w:pPr>
      <w:r>
        <w:t>reglas para impedir integración o versionado prematuros.</w:t>
      </w:r>
    </w:p>
    <w:p>
      <w:pPr>
        <w:spacing w:after="40"/>
      </w:pPr>
    </w:p>
    <w:p>
      <w:pPr>
        <w:pStyle w:val="Heading4"/>
      </w:pPr>
      <w:r>
        <w:t>Excluye</w:t>
      </w:r>
    </w:p>
    <w:p>
      <w:pPr>
        <w:spacing w:after="40"/>
      </w:pPr>
    </w:p>
    <w:p>
      <w:pPr>
        <w:pStyle w:val="ListBullet"/>
      </w:pPr>
      <w:r>
        <w:t>definir KPI, fórmulas, parámetros, escalas, ponderaciones o umbrales;</w:t>
      </w:r>
    </w:p>
    <w:p>
      <w:pPr>
        <w:pStyle w:val="ListBullet"/>
      </w:pPr>
      <w:r>
        <w:t>decidir cuál referencia prevalece;</w:t>
      </w:r>
    </w:p>
    <w:p>
      <w:pPr>
        <w:pStyle w:val="ListBullet"/>
      </w:pPr>
      <w:r>
        <w:t>fijar métodos, intervalos o tolerancias de incertidumbre;</w:t>
      </w:r>
    </w:p>
    <w:p>
      <w:pPr>
        <w:pStyle w:val="ListBullet"/>
      </w:pPr>
      <w:r>
        <w:t>aprobar una taxonomía o una GTRM concreta;</w:t>
      </w:r>
    </w:p>
    <w:p>
      <w:pPr>
        <w:pStyle w:val="ListBullet"/>
      </w:pPr>
      <w:r>
        <w:t>modificar la ontología o cualquier baseline;</w:t>
      </w:r>
    </w:p>
    <w:p>
      <w:pPr>
        <w:pStyle w:val="ListBullet"/>
      </w:pPr>
      <w:r>
        <w:t>declarar una versión del estándar o habilitar una release.</w:t>
      </w:r>
    </w:p>
    <w:p>
      <w:pPr>
        <w:spacing w:after="40"/>
      </w:pPr>
    </w:p>
    <w:p>
      <w:pPr>
        <w:pStyle w:val="Heading3"/>
      </w:pPr>
      <w:r>
        <w:t>4. Primera compuerta: destino del dictamen consultivo</w:t>
      </w:r>
    </w:p>
    <w:p>
      <w:pPr>
        <w:spacing w:after="40"/>
      </w:pPr>
    </w:p>
    <w:p>
      <w:r>
        <w:t>La Dirección deberá seleccionar exactamente una opción:</w:t>
      </w:r>
    </w:p>
    <w:p>
      <w:pPr>
        <w:spacing w:after="40"/>
      </w:pPr>
    </w:p>
    <w:p>
      <w:pPr>
        <w:pStyle w:val="Heading4"/>
      </w:pPr>
      <w:r>
        <w:t>Opción A — Ratificar el dictamen B y ordenar expedientes científicos separados</w:t>
      </w:r>
    </w:p>
    <w:p>
      <w:pPr>
        <w:spacing w:after="40"/>
      </w:pPr>
    </w:p>
    <w:p>
      <w:pPr>
        <w:pStyle w:val="ListBullet"/>
      </w:pPr>
      <w:r>
        <w:t>[ ] SELECCIONADA</w:t>
      </w:r>
    </w:p>
    <w:p>
      <w:pPr>
        <w:spacing w:after="40"/>
      </w:pPr>
    </w:p>
    <w:p>
      <w:r>
        <w:t>Efecto: se acepta que la propuesta resuelve un problema real pero requiere las modificaciones identificadas. No se aprueba todavía una GTRM ni una arquitectura normativa. Se habilita al Comité para resolver las materias DS-GTRM-01 a DS-GTRM-08.</w:t>
      </w:r>
    </w:p>
    <w:p>
      <w:pPr>
        <w:spacing w:after="40"/>
      </w:pPr>
    </w:p>
    <w:p>
      <w:pPr>
        <w:pStyle w:val="Heading4"/>
      </w:pPr>
      <w:r>
        <w:t>Opción B — Devolver el dictamen para subsanación</w:t>
      </w:r>
    </w:p>
    <w:p>
      <w:pPr>
        <w:spacing w:after="40"/>
      </w:pPr>
    </w:p>
    <w:p>
      <w:pPr>
        <w:pStyle w:val="ListBullet"/>
      </w:pPr>
      <w:r>
        <w:t>[ ] SELECCIONADA</w:t>
      </w:r>
    </w:p>
    <w:p>
      <w:pPr>
        <w:spacing w:after="40"/>
      </w:pPr>
    </w:p>
    <w:p>
      <w:r>
        <w:t>Efecto: GOEI-ISS-044 permanece abierto; deberán indicarse vacíos o inconsistencias concretos. No se habilita integración ni cambio ontológico.</w:t>
      </w:r>
    </w:p>
    <w:p>
      <w:pPr>
        <w:spacing w:after="40"/>
      </w:pPr>
    </w:p>
    <w:p>
      <w:r>
        <w:t>Subsanación requerida: ________________________________________________</w:t>
      </w:r>
    </w:p>
    <w:p>
      <w:pPr>
        <w:spacing w:after="40"/>
      </w:pPr>
    </w:p>
    <w:p>
      <w:pPr>
        <w:pStyle w:val="Heading4"/>
      </w:pPr>
      <w:r>
        <w:t>Opción C — Rechazar la incorporación de GTRM</w:t>
      </w:r>
    </w:p>
    <w:p>
      <w:pPr>
        <w:spacing w:after="40"/>
      </w:pPr>
    </w:p>
    <w:p>
      <w:pPr>
        <w:pStyle w:val="ListBullet"/>
      </w:pPr>
      <w:r>
        <w:t>[ ] SELECCIONADA</w:t>
      </w:r>
    </w:p>
    <w:p>
      <w:pPr>
        <w:spacing w:after="40"/>
      </w:pPr>
    </w:p>
    <w:p>
      <w:r>
        <w:t>Efecto: se cierra la vía de incorporación basada en este expediente, se conserva todo el historial y cualquier propuesta futura requerirá un nuevo Issue y expediente.</w:t>
      </w:r>
    </w:p>
    <w:p>
      <w:pPr>
        <w:spacing w:after="40"/>
      </w:pPr>
    </w:p>
    <w:p>
      <w:r>
        <w:t>Fundamento del rechazo: _______________________________________________</w:t>
      </w:r>
    </w:p>
    <w:p>
      <w:pPr>
        <w:spacing w:after="40"/>
      </w:pPr>
    </w:p>
    <w:p>
      <w:pPr>
        <w:pStyle w:val="Heading3"/>
      </w:pPr>
      <w:r>
        <w:t>5. Decisiones científicas separadas requeridas si se selecciona A</w:t>
      </w:r>
    </w:p>
    <w:p>
      <w:pPr>
        <w:spacing w:after="40"/>
      </w:pPr>
    </w:p>
    <w:p>
      <w:r>
        <w:t>Los identificadores siguientes son slots de expediente, no decisiones aprobadas. Cada uno deberá recibir un ID oficial de decisión al resolverse.</w:t>
      </w:r>
    </w:p>
    <w:p>
      <w:pPr>
        <w:spacing w:after="40"/>
      </w:pPr>
    </w:p>
    <w:p>
      <w:pPr>
        <w:spacing w:after="20" w:line="240" w:lineRule="auto"/>
      </w:pPr>
      <w:r>
        <w:rPr>
          <w:rFonts w:ascii="Consolas" w:hAnsi="Consolas"/>
          <w:sz w:val="14"/>
        </w:rPr>
        <w:t>| Slot | Materia indelegable | Pregunta de resolución | Alternativas presentes en la auditoría | Efecto principal | Dependencias mínimas |</w:t>
      </w:r>
    </w:p>
    <w:p>
      <w:pPr>
        <w:spacing w:after="20" w:line="240" w:lineRule="auto"/>
      </w:pPr>
      <w:r>
        <w:rPr>
          <w:rFonts w:ascii="Consolas" w:hAnsi="Consolas"/>
          <w:sz w:val="14"/>
        </w:rPr>
        <w:t>|---|---|---|---|---|---|</w:t>
      </w:r>
    </w:p>
    <w:p>
      <w:pPr>
        <w:spacing w:after="20" w:line="240" w:lineRule="auto"/>
      </w:pPr>
      <w:r>
        <w:rPr>
          <w:rFonts w:ascii="Consolas" w:hAnsi="Consolas"/>
          <w:sz w:val="14"/>
        </w:rPr>
        <w:t>| DS-GTRM-01 | Naturaleza y entrada | ¿La GTRM actúa sobre observación, medición registrada o valor KPI? | Observación; medición registrada; valor KPI derivado | Cadena de procedencia, B5, formularios y software | Definiciones de observación, medición y KPI |</w:t>
      </w:r>
    </w:p>
    <w:p>
      <w:pPr>
        <w:spacing w:after="20" w:line="240" w:lineRule="auto"/>
      </w:pPr>
      <w:r>
        <w:rPr>
          <w:rFonts w:ascii="Consolas" w:hAnsi="Consolas"/>
          <w:sz w:val="14"/>
        </w:rPr>
        <w:t>| DS-GTRM-02 | Resultado y normalización | ¿La GTRM es función normativa, parametrización o tabla; y produce parámetros o puntuación normalizada? | Función; parametrización; tabla manual; salida paramétrica; salida normalizada | Evitar o admitir doble transformación; diseño B6 | DS-GTRM-01 y alcance de B6 |</w:t>
      </w:r>
    </w:p>
    <w:p>
      <w:pPr>
        <w:spacing w:after="20" w:line="240" w:lineRule="auto"/>
      </w:pPr>
      <w:r>
        <w:rPr>
          <w:rFonts w:ascii="Consolas" w:hAnsi="Consolas"/>
          <w:sz w:val="14"/>
        </w:rPr>
        <w:t>| DS-GTRM-03 | Referencia y benchmark | ¿Son entidades diferentes y qué función cumple cada una? | Separadas; equivalentes; benchmark informativo; benchmark que fundamenta referencia | Ontología, evidencia y selección | B2, B4, B5 para instancias reales |</w:t>
      </w:r>
    </w:p>
    <w:p>
      <w:pPr>
        <w:spacing w:after="20" w:line="240" w:lineRule="auto"/>
      </w:pPr>
      <w:r>
        <w:rPr>
          <w:rFonts w:ascii="Consolas" w:hAnsi="Consolas"/>
          <w:sz w:val="14"/>
        </w:rPr>
        <w:t>| DS-GTRM-04 | Aplicabilidad y precedencia | ¿Qué dominios de referencia pueden coexistir y cómo se elige entre ellos? | Universal/internacional; regulatoria; jurisdiccional; sectorial; categoría/población; combinaciones controladas | Regla de selección, conflictos y estado no calculable | DS-GTRM-03; B2 para dominios categoriales |</w:t>
      </w:r>
    </w:p>
    <w:p>
      <w:pPr>
        <w:spacing w:after="20" w:line="240" w:lineRule="auto"/>
      </w:pPr>
      <w:r>
        <w:rPr>
          <w:rFonts w:ascii="Consolas" w:hAnsi="Consolas"/>
          <w:sz w:val="14"/>
        </w:rPr>
        <w:t>| DS-GTRM-05 | Incertidumbre | ¿Qué fuentes se representan y mediante qué método o estado de suficiencia? | Metadatos; intervalos; clases de confianza; redondeo; estados de suficiencia; combinación aprobada | Puntuación, validación, interpretación y comparabilidad | B5, DS-GTRM-02 y método científico aplicable |</w:t>
      </w:r>
    </w:p>
    <w:p>
      <w:pPr>
        <w:spacing w:after="20" w:line="240" w:lineRule="auto"/>
      </w:pPr>
      <w:r>
        <w:rPr>
          <w:rFonts w:ascii="Consolas" w:hAnsi="Consolas"/>
          <w:sz w:val="14"/>
        </w:rPr>
        <w:t>| DS-GTRM-06 | Autoridad y ciclo de vida | ¿Quién crea, aprueba, revisa, suspende y reemplaza una GTRM y dónde reside su autoridad científica y normativa? | Comité/autoridad normativa según acto; estados candidatos del ciclo auditado | Gobernanza, vigencia, sucesión y auditoría | Constitución y gobernanza vigentes |</w:t>
      </w:r>
    </w:p>
    <w:p>
      <w:pPr>
        <w:spacing w:after="20" w:line="240" w:lineRule="auto"/>
      </w:pPr>
      <w:r>
        <w:rPr>
          <w:rFonts w:ascii="Consolas" w:hAnsi="Consolas"/>
          <w:sz w:val="14"/>
        </w:rPr>
        <w:t>| DS-GTRM-07 | Ausencia, conflicto y puntuabilidad | ¿Qué ocurre sin referencia válida, ante conflicto o con KPI sin función aprobada? | No calculable; Issue; suspensión de rama; KPI definible pero no puntuable/agregable | Integridad del cálculo y bloqueo selectivo | DS-GTRM-02 a 06 |</w:t>
      </w:r>
    </w:p>
    <w:p>
      <w:pPr>
        <w:spacing w:after="20" w:line="240" w:lineRule="auto"/>
      </w:pPr>
      <w:r>
        <w:rPr>
          <w:rFonts w:ascii="Consolas" w:hAnsi="Consolas"/>
          <w:sz w:val="14"/>
        </w:rPr>
        <w:t>| DS-GTRM-08 | Equivalencia y reproducibilidad | ¿Qué especificación es fuente de verdad, qué casos canónicos se exigen y qué tolerancia rige? | Función/especificación común; tabla manual; software; tolerancia científicamente aprobada | Papel–software, historial, pruebas y auditoría | DS-GTRM-02, 05, 06 y 07 |</w:t>
      </w:r>
    </w:p>
    <w:p>
      <w:pPr>
        <w:spacing w:after="40"/>
      </w:pPr>
    </w:p>
    <w:p>
      <w:r>
        <w:t>La tabla enumera alternativas para garantizar que el Comité las examine; no expresa preferencia normativa. Cuando la auditoría contiene una recomendación, esta conserva carácter consultivo y debe citarse como tal.</w:t>
      </w:r>
    </w:p>
    <w:p>
      <w:pPr>
        <w:spacing w:after="40"/>
      </w:pPr>
    </w:p>
    <w:p>
      <w:pPr>
        <w:pStyle w:val="Heading3"/>
      </w:pPr>
      <w:r>
        <w:t>6. Criterios de resolución por slot</w:t>
      </w:r>
    </w:p>
    <w:p>
      <w:pPr>
        <w:spacing w:after="40"/>
      </w:pPr>
    </w:p>
    <w:p>
      <w:r>
        <w:t>Cada expediente científico será formalmente suficiente solo si contiene:</w:t>
      </w:r>
    </w:p>
    <w:p>
      <w:pPr>
        <w:spacing w:after="40"/>
      </w:pPr>
    </w:p>
    <w:p>
      <w:pPr>
        <w:pStyle w:val="ListNumber"/>
      </w:pPr>
      <w:r>
        <w:t>identificador y versión inmutables;</w:t>
      </w:r>
    </w:p>
    <w:p>
      <w:pPr>
        <w:pStyle w:val="ListNumber"/>
      </w:pPr>
      <w:r>
        <w:t>pregunta exacta y alcance;</w:t>
      </w:r>
    </w:p>
    <w:p>
      <w:pPr>
        <w:pStyle w:val="ListNumber"/>
      </w:pPr>
      <w:r>
        <w:t>definiciones utilizadas y relación con D-006 v0.1;</w:t>
      </w:r>
    </w:p>
    <w:p>
      <w:pPr>
        <w:pStyle w:val="ListNumber"/>
      </w:pPr>
      <w:r>
        <w:t>alternativas consideradas, incluida la opción de no incorporar;</w:t>
      </w:r>
    </w:p>
    <w:p>
      <w:pPr>
        <w:pStyle w:val="ListNumber"/>
      </w:pPr>
      <w:r>
        <w:t>evidencia identificable y procedencia de cada afirmación;</w:t>
      </w:r>
    </w:p>
    <w:p>
      <w:pPr>
        <w:pStyle w:val="ListNumber"/>
      </w:pPr>
      <w:r>
        <w:t>decisión inequívoca y autoridad científica;</w:t>
      </w:r>
    </w:p>
    <w:p>
      <w:pPr>
        <w:pStyle w:val="ListNumber"/>
      </w:pPr>
      <w:r>
        <w:t>justificación separada de la evidencia;</w:t>
      </w:r>
    </w:p>
    <w:p>
      <w:pPr>
        <w:pStyle w:val="ListNumber"/>
      </w:pPr>
      <w:r>
        <w:t>limitaciones, incertidumbre y supuestos;</w:t>
      </w:r>
    </w:p>
    <w:p>
      <w:pPr>
        <w:pStyle w:val="ListNumber"/>
      </w:pPr>
      <w:r>
        <w:t>dependencias previas y componentes afectados;</w:t>
      </w:r>
    </w:p>
    <w:p>
      <w:pPr>
        <w:pStyle w:val="ListNumber"/>
      </w:pPr>
      <w:r>
        <w:t>consecuencias sobre aplicación manual y software;</w:t>
      </w:r>
    </w:p>
    <w:p>
      <w:pPr>
        <w:pStyle w:val="ListNumber"/>
      </w:pPr>
      <w:r>
        <w:t>compatibilidad histórica y migración prevista;</w:t>
      </w:r>
    </w:p>
    <w:p>
      <w:pPr>
        <w:pStyle w:val="ListNumber"/>
      </w:pPr>
      <w:r>
        <w:t>preguntas que permanecen abiertas;</w:t>
      </w:r>
    </w:p>
    <w:p>
      <w:pPr>
        <w:pStyle w:val="ListNumber"/>
      </w:pPr>
      <w:r>
        <w:t>recomendación expresa de incorporar, devolver o rechazar;</w:t>
      </w:r>
    </w:p>
    <w:p>
      <w:pPr>
        <w:pStyle w:val="ListNumber"/>
      </w:pPr>
      <w:r>
        <w:t>aprobación verificable del Comité;</w:t>
      </w:r>
    </w:p>
    <w:p>
      <w:pPr>
        <w:pStyle w:val="ListNumber"/>
      </w:pPr>
      <w:r>
        <w:t>versión objetivo propuesta, sin crearla por el solo hecho de proponerla.</w:t>
      </w:r>
    </w:p>
    <w:p>
      <w:pPr>
        <w:spacing w:after="40"/>
      </w:pPr>
    </w:p>
    <w:p>
      <w:r>
        <w:t>La Oficina Técnica comprobará presencia, coherencia, trazabilidad y efectos. No evaluará ni completará el mérito científico.</w:t>
      </w:r>
    </w:p>
    <w:p>
      <w:pPr>
        <w:spacing w:after="40"/>
      </w:pPr>
    </w:p>
    <w:p>
      <w:pPr>
        <w:pStyle w:val="Heading3"/>
      </w:pPr>
      <w:r>
        <w:t>7. Dependencias y orden de resolución</w:t>
      </w:r>
    </w:p>
    <w:p>
      <w:pPr>
        <w:spacing w:after="40"/>
      </w:pPr>
    </w:p>
    <w:p>
      <w:pPr>
        <w:spacing w:after="20" w:line="240" w:lineRule="auto"/>
        <w:ind w:left="259"/>
      </w:pPr>
      <w:r>
        <w:rPr>
          <w:rFonts w:ascii="Consolas" w:hAnsi="Consolas"/>
          <w:sz w:val="15"/>
        </w:rPr>
        <w:t>flowchart TD</w:t>
      </w:r>
    </w:p>
    <w:p>
      <w:pPr>
        <w:spacing w:after="20" w:line="240" w:lineRule="auto"/>
        <w:ind w:left="259"/>
      </w:pPr>
      <w:r>
        <w:rPr>
          <w:rFonts w:ascii="Consolas" w:hAnsi="Consolas"/>
          <w:sz w:val="15"/>
        </w:rPr>
        <w:t xml:space="preserve">    R["Dirección resuelve dictamen B"] --&gt;|"Ratifica"| D1["DS-GTRM-01 Entrada"]</w:t>
      </w:r>
    </w:p>
    <w:p>
      <w:pPr>
        <w:spacing w:after="20" w:line="240" w:lineRule="auto"/>
        <w:ind w:left="259"/>
      </w:pPr>
      <w:r>
        <w:rPr>
          <w:rFonts w:ascii="Consolas" w:hAnsi="Consolas"/>
          <w:sz w:val="15"/>
        </w:rPr>
        <w:t xml:space="preserve">    D1 --&gt; D2["DS-GTRM-02 Resultado y normalización"]</w:t>
      </w:r>
    </w:p>
    <w:p>
      <w:pPr>
        <w:spacing w:after="20" w:line="240" w:lineRule="auto"/>
        <w:ind w:left="259"/>
      </w:pPr>
      <w:r>
        <w:rPr>
          <w:rFonts w:ascii="Consolas" w:hAnsi="Consolas"/>
          <w:sz w:val="15"/>
        </w:rPr>
        <w:t xml:space="preserve">    D2 --&gt; D3["DS-GTRM-03 Referencia y benchmark"]</w:t>
      </w:r>
    </w:p>
    <w:p>
      <w:pPr>
        <w:spacing w:after="20" w:line="240" w:lineRule="auto"/>
        <w:ind w:left="259"/>
      </w:pPr>
      <w:r>
        <w:rPr>
          <w:rFonts w:ascii="Consolas" w:hAnsi="Consolas"/>
          <w:sz w:val="15"/>
        </w:rPr>
        <w:t xml:space="preserve">    D3 --&gt; D4["DS-GTRM-04 Aplicabilidad y precedencia"]</w:t>
      </w:r>
    </w:p>
    <w:p>
      <w:pPr>
        <w:spacing w:after="20" w:line="240" w:lineRule="auto"/>
        <w:ind w:left="259"/>
      </w:pPr>
      <w:r>
        <w:rPr>
          <w:rFonts w:ascii="Consolas" w:hAnsi="Consolas"/>
          <w:sz w:val="15"/>
        </w:rPr>
        <w:t xml:space="preserve">    D2 --&gt; D5["DS-GTRM-05 Incertidumbre"]</w:t>
      </w:r>
    </w:p>
    <w:p>
      <w:pPr>
        <w:spacing w:after="20" w:line="240" w:lineRule="auto"/>
        <w:ind w:left="259"/>
      </w:pPr>
      <w:r>
        <w:rPr>
          <w:rFonts w:ascii="Consolas" w:hAnsi="Consolas"/>
          <w:sz w:val="15"/>
        </w:rPr>
        <w:t xml:space="preserve">    D3 --&gt; D6["DS-GTRM-06 Autoridad y ciclo"]</w:t>
      </w:r>
    </w:p>
    <w:p>
      <w:pPr>
        <w:spacing w:after="20" w:line="240" w:lineRule="auto"/>
        <w:ind w:left="259"/>
      </w:pPr>
      <w:r>
        <w:rPr>
          <w:rFonts w:ascii="Consolas" w:hAnsi="Consolas"/>
          <w:sz w:val="15"/>
        </w:rPr>
        <w:t xml:space="preserve">    D4 --&gt; D7["DS-GTRM-07 Ausencia y conflictos"]</w:t>
      </w:r>
    </w:p>
    <w:p>
      <w:pPr>
        <w:spacing w:after="20" w:line="240" w:lineRule="auto"/>
        <w:ind w:left="259"/>
      </w:pPr>
      <w:r>
        <w:rPr>
          <w:rFonts w:ascii="Consolas" w:hAnsi="Consolas"/>
          <w:sz w:val="15"/>
        </w:rPr>
        <w:t xml:space="preserve">    D5 --&gt; D8["DS-GTRM-08 Equivalencia e historial"]</w:t>
      </w:r>
    </w:p>
    <w:p>
      <w:pPr>
        <w:spacing w:after="20" w:line="240" w:lineRule="auto"/>
        <w:ind w:left="259"/>
      </w:pPr>
      <w:r>
        <w:rPr>
          <w:rFonts w:ascii="Consolas" w:hAnsi="Consolas"/>
          <w:sz w:val="15"/>
        </w:rPr>
        <w:t xml:space="preserve">    D6 --&gt; D8</w:t>
      </w:r>
    </w:p>
    <w:p>
      <w:pPr>
        <w:spacing w:after="20" w:line="240" w:lineRule="auto"/>
        <w:ind w:left="259"/>
      </w:pPr>
      <w:r>
        <w:rPr>
          <w:rFonts w:ascii="Consolas" w:hAnsi="Consolas"/>
          <w:sz w:val="15"/>
        </w:rPr>
        <w:t xml:space="preserve">    D7 --&gt; D8</w:t>
      </w:r>
    </w:p>
    <w:p>
      <w:pPr>
        <w:spacing w:after="20" w:line="240" w:lineRule="auto"/>
        <w:ind w:left="259"/>
      </w:pPr>
      <w:r>
        <w:rPr>
          <w:rFonts w:ascii="Consolas" w:hAnsi="Consolas"/>
          <w:sz w:val="15"/>
        </w:rPr>
        <w:t xml:space="preserve">    D8 --&gt; AT["Auditoría técnica consolidada"]</w:t>
      </w:r>
    </w:p>
    <w:p>
      <w:pPr>
        <w:spacing w:after="20" w:line="240" w:lineRule="auto"/>
        <w:ind w:left="259"/>
      </w:pPr>
      <w:r>
        <w:rPr>
          <w:rFonts w:ascii="Consolas" w:hAnsi="Consolas"/>
          <w:sz w:val="15"/>
        </w:rPr>
        <w:t xml:space="preserve">    AT --&gt; IC["Issue específico de cambio D-006"]</w:t>
      </w:r>
    </w:p>
    <w:p>
      <w:pPr>
        <w:spacing w:after="20" w:line="240" w:lineRule="auto"/>
        <w:ind w:left="259"/>
      </w:pPr>
      <w:r>
        <w:rPr>
          <w:rFonts w:ascii="Consolas" w:hAnsi="Consolas"/>
          <w:sz w:val="15"/>
        </w:rPr>
        <w:t xml:space="preserve">    IC --&gt; IN["Integración y nueva baseline, si se aprueba"]</w:t>
      </w:r>
    </w:p>
    <w:p>
      <w:pPr>
        <w:spacing w:after="40"/>
      </w:pPr>
    </w:p>
    <w:p>
      <w:pPr>
        <w:pStyle w:val="ListBullet"/>
      </w:pPr>
      <w:r>
        <w:t>DS-GTRM-01 y 02 son fundacionales.</w:t>
      </w:r>
    </w:p>
    <w:p>
      <w:pPr>
        <w:pStyle w:val="ListBullet"/>
      </w:pPr>
      <w:r>
        <w:t>DS-GTRM-03 y 04 gobiernan las referencias; no deben inferirse desde taxonomía o software.</w:t>
      </w:r>
    </w:p>
    <w:p>
      <w:pPr>
        <w:pStyle w:val="ListBullet"/>
      </w:pPr>
      <w:r>
        <w:t>DS-GTRM-05 puede diseñarse en abstracto, pero su método concreto depende de evidencia científica y B5.</w:t>
      </w:r>
    </w:p>
    <w:p>
      <w:pPr>
        <w:pStyle w:val="ListBullet"/>
      </w:pPr>
      <w:r>
        <w:t>DS-GTRM-06 puede resolverse como gobernanza general antes de crear instancias.</w:t>
      </w:r>
    </w:p>
    <w:p>
      <w:pPr>
        <w:pStyle w:val="ListBullet"/>
      </w:pPr>
      <w:r>
        <w:t>DS-GTRM-07 depende de la semántica de las anteriores.</w:t>
      </w:r>
    </w:p>
    <w:p>
      <w:pPr>
        <w:pStyle w:val="ListBullet"/>
      </w:pPr>
      <w:r>
        <w:t>DS-GTRM-08 cierra la especificación de conformidad; la tolerancia no puede fijarla Codex.</w:t>
      </w:r>
    </w:p>
    <w:p>
      <w:pPr>
        <w:pStyle w:val="ListBullet"/>
      </w:pPr>
      <w:r>
        <w:t>Las instancias reales dependen, como mínimo, del cierre competente de B2, B4 y B5.</w:t>
      </w:r>
    </w:p>
    <w:p>
      <w:pPr>
        <w:spacing w:after="40"/>
      </w:pPr>
    </w:p>
    <w:p>
      <w:pPr>
        <w:pStyle w:val="Heading3"/>
      </w:pPr>
      <w:r>
        <w:t>8. Matriz de efectos condicionados</w:t>
      </w:r>
    </w:p>
    <w:p>
      <w:pPr>
        <w:spacing w:after="40"/>
      </w:pPr>
    </w:p>
    <w:p>
      <w:pPr>
        <w:spacing w:after="20" w:line="240" w:lineRule="auto"/>
      </w:pPr>
      <w:r>
        <w:rPr>
          <w:rFonts w:ascii="Consolas" w:hAnsi="Consolas"/>
          <w:sz w:val="14"/>
        </w:rPr>
        <w:t>| Componente | Ratificar B | Aprobar slots científicos | Integración técnica posterior |</w:t>
      </w:r>
    </w:p>
    <w:p>
      <w:pPr>
        <w:spacing w:after="20" w:line="240" w:lineRule="auto"/>
      </w:pPr>
      <w:r>
        <w:rPr>
          <w:rFonts w:ascii="Consolas" w:hAnsi="Consolas"/>
          <w:sz w:val="14"/>
        </w:rPr>
        <w:t>|---|---|---|---|</w:t>
      </w:r>
    </w:p>
    <w:p>
      <w:pPr>
        <w:spacing w:after="20" w:line="240" w:lineRule="auto"/>
      </w:pPr>
      <w:r>
        <w:rPr>
          <w:rFonts w:ascii="Consolas" w:hAnsi="Consolas"/>
          <w:sz w:val="14"/>
        </w:rPr>
        <w:t>| D-006 Ontology Baseline v0.1 | Sin cambio | Sin cambio automático | Solo mediante Issue específico y nueva versión |</w:t>
      </w:r>
    </w:p>
    <w:p>
      <w:pPr>
        <w:spacing w:after="20" w:line="240" w:lineRule="auto"/>
      </w:pPr>
      <w:r>
        <w:rPr>
          <w:rFonts w:ascii="Consolas" w:hAnsi="Consolas"/>
          <w:sz w:val="14"/>
        </w:rPr>
        <w:t>| B5 Medición | Sin cambio | Requisitos aprobados como decisiones | Modificación versionada mediante expediente propio |</w:t>
      </w:r>
    </w:p>
    <w:p>
      <w:pPr>
        <w:spacing w:after="20" w:line="240" w:lineRule="auto"/>
      </w:pPr>
      <w:r>
        <w:rPr>
          <w:rFonts w:ascii="Consolas" w:hAnsi="Consolas"/>
          <w:sz w:val="14"/>
        </w:rPr>
        <w:t>| B6 Normalización | Sin cambio | Define arquitectura metodológica | Implementación después de auditoría |</w:t>
      </w:r>
    </w:p>
    <w:p>
      <w:pPr>
        <w:spacing w:after="20" w:line="240" w:lineRule="auto"/>
      </w:pPr>
      <w:r>
        <w:rPr>
          <w:rFonts w:ascii="Consolas" w:hAnsi="Consolas"/>
          <w:sz w:val="14"/>
        </w:rPr>
        <w:t>| B2/B4 | Sin cambio | Conservan sus compuertas | Proveen dominios/admisibilidad cuando estén cerradas |</w:t>
      </w:r>
    </w:p>
    <w:p>
      <w:pPr>
        <w:spacing w:after="20" w:line="240" w:lineRule="auto"/>
      </w:pPr>
      <w:r>
        <w:rPr>
          <w:rFonts w:ascii="Consolas" w:hAnsi="Consolas"/>
          <w:sz w:val="14"/>
        </w:rPr>
        <w:t>| Knowledge Graph/MetaModel | Registra expediente consultivo | Registra decisiones y dependencias | Incorpora nuevas entidades/relaciones aprobadas |</w:t>
      </w:r>
    </w:p>
    <w:p>
      <w:pPr>
        <w:spacing w:after="20" w:line="240" w:lineRule="auto"/>
      </w:pPr>
      <w:r>
        <w:rPr>
          <w:rFonts w:ascii="Consolas" w:hAnsi="Consolas"/>
          <w:sz w:val="14"/>
        </w:rPr>
        <w:t>| Formularios/manual | Sin cambio | Obtienen requisitos | Se generan representaciones controladas |</w:t>
      </w:r>
    </w:p>
    <w:p>
      <w:pPr>
        <w:spacing w:after="20" w:line="240" w:lineRule="auto"/>
      </w:pPr>
      <w:r>
        <w:rPr>
          <w:rFonts w:ascii="Consolas" w:hAnsi="Consolas"/>
          <w:sz w:val="14"/>
        </w:rPr>
        <w:t>| Software | Sin cambio | Obtiene contrato científico | Se implementa y prueba después de especificación |</w:t>
      </w:r>
    </w:p>
    <w:p>
      <w:pPr>
        <w:spacing w:after="20" w:line="240" w:lineRule="auto"/>
      </w:pPr>
      <w:r>
        <w:rPr>
          <w:rFonts w:ascii="Consolas" w:hAnsi="Consolas"/>
          <w:sz w:val="14"/>
        </w:rPr>
        <w:t>| Tesis/publicaciones | Reportan auditoría consultiva | Reportan decisiones con su estado | Solo describen estándar vigente tras release |</w:t>
      </w:r>
    </w:p>
    <w:p>
      <w:pPr>
        <w:spacing w:after="40"/>
      </w:pPr>
    </w:p>
    <w:p>
      <w:pPr>
        <w:pStyle w:val="Heading3"/>
      </w:pPr>
      <w:r>
        <w:t>9. Reglas de bloqueo e integridad</w:t>
      </w:r>
    </w:p>
    <w:p>
      <w:pPr>
        <w:spacing w:after="40"/>
      </w:pPr>
    </w:p>
    <w:p>
      <w:pPr>
        <w:pStyle w:val="ListNumber"/>
      </w:pPr>
      <w:r>
        <w:t>No se creará una entidad normativa GTRM por ratificar el dictamen B.</w:t>
      </w:r>
    </w:p>
    <w:p>
      <w:pPr>
        <w:pStyle w:val="ListNumber"/>
      </w:pPr>
      <w:r>
        <w:t>No se modificará D-006 hasta existir un Issue de cambio específico, decisión científica suficiente, análisis de impacto, versión objetivo y aprobación competente.</w:t>
      </w:r>
    </w:p>
    <w:p>
      <w:pPr>
        <w:pStyle w:val="ListNumber"/>
      </w:pPr>
      <w:r>
        <w:t>No se elegirán referencias por fallback, cercanía taxonómica o inferencia del software.</w:t>
      </w:r>
    </w:p>
    <w:p>
      <w:pPr>
        <w:pStyle w:val="ListNumber"/>
      </w:pPr>
      <w:r>
        <w:t>No se declarará puntuable o agregable un KPI si la regla científica aplicable no está aprobada.</w:t>
      </w:r>
    </w:p>
    <w:p>
      <w:pPr>
        <w:pStyle w:val="ListNumber"/>
      </w:pPr>
      <w:r>
        <w:t>No se sobrescribirán versiones ni evaluaciones históricas.</w:t>
      </w:r>
    </w:p>
    <w:p>
      <w:pPr>
        <w:pStyle w:val="ListNumber"/>
      </w:pPr>
      <w:r>
        <w:t>Tabla manual y software no podrán convertirse en fuentes normativas independientes.</w:t>
      </w:r>
    </w:p>
    <w:p>
      <w:pPr>
        <w:pStyle w:val="ListNumber"/>
      </w:pPr>
      <w:r>
        <w:t>Toda falta científica bloqueará solo el slot o dominio afectado.</w:t>
      </w:r>
    </w:p>
    <w:p>
      <w:pPr>
        <w:pStyle w:val="ListNumber"/>
      </w:pPr>
      <w:r>
        <w:t>La resolución de este expediente no altera las compuertas de D-008/B1, B2, B4 o B5.</w:t>
      </w:r>
    </w:p>
    <w:p>
      <w:pPr>
        <w:pStyle w:val="ListNumber"/>
      </w:pPr>
      <w:r>
        <w:t>Ningún artefacto técnico suplirá firma, aprobación o evidencia científica.</w:t>
      </w:r>
    </w:p>
    <w:p>
      <w:pPr>
        <w:pStyle w:val="ListNumber"/>
      </w:pPr>
      <w:r>
        <w:t>La integración normativa requerirá una nueva auditoría de consistencia conjunta de los ocho slots.</w:t>
      </w:r>
    </w:p>
    <w:p>
      <w:pPr>
        <w:spacing w:after="40"/>
      </w:pPr>
    </w:p>
    <w:p>
      <w:pPr>
        <w:pStyle w:val="Heading3"/>
      </w:pPr>
      <w:r>
        <w:t>10. Criterios para cerrar GOEI-ISS-044</w:t>
      </w:r>
    </w:p>
    <w:p>
      <w:pPr>
        <w:spacing w:after="40"/>
      </w:pPr>
    </w:p>
    <w:p>
      <w:r>
        <w:t>GOEI-ISS-044 podrá cerrarse únicamente cuando exista una resolución directiva firmada que:</w:t>
      </w:r>
    </w:p>
    <w:p>
      <w:pPr>
        <w:spacing w:after="40"/>
      </w:pPr>
    </w:p>
    <w:p>
      <w:pPr>
        <w:pStyle w:val="ListBullet"/>
      </w:pPr>
      <w:r>
        <w:t>seleccione exactamente A, B o C;</w:t>
      </w:r>
    </w:p>
    <w:p>
      <w:pPr>
        <w:pStyle w:val="ListBullet"/>
      </w:pPr>
      <w:r>
        <w:t>identifique autoridad y fecha efectiva;</w:t>
      </w:r>
    </w:p>
    <w:p>
      <w:pPr>
        <w:pStyle w:val="ListBullet"/>
      </w:pPr>
      <w:r>
        <w:t>declare el efecto normativo, si alguno;</w:t>
      </w:r>
    </w:p>
    <w:p>
      <w:pPr>
        <w:pStyle w:val="ListBullet"/>
      </w:pPr>
      <w:r>
        <w:t>disponga el destino del expediente;</w:t>
      </w:r>
    </w:p>
    <w:p>
      <w:pPr>
        <w:pStyle w:val="ListBullet"/>
      </w:pPr>
      <w:r>
        <w:t>si selecciona A, abra y asigne formalmente DS-GTRM-01 a 08 sin prejuzgar su resultado;</w:t>
      </w:r>
    </w:p>
    <w:p>
      <w:pPr>
        <w:pStyle w:val="ListBullet"/>
      </w:pPr>
      <w:r>
        <w:t>si selecciona B, enumere subsanaciones verificables;</w:t>
      </w:r>
    </w:p>
    <w:p>
      <w:pPr>
        <w:pStyle w:val="ListBullet"/>
      </w:pPr>
      <w:r>
        <w:t>si selecciona C, documente fundamento y regla para propuestas futuras;</w:t>
      </w:r>
    </w:p>
    <w:p>
      <w:pPr>
        <w:pStyle w:val="ListBullet"/>
      </w:pPr>
      <w:r>
        <w:t>confirme expresamente que D-006 v0.1 permanece intacta.</w:t>
      </w:r>
    </w:p>
    <w:p>
      <w:pPr>
        <w:spacing w:after="40"/>
      </w:pPr>
    </w:p>
    <w:p>
      <w:r>
        <w:t>Si se elige A, el cierre de GOEI-ISS-044 solo cierra la decisión sobre el destino del dictamen. Los slots científicos y cualquier Issue específico de cambio ontológico permanecerán abiertos hasta sus propias resoluciones.</w:t>
      </w:r>
    </w:p>
    <w:p>
      <w:pPr>
        <w:spacing w:after="40"/>
      </w:pPr>
    </w:p>
    <w:p>
      <w:pPr>
        <w:pStyle w:val="Heading3"/>
      </w:pPr>
      <w:r>
        <w:t>11. Resultado técnico esperado según opción</w:t>
      </w:r>
    </w:p>
    <w:p>
      <w:pPr>
        <w:spacing w:after="40"/>
      </w:pPr>
    </w:p>
    <w:p>
      <w:pPr>
        <w:spacing w:after="20" w:line="240" w:lineRule="auto"/>
      </w:pPr>
      <w:r>
        <w:rPr>
          <w:rFonts w:ascii="Consolas" w:hAnsi="Consolas"/>
          <w:sz w:val="14"/>
        </w:rPr>
        <w:t>| Opción | Salida inmediata | Rama habilitada | Rama bloqueada |</w:t>
      </w:r>
    </w:p>
    <w:p>
      <w:pPr>
        <w:spacing w:after="20" w:line="240" w:lineRule="auto"/>
      </w:pPr>
      <w:r>
        <w:rPr>
          <w:rFonts w:ascii="Consolas" w:hAnsi="Consolas"/>
          <w:sz w:val="14"/>
        </w:rPr>
        <w:t>|---|---|---|---|</w:t>
      </w:r>
    </w:p>
    <w:p>
      <w:pPr>
        <w:spacing w:after="20" w:line="240" w:lineRule="auto"/>
      </w:pPr>
      <w:r>
        <w:rPr>
          <w:rFonts w:ascii="Consolas" w:hAnsi="Consolas"/>
          <w:sz w:val="14"/>
        </w:rPr>
        <w:t>| A | Resolución registrada y ocho slots asignados | Investigación/decisión científica por slot | Integración, baseline, instancias y software normativo |</w:t>
      </w:r>
    </w:p>
    <w:p>
      <w:pPr>
        <w:spacing w:after="20" w:line="240" w:lineRule="auto"/>
      </w:pPr>
      <w:r>
        <w:rPr>
          <w:rFonts w:ascii="Consolas" w:hAnsi="Consolas"/>
          <w:sz w:val="14"/>
        </w:rPr>
        <w:t>| B | Paquete de subsanación | Corrección del dictamen | Slots, integración y cambio ontológico |</w:t>
      </w:r>
    </w:p>
    <w:p>
      <w:pPr>
        <w:spacing w:after="20" w:line="240" w:lineRule="auto"/>
      </w:pPr>
      <w:r>
        <w:rPr>
          <w:rFonts w:ascii="Consolas" w:hAnsi="Consolas"/>
          <w:sz w:val="14"/>
        </w:rPr>
        <w:t>| C | Resolución de rechazo e historial preservado | Trabajo técnico independiente | Incorporación GTRM basada en este expediente |</w:t>
      </w:r>
    </w:p>
    <w:p>
      <w:pPr>
        <w:spacing w:after="40"/>
      </w:pPr>
    </w:p>
    <w:p>
      <w:pPr>
        <w:pStyle w:val="Heading3"/>
      </w:pPr>
      <w:r>
        <w:t>12. Documentos del paquete</w:t>
      </w:r>
    </w:p>
    <w:p>
      <w:pPr>
        <w:spacing w:after="40"/>
      </w:pPr>
    </w:p>
    <w:p>
      <w:pPr>
        <w:pStyle w:val="ListBullet"/>
      </w:pPr>
      <w:r>
        <w:t>GOEI_EXP_ISS_044_RESOLUCION_GTRM.md: expediente técnico y matriz de decisiones.</w:t>
      </w:r>
    </w:p>
    <w:p>
      <w:pPr>
        <w:pStyle w:val="ListBullet"/>
      </w:pPr>
      <w:r>
        <w:t>GOEI_DIR_RES_ISS_044_GTRM_BORRADOR.md: plantilla de resolución directiva.</w:t>
      </w:r>
    </w:p>
    <w:p>
      <w:pPr>
        <w:pStyle w:val="ListBullet"/>
      </w:pPr>
      <w:r>
        <w:t>GOEI_CC_DEC_GTRM_SLOT_PLANTILLA.md: plantilla científica reutilizable para cada slot.</w:t>
      </w:r>
    </w:p>
    <w:p>
      <w:pPr>
        <w:pStyle w:val="ListBullet"/>
      </w:pPr>
      <w:r>
        <w:t>Auditoría científica, arquitectónica, consolidada y matriz de controles ubicadas en coordinacion/auditorias/GTRM/.</w:t>
      </w:r>
    </w:p>
    <w:p>
      <w:pPr>
        <w:spacing w:after="40"/>
      </w:pPr>
    </w:p>
    <w:p>
      <w:r>
        <w:t>---</w:t>
      </w:r>
    </w:p>
    <w:p>
      <w:pPr>
        <w:spacing w:after="40"/>
      </w:pPr>
    </w:p>
    <w:p>
      <w:r>
        <w:t>Estado de control: resuelto por GOEI-DIR-RES-GTRM-0001 mediante Opción A. GOEI-ISS-044 queda cerrado respecto del destino del dictamen y permanecen abiertos GOEI-ISS-045 a GOEI-ISS-052. No se ha incorporado contenido GTRM al estándar.</w:t>
      </w:r>
    </w:p>
    <w:p>
      <w:r>
        <w:br w:type="page"/>
      </w:r>
    </w:p>
    <w:p>
      <w:pPr>
        <w:pStyle w:val="Heading1"/>
        <w:keepNext/>
      </w:pPr>
      <w:r>
        <w:t>Fuente 38: 00_Gobernanza/coordinacion/handoffs/GOEI_HANDOFF_0001_B1_Procesos_Universales.md</w:t>
      </w:r>
    </w:p>
    <w:p>
      <w:pPr>
        <w:spacing w:after="200"/>
      </w:pPr>
      <w:r>
        <w:rPr>
          <w:rFonts w:ascii="Consolas" w:hAnsi="Consolas"/>
          <w:color w:val="595959"/>
          <w:sz w:val="16"/>
        </w:rPr>
        <w:t>Ruta: 00_Gobernanza/coordinacion/handoffs/GOEI_HANDOFF_0001_B1_Procesos_Universales.md</w:t>
        <w:br/>
        <w:t>Tamaño: 2741 bytes</w:t>
        <w:br/>
        <w:t>SHA-256: e395b351774458fc3b0f6c6eb9f5b6a540d825555753ded13ff3d6bc6551e62d</w:t>
      </w:r>
    </w:p>
    <w:p>
      <w:pPr>
        <w:pStyle w:val="Heading2"/>
      </w:pPr>
      <w:r>
        <w:t>Handoff GOEI-HO-0001 — B1 Procesos Universales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Estado | **Integrado y cerrado en pregunta nuclear** |</w:t>
      </w:r>
    </w:p>
    <w:p>
      <w:pPr>
        <w:spacing w:after="20" w:line="240" w:lineRule="auto"/>
      </w:pPr>
      <w:r>
        <w:rPr>
          <w:rFonts w:ascii="Consolas" w:hAnsi="Consolas"/>
          <w:sz w:val="14"/>
        </w:rPr>
        <w:t>| Fecha de auditoría | 2026-08-04 |</w:t>
      </w:r>
    </w:p>
    <w:p>
      <w:pPr>
        <w:spacing w:after="20" w:line="240" w:lineRule="auto"/>
      </w:pPr>
      <w:r>
        <w:rPr>
          <w:rFonts w:ascii="Consolas" w:hAnsi="Consolas"/>
          <w:sz w:val="14"/>
        </w:rPr>
        <w:t>| Responsable científico | Comité Científico |</w:t>
      </w:r>
    </w:p>
    <w:p>
      <w:pPr>
        <w:spacing w:after="20" w:line="240" w:lineRule="auto"/>
      </w:pPr>
      <w:r>
        <w:rPr>
          <w:rFonts w:ascii="Consolas" w:hAnsi="Consolas"/>
          <w:sz w:val="14"/>
        </w:rPr>
        <w:t>| Responsable auditoría formal | Oficina Técnica |</w:t>
      </w:r>
    </w:p>
    <w:p>
      <w:pPr>
        <w:spacing w:after="20" w:line="240" w:lineRule="auto"/>
      </w:pPr>
      <w:r>
        <w:rPr>
          <w:rFonts w:ascii="Consolas" w:hAnsi="Consolas"/>
          <w:sz w:val="14"/>
        </w:rPr>
        <w:t>| Decisiones relacionadas | D-007 antecedente; D-008 ratificada por `GOEI-DIR-RES-0001` |</w:t>
      </w:r>
    </w:p>
    <w:p>
      <w:pPr>
        <w:spacing w:after="20" w:line="240" w:lineRule="auto"/>
      </w:pPr>
      <w:r>
        <w:rPr>
          <w:rFonts w:ascii="Consolas" w:hAnsi="Consolas"/>
          <w:sz w:val="14"/>
        </w:rPr>
        <w:t>| Rama | B1 Procesos Universales |</w:t>
      </w:r>
    </w:p>
    <w:p>
      <w:pPr>
        <w:spacing w:after="40"/>
      </w:pPr>
    </w:p>
    <w:p>
      <w:pPr>
        <w:pStyle w:val="Heading3"/>
      </w:pPr>
      <w:r>
        <w:t>Artefactos recibidos</w:t>
      </w:r>
    </w:p>
    <w:p>
      <w:pPr>
        <w:spacing w:after="40"/>
      </w:pPr>
    </w:p>
    <w:p>
      <w:pPr>
        <w:spacing w:after="20" w:line="240" w:lineRule="auto"/>
      </w:pPr>
      <w:r>
        <w:rPr>
          <w:rFonts w:ascii="Consolas" w:hAnsi="Consolas"/>
          <w:sz w:val="14"/>
        </w:rPr>
        <w:t>| Artefacto | Clasificación | Estado declarado |</w:t>
      </w:r>
    </w:p>
    <w:p>
      <w:pPr>
        <w:spacing w:after="20" w:line="240" w:lineRule="auto"/>
      </w:pPr>
      <w:r>
        <w:rPr>
          <w:rFonts w:ascii="Consolas" w:hAnsi="Consolas"/>
          <w:sz w:val="14"/>
        </w:rPr>
        <w:t>|---|---|---|</w:t>
      </w:r>
    </w:p>
    <w:p>
      <w:pPr>
        <w:spacing w:after="20" w:line="240" w:lineRule="auto"/>
      </w:pPr>
      <w:r>
        <w:rPr>
          <w:rFonts w:ascii="Consolas" w:hAnsi="Consolas"/>
          <w:sz w:val="14"/>
        </w:rPr>
        <w:t>| `01_Estado_del_arte/FaseB_B1_Revision_sistematica_procesos_universales.md` | Investigación/revisión rápida estructurada | Comité recomienda cierre de B1 |</w:t>
      </w:r>
    </w:p>
    <w:p>
      <w:pPr>
        <w:spacing w:after="20" w:line="240" w:lineRule="auto"/>
      </w:pPr>
      <w:r>
        <w:rPr>
          <w:rFonts w:ascii="Consolas" w:hAnsi="Consolas"/>
          <w:sz w:val="14"/>
        </w:rPr>
        <w:t>| `00_Gobernanza/coordinacion/entradas_comite/GOEI_SCI_HANDOFF_D008_Cierre_B1.md` | Expediente científico y cotejo posterior | D-008 aprobada por el Comité; ratificación directiva pendiente |</w:t>
      </w:r>
    </w:p>
    <w:p>
      <w:pPr>
        <w:spacing w:after="20" w:line="240" w:lineRule="auto"/>
      </w:pPr>
      <w:r>
        <w:rPr>
          <w:rFonts w:ascii="Consolas" w:hAnsi="Consolas"/>
          <w:sz w:val="14"/>
        </w:rPr>
        <w:t>| `04_Procesos_gastronomicos/Fase4_Nucleo_universal_de_macroprocesos.md` | Síntesis científica previa | Hipótesis fundamentada |</w:t>
      </w:r>
    </w:p>
    <w:p>
      <w:pPr>
        <w:spacing w:after="20" w:line="240" w:lineRule="auto"/>
      </w:pPr>
      <w:r>
        <w:rPr>
          <w:rFonts w:ascii="Consolas" w:hAnsi="Consolas"/>
          <w:sz w:val="14"/>
        </w:rPr>
        <w:t>| D-007 en `Registro_de_decisiones.md` | Decision Record | Provisional/hipótesis |</w:t>
      </w:r>
    </w:p>
    <w:p>
      <w:pPr>
        <w:spacing w:after="20" w:line="240" w:lineRule="auto"/>
      </w:pPr>
      <w:r>
        <w:rPr>
          <w:rFonts w:ascii="Consolas" w:hAnsi="Consolas"/>
          <w:sz w:val="14"/>
        </w:rPr>
        <w:t>| D-008 dentro del informe B1 | Antecedente de la decisión | Sustituido como fuente de estado por el expediente formal del Comité; no incorporado al registro oficial |</w:t>
      </w:r>
    </w:p>
    <w:p>
      <w:pPr>
        <w:spacing w:after="20" w:line="240" w:lineRule="auto"/>
      </w:pPr>
      <w:r>
        <w:rPr>
          <w:rFonts w:ascii="Consolas" w:hAnsi="Consolas"/>
          <w:sz w:val="14"/>
        </w:rPr>
        <w:t>| `Estado_de_respondibilidad_7_preguntas.md` | Auditoría científica | Pregunta 1 parcial según corte D-007 |</w:t>
      </w:r>
    </w:p>
    <w:p>
      <w:pPr>
        <w:spacing w:after="40"/>
      </w:pPr>
    </w:p>
    <w:p>
      <w:pPr>
        <w:pStyle w:val="Heading3"/>
      </w:pPr>
      <w:r>
        <w:t>Auditoría de completitud</w:t>
      </w:r>
    </w:p>
    <w:p>
      <w:pPr>
        <w:spacing w:after="40"/>
      </w:pPr>
    </w:p>
    <w:p>
      <w:pPr>
        <w:spacing w:after="20" w:line="240" w:lineRule="auto"/>
      </w:pPr>
      <w:r>
        <w:rPr>
          <w:rFonts w:ascii="Consolas" w:hAnsi="Consolas"/>
          <w:sz w:val="14"/>
        </w:rPr>
        <w:t>| Control | Resultado | Evidencia |</w:t>
      </w:r>
    </w:p>
    <w:p>
      <w:pPr>
        <w:spacing w:after="20" w:line="240" w:lineRule="auto"/>
      </w:pPr>
      <w:r>
        <w:rPr>
          <w:rFonts w:ascii="Consolas" w:hAnsi="Consolas"/>
          <w:sz w:val="14"/>
        </w:rPr>
        <w:t>|---|---|---|</w:t>
      </w:r>
    </w:p>
    <w:p>
      <w:pPr>
        <w:spacing w:after="20" w:line="240" w:lineRule="auto"/>
      </w:pPr>
      <w:r>
        <w:rPr>
          <w:rFonts w:ascii="Consolas" w:hAnsi="Consolas"/>
          <w:sz w:val="14"/>
        </w:rPr>
        <w:t>| Pregunta y alcance | Conforme | §1 del informe B1 |</w:t>
      </w:r>
    </w:p>
    <w:p>
      <w:pPr>
        <w:spacing w:after="20" w:line="240" w:lineRule="auto"/>
      </w:pPr>
      <w:r>
        <w:rPr>
          <w:rFonts w:ascii="Consolas" w:hAnsi="Consolas"/>
          <w:sz w:val="14"/>
        </w:rPr>
        <w:t>| Método | Conforme con limitación explícita | revisión rápida, no PRISMA plena |</w:t>
      </w:r>
    </w:p>
    <w:p>
      <w:pPr>
        <w:spacing w:after="20" w:line="240" w:lineRule="auto"/>
      </w:pPr>
      <w:r>
        <w:rPr>
          <w:rFonts w:ascii="Consolas" w:hAnsi="Consolas"/>
          <w:sz w:val="14"/>
        </w:rPr>
        <w:t>| Evidencia y fuentes | Presente | §2 y Fuentes |</w:t>
      </w:r>
    </w:p>
    <w:p>
      <w:pPr>
        <w:spacing w:after="20" w:line="240" w:lineRule="auto"/>
      </w:pPr>
      <w:r>
        <w:rPr>
          <w:rFonts w:ascii="Consolas" w:hAnsi="Consolas"/>
          <w:sz w:val="14"/>
        </w:rPr>
        <w:t>| Síntesis y limitaciones | Presente | §§3–5 |</w:t>
      </w:r>
    </w:p>
    <w:p>
      <w:pPr>
        <w:spacing w:after="20" w:line="240" w:lineRule="auto"/>
      </w:pPr>
      <w:r>
        <w:rPr>
          <w:rFonts w:ascii="Consolas" w:hAnsi="Consolas"/>
          <w:sz w:val="14"/>
        </w:rPr>
        <w:t>| Recomendación del Comité | Presente | §5 |</w:t>
      </w:r>
    </w:p>
    <w:p>
      <w:pPr>
        <w:spacing w:after="20" w:line="240" w:lineRule="auto"/>
      </w:pPr>
      <w:r>
        <w:rPr>
          <w:rFonts w:ascii="Consolas" w:hAnsi="Consolas"/>
          <w:sz w:val="14"/>
        </w:rPr>
        <w:t>| Decisión científica aprobada | Conforme a nivel de Comité | D-008 declarada aprobada científicamente; todavía sin ratificación normativa de Dirección |</w:t>
      </w:r>
    </w:p>
    <w:p>
      <w:pPr>
        <w:spacing w:after="20" w:line="240" w:lineRule="auto"/>
      </w:pPr>
      <w:r>
        <w:rPr>
          <w:rFonts w:ascii="Consolas" w:hAnsi="Consolas"/>
          <w:sz w:val="14"/>
        </w:rPr>
        <w:t>| Aprobación de cierre por Director | Conforme | `GOEI-DIR-RES-0001` bajo `GOEI-DIR-0004` |</w:t>
      </w:r>
    </w:p>
    <w:p>
      <w:pPr>
        <w:spacing w:after="20" w:line="240" w:lineRule="auto"/>
      </w:pPr>
      <w:r>
        <w:rPr>
          <w:rFonts w:ascii="Consolas" w:hAnsi="Consolas"/>
          <w:sz w:val="14"/>
        </w:rPr>
        <w:t>| Versión objetivo | Incorporada | `GOEI-BSL-PROC-0001 v0.1.0` |</w:t>
      </w:r>
    </w:p>
    <w:p>
      <w:pPr>
        <w:spacing w:after="20" w:line="240" w:lineRule="auto"/>
      </w:pPr>
      <w:r>
        <w:rPr>
          <w:rFonts w:ascii="Consolas" w:hAnsi="Consolas"/>
          <w:sz w:val="14"/>
        </w:rPr>
        <w:t>| Resolución de residuos/merma | Pendiente | candidato explícito |</w:t>
      </w:r>
    </w:p>
    <w:p>
      <w:pPr>
        <w:spacing w:after="40"/>
      </w:pPr>
    </w:p>
    <w:p>
      <w:pPr>
        <w:pStyle w:val="Heading3"/>
      </w:pPr>
      <w:r>
        <w:t>Resultado</w:t>
      </w:r>
    </w:p>
    <w:p>
      <w:pPr>
        <w:spacing w:after="40"/>
      </w:pPr>
    </w:p>
    <w:p>
      <w:r>
        <w:t>El expediente fue ratificado por la Dirección y se integró en GOEI-BSL-PROC-0001 v0.1.0. B1 queda cerrada exclusivamente en su pregunta nuclear y B2 queda habilitada.</w:t>
      </w:r>
    </w:p>
    <w:p>
      <w:pPr>
        <w:spacing w:after="40"/>
      </w:pPr>
    </w:p>
    <w:p>
      <w:pPr>
        <w:pStyle w:val="Heading3"/>
      </w:pPr>
      <w:r>
        <w:t>Bloqueo selectivo</w:t>
      </w:r>
    </w:p>
    <w:p>
      <w:pPr>
        <w:spacing w:after="40"/>
      </w:pPr>
    </w:p>
    <w:p>
      <w:pPr>
        <w:pStyle w:val="ListBullet"/>
      </w:pPr>
      <w:r>
        <w:t>Cerrado: promoción limitada del núcleo, cierre nuclear B1 y activación de B2.</w:t>
      </w:r>
    </w:p>
    <w:p>
      <w:pPr>
        <w:pStyle w:val="ListBullet"/>
      </w:pPr>
      <w:r>
        <w:t>Bloqueado selectivamente: clasificación normativa de residuos/merma bajo GOEI-ISS-043.</w:t>
      </w:r>
    </w:p>
    <w:p>
      <w:pPr>
        <w:pStyle w:val="ListBullet"/>
      </w:pPr>
      <w:r>
        <w:t>Diferido: PRISMA completa y Delphi como validaciones posteriores.</w:t>
      </w:r>
    </w:p>
    <w:p>
      <w:pPr>
        <w:spacing w:after="40"/>
      </w:pPr>
    </w:p>
    <w:p>
      <w:pPr>
        <w:pStyle w:val="Heading3"/>
      </w:pPr>
      <w:r>
        <w:t>Condición de reanudación</w:t>
      </w:r>
    </w:p>
    <w:p>
      <w:pPr>
        <w:spacing w:after="40"/>
      </w:pPr>
    </w:p>
    <w:p>
      <w:r>
        <w:t>Cumplida por GOEI-DIR-RES-0001. El siguiente handoff científico corresponde a B2 y deberá usar como entrada exacta GOEI-BSL-PROC-0001 v0.1.0.</w:t>
      </w:r>
    </w:p>
    <w:p>
      <w:r>
        <w:br w:type="page"/>
      </w:r>
    </w:p>
    <w:p>
      <w:pPr>
        <w:pStyle w:val="Heading1"/>
        <w:keepNext/>
      </w:pPr>
      <w:r>
        <w:t>Fuente 39: 00_Gobernanza/coordinacion/handoffs/GOEI_HANDOFF_0002_B2_Taxonomia_Universal.md</w:t>
      </w:r>
    </w:p>
    <w:p>
      <w:pPr>
        <w:spacing w:after="200"/>
      </w:pPr>
      <w:r>
        <w:rPr>
          <w:rFonts w:ascii="Consolas" w:hAnsi="Consolas"/>
          <w:color w:val="595959"/>
          <w:sz w:val="16"/>
        </w:rPr>
        <w:t>Ruta: 00_Gobernanza/coordinacion/handoffs/GOEI_HANDOFF_0002_B2_Taxonomia_Universal.md</w:t>
        <w:br/>
        <w:t>Tamaño: 1356 bytes</w:t>
        <w:br/>
        <w:t>SHA-256: 94f03d814abff08679d806e4e2ebf5018dd1bcd4d5e63f4cb8cbe65b2698de89</w:t>
      </w:r>
    </w:p>
    <w:p>
      <w:pPr>
        <w:pStyle w:val="Heading2"/>
      </w:pPr>
      <w:r>
        <w:t>Handoff GOEI-HO-0002 — Integración B2 y apertura B3</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`GOEI-HO-0002` |</w:t>
      </w:r>
    </w:p>
    <w:p>
      <w:pPr>
        <w:spacing w:after="20" w:line="240" w:lineRule="auto"/>
      </w:pPr>
      <w:r>
        <w:rPr>
          <w:rFonts w:ascii="Consolas" w:hAnsi="Consolas"/>
          <w:sz w:val="14"/>
        </w:rPr>
        <w:t>| Fecha | 2026-08-04 |</w:t>
      </w:r>
    </w:p>
    <w:p>
      <w:pPr>
        <w:spacing w:after="20" w:line="240" w:lineRule="auto"/>
      </w:pPr>
      <w:r>
        <w:rPr>
          <w:rFonts w:ascii="Consolas" w:hAnsi="Consolas"/>
          <w:sz w:val="14"/>
        </w:rPr>
        <w:t>| Fase origen | B2 — Taxonomía Universal |</w:t>
      </w:r>
    </w:p>
    <w:p>
      <w:pPr>
        <w:spacing w:after="20" w:line="240" w:lineRule="auto"/>
      </w:pPr>
      <w:r>
        <w:rPr>
          <w:rFonts w:ascii="Consolas" w:hAnsi="Consolas"/>
          <w:sz w:val="14"/>
        </w:rPr>
        <w:t>| Fase destino | B3 — Universo candidato de KPI |</w:t>
      </w:r>
    </w:p>
    <w:p>
      <w:pPr>
        <w:spacing w:after="20" w:line="240" w:lineRule="auto"/>
      </w:pPr>
      <w:r>
        <w:rPr>
          <w:rFonts w:ascii="Consolas" w:hAnsi="Consolas"/>
          <w:sz w:val="14"/>
        </w:rPr>
        <w:t>| Estado | **INTEGRADO** |</w:t>
      </w:r>
    </w:p>
    <w:p>
      <w:pPr>
        <w:spacing w:after="40"/>
      </w:pPr>
    </w:p>
    <w:p>
      <w:pPr>
        <w:pStyle w:val="Heading3"/>
      </w:pPr>
      <w:r>
        <w:t>Entradas verificadas</w:t>
      </w:r>
    </w:p>
    <w:p>
      <w:pPr>
        <w:spacing w:after="40"/>
      </w:pPr>
    </w:p>
    <w:p>
      <w:pPr>
        <w:pStyle w:val="ListBullet"/>
      </w:pPr>
      <w:r>
        <w:t>D-017 aprobada por el Comité Científico;</w:t>
      </w:r>
    </w:p>
    <w:p>
      <w:pPr>
        <w:pStyle w:val="ListBullet"/>
      </w:pPr>
      <w:r>
        <w:t>GOEI-AUDIT-0005: aceptable para decisión con promoción limitada;</w:t>
      </w:r>
    </w:p>
    <w:p>
      <w:pPr>
        <w:pStyle w:val="ListBullet"/>
      </w:pPr>
      <w:r>
        <w:t>GOEI-DIR-RES-0002: ratificación directiva vigente;</w:t>
      </w:r>
    </w:p>
    <w:p>
      <w:pPr>
        <w:pStyle w:val="ListBullet"/>
      </w:pPr>
      <w:r>
        <w:t>GOEI-BSL-TAX-0001 v0.1.0: congelada y protegida por Issue-only;</w:t>
      </w:r>
    </w:p>
    <w:p>
      <w:pPr>
        <w:pStyle w:val="ListBullet"/>
      </w:pPr>
      <w:r>
        <w:t>D-006 y Process Baseline verificadas sin modificación.</w:t>
      </w:r>
    </w:p>
    <w:p>
      <w:pPr>
        <w:spacing w:after="40"/>
      </w:pPr>
    </w:p>
    <w:p>
      <w:pPr>
        <w:pStyle w:val="Heading3"/>
      </w:pPr>
      <w:r>
        <w:t>Contrato de salida</w:t>
      </w:r>
    </w:p>
    <w:p>
      <w:pPr>
        <w:spacing w:after="40"/>
      </w:pPr>
    </w:p>
    <w:p>
      <w:r>
        <w:t>B3 puede investigar y proponer un universo candidato de KPI usando únicamente:</w:t>
      </w:r>
    </w:p>
    <w:p>
      <w:pPr>
        <w:spacing w:after="40"/>
      </w:pPr>
    </w:p>
    <w:p>
      <w:pPr>
        <w:pStyle w:val="ListNumber"/>
      </w:pPr>
      <w:r>
        <w:t>la estructura facetada y las identidades FX-1…FX-3 aprobadas;</w:t>
      </w:r>
    </w:p>
    <w:p>
      <w:pPr>
        <w:pStyle w:val="ListNumber"/>
      </w:pPr>
      <w:r>
        <w:t>la unidad ordinaria Establecimiento;</w:t>
      </w:r>
    </w:p>
    <w:p>
      <w:pPr>
        <w:pStyle w:val="ListNumber"/>
      </w:pPr>
      <w:r>
        <w:t>los procesos P1–P9 de la baseline vigente;</w:t>
      </w:r>
    </w:p>
    <w:p>
      <w:pPr>
        <w:pStyle w:val="ListNumber"/>
      </w:pPr>
      <w:r>
        <w:t>las restricciones de D-009–D-016 cuando corresponda.</w:t>
      </w:r>
    </w:p>
    <w:p>
      <w:pPr>
        <w:spacing w:after="40"/>
      </w:pPr>
    </w:p>
    <w:p>
      <w:r>
        <w:t>B3 no puede asumir valores concretos de facetas, clasificar establecimientos, resolver multiunidad/multi-marca, crear GTRM ni presentar KPI como aprobados. Si una rama requiere un valor taxonómico, se vinculará a GOEI-ISS-054 y se detendrá solo esa rama.</w:t>
      </w:r>
    </w:p>
    <w:p>
      <w:pPr>
        <w:spacing w:after="40"/>
      </w:pPr>
    </w:p>
    <w:p>
      <w:pPr>
        <w:pStyle w:val="Heading3"/>
      </w:pPr>
      <w:r>
        <w:t>Declaración de compuerta</w:t>
      </w:r>
    </w:p>
    <w:p>
      <w:pPr>
        <w:spacing w:after="40"/>
      </w:pPr>
    </w:p>
    <w:p>
      <w:r>
        <w:t>La pregunta nuclear B2 queda cerrada y B3 habilitada. Los Issues GOEI-ISS-008 y GOEI-ISS-054 son bloqueos selectivos, no bloqueos de fase completa.</w:t>
      </w:r>
    </w:p>
    <w:p>
      <w:pPr>
        <w:spacing w:after="40"/>
      </w:pPr>
    </w:p>
    <w:p>
      <w:r>
        <w:br w:type="page"/>
      </w:r>
    </w:p>
    <w:p>
      <w:pPr>
        <w:pStyle w:val="Heading1"/>
        <w:keepNext/>
      </w:pPr>
      <w:r>
        <w:t>Fuente 40: 00_Gobernanza/coordinacion/handoffs/GOEI_HANDOFF_0003_B3_Universo_KPI.md</w:t>
      </w:r>
    </w:p>
    <w:p>
      <w:pPr>
        <w:spacing w:after="200"/>
      </w:pPr>
      <w:r>
        <w:rPr>
          <w:rFonts w:ascii="Consolas" w:hAnsi="Consolas"/>
          <w:color w:val="595959"/>
          <w:sz w:val="16"/>
        </w:rPr>
        <w:t>Ruta: 00_Gobernanza/coordinacion/handoffs/GOEI_HANDOFF_0003_B3_Universo_KPI.md</w:t>
        <w:br/>
        <w:t>Tamaño: 1632 bytes</w:t>
        <w:br/>
        <w:t>SHA-256: 1f935f3ee110a1df103d966651891fc0665d5647b5c74d20cd7016ba28c32507</w:t>
      </w:r>
    </w:p>
    <w:p>
      <w:pPr>
        <w:pStyle w:val="Heading2"/>
      </w:pPr>
      <w:r>
        <w:t>Handoff GOEI-HO-0003 — Integración B3 y apertura B4</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`GOEI-HO-0003` |</w:t>
      </w:r>
    </w:p>
    <w:p>
      <w:pPr>
        <w:spacing w:after="20" w:line="240" w:lineRule="auto"/>
      </w:pPr>
      <w:r>
        <w:rPr>
          <w:rFonts w:ascii="Consolas" w:hAnsi="Consolas"/>
          <w:sz w:val="14"/>
        </w:rPr>
        <w:t>| Fecha | 2026-08-04 |</w:t>
      </w:r>
    </w:p>
    <w:p>
      <w:pPr>
        <w:spacing w:after="20" w:line="240" w:lineRule="auto"/>
      </w:pPr>
      <w:r>
        <w:rPr>
          <w:rFonts w:ascii="Consolas" w:hAnsi="Consolas"/>
          <w:sz w:val="14"/>
        </w:rPr>
        <w:t>| Fase origen | B3 — Universo y catálogo candidato de KPI |</w:t>
      </w:r>
    </w:p>
    <w:p>
      <w:pPr>
        <w:spacing w:after="20" w:line="240" w:lineRule="auto"/>
      </w:pPr>
      <w:r>
        <w:rPr>
          <w:rFonts w:ascii="Consolas" w:hAnsi="Consolas"/>
          <w:sz w:val="14"/>
        </w:rPr>
        <w:t>| Fase destino | B4 — Admisibilidad y selección de KPI |</w:t>
      </w:r>
    </w:p>
    <w:p>
      <w:pPr>
        <w:spacing w:after="20" w:line="240" w:lineRule="auto"/>
      </w:pPr>
      <w:r>
        <w:rPr>
          <w:rFonts w:ascii="Consolas" w:hAnsi="Consolas"/>
          <w:sz w:val="14"/>
        </w:rPr>
        <w:t>| Estado | **INTEGRADO** |</w:t>
      </w:r>
    </w:p>
    <w:p>
      <w:pPr>
        <w:spacing w:after="40"/>
      </w:pPr>
    </w:p>
    <w:p>
      <w:pPr>
        <w:pStyle w:val="Heading3"/>
      </w:pPr>
      <w:r>
        <w:t>Entradas verificadas</w:t>
      </w:r>
    </w:p>
    <w:p>
      <w:pPr>
        <w:spacing w:after="40"/>
      </w:pPr>
    </w:p>
    <w:p>
      <w:pPr>
        <w:pStyle w:val="ListBullet"/>
      </w:pPr>
      <w:r>
        <w:t>D-018 aprobada por el Comité Científico;</w:t>
      </w:r>
    </w:p>
    <w:p>
      <w:pPr>
        <w:pStyle w:val="ListBullet"/>
      </w:pPr>
      <w:r>
        <w:t>GOEI-AUDIT-0006: aceptable para decisión con promoción limitada;</w:t>
      </w:r>
    </w:p>
    <w:p>
      <w:pPr>
        <w:pStyle w:val="ListBullet"/>
      </w:pPr>
      <w:r>
        <w:t>GOEI-DIR-RES-0003: ratificación directiva vigente;</w:t>
      </w:r>
    </w:p>
    <w:p>
      <w:pPr>
        <w:pStyle w:val="ListBullet"/>
      </w:pPr>
      <w:r>
        <w:t>GOEI-BSL-KPI-C-0001 v0.1.0: catálogo candidato congelado;</w:t>
      </w:r>
    </w:p>
    <w:p>
      <w:pPr>
        <w:pStyle w:val="ListBullet"/>
      </w:pPr>
      <w:r>
        <w:t>baselines de ontología, procesos y taxonomía verificadas sin modificación.</w:t>
      </w:r>
    </w:p>
    <w:p>
      <w:pPr>
        <w:spacing w:after="40"/>
      </w:pPr>
    </w:p>
    <w:p>
      <w:pPr>
        <w:pStyle w:val="Heading3"/>
      </w:pPr>
      <w:r>
        <w:t>Contrato de entrada de B4</w:t>
      </w:r>
    </w:p>
    <w:p>
      <w:pPr>
        <w:spacing w:after="40"/>
      </w:pPr>
    </w:p>
    <w:p>
      <w:r>
        <w:t>B4 recibe exactamente 31 indicadores con estado CANDIDATO. GOEI-KPI-C-032 permanece preservado como marco contextual y no entra en la matriz candidato–criterio.</w:t>
      </w:r>
    </w:p>
    <w:p>
      <w:pPr>
        <w:spacing w:after="40"/>
      </w:pPr>
    </w:p>
    <w:p>
      <w:r>
        <w:t>B4 debe, en este orden:</w:t>
      </w:r>
    </w:p>
    <w:p>
      <w:pPr>
        <w:spacing w:after="40"/>
      </w:pPr>
    </w:p>
    <w:p>
      <w:pPr>
        <w:pStyle w:val="ListNumber"/>
      </w:pPr>
      <w:r>
        <w:t>proponer y justificar el método y los criterios de admisibilidad;</w:t>
      </w:r>
    </w:p>
    <w:p>
      <w:pPr>
        <w:pStyle w:val="ListNumber"/>
      </w:pPr>
      <w:r>
        <w:t>someter método y criterios a decisión científica;</w:t>
      </w:r>
    </w:p>
    <w:p>
      <w:pPr>
        <w:pStyle w:val="ListNumber"/>
      </w:pPr>
      <w:r>
        <w:t>evaluar cada uno de los 31 candidatos contra criterios aprobados;</w:t>
      </w:r>
    </w:p>
    <w:p>
      <w:pPr>
        <w:pStyle w:val="ListNumber"/>
      </w:pPr>
      <w:r>
        <w:t>preservar desacuerdos, exclusiones, dependencias de datos y evidencia por resultado;</w:t>
      </w:r>
    </w:p>
    <w:p>
      <w:pPr>
        <w:pStyle w:val="ListNumber"/>
      </w:pPr>
      <w:r>
        <w:t>devolver estados controlados sin anticipar B5–B8.</w:t>
      </w:r>
    </w:p>
    <w:p>
      <w:pPr>
        <w:spacing w:after="40"/>
      </w:pPr>
    </w:p>
    <w:p>
      <w:r>
        <w:t>B4 no puede definir referencias, funciones de puntuación, normalización, pesos, agregación o interpretación. Las ramas afectadas por GOEI-ISS-055–058, 008, 015, 043 o 054 se detendrán selectivamente cuando la conclusión dependa de ellas.</w:t>
      </w:r>
    </w:p>
    <w:p>
      <w:pPr>
        <w:spacing w:after="40"/>
      </w:pPr>
    </w:p>
    <w:p>
      <w:pPr>
        <w:pStyle w:val="Heading3"/>
      </w:pPr>
      <w:r>
        <w:t>Declaración de compuerta</w:t>
      </w:r>
    </w:p>
    <w:p>
      <w:pPr>
        <w:spacing w:after="40"/>
      </w:pPr>
    </w:p>
    <w:p>
      <w:r>
        <w:t>B3 queda cerrada en su pregunta nuclear y B4 habilitada. Ningún registro de GOEI-BSL-KPI-C-0001 v0.1.0 es todavía un KPI aprobado del GOEI.</w:t>
      </w:r>
    </w:p>
    <w:p>
      <w:pPr>
        <w:spacing w:after="40"/>
      </w:pPr>
    </w:p>
    <w:p>
      <w:r>
        <w:br w:type="page"/>
      </w:r>
    </w:p>
    <w:p>
      <w:pPr>
        <w:pStyle w:val="Heading1"/>
        <w:keepNext/>
      </w:pPr>
      <w:r>
        <w:t>Fuente 41: 00_Gobernanza/coordinacion/handoffs/Plantilla_handoff_Cientifico_Tecnico.md</w:t>
      </w:r>
    </w:p>
    <w:p>
      <w:pPr>
        <w:spacing w:after="200"/>
      </w:pPr>
      <w:r>
        <w:rPr>
          <w:rFonts w:ascii="Consolas" w:hAnsi="Consolas"/>
          <w:color w:val="595959"/>
          <w:sz w:val="16"/>
        </w:rPr>
        <w:t>Ruta: 00_Gobernanza/coordinacion/handoffs/Plantilla_handoff_Cientifico_Tecnico.md</w:t>
        <w:br/>
        <w:t>Tamaño: 678 bytes</w:t>
        <w:br/>
        <w:t>SHA-256: 0fa25c9a779df5f55dba021996566e34c5bcb523f96f74998b74078f18364469</w:t>
      </w:r>
    </w:p>
    <w:p>
      <w:pPr>
        <w:pStyle w:val="Heading2"/>
      </w:pPr>
      <w:r>
        <w:t>Handoff científico → técnico</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 de handoff | PENDIENTE |</w:t>
      </w:r>
    </w:p>
    <w:p>
      <w:pPr>
        <w:spacing w:after="20" w:line="240" w:lineRule="auto"/>
      </w:pPr>
      <w:r>
        <w:rPr>
          <w:rFonts w:ascii="Consolas" w:hAnsi="Consolas"/>
          <w:sz w:val="14"/>
        </w:rPr>
        <w:t>| Decisión científica | PENDIENTE |</w:t>
      </w:r>
    </w:p>
    <w:p>
      <w:pPr>
        <w:spacing w:after="20" w:line="240" w:lineRule="auto"/>
      </w:pPr>
      <w:r>
        <w:rPr>
          <w:rFonts w:ascii="Consolas" w:hAnsi="Consolas"/>
          <w:sz w:val="14"/>
        </w:rPr>
        <w:t>| Estado de aprobación | PENDIENTE |</w:t>
      </w:r>
    </w:p>
    <w:p>
      <w:pPr>
        <w:spacing w:after="20" w:line="240" w:lineRule="auto"/>
      </w:pPr>
      <w:r>
        <w:rPr>
          <w:rFonts w:ascii="Consolas" w:hAnsi="Consolas"/>
          <w:sz w:val="14"/>
        </w:rPr>
        <w:t>| Expediente y evidencias | PENDIENTE |</w:t>
      </w:r>
    </w:p>
    <w:p>
      <w:pPr>
        <w:spacing w:after="20" w:line="240" w:lineRule="auto"/>
      </w:pPr>
      <w:r>
        <w:rPr>
          <w:rFonts w:ascii="Consolas" w:hAnsi="Consolas"/>
          <w:sz w:val="14"/>
        </w:rPr>
        <w:t>| Componentes esperados | PENDIENTE |</w:t>
      </w:r>
    </w:p>
    <w:p>
      <w:pPr>
        <w:spacing w:after="20" w:line="240" w:lineRule="auto"/>
      </w:pPr>
      <w:r>
        <w:rPr>
          <w:rFonts w:ascii="Consolas" w:hAnsi="Consolas"/>
          <w:sz w:val="14"/>
        </w:rPr>
        <w:t>| Versión objetivo | PENDIENTE |</w:t>
      </w:r>
    </w:p>
    <w:p>
      <w:pPr>
        <w:spacing w:after="20" w:line="240" w:lineRule="auto"/>
      </w:pPr>
      <w:r>
        <w:rPr>
          <w:rFonts w:ascii="Consolas" w:hAnsi="Consolas"/>
          <w:sz w:val="14"/>
        </w:rPr>
        <w:t>| Dependencias e Issues | PENDIENTE |</w:t>
      </w:r>
    </w:p>
    <w:p>
      <w:pPr>
        <w:spacing w:after="20" w:line="240" w:lineRule="auto"/>
      </w:pPr>
      <w:r>
        <w:rPr>
          <w:rFonts w:ascii="Consolas" w:hAnsi="Consolas"/>
          <w:sz w:val="14"/>
        </w:rPr>
        <w:t>| Entregado por | PENDIENTE |</w:t>
      </w:r>
    </w:p>
    <w:p>
      <w:pPr>
        <w:spacing w:after="20" w:line="240" w:lineRule="auto"/>
      </w:pPr>
      <w:r>
        <w:rPr>
          <w:rFonts w:ascii="Consolas" w:hAnsi="Consolas"/>
          <w:sz w:val="14"/>
        </w:rPr>
        <w:t>| Recibido por | Oficina Técnica |</w:t>
      </w:r>
    </w:p>
    <w:p>
      <w:pPr>
        <w:spacing w:after="20" w:line="240" w:lineRule="auto"/>
      </w:pPr>
      <w:r>
        <w:rPr>
          <w:rFonts w:ascii="Consolas" w:hAnsi="Consolas"/>
          <w:sz w:val="14"/>
        </w:rPr>
        <w:t>| Resultado de auditoría formal | PENDIENTE |</w:t>
      </w:r>
    </w:p>
    <w:p>
      <w:pPr>
        <w:spacing w:after="40"/>
      </w:pPr>
    </w:p>
    <w:p>
      <w:pPr>
        <w:pStyle w:val="Heading3"/>
      </w:pPr>
      <w:r>
        <w:t>Límites</w:t>
      </w:r>
    </w:p>
    <w:p>
      <w:pPr>
        <w:spacing w:after="40"/>
      </w:pPr>
    </w:p>
    <w:p>
      <w:r>
        <w:t>[Qué decidió el Comité y qué dejó expresamente fuera.]</w:t>
      </w:r>
    </w:p>
    <w:p>
      <w:pPr>
        <w:spacing w:after="40"/>
      </w:pPr>
    </w:p>
    <w:p>
      <w:pPr>
        <w:pStyle w:val="Heading3"/>
      </w:pPr>
      <w:r>
        <w:t>Correspondencia requerida</w:t>
      </w:r>
    </w:p>
    <w:p>
      <w:pPr>
        <w:spacing w:after="40"/>
      </w:pPr>
    </w:p>
    <w:p>
      <w:pPr>
        <w:spacing w:after="20" w:line="240" w:lineRule="auto"/>
      </w:pPr>
      <w:r>
        <w:rPr>
          <w:rFonts w:ascii="Consolas" w:hAnsi="Consolas"/>
          <w:sz w:val="14"/>
        </w:rPr>
        <w:t>| Elemento de la decisión | Componente técnico previsto | Prueba de correspondencia |</w:t>
      </w:r>
    </w:p>
    <w:p>
      <w:pPr>
        <w:spacing w:after="20" w:line="240" w:lineRule="auto"/>
      </w:pPr>
      <w:r>
        <w:rPr>
          <w:rFonts w:ascii="Consolas" w:hAnsi="Consolas"/>
          <w:sz w:val="14"/>
        </w:rPr>
        <w:t>|---|---|---|</w:t>
      </w:r>
    </w:p>
    <w:p>
      <w:pPr>
        <w:spacing w:after="20" w:line="240" w:lineRule="auto"/>
      </w:pPr>
      <w:r>
        <w:rPr>
          <w:rFonts w:ascii="Consolas" w:hAnsi="Consolas"/>
          <w:sz w:val="14"/>
        </w:rPr>
        <w:t>| PENDIENTE | PENDIENTE | PENDIENTE |</w:t>
      </w:r>
    </w:p>
    <w:p>
      <w:r>
        <w:br w:type="page"/>
      </w:r>
    </w:p>
    <w:p>
      <w:pPr>
        <w:pStyle w:val="Heading1"/>
        <w:keepNext/>
      </w:pPr>
      <w:r>
        <w:t>Fuente 42: 00_Gobernanza/coordinacion/PIPELINE_B2_B10.md</w:t>
      </w:r>
    </w:p>
    <w:p>
      <w:pPr>
        <w:spacing w:after="200"/>
      </w:pPr>
      <w:r>
        <w:rPr>
          <w:rFonts w:ascii="Consolas" w:hAnsi="Consolas"/>
          <w:color w:val="595959"/>
          <w:sz w:val="16"/>
        </w:rPr>
        <w:t>Ruta: 00_Gobernanza/coordinacion/PIPELINE_B2_B10.md</w:t>
        <w:br/>
        <w:t>Tamaño: 23730 bytes</w:t>
        <w:br/>
        <w:t>SHA-256: a85ea190094fc785b806556d71afb79e1ee777893e017afc9dc7ac67a9908593</w:t>
      </w:r>
    </w:p>
    <w:p>
      <w:pPr>
        <w:pStyle w:val="Heading2"/>
      </w:pPr>
      <w:r>
        <w:t>Pipeline operativo B2–B10 del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GOEI-PIPE-B2-B10-0001 |</w:t>
      </w:r>
    </w:p>
    <w:p>
      <w:pPr>
        <w:spacing w:after="20" w:line="240" w:lineRule="auto"/>
      </w:pPr>
      <w:r>
        <w:rPr>
          <w:rFonts w:ascii="Consolas" w:hAnsi="Consolas"/>
          <w:sz w:val="14"/>
        </w:rPr>
        <w:t>| Tipo | Contrato de coordinación científico–técnica |</w:t>
      </w:r>
    </w:p>
    <w:p>
      <w:pPr>
        <w:spacing w:after="20" w:line="240" w:lineRule="auto"/>
      </w:pPr>
      <w:r>
        <w:rPr>
          <w:rFonts w:ascii="Consolas" w:hAnsi="Consolas"/>
          <w:sz w:val="14"/>
        </w:rPr>
        <w:t>| Estado | Preparado; activación condicionada al cierre oficial de B1 |</w:t>
      </w:r>
    </w:p>
    <w:p>
      <w:pPr>
        <w:spacing w:after="20" w:line="240" w:lineRule="auto"/>
      </w:pPr>
      <w:r>
        <w:rPr>
          <w:rFonts w:ascii="Consolas" w:hAnsi="Consolas"/>
          <w:sz w:val="14"/>
        </w:rPr>
        <w:t>| Propietario operativo | Oficina Técnica GOEI |</w:t>
      </w:r>
    </w:p>
    <w:p>
      <w:pPr>
        <w:spacing w:after="20" w:line="240" w:lineRule="auto"/>
      </w:pPr>
      <w:r>
        <w:rPr>
          <w:rFonts w:ascii="Consolas" w:hAnsi="Consolas"/>
          <w:sz w:val="14"/>
        </w:rPr>
        <w:t>| Propietario del contenido científico | Comité Científico GOEI |</w:t>
      </w:r>
    </w:p>
    <w:p>
      <w:pPr>
        <w:spacing w:after="20" w:line="240" w:lineRule="auto"/>
      </w:pPr>
      <w:r>
        <w:rPr>
          <w:rFonts w:ascii="Consolas" w:hAnsi="Consolas"/>
          <w:sz w:val="14"/>
        </w:rPr>
        <w:t>| Autoridad de aprobación | Dirección General, conforme a la gobernanza vigente |</w:t>
      </w:r>
    </w:p>
    <w:p>
      <w:pPr>
        <w:spacing w:after="20" w:line="240" w:lineRule="auto"/>
      </w:pPr>
      <w:r>
        <w:rPr>
          <w:rFonts w:ascii="Consolas" w:hAnsi="Consolas"/>
          <w:sz w:val="14"/>
        </w:rPr>
        <w:t>| Alcance | Fases B2 a B10 |</w:t>
      </w:r>
    </w:p>
    <w:p>
      <w:pPr>
        <w:spacing w:after="20" w:line="240" w:lineRule="auto"/>
      </w:pPr>
      <w:r>
        <w:rPr>
          <w:rFonts w:ascii="Consolas" w:hAnsi="Consolas"/>
          <w:sz w:val="14"/>
        </w:rPr>
        <w:t>| Exclusión | Este documento no responde preguntas científicas ni crea contenido del estándar |</w:t>
      </w:r>
    </w:p>
    <w:p>
      <w:pPr>
        <w:spacing w:after="40"/>
      </w:pPr>
    </w:p>
    <w:p>
      <w:pPr>
        <w:pStyle w:val="Heading3"/>
      </w:pPr>
      <w:r>
        <w:t>1. Propósito</w:t>
      </w:r>
    </w:p>
    <w:p>
      <w:pPr>
        <w:spacing w:after="40"/>
      </w:pPr>
    </w:p>
    <w:p>
      <w:r>
        <w:t>Definir el flujo controlado mediante el cual una investigación del Comité Científico puede convertirse, después de auditoría formal y aprobación competente, en componentes versionados del GOEI. El pipeline preserva la separación de autoridad: el Comité investiga y recomienda; la Oficina Técnica comprueba forma, identidad, trazabilidad e impacto; la Dirección aprueba, rechaza o devuelve; y solo una aprobación explícita habilita la integración normativa.</w:t>
      </w:r>
    </w:p>
    <w:p>
      <w:pPr>
        <w:spacing w:after="40"/>
      </w:pPr>
    </w:p>
    <w:p>
      <w:r>
        <w:t>Este documento establece cómo avanzar, pero no determina qué contenido debe aprobarse.</w:t>
      </w:r>
    </w:p>
    <w:p>
      <w:pPr>
        <w:spacing w:after="40"/>
      </w:pPr>
    </w:p>
    <w:p>
      <w:pPr>
        <w:pStyle w:val="Heading3"/>
      </w:pPr>
      <w:r>
        <w:t>2. Condición de activación</w:t>
      </w:r>
    </w:p>
    <w:p>
      <w:pPr>
        <w:spacing w:after="40"/>
      </w:pPr>
    </w:p>
    <w:p>
      <w:r>
        <w:t>B2 solo podrá pasar de bloqueada a habilitada cuando exista evidencia documental de todos los elementos siguientes:</w:t>
      </w:r>
    </w:p>
    <w:p>
      <w:pPr>
        <w:spacing w:after="40"/>
      </w:pPr>
    </w:p>
    <w:p>
      <w:pPr>
        <w:pStyle w:val="ListNumber"/>
      </w:pPr>
      <w:r>
        <w:t>decisión oficial que resuelva D-008 o la decisión que la sustituya;</w:t>
      </w:r>
    </w:p>
    <w:p>
      <w:pPr>
        <w:pStyle w:val="ListNumber"/>
      </w:pPr>
      <w:r>
        <w:t>declaración directiva inequívoca de cierre de B1;</w:t>
      </w:r>
    </w:p>
    <w:p>
      <w:pPr>
        <w:pStyle w:val="ListNumber"/>
      </w:pPr>
      <w:r>
        <w:t>cierre o disposición explícita de los Issues críticos de B1;</w:t>
      </w:r>
    </w:p>
    <w:p>
      <w:pPr>
        <w:pStyle w:val="ListNumber"/>
      </w:pPr>
      <w:r>
        <w:t>versión objetivo asignada a los componentes aprobados en B1;</w:t>
      </w:r>
    </w:p>
    <w:p>
      <w:pPr>
        <w:pStyle w:val="ListNumber"/>
      </w:pPr>
      <w:r>
        <w:t>integración técnica de B1 terminada y validada sin alterar el contenido aprobado.</w:t>
      </w:r>
    </w:p>
    <w:p>
      <w:pPr>
        <w:spacing w:after="40"/>
      </w:pPr>
    </w:p>
    <w:p>
      <w:r>
        <w:t>La mera existencia de una recomendación, borrador, manuscrito, informe o texto propuesto no satisface esta condición.</w:t>
      </w:r>
    </w:p>
    <w:p>
      <w:pPr>
        <w:spacing w:after="40"/>
      </w:pPr>
    </w:p>
    <w:p>
      <w:pPr>
        <w:pStyle w:val="Heading3"/>
      </w:pPr>
      <w:r>
        <w:t>3. Estados y actores</w:t>
      </w:r>
    </w:p>
    <w:p>
      <w:pPr>
        <w:spacing w:after="40"/>
      </w:pPr>
    </w:p>
    <w:p>
      <w:pPr>
        <w:pStyle w:val="Heading4"/>
      </w:pPr>
      <w:r>
        <w:t>3.1 Estados permitidos por fase</w:t>
      </w:r>
    </w:p>
    <w:p>
      <w:pPr>
        <w:spacing w:after="40"/>
      </w:pPr>
    </w:p>
    <w:p>
      <w:r>
        <w:t>bloqueada → habilitada → investigación → expediente recibido → auditoría técnica → elevada a decisión → (aprobada | devuelta | rechazada) → integración técnica → cerrada.</w:t>
      </w:r>
    </w:p>
    <w:p>
      <w:pPr>
        <w:spacing w:after="40"/>
      </w:pPr>
    </w:p>
    <w:p>
      <w:pPr>
        <w:pStyle w:val="ListBullet"/>
      </w:pPr>
      <w:r>
        <w:t>devuelta retorna al Comité con observaciones formales o requerimientos científicos expresados por la autoridad competente.</w:t>
      </w:r>
    </w:p>
    <w:p>
      <w:pPr>
        <w:pStyle w:val="ListBullet"/>
      </w:pPr>
      <w:r>
        <w:t>rechazada conserva el expediente y la decisión en el historial, pero no habilita integración normativa.</w:t>
      </w:r>
    </w:p>
    <w:p>
      <w:pPr>
        <w:pStyle w:val="ListBullet"/>
      </w:pPr>
      <w:r>
        <w:t>cerrada exige aprobación, integración, trazabilidad, versión y controles técnicos conformes.</w:t>
      </w:r>
    </w:p>
    <w:p>
      <w:pPr>
        <w:spacing w:after="40"/>
      </w:pPr>
    </w:p>
    <w:p>
      <w:pPr>
        <w:pStyle w:val="Heading4"/>
      </w:pPr>
      <w:r>
        <w:t>3.2 Separación de responsabilidades</w:t>
      </w:r>
    </w:p>
    <w:p>
      <w:pPr>
        <w:spacing w:after="40"/>
      </w:pPr>
    </w:p>
    <w:p>
      <w:pPr>
        <w:spacing w:after="20" w:line="240" w:lineRule="auto"/>
      </w:pPr>
      <w:r>
        <w:rPr>
          <w:rFonts w:ascii="Consolas" w:hAnsi="Consolas"/>
          <w:sz w:val="14"/>
        </w:rPr>
        <w:t>| Actividad | Comité Científico | Oficina Técnica | Dirección General |</w:t>
      </w:r>
    </w:p>
    <w:p>
      <w:pPr>
        <w:spacing w:after="20" w:line="240" w:lineRule="auto"/>
      </w:pPr>
      <w:r>
        <w:rPr>
          <w:rFonts w:ascii="Consolas" w:hAnsi="Consolas"/>
          <w:sz w:val="14"/>
        </w:rPr>
        <w:t>|---|---|---|---|</w:t>
      </w:r>
    </w:p>
    <w:p>
      <w:pPr>
        <w:spacing w:after="20" w:line="240" w:lineRule="auto"/>
      </w:pPr>
      <w:r>
        <w:rPr>
          <w:rFonts w:ascii="Consolas" w:hAnsi="Consolas"/>
          <w:sz w:val="14"/>
        </w:rPr>
        <w:t>| Formular y resolver la pregunta científica | Responsable | No participa en el contenido | Toma conocimiento |</w:t>
      </w:r>
    </w:p>
    <w:p>
      <w:pPr>
        <w:spacing w:after="20" w:line="240" w:lineRule="auto"/>
      </w:pPr>
      <w:r>
        <w:rPr>
          <w:rFonts w:ascii="Consolas" w:hAnsi="Consolas"/>
          <w:sz w:val="14"/>
        </w:rPr>
        <w:t>| Investigar y evaluar evidencia | Responsable | No interpreta | No sustituye al Comité |</w:t>
      </w:r>
    </w:p>
    <w:p>
      <w:pPr>
        <w:spacing w:after="20" w:line="240" w:lineRule="auto"/>
      </w:pPr>
      <w:r>
        <w:rPr>
          <w:rFonts w:ascii="Consolas" w:hAnsi="Consolas"/>
          <w:sz w:val="14"/>
        </w:rPr>
        <w:t>| Proponer decisión | Responsable | Registra como propuesta | Recibe expediente |</w:t>
      </w:r>
    </w:p>
    <w:p>
      <w:pPr>
        <w:spacing w:after="20" w:line="240" w:lineRule="auto"/>
      </w:pPr>
      <w:r>
        <w:rPr>
          <w:rFonts w:ascii="Consolas" w:hAnsi="Consolas"/>
          <w:sz w:val="14"/>
        </w:rPr>
        <w:t>| Auditar completitud y consistencia formal | Consultado | Responsable | Toma conocimiento |</w:t>
      </w:r>
    </w:p>
    <w:p>
      <w:pPr>
        <w:spacing w:after="20" w:line="240" w:lineRule="auto"/>
      </w:pPr>
      <w:r>
        <w:rPr>
          <w:rFonts w:ascii="Consolas" w:hAnsi="Consolas"/>
          <w:sz w:val="14"/>
        </w:rPr>
        <w:t>| Aprobar, rechazar o devolver | Consultado | No aprueba ciencia | Responsable |</w:t>
      </w:r>
    </w:p>
    <w:p>
      <w:pPr>
        <w:spacing w:after="20" w:line="240" w:lineRule="auto"/>
      </w:pPr>
      <w:r>
        <w:rPr>
          <w:rFonts w:ascii="Consolas" w:hAnsi="Consolas"/>
          <w:sz w:val="14"/>
        </w:rPr>
        <w:t>| Integrar componentes aprobados | Consultado | Responsable | Autoriza mediante decisión |</w:t>
      </w:r>
    </w:p>
    <w:p>
      <w:pPr>
        <w:spacing w:after="20" w:line="240" w:lineRule="auto"/>
      </w:pPr>
      <w:r>
        <w:rPr>
          <w:rFonts w:ascii="Consolas" w:hAnsi="Consolas"/>
          <w:sz w:val="14"/>
        </w:rPr>
        <w:t>| Versionar, trazar y validar repositorio | Informa dependencias | Responsable | Supervisa |</w:t>
      </w:r>
    </w:p>
    <w:p>
      <w:pPr>
        <w:spacing w:after="40"/>
      </w:pPr>
    </w:p>
    <w:p>
      <w:pPr>
        <w:pStyle w:val="Heading3"/>
      </w:pPr>
      <w:r>
        <w:t>4. Contrato común de expediente y handoff</w:t>
      </w:r>
    </w:p>
    <w:p>
      <w:pPr>
        <w:spacing w:after="40"/>
      </w:pPr>
    </w:p>
    <w:p>
      <w:r>
        <w:t>Cada fase debe producir un expediente científico y un handoff técnico con identificadores únicos. Como mínimo, el expediente deberá contener:</w:t>
      </w:r>
    </w:p>
    <w:p>
      <w:pPr>
        <w:spacing w:after="40"/>
      </w:pPr>
    </w:p>
    <w:p>
      <w:pPr>
        <w:pStyle w:val="ListBullet"/>
      </w:pPr>
      <w:r>
        <w:t>identificador, título, fase, versión, fecha, autoría y estado;</w:t>
      </w:r>
    </w:p>
    <w:p>
      <w:pPr>
        <w:pStyle w:val="ListBullet"/>
      </w:pPr>
      <w:r>
        <w:t>pregunta científica delimitada;</w:t>
      </w:r>
    </w:p>
    <w:p>
      <w:pPr>
        <w:pStyle w:val="ListBullet"/>
      </w:pPr>
      <w:r>
        <w:t>alcance, exclusiones y unidad de análisis aplicable;</w:t>
      </w:r>
    </w:p>
    <w:p>
      <w:pPr>
        <w:pStyle w:val="ListBullet"/>
      </w:pPr>
      <w:r>
        <w:t>protocolo o método empleado;</w:t>
      </w:r>
    </w:p>
    <w:p>
      <w:pPr>
        <w:pStyle w:val="ListBullet"/>
      </w:pPr>
      <w:r>
        <w:t>inventario trazable de evidencias y fuentes;</w:t>
      </w:r>
    </w:p>
    <w:p>
      <w:pPr>
        <w:pStyle w:val="ListBullet"/>
      </w:pPr>
      <w:r>
        <w:t>síntesis de resultados, alternativas, objeciones y limitaciones;</w:t>
      </w:r>
    </w:p>
    <w:p>
      <w:pPr>
        <w:pStyle w:val="ListBullet"/>
      </w:pPr>
      <w:r>
        <w:t>propuesta de decisión claramente separada de la evidencia;</w:t>
      </w:r>
    </w:p>
    <w:p>
      <w:pPr>
        <w:pStyle w:val="ListBullet"/>
      </w:pPr>
      <w:r>
        <w:t>elementos candidatos, sin presentarlos como normativos antes de aprobación;</w:t>
      </w:r>
    </w:p>
    <w:p>
      <w:pPr>
        <w:pStyle w:val="ListBullet"/>
      </w:pPr>
      <w:r>
        <w:t>dependencias recibidas y dependencias que el resultado genera;</w:t>
      </w:r>
    </w:p>
    <w:p>
      <w:pPr>
        <w:pStyle w:val="ListBullet"/>
      </w:pPr>
      <w:r>
        <w:t>preguntas abiertas e Issues;</w:t>
      </w:r>
    </w:p>
    <w:p>
      <w:pPr>
        <w:pStyle w:val="ListBullet"/>
      </w:pPr>
      <w:r>
        <w:t>declaración del Comité sobre suficiencia o necesidad de investigación adicional;</w:t>
      </w:r>
    </w:p>
    <w:p>
      <w:pPr>
        <w:pStyle w:val="ListBullet"/>
      </w:pPr>
      <w:r>
        <w:t>análisis de impacto esperado sobre ontología, Knowledge Graph, BOK, documentos normativos, tesis, publicación, formularios y software;</w:t>
      </w:r>
    </w:p>
    <w:p>
      <w:pPr>
        <w:pStyle w:val="ListBullet"/>
      </w:pPr>
      <w:r>
        <w:t>firma o mecanismo de autenticidad definido por la gobernanza.</w:t>
      </w:r>
    </w:p>
    <w:p>
      <w:pPr>
        <w:spacing w:after="40"/>
      </w:pPr>
    </w:p>
    <w:p>
      <w:r>
        <w:t>El handoff de la Oficina Técnica registrará, sin dictaminar validez científica:</w:t>
      </w:r>
    </w:p>
    <w:p>
      <w:pPr>
        <w:spacing w:after="40"/>
      </w:pPr>
    </w:p>
    <w:p>
      <w:pPr>
        <w:pStyle w:val="ListBullet"/>
      </w:pPr>
      <w:r>
        <w:t>artefactos recibidos y sus checksums;</w:t>
      </w:r>
    </w:p>
    <w:p>
      <w:pPr>
        <w:pStyle w:val="ListBullet"/>
      </w:pPr>
      <w:r>
        <w:t>decisión o propuesta relacionada;</w:t>
      </w:r>
    </w:p>
    <w:p>
      <w:pPr>
        <w:pStyle w:val="ListBullet"/>
      </w:pPr>
      <w:r>
        <w:t>controles de completitud, identidad y trazabilidad;</w:t>
      </w:r>
    </w:p>
    <w:p>
      <w:pPr>
        <w:pStyle w:val="ListBullet"/>
      </w:pPr>
      <w:r>
        <w:t>contradicciones terminológicas o estructurales detectadas;</w:t>
      </w:r>
    </w:p>
    <w:p>
      <w:pPr>
        <w:pStyle w:val="ListBullet"/>
      </w:pPr>
      <w:r>
        <w:t>dependencias e impacto técnico;</w:t>
      </w:r>
    </w:p>
    <w:p>
      <w:pPr>
        <w:pStyle w:val="ListBullet"/>
      </w:pPr>
      <w:r>
        <w:t>componentes integrables y ramas selectivamente bloqueadas;</w:t>
      </w:r>
    </w:p>
    <w:p>
      <w:pPr>
        <w:pStyle w:val="ListBullet"/>
      </w:pPr>
      <w:r>
        <w:t>resultado: aceptable para decisión, devolver por defecto formal o no auditable;</w:t>
      </w:r>
    </w:p>
    <w:p>
      <w:pPr>
        <w:pStyle w:val="ListBullet"/>
      </w:pPr>
      <w:r>
        <w:t>condición exacta de reanudación.</w:t>
      </w:r>
    </w:p>
    <w:p>
      <w:pPr>
        <w:spacing w:after="40"/>
      </w:pPr>
    </w:p>
    <w:p>
      <w:pPr>
        <w:pStyle w:val="Heading3"/>
      </w:pPr>
      <w:r>
        <w:t>5. Pipeline por fase</w:t>
      </w:r>
    </w:p>
    <w:p>
      <w:pPr>
        <w:spacing w:after="40"/>
      </w:pPr>
    </w:p>
    <w:p>
      <w:pPr>
        <w:pStyle w:val="Heading4"/>
      </w:pPr>
      <w:r>
        <w:t>B2 — Taxonomía universal</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B1 cerrada; catálogo/versionado de procesos aprobado; alcance y unidad de análisis vigentes; ontología baseline disponible; Issues heredados identificados |</w:t>
      </w:r>
    </w:p>
    <w:p>
      <w:pPr>
        <w:spacing w:after="20" w:line="240" w:lineRule="auto"/>
      </w:pPr>
      <w:r>
        <w:rPr>
          <w:rFonts w:ascii="Consolas" w:hAnsi="Consolas"/>
          <w:sz w:val="14"/>
        </w:rPr>
        <w:t>| Pregunta científica del Comité | ¿Qué sistema de clasificación permite delimitar y comparar las entidades comprendidas por el GOEI, con qué ejes, criterios de pertenencia, exclusiones y casos límite? |</w:t>
      </w:r>
    </w:p>
    <w:p>
      <w:pPr>
        <w:spacing w:after="20" w:line="240" w:lineRule="auto"/>
      </w:pPr>
      <w:r>
        <w:rPr>
          <w:rFonts w:ascii="Consolas" w:hAnsi="Consolas"/>
          <w:sz w:val="14"/>
        </w:rPr>
        <w:t>| Expediente requerido | Revisión científica de alternativas taxonómicas, propuesta de taxonomía, definiciones, criterios de clasificación, casos límite, limitaciones y propuesta de decisión B2 |</w:t>
      </w:r>
    </w:p>
    <w:p>
      <w:pPr>
        <w:spacing w:after="20" w:line="240" w:lineRule="auto"/>
      </w:pPr>
      <w:r>
        <w:rPr>
          <w:rFonts w:ascii="Consolas" w:hAnsi="Consolas"/>
          <w:sz w:val="14"/>
        </w:rPr>
        <w:t>| Handoff requerido | Inventario de clases y relaciones candidatas, mapa con la ontología, control de términos, IDs, fuentes, Issues y efectos sobre procesos y comparabilidad |</w:t>
      </w:r>
    </w:p>
    <w:p>
      <w:pPr>
        <w:spacing w:after="20" w:line="240" w:lineRule="auto"/>
      </w:pPr>
      <w:r>
        <w:rPr>
          <w:rFonts w:ascii="Consolas" w:hAnsi="Consolas"/>
          <w:sz w:val="14"/>
        </w:rPr>
        <w:t>| Auditoría técnica Codex | Separación tipo/instancia; unicidad de identificadores; jerarquías no circulares; cardinalidades; compatibilidad con formularios, software y Knowledge Graph; trazabilidad completa |</w:t>
      </w:r>
    </w:p>
    <w:p>
      <w:pPr>
        <w:spacing w:after="20" w:line="240" w:lineRule="auto"/>
      </w:pPr>
      <w:r>
        <w:rPr>
          <w:rFonts w:ascii="Consolas" w:hAnsi="Consolas"/>
          <w:sz w:val="14"/>
        </w:rPr>
        <w:t>| Decisión de compuerta | Dirección aprueba, rechaza o devuelve la taxonomía y declara expresamente si B2 queda cerrada |</w:t>
      </w:r>
    </w:p>
    <w:p>
      <w:pPr>
        <w:spacing w:after="20" w:line="240" w:lineRule="auto"/>
      </w:pPr>
      <w:r>
        <w:rPr>
          <w:rFonts w:ascii="Consolas" w:hAnsi="Consolas"/>
          <w:sz w:val="14"/>
        </w:rPr>
        <w:t>| Artefactos habilitados | Taxonomía baseline; vocabulario controlado; esquemas de clasificación; actualización aprobada de BOK/KG; apertura de B3 |</w:t>
      </w:r>
    </w:p>
    <w:p>
      <w:pPr>
        <w:spacing w:after="20" w:line="240" w:lineRule="auto"/>
      </w:pPr>
      <w:r>
        <w:rPr>
          <w:rFonts w:ascii="Consolas" w:hAnsi="Consolas"/>
          <w:sz w:val="14"/>
        </w:rPr>
        <w:t>| Blockers | B1 no cerrada; universo o unidad de análisis no resueltos; criterios de pertenencia ausentes; contradicción con ontología; decisión no aprobada |</w:t>
      </w:r>
    </w:p>
    <w:p>
      <w:pPr>
        <w:spacing w:after="20" w:line="240" w:lineRule="auto"/>
      </w:pPr>
      <w:r>
        <w:rPr>
          <w:rFonts w:ascii="Consolas" w:hAnsi="Consolas"/>
          <w:sz w:val="14"/>
        </w:rPr>
        <w:t>| No avance | No iniciar selección científica de KPI mientras no exista taxonomía aprobada o una excepción directiva documentada |</w:t>
      </w:r>
    </w:p>
    <w:p>
      <w:pPr>
        <w:spacing w:after="40"/>
      </w:pPr>
    </w:p>
    <w:p>
      <w:pPr>
        <w:pStyle w:val="Heading4"/>
      </w:pPr>
      <w:r>
        <w:t>B3 — Universo y catálogo candidato de KPI</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B2 cerrada; taxonomía y procesos aprobados; plantilla de entidad KPI disponible; protocolo de revisión científica aprobado por el Comité |</w:t>
      </w:r>
    </w:p>
    <w:p>
      <w:pPr>
        <w:spacing w:after="20" w:line="240" w:lineRule="auto"/>
      </w:pPr>
      <w:r>
        <w:rPr>
          <w:rFonts w:ascii="Consolas" w:hAnsi="Consolas"/>
          <w:sz w:val="14"/>
        </w:rPr>
        <w:t>| Pregunta científica del Comité | ¿Qué indicadores documentados podrían representar los procesos y categorías aprobados dentro del alcance del GOEI? |</w:t>
      </w:r>
    </w:p>
    <w:p>
      <w:pPr>
        <w:spacing w:after="20" w:line="240" w:lineRule="auto"/>
      </w:pPr>
      <w:r>
        <w:rPr>
          <w:rFonts w:ascii="Consolas" w:hAnsi="Consolas"/>
          <w:sz w:val="14"/>
        </w:rPr>
        <w:t>| Expediente requerido | Protocolo de búsqueda/selección, inventario de candidatos, evidencia por candidato, definiciones operacionales encontradas, cobertura, duplicados, vacíos, limitaciones y propuesta de decisión B3 |</w:t>
      </w:r>
    </w:p>
    <w:p>
      <w:pPr>
        <w:spacing w:after="20" w:line="240" w:lineRule="auto"/>
      </w:pPr>
      <w:r>
        <w:rPr>
          <w:rFonts w:ascii="Consolas" w:hAnsi="Consolas"/>
          <w:sz w:val="14"/>
        </w:rPr>
        <w:t>| Handoff requerido | Catálogo candidato con IDs estables, procedencia, estado no normativo, relaciones proceso–categoría–evidencia y lista explícita de vacíos |</w:t>
      </w:r>
    </w:p>
    <w:p>
      <w:pPr>
        <w:spacing w:after="20" w:line="240" w:lineRule="auto"/>
      </w:pPr>
      <w:r>
        <w:rPr>
          <w:rFonts w:ascii="Consolas" w:hAnsi="Consolas"/>
          <w:sz w:val="14"/>
        </w:rPr>
        <w:t>| Auditoría técnica Codex | Esquema completo; ausencia de candidatos sin fuente; control de duplicidad; consistencia de unidades y términos como datos declarados; cobertura trazable sin evaluar pertinencia científica |</w:t>
      </w:r>
    </w:p>
    <w:p>
      <w:pPr>
        <w:spacing w:after="20" w:line="240" w:lineRule="auto"/>
      </w:pPr>
      <w:r>
        <w:rPr>
          <w:rFonts w:ascii="Consolas" w:hAnsi="Consolas"/>
          <w:sz w:val="14"/>
        </w:rPr>
        <w:t>| Decisión de compuerta | Dirección acepta el universo candidato como insumo de B4, lo devuelve o rechaza; aceptar candidatos no los incorpora al estándar |</w:t>
      </w:r>
    </w:p>
    <w:p>
      <w:pPr>
        <w:spacing w:after="20" w:line="240" w:lineRule="auto"/>
      </w:pPr>
      <w:r>
        <w:rPr>
          <w:rFonts w:ascii="Consolas" w:hAnsi="Consolas"/>
          <w:sz w:val="14"/>
        </w:rPr>
        <w:t>| Artefactos habilitados | Registro controlado de KPI candidatos; matriz de cobertura; cola de evaluación B4; actualización registral del KG |</w:t>
      </w:r>
    </w:p>
    <w:p>
      <w:pPr>
        <w:spacing w:after="20" w:line="240" w:lineRule="auto"/>
      </w:pPr>
      <w:r>
        <w:rPr>
          <w:rFonts w:ascii="Consolas" w:hAnsi="Consolas"/>
          <w:sz w:val="14"/>
        </w:rPr>
        <w:t>| Blockers | Procesos/taxonomía no aprobados; fuentes no trazables; candidatos mezclados con KPI normativos; protocolo incompleto; vacíos científicos no registrados |</w:t>
      </w:r>
    </w:p>
    <w:p>
      <w:pPr>
        <w:spacing w:after="20" w:line="240" w:lineRule="auto"/>
      </w:pPr>
      <w:r>
        <w:rPr>
          <w:rFonts w:ascii="Consolas" w:hAnsi="Consolas"/>
          <w:sz w:val="14"/>
        </w:rPr>
        <w:t>| No avance | Ningún candidato puede recibir estado `admisible`, fórmula GOEI, ponderación, umbral o integración normativa en B3 |</w:t>
      </w:r>
    </w:p>
    <w:p>
      <w:pPr>
        <w:spacing w:after="40"/>
      </w:pPr>
    </w:p>
    <w:p>
      <w:pPr>
        <w:pStyle w:val="Heading4"/>
      </w:pPr>
      <w:r>
        <w:t>B4 — Admisibilidad y selección de KPI</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B3 cerrada; catálogo candidato congelado; criterios y método de admisibilidad sometidos a decisión científica |</w:t>
      </w:r>
    </w:p>
    <w:p>
      <w:pPr>
        <w:spacing w:after="20" w:line="240" w:lineRule="auto"/>
      </w:pPr>
      <w:r>
        <w:rPr>
          <w:rFonts w:ascii="Consolas" w:hAnsi="Consolas"/>
          <w:sz w:val="14"/>
        </w:rPr>
        <w:t>| Pregunta científica del Comité | ¿Qué criterios deben gobernar la admisibilidad y qué candidatos los satisfacen para cada alcance aprobado? |</w:t>
      </w:r>
    </w:p>
    <w:p>
      <w:pPr>
        <w:spacing w:after="20" w:line="240" w:lineRule="auto"/>
      </w:pPr>
      <w:r>
        <w:rPr>
          <w:rFonts w:ascii="Consolas" w:hAnsi="Consolas"/>
          <w:sz w:val="14"/>
        </w:rPr>
        <w:t>| Expediente requerido | Método de evaluación, criterios justificados, matriz candidato–criterio, resultados, desacuerdos, exclusiones, limitaciones, vacíos y propuesta de decisión B4 |</w:t>
      </w:r>
    </w:p>
    <w:p>
      <w:pPr>
        <w:spacing w:after="20" w:line="240" w:lineRule="auto"/>
      </w:pPr>
      <w:r>
        <w:rPr>
          <w:rFonts w:ascii="Consolas" w:hAnsi="Consolas"/>
          <w:sz w:val="14"/>
        </w:rPr>
        <w:t>| Handoff requerido | Estados por candidato, evidencia de cada evaluación, razones de inclusión/exclusión, dependencias de datos y mapeo a procesos/categorías |</w:t>
      </w:r>
    </w:p>
    <w:p>
      <w:pPr>
        <w:spacing w:after="20" w:line="240" w:lineRule="auto"/>
      </w:pPr>
      <w:r>
        <w:rPr>
          <w:rFonts w:ascii="Consolas" w:hAnsi="Consolas"/>
          <w:sz w:val="14"/>
        </w:rPr>
        <w:t>| Auditoría técnica Codex | Integridad de la matriz; vocabulario de estados; trazabilidad criterio–evidencia–resultado; coherencia de IDs; ninguna conclusión sin decisión asociada |</w:t>
      </w:r>
    </w:p>
    <w:p>
      <w:pPr>
        <w:spacing w:after="20" w:line="240" w:lineRule="auto"/>
      </w:pPr>
      <w:r>
        <w:rPr>
          <w:rFonts w:ascii="Consolas" w:hAnsi="Consolas"/>
          <w:sz w:val="14"/>
        </w:rPr>
        <w:t>| Decisión de compuerta | Dirección aprueba el método y la selección, devuelve o rechaza; declara cierre B4 y alcance exacto de lo admisible |</w:t>
      </w:r>
    </w:p>
    <w:p>
      <w:pPr>
        <w:spacing w:after="20" w:line="240" w:lineRule="auto"/>
      </w:pPr>
      <w:r>
        <w:rPr>
          <w:rFonts w:ascii="Consolas" w:hAnsi="Consolas"/>
          <w:sz w:val="14"/>
        </w:rPr>
        <w:t>| Artefactos habilitados | Catálogo de KPI admisibles versionado; catálogo histórico de excluidos; requisitos de datos; apertura de B5 |</w:t>
      </w:r>
    </w:p>
    <w:p>
      <w:pPr>
        <w:spacing w:after="20" w:line="240" w:lineRule="auto"/>
      </w:pPr>
      <w:r>
        <w:rPr>
          <w:rFonts w:ascii="Consolas" w:hAnsi="Consolas"/>
          <w:sz w:val="14"/>
        </w:rPr>
        <w:t>| Blockers | Criterios no aprobados; evaluación incompleta; candidatos sin evidencia; conflictos de alcance; decisiones de inclusión ambiguas |</w:t>
      </w:r>
    </w:p>
    <w:p>
      <w:pPr>
        <w:spacing w:after="20" w:line="240" w:lineRule="auto"/>
      </w:pPr>
      <w:r>
        <w:rPr>
          <w:rFonts w:ascii="Consolas" w:hAnsi="Consolas"/>
          <w:sz w:val="14"/>
        </w:rPr>
        <w:t>| No avance | No definir referencias, transformaciones, pesos, agregación o interpretación para KPI no aprobados |</w:t>
      </w:r>
    </w:p>
    <w:p>
      <w:pPr>
        <w:spacing w:after="40"/>
      </w:pPr>
    </w:p>
    <w:p>
      <w:pPr>
        <w:pStyle w:val="Heading4"/>
      </w:pPr>
      <w:r>
        <w:t>B5 — Condiciones de referencia y especificación de medición</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B4 cerrada; KPI admisibles identificados; procesos, taxonomía, unidades de análisis y periodos aplicables aprobados |</w:t>
      </w:r>
    </w:p>
    <w:p>
      <w:pPr>
        <w:spacing w:after="20" w:line="240" w:lineRule="auto"/>
      </w:pPr>
      <w:r>
        <w:rPr>
          <w:rFonts w:ascii="Consolas" w:hAnsi="Consolas"/>
          <w:sz w:val="14"/>
        </w:rPr>
        <w:t>| Pregunta científica del Comité | ¿Cómo debe especificarse la medición de cada KPI admisible y contra qué condiciones de referencia científicamente justificadas debe interpretarse? |</w:t>
      </w:r>
    </w:p>
    <w:p>
      <w:pPr>
        <w:spacing w:after="20" w:line="240" w:lineRule="auto"/>
      </w:pPr>
      <w:r>
        <w:rPr>
          <w:rFonts w:ascii="Consolas" w:hAnsi="Consolas"/>
          <w:sz w:val="14"/>
        </w:rPr>
        <w:t>| Expediente requerido | Definiciones operacionales, variables requeridas, unidades, direccionalidad, periodos, condiciones de referencia, datos faltantes, calidad de datos, limitaciones y propuesta de decisión B5 |</w:t>
      </w:r>
    </w:p>
    <w:p>
      <w:pPr>
        <w:spacing w:after="20" w:line="240" w:lineRule="auto"/>
      </w:pPr>
      <w:r>
        <w:rPr>
          <w:rFonts w:ascii="Consolas" w:hAnsi="Consolas"/>
          <w:sz w:val="14"/>
        </w:rPr>
        <w:t>| Handoff requerido | Fichas de medición candidatas, diccionario de datos, reglas candidatas de captura y mapa de dependencias documentales |</w:t>
      </w:r>
    </w:p>
    <w:p>
      <w:pPr>
        <w:spacing w:after="20" w:line="240" w:lineRule="auto"/>
      </w:pPr>
      <w:r>
        <w:rPr>
          <w:rFonts w:ascii="Consolas" w:hAnsi="Consolas"/>
          <w:sz w:val="14"/>
        </w:rPr>
        <w:t>| Auditoría técnica Codex | Campos obligatorios; consistencia dimensional; identificadores de variables; representación manual y digital; reglas expresables sin ambigüedad; trazabilidad a decisiones |</w:t>
      </w:r>
    </w:p>
    <w:p>
      <w:pPr>
        <w:spacing w:after="20" w:line="240" w:lineRule="auto"/>
      </w:pPr>
      <w:r>
        <w:rPr>
          <w:rFonts w:ascii="Consolas" w:hAnsi="Consolas"/>
          <w:sz w:val="14"/>
        </w:rPr>
        <w:t>| Decisión de compuerta | Dirección aprueba, devuelve o rechaza especificaciones y referencias; cierre B5 debe ser explícito |</w:t>
      </w:r>
    </w:p>
    <w:p>
      <w:pPr>
        <w:spacing w:after="20" w:line="240" w:lineRule="auto"/>
      </w:pPr>
      <w:r>
        <w:rPr>
          <w:rFonts w:ascii="Consolas" w:hAnsi="Consolas"/>
          <w:sz w:val="14"/>
        </w:rPr>
        <w:t>| Artefactos habilitados | Fichas KPI aprobadas; diccionario de datos baseline; requisitos de formularios; insumos autorizados para B6 |</w:t>
      </w:r>
    </w:p>
    <w:p>
      <w:pPr>
        <w:spacing w:after="20" w:line="240" w:lineRule="auto"/>
      </w:pPr>
      <w:r>
        <w:rPr>
          <w:rFonts w:ascii="Consolas" w:hAnsi="Consolas"/>
          <w:sz w:val="14"/>
        </w:rPr>
        <w:t>| Blockers | Referencias no justificadas; definición incompleta; unidad/periodo ambiguos; tratamiento de datos ausente; dependencia empírica no resuelta |</w:t>
      </w:r>
    </w:p>
    <w:p>
      <w:pPr>
        <w:spacing w:after="20" w:line="240" w:lineRule="auto"/>
      </w:pPr>
      <w:r>
        <w:rPr>
          <w:rFonts w:ascii="Consolas" w:hAnsi="Consolas"/>
          <w:sz w:val="14"/>
        </w:rPr>
        <w:t>| No avance | No normalizar una variable cuya definición, dirección o referencia no esté aprobada |</w:t>
      </w:r>
    </w:p>
    <w:p>
      <w:pPr>
        <w:spacing w:after="40"/>
      </w:pPr>
    </w:p>
    <w:p>
      <w:pPr>
        <w:pStyle w:val="Heading4"/>
      </w:pPr>
      <w:r>
        <w:t>B6 — Normalización</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B5 cerrada; fichas KPI y referencias aprobadas; requisitos de comparabilidad declarados |</w:t>
      </w:r>
    </w:p>
    <w:p>
      <w:pPr>
        <w:spacing w:after="20" w:line="240" w:lineRule="auto"/>
      </w:pPr>
      <w:r>
        <w:rPr>
          <w:rFonts w:ascii="Consolas" w:hAnsi="Consolas"/>
          <w:sz w:val="14"/>
        </w:rPr>
        <w:t>| Pregunta científica del Comité | ¿Qué transformación a una escala común es válida para cada KPI y cómo deben tratarse límites, faltantes, valores extremos y diferencias de categoría? |</w:t>
      </w:r>
    </w:p>
    <w:p>
      <w:pPr>
        <w:spacing w:after="20" w:line="240" w:lineRule="auto"/>
      </w:pPr>
      <w:r>
        <w:rPr>
          <w:rFonts w:ascii="Consolas" w:hAnsi="Consolas"/>
          <w:sz w:val="14"/>
        </w:rPr>
        <w:t>| Expediente requerido | Alternativas evaluadas, supuestos, transformaciones candidatas, reglas de dominio, pruebas o simulaciones autorizadas, limitaciones y propuesta de decisión B6 |</w:t>
      </w:r>
    </w:p>
    <w:p>
      <w:pPr>
        <w:spacing w:after="20" w:line="240" w:lineRule="auto"/>
      </w:pPr>
      <w:r>
        <w:rPr>
          <w:rFonts w:ascii="Consolas" w:hAnsi="Consolas"/>
          <w:sz w:val="14"/>
        </w:rPr>
        <w:t>| Handoff requerido | Especificación matemática candidata por transformación, casos de prueba proporcionados por el Comité, variables y reglas de error |</w:t>
      </w:r>
    </w:p>
    <w:p>
      <w:pPr>
        <w:spacing w:after="20" w:line="240" w:lineRule="auto"/>
      </w:pPr>
      <w:r>
        <w:rPr>
          <w:rFonts w:ascii="Consolas" w:hAnsi="Consolas"/>
          <w:sz w:val="14"/>
        </w:rPr>
        <w:t>| Auditoría técnica Codex | Sintaxis y completitud; dominios/codominios declarados; determinismo; unidades; casos frontera; implementabilidad manual y digital; correspondencia exacta con decisión |</w:t>
      </w:r>
    </w:p>
    <w:p>
      <w:pPr>
        <w:spacing w:after="20" w:line="240" w:lineRule="auto"/>
      </w:pPr>
      <w:r>
        <w:rPr>
          <w:rFonts w:ascii="Consolas" w:hAnsi="Consolas"/>
          <w:sz w:val="14"/>
        </w:rPr>
        <w:t>| Decisión de compuerta | Dirección aprueba, devuelve o rechaza el sistema de normalización y declara cierre B6 |</w:t>
      </w:r>
    </w:p>
    <w:p>
      <w:pPr>
        <w:spacing w:after="20" w:line="240" w:lineRule="auto"/>
      </w:pPr>
      <w:r>
        <w:rPr>
          <w:rFonts w:ascii="Consolas" w:hAnsi="Consolas"/>
          <w:sz w:val="14"/>
        </w:rPr>
        <w:t>| Artefactos habilitados | Especificación de normalización versionada; tablas/formularios derivados; pruebas de conformidad; apertura de B7 |</w:t>
      </w:r>
    </w:p>
    <w:p>
      <w:pPr>
        <w:spacing w:after="20" w:line="240" w:lineRule="auto"/>
      </w:pPr>
      <w:r>
        <w:rPr>
          <w:rFonts w:ascii="Consolas" w:hAnsi="Consolas"/>
          <w:sz w:val="14"/>
        </w:rPr>
        <w:t>| Blockers | KPI o referencias no aprobados; función sin dominio; comportamiento frontera indefinido; incompatibilidad manual no resuelta; falta de decisión |</w:t>
      </w:r>
    </w:p>
    <w:p>
      <w:pPr>
        <w:spacing w:after="20" w:line="240" w:lineRule="auto"/>
      </w:pPr>
      <w:r>
        <w:rPr>
          <w:rFonts w:ascii="Consolas" w:hAnsi="Consolas"/>
          <w:sz w:val="14"/>
        </w:rPr>
        <w:t>| No avance | Codex no elegirá ni ajustará una transformación y no inferirá parámetros faltantes |</w:t>
      </w:r>
    </w:p>
    <w:p>
      <w:pPr>
        <w:spacing w:after="40"/>
      </w:pPr>
    </w:p>
    <w:p>
      <w:pPr>
        <w:pStyle w:val="Heading4"/>
      </w:pPr>
      <w:r>
        <w:t>B7 — Ponderación, agregación y no compensación</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B6 cerrada; valores normalizados formalmente definidos; estructura de componentes/dimensiones aprobada si corresponde |</w:t>
      </w:r>
    </w:p>
    <w:p>
      <w:pPr>
        <w:spacing w:after="20" w:line="240" w:lineRule="auto"/>
      </w:pPr>
      <w:r>
        <w:rPr>
          <w:rFonts w:ascii="Consolas" w:hAnsi="Consolas"/>
          <w:sz w:val="14"/>
        </w:rPr>
        <w:t>| Pregunta científica del Comité | ¿Qué método de ponderación y agregación representa el constructo y qué restricciones de no compensación deben gobernar el resultado? |</w:t>
      </w:r>
    </w:p>
    <w:p>
      <w:pPr>
        <w:spacing w:after="20" w:line="240" w:lineRule="auto"/>
      </w:pPr>
      <w:r>
        <w:rPr>
          <w:rFonts w:ascii="Consolas" w:hAnsi="Consolas"/>
          <w:sz w:val="14"/>
        </w:rPr>
        <w:t>| Expediente requerido | Alternativas, supuestos, justificación, método de obtención/validación de parámetros, reglas críticas, análisis preliminar de sensibilidad, limitaciones y propuesta de decisión B7 |</w:t>
      </w:r>
    </w:p>
    <w:p>
      <w:pPr>
        <w:spacing w:after="20" w:line="240" w:lineRule="auto"/>
      </w:pPr>
      <w:r>
        <w:rPr>
          <w:rFonts w:ascii="Consolas" w:hAnsi="Consolas"/>
          <w:sz w:val="14"/>
        </w:rPr>
        <w:t>| Handoff requerido | Especificación candidata de pesos/parámetros, operador de agregación, reglas de veto o restricción y casos de prueba autorizados |</w:t>
      </w:r>
    </w:p>
    <w:p>
      <w:pPr>
        <w:spacing w:after="20" w:line="240" w:lineRule="auto"/>
      </w:pPr>
      <w:r>
        <w:rPr>
          <w:rFonts w:ascii="Consolas" w:hAnsi="Consolas"/>
          <w:sz w:val="14"/>
        </w:rPr>
        <w:t>| Auditoría técnica Codex | Completitud algebraica; referencias válidas; suma/dominio cuando la decisión lo exija; orden de operaciones; comportamiento de reglas críticas; cálculo manual y software reproducible |</w:t>
      </w:r>
    </w:p>
    <w:p>
      <w:pPr>
        <w:spacing w:after="20" w:line="240" w:lineRule="auto"/>
      </w:pPr>
      <w:r>
        <w:rPr>
          <w:rFonts w:ascii="Consolas" w:hAnsi="Consolas"/>
          <w:sz w:val="14"/>
        </w:rPr>
        <w:t>| Decisión de compuerta | Dirección aprueba, devuelve o rechaza el sistema completo; cualquier parte no aprobada mantiene bloqueada B8 |</w:t>
      </w:r>
    </w:p>
    <w:p>
      <w:pPr>
        <w:spacing w:after="20" w:line="240" w:lineRule="auto"/>
      </w:pPr>
      <w:r>
        <w:rPr>
          <w:rFonts w:ascii="Consolas" w:hAnsi="Consolas"/>
          <w:sz w:val="14"/>
        </w:rPr>
        <w:t>| Artefactos habilitados | Especificación de ponderación/agregación; reglas críticas versionadas; motor matemático candidato; apertura de B8 |</w:t>
      </w:r>
    </w:p>
    <w:p>
      <w:pPr>
        <w:spacing w:after="20" w:line="240" w:lineRule="auto"/>
      </w:pPr>
      <w:r>
        <w:rPr>
          <w:rFonts w:ascii="Consolas" w:hAnsi="Consolas"/>
          <w:sz w:val="14"/>
        </w:rPr>
        <w:t>| Blockers | Dimensiones no aprobadas; parámetros sin método; reglas contradictorias; sensibilidad insuficiente según el Comité; decisión parcial sin alcance explícito |</w:t>
      </w:r>
    </w:p>
    <w:p>
      <w:pPr>
        <w:spacing w:after="20" w:line="240" w:lineRule="auto"/>
      </w:pPr>
      <w:r>
        <w:rPr>
          <w:rFonts w:ascii="Consolas" w:hAnsi="Consolas"/>
          <w:sz w:val="14"/>
        </w:rPr>
        <w:t>| No avance | La Oficina Técnica no asignará pesos, operadores, umbrales, vetos ni valores por defecto |</w:t>
      </w:r>
    </w:p>
    <w:p>
      <w:pPr>
        <w:spacing w:after="40"/>
      </w:pPr>
    </w:p>
    <w:p>
      <w:pPr>
        <w:pStyle w:val="Heading4"/>
      </w:pPr>
      <w:r>
        <w:t>B8 — Modelo matemático, incertidumbre e interpretación</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B7 cerrada; especificaciones B5–B7 aprobadas; reglas críticas completas; casos de prueba científicos disponibles |</w:t>
      </w:r>
    </w:p>
    <w:p>
      <w:pPr>
        <w:spacing w:after="20" w:line="240" w:lineRule="auto"/>
      </w:pPr>
      <w:r>
        <w:rPr>
          <w:rFonts w:ascii="Consolas" w:hAnsi="Consolas"/>
          <w:sz w:val="14"/>
        </w:rPr>
        <w:t>| Pregunta científica del Comité | ¿El modelo integrado es coherente, robusto e interpretable, y cómo deben expresarse incertidumbre, sensibilidad, validez del resultado y significado de las salidas? |</w:t>
      </w:r>
    </w:p>
    <w:p>
      <w:pPr>
        <w:spacing w:after="20" w:line="240" w:lineRule="auto"/>
      </w:pPr>
      <w:r>
        <w:rPr>
          <w:rFonts w:ascii="Consolas" w:hAnsi="Consolas"/>
          <w:sz w:val="14"/>
        </w:rPr>
        <w:t>| Expediente requerido | Modelo integrado, supuestos, análisis de sensibilidad/incertidumbre, reglas de validez, interpretación candidata, limitaciones, escenarios y propuesta de decisión B8 |</w:t>
      </w:r>
    </w:p>
    <w:p>
      <w:pPr>
        <w:spacing w:after="20" w:line="240" w:lineRule="auto"/>
      </w:pPr>
      <w:r>
        <w:rPr>
          <w:rFonts w:ascii="Consolas" w:hAnsi="Consolas"/>
          <w:sz w:val="14"/>
        </w:rPr>
        <w:t>| Handoff requerido | Especificación ejecutable o formal, conjunto de pruebas de referencia, tabla de entradas/salidas, reglas de error y trazabilidad de cada término |</w:t>
      </w:r>
    </w:p>
    <w:p>
      <w:pPr>
        <w:spacing w:after="20" w:line="240" w:lineRule="auto"/>
      </w:pPr>
      <w:r>
        <w:rPr>
          <w:rFonts w:ascii="Consolas" w:hAnsi="Consolas"/>
          <w:sz w:val="14"/>
        </w:rPr>
        <w:t>| Auditoría técnica Codex | Reproducibilidad; cobertura de ecuaciones; dependencias; determinismo; precisión y redondeo declarados; equivalencia manual/software; pruebas de regresión; ausencia de parámetros huérfanos |</w:t>
      </w:r>
    </w:p>
    <w:p>
      <w:pPr>
        <w:spacing w:after="20" w:line="240" w:lineRule="auto"/>
      </w:pPr>
      <w:r>
        <w:rPr>
          <w:rFonts w:ascii="Consolas" w:hAnsi="Consolas"/>
          <w:sz w:val="14"/>
        </w:rPr>
        <w:t>| Decisión de compuerta | Dirección aprueba, devuelve o rechaza el modelo y su interpretación; cierre B8 exige una versión candidata inequívoca |</w:t>
      </w:r>
    </w:p>
    <w:p>
      <w:pPr>
        <w:spacing w:after="20" w:line="240" w:lineRule="auto"/>
      </w:pPr>
      <w:r>
        <w:rPr>
          <w:rFonts w:ascii="Consolas" w:hAnsi="Consolas"/>
          <w:sz w:val="14"/>
        </w:rPr>
        <w:t>| Artefactos habilitados | Modelo matemático candidato versionado; especificación del motor; tablas de interpretación aprobadas; insumos para protocolo B9 |</w:t>
      </w:r>
    </w:p>
    <w:p>
      <w:pPr>
        <w:spacing w:after="20" w:line="240" w:lineRule="auto"/>
      </w:pPr>
      <w:r>
        <w:rPr>
          <w:rFonts w:ascii="Consolas" w:hAnsi="Consolas"/>
          <w:sz w:val="14"/>
        </w:rPr>
        <w:t>| Blockers | Componentes previos provisionales; sensibilidad/incertidumbre no resueltas; interpretación sin evidencia; casos de prueba insuficientes; divergencia manual/software |</w:t>
      </w:r>
    </w:p>
    <w:p>
      <w:pPr>
        <w:spacing w:after="20" w:line="240" w:lineRule="auto"/>
      </w:pPr>
      <w:r>
        <w:rPr>
          <w:rFonts w:ascii="Consolas" w:hAnsi="Consolas"/>
          <w:sz w:val="14"/>
        </w:rPr>
        <w:t>| No avance | Ningún resultado podrá denominarse puntuación GOEI oficial antes de aprobación y validación posterior |</w:t>
      </w:r>
    </w:p>
    <w:p>
      <w:pPr>
        <w:spacing w:after="40"/>
      </w:pPr>
    </w:p>
    <w:p>
      <w:pPr>
        <w:pStyle w:val="Heading4"/>
      </w:pPr>
      <w:r>
        <w:t>B9 — Protocolo de validación</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B8 cerrada; modelo candidato completo; población y alcance aprobados; GOEI-ISS-041 resuelto o dispuesto formalmente |</w:t>
      </w:r>
    </w:p>
    <w:p>
      <w:pPr>
        <w:spacing w:after="20" w:line="240" w:lineRule="auto"/>
      </w:pPr>
      <w:r>
        <w:rPr>
          <w:rFonts w:ascii="Consolas" w:hAnsi="Consolas"/>
          <w:sz w:val="14"/>
        </w:rPr>
        <w:t>| Pregunta científica del Comité | ¿Qué diseño y criterios permiten evaluar la validez, confiabilidad, factibilidad, robustez y límites del GOEI de acuerdo con la naturaleza del constructo? |</w:t>
      </w:r>
    </w:p>
    <w:p>
      <w:pPr>
        <w:spacing w:after="20" w:line="240" w:lineRule="auto"/>
      </w:pPr>
      <w:r>
        <w:rPr>
          <w:rFonts w:ascii="Consolas" w:hAnsi="Consolas"/>
          <w:sz w:val="14"/>
        </w:rPr>
        <w:t>| Expediente requerido | Paradigma, diseño, población/muestra, expertos, pilotos, instrumentos, análisis, criterios de aceptación, ética, datos, preregistro, replicación, riesgos y propuesta de decisión B9 |</w:t>
      </w:r>
    </w:p>
    <w:p>
      <w:pPr>
        <w:spacing w:after="20" w:line="240" w:lineRule="auto"/>
      </w:pPr>
      <w:r>
        <w:rPr>
          <w:rFonts w:ascii="Consolas" w:hAnsi="Consolas"/>
          <w:sz w:val="14"/>
        </w:rPr>
        <w:t>| Handoff requerido | Protocolo versionado candidato, formularios/instrumentos candidatos, plan de datos, plan de análisis, matriz ética y criterios de cierre |</w:t>
      </w:r>
    </w:p>
    <w:p>
      <w:pPr>
        <w:spacing w:after="20" w:line="240" w:lineRule="auto"/>
      </w:pPr>
      <w:r>
        <w:rPr>
          <w:rFonts w:ascii="Consolas" w:hAnsi="Consolas"/>
          <w:sz w:val="14"/>
        </w:rPr>
        <w:t>| Auditoría técnica Codex | Completitud protocolaria; consistencia de IDs; versionado de instrumentos; trazabilidad a objetivos/hipótesis; reproducibilidad operacional; gestión de datos y cambios; sin juzgar la elección científica |</w:t>
      </w:r>
    </w:p>
    <w:p>
      <w:pPr>
        <w:spacing w:after="20" w:line="240" w:lineRule="auto"/>
      </w:pPr>
      <w:r>
        <w:rPr>
          <w:rFonts w:ascii="Consolas" w:hAnsi="Consolas"/>
          <w:sz w:val="14"/>
        </w:rPr>
        <w:t>| Decisión de compuerta | Dirección aprueba, devuelve o rechaza el protocolo; la aprobación habilita ejecución futura, no prueba que la validación haya ocurrido |</w:t>
      </w:r>
    </w:p>
    <w:p>
      <w:pPr>
        <w:spacing w:after="20" w:line="240" w:lineRule="auto"/>
      </w:pPr>
      <w:r>
        <w:rPr>
          <w:rFonts w:ascii="Consolas" w:hAnsi="Consolas"/>
          <w:sz w:val="14"/>
        </w:rPr>
        <w:t>| Artefactos habilitados | Protocolo oficial; instrumentos controlados; plan de validación; secciones metodológicas autorizadas para manual/tesis; apertura de B10 |</w:t>
      </w:r>
    </w:p>
    <w:p>
      <w:pPr>
        <w:spacing w:after="20" w:line="240" w:lineRule="auto"/>
      </w:pPr>
      <w:r>
        <w:rPr>
          <w:rFonts w:ascii="Consolas" w:hAnsi="Consolas"/>
          <w:sz w:val="14"/>
        </w:rPr>
        <w:t>| Blockers | Modelo incompleto; técnicas no resueltas; acceso/ética/datos sin tratamiento; criterios de aceptación ausentes; instrumentos no versionados |</w:t>
      </w:r>
    </w:p>
    <w:p>
      <w:pPr>
        <w:spacing w:after="20" w:line="240" w:lineRule="auto"/>
      </w:pPr>
      <w:r>
        <w:rPr>
          <w:rFonts w:ascii="Consolas" w:hAnsi="Consolas"/>
          <w:sz w:val="14"/>
        </w:rPr>
        <w:t>| No avance | No fabricar datos, expertos, pilotos ni resultados; no confundir protocolo aprobado con validación ejecutada |</w:t>
      </w:r>
    </w:p>
    <w:p>
      <w:pPr>
        <w:spacing w:after="40"/>
      </w:pPr>
    </w:p>
    <w:p>
      <w:pPr>
        <w:pStyle w:val="Heading4"/>
      </w:pPr>
      <w:r>
        <w:t>B10 — Manual Técnico General candidato</w:t>
      </w:r>
    </w:p>
    <w:p>
      <w:pPr>
        <w:spacing w:after="40"/>
      </w:pPr>
    </w:p>
    <w:p>
      <w:pPr>
        <w:spacing w:after="20" w:line="240" w:lineRule="auto"/>
      </w:pPr>
      <w:r>
        <w:rPr>
          <w:rFonts w:ascii="Consolas" w:hAnsi="Consolas"/>
          <w:sz w:val="14"/>
        </w:rPr>
        <w:t>| Control | Definición operativa |</w:t>
      </w:r>
    </w:p>
    <w:p>
      <w:pPr>
        <w:spacing w:after="20" w:line="240" w:lineRule="auto"/>
      </w:pPr>
      <w:r>
        <w:rPr>
          <w:rFonts w:ascii="Consolas" w:hAnsi="Consolas"/>
          <w:sz w:val="14"/>
        </w:rPr>
        <w:t>|---|---|</w:t>
      </w:r>
    </w:p>
    <w:p>
      <w:pPr>
        <w:spacing w:after="20" w:line="240" w:lineRule="auto"/>
      </w:pPr>
      <w:r>
        <w:rPr>
          <w:rFonts w:ascii="Consolas" w:hAnsi="Consolas"/>
          <w:sz w:val="14"/>
        </w:rPr>
        <w:t>| Entrada obligatoria | B2–B9 cerradas; componentes aprobados disponibles; protocolo B9 versionado; jerarquía normativa vigente |</w:t>
      </w:r>
    </w:p>
    <w:p>
      <w:pPr>
        <w:spacing w:after="20" w:line="240" w:lineRule="auto"/>
      </w:pPr>
      <w:r>
        <w:rPr>
          <w:rFonts w:ascii="Consolas" w:hAnsi="Consolas"/>
          <w:sz w:val="14"/>
        </w:rPr>
        <w:t>| Pregunta científica del Comité | ¿La síntesis científica del Manual representa fielmente todas las decisiones aprobadas, sus límites y condiciones de uso? |</w:t>
      </w:r>
    </w:p>
    <w:p>
      <w:pPr>
        <w:spacing w:after="20" w:line="240" w:lineRule="auto"/>
      </w:pPr>
      <w:r>
        <w:rPr>
          <w:rFonts w:ascii="Consolas" w:hAnsi="Consolas"/>
          <w:sz w:val="14"/>
        </w:rPr>
        <w:t>| Expediente requerido | Revisión científica de la síntesis, tabla decisión–sección, declaración de suficiencia, contradicciones, limitaciones y propuesta de cierre B10/Fase B |</w:t>
      </w:r>
    </w:p>
    <w:p>
      <w:pPr>
        <w:spacing w:after="20" w:line="240" w:lineRule="auto"/>
      </w:pPr>
      <w:r>
        <w:rPr>
          <w:rFonts w:ascii="Consolas" w:hAnsi="Consolas"/>
          <w:sz w:val="14"/>
        </w:rPr>
        <w:t>| Handoff requerido | Manual candidato, anexos, formularios, glosario, matrices de trazabilidad, informe de cobertura y lista de Issues remanentes |</w:t>
      </w:r>
    </w:p>
    <w:p>
      <w:pPr>
        <w:spacing w:after="20" w:line="240" w:lineRule="auto"/>
      </w:pPr>
      <w:r>
        <w:rPr>
          <w:rFonts w:ascii="Consolas" w:hAnsi="Consolas"/>
          <w:sz w:val="14"/>
        </w:rPr>
        <w:t>| Auditoría técnica Codex | Cobertura bidireccional; consistencia terminológica; jerarquía documental; enlaces e IDs; ausencia de contenido normativo sin decisión; capacidad manual; coherencia con ontología/KG/modelo; control editorial |</w:t>
      </w:r>
    </w:p>
    <w:p>
      <w:pPr>
        <w:spacing w:after="20" w:line="240" w:lineRule="auto"/>
      </w:pPr>
      <w:r>
        <w:rPr>
          <w:rFonts w:ascii="Consolas" w:hAnsi="Consolas"/>
          <w:sz w:val="14"/>
        </w:rPr>
        <w:t>| Decisión de compuerta | Dirección aprueba, devuelve o rechaza el Manual candidato y declara, de forma separada, si B10 y la Fase B quedan cerradas |</w:t>
      </w:r>
    </w:p>
    <w:p>
      <w:pPr>
        <w:spacing w:after="20" w:line="240" w:lineRule="auto"/>
      </w:pPr>
      <w:r>
        <w:rPr>
          <w:rFonts w:ascii="Consolas" w:hAnsi="Consolas"/>
          <w:sz w:val="14"/>
        </w:rPr>
        <w:t>| Artefactos habilitados | Manual Técnico General candidato; candidato de GOEI Standard; BOK integrado; formularios; estructura de tesis poblable; preparación controlada de publicación; apertura de Fase C |</w:t>
      </w:r>
    </w:p>
    <w:p>
      <w:pPr>
        <w:spacing w:after="20" w:line="240" w:lineRule="auto"/>
      </w:pPr>
      <w:r>
        <w:rPr>
          <w:rFonts w:ascii="Consolas" w:hAnsi="Consolas"/>
          <w:sz w:val="14"/>
        </w:rPr>
        <w:t>| Blockers | Cualquier fase B2–B9 no cerrada; contradicción normativa; cobertura incompleta; Issues críticos; contenido prematuro; aprobación ausente |</w:t>
      </w:r>
    </w:p>
    <w:p>
      <w:pPr>
        <w:spacing w:after="20" w:line="240" w:lineRule="auto"/>
      </w:pPr>
      <w:r>
        <w:rPr>
          <w:rFonts w:ascii="Consolas" w:hAnsi="Consolas"/>
          <w:sz w:val="14"/>
        </w:rPr>
        <w:t>| No avance | El Manual no se denominará Standard validado y la tesis/publicación no presentarán resultados de validación inexistentes |</w:t>
      </w:r>
    </w:p>
    <w:p>
      <w:pPr>
        <w:spacing w:after="40"/>
      </w:pPr>
    </w:p>
    <w:p>
      <w:pPr>
        <w:pStyle w:val="Heading3"/>
      </w:pPr>
      <w:r>
        <w:t>6. Ciclo de devolución</w:t>
      </w:r>
    </w:p>
    <w:p>
      <w:pPr>
        <w:spacing w:after="40"/>
      </w:pPr>
    </w:p>
    <w:p>
      <w:r>
        <w:t>Cada devolución deberá ser explícita, trazable y limitada al defecto detectado:</w:t>
      </w:r>
    </w:p>
    <w:p>
      <w:pPr>
        <w:spacing w:after="40"/>
      </w:pPr>
    </w:p>
    <w:p>
      <w:pPr>
        <w:pStyle w:val="ListNumber"/>
      </w:pPr>
      <w:r>
        <w:t>la Oficina Técnica emite hallazgos formales numerados o la Dirección formula requerimientos científicos;</w:t>
      </w:r>
    </w:p>
    <w:p>
      <w:pPr>
        <w:pStyle w:val="ListNumber"/>
      </w:pPr>
      <w:r>
        <w:t>se conserva sin sobrescritura el expediente recibido;</w:t>
      </w:r>
    </w:p>
    <w:p>
      <w:pPr>
        <w:pStyle w:val="ListNumber"/>
      </w:pPr>
      <w:r>
        <w:t>el Comité entrega una nueva revisión con historial de cambios y respuesta punto por punto;</w:t>
      </w:r>
    </w:p>
    <w:p>
      <w:pPr>
        <w:pStyle w:val="ListNumber"/>
      </w:pPr>
      <w:r>
        <w:t>la Oficina Técnica repite la auditoría completa, no solo los controles fallidos;</w:t>
      </w:r>
    </w:p>
    <w:p>
      <w:pPr>
        <w:pStyle w:val="ListNumber"/>
      </w:pPr>
      <w:r>
        <w:t>la Dirección emite una nueva resolución;</w:t>
      </w:r>
    </w:p>
    <w:p>
      <w:pPr>
        <w:pStyle w:val="ListNumber"/>
      </w:pPr>
      <w:r>
        <w:t>ningún cambio adquiere efecto normativo por el solo hecho de corregir el expediente.</w:t>
      </w:r>
    </w:p>
    <w:p>
      <w:pPr>
        <w:spacing w:after="40"/>
      </w:pPr>
    </w:p>
    <w:p>
      <w:r>
        <w:t>Si la devolución revela una pregunta científica nueva, se abre un Issue y se bloquea únicamente el elemento dependiente. Si revela un defecto puramente documental, la Oficina Técnica puede corregir estructura o metadatos sin alterar el significado y debe registrar el cambio.</w:t>
      </w:r>
    </w:p>
    <w:p>
      <w:pPr>
        <w:spacing w:after="40"/>
      </w:pPr>
    </w:p>
    <w:p>
      <w:pPr>
        <w:pStyle w:val="Heading3"/>
      </w:pPr>
      <w:r>
        <w:t>7. Coordinación paralela segura</w:t>
      </w:r>
    </w:p>
    <w:p>
      <w:pPr>
        <w:spacing w:after="40"/>
      </w:pPr>
    </w:p>
    <w:p>
      <w:r>
        <w:t>La secuencia científica B2→B10 es obligatoria para promoción normativa. Sin embargo, pueden ejecutarse en paralelo trabajos preparatorios que no presupongan resultados:</w:t>
      </w:r>
    </w:p>
    <w:p>
      <w:pPr>
        <w:spacing w:after="40"/>
      </w:pPr>
    </w:p>
    <w:p>
      <w:pPr>
        <w:spacing w:after="20" w:line="240" w:lineRule="auto"/>
      </w:pPr>
      <w:r>
        <w:rPr>
          <w:rFonts w:ascii="Consolas" w:hAnsi="Consolas"/>
          <w:sz w:val="14"/>
        </w:rPr>
        <w:t>| Trabajo paralelo permitido | Condición de seguridad |</w:t>
      </w:r>
    </w:p>
    <w:p>
      <w:pPr>
        <w:spacing w:after="20" w:line="240" w:lineRule="auto"/>
      </w:pPr>
      <w:r>
        <w:rPr>
          <w:rFonts w:ascii="Consolas" w:hAnsi="Consolas"/>
          <w:sz w:val="14"/>
        </w:rPr>
        <w:t>|---|---|</w:t>
      </w:r>
    </w:p>
    <w:p>
      <w:pPr>
        <w:spacing w:after="20" w:line="240" w:lineRule="auto"/>
      </w:pPr>
      <w:r>
        <w:rPr>
          <w:rFonts w:ascii="Consolas" w:hAnsi="Consolas"/>
          <w:sz w:val="14"/>
        </w:rPr>
        <w:t>| Plantillas de expedientes, decisiones y handoffs | Campos vacíos; sin respuestas sugeridas |</w:t>
      </w:r>
    </w:p>
    <w:p>
      <w:pPr>
        <w:spacing w:after="20" w:line="240" w:lineRule="auto"/>
      </w:pPr>
      <w:r>
        <w:rPr>
          <w:rFonts w:ascii="Consolas" w:hAnsi="Consolas"/>
          <w:sz w:val="14"/>
        </w:rPr>
        <w:t>| Esquemas de datos y validadores | Validan forma, IDs y relaciones; no adjudican validez científica |</w:t>
      </w:r>
    </w:p>
    <w:p>
      <w:pPr>
        <w:spacing w:after="20" w:line="240" w:lineRule="auto"/>
      </w:pPr>
      <w:r>
        <w:rPr>
          <w:rFonts w:ascii="Consolas" w:hAnsi="Consolas"/>
          <w:sz w:val="14"/>
        </w:rPr>
        <w:t>| Arquitectura de BOK, tesis, manual y publicación | Solo índices, slots y trazabilidad; sin poblar conclusiones |</w:t>
      </w:r>
    </w:p>
    <w:p>
      <w:pPr>
        <w:spacing w:after="20" w:line="240" w:lineRule="auto"/>
      </w:pPr>
      <w:r>
        <w:rPr>
          <w:rFonts w:ascii="Consolas" w:hAnsi="Consolas"/>
          <w:sz w:val="14"/>
        </w:rPr>
        <w:t>| Ontología y Knowledge Graph registral | Incorporan estados reales y propuestas identificadas; no promueven candidatos |</w:t>
      </w:r>
    </w:p>
    <w:p>
      <w:pPr>
        <w:spacing w:after="20" w:line="240" w:lineRule="auto"/>
      </w:pPr>
      <w:r>
        <w:rPr>
          <w:rFonts w:ascii="Consolas" w:hAnsi="Consolas"/>
          <w:sz w:val="14"/>
        </w:rPr>
        <w:t>| Formularios técnicos genéricos | Estructura neutral; sin variables, umbrales o reglas no aprobadas |</w:t>
      </w:r>
    </w:p>
    <w:p>
      <w:pPr>
        <w:spacing w:after="20" w:line="240" w:lineRule="auto"/>
      </w:pPr>
      <w:r>
        <w:rPr>
          <w:rFonts w:ascii="Consolas" w:hAnsi="Consolas"/>
          <w:sz w:val="14"/>
        </w:rPr>
        <w:t>| Pruebas de infraestructura | Datos sintéticos etiquetados como técnicos; no se presentan como evidencia GOEI |</w:t>
      </w:r>
    </w:p>
    <w:p>
      <w:pPr>
        <w:spacing w:after="20" w:line="240" w:lineRule="auto"/>
      </w:pPr>
      <w:r>
        <w:rPr>
          <w:rFonts w:ascii="Consolas" w:hAnsi="Consolas"/>
          <w:sz w:val="14"/>
        </w:rPr>
        <w:t>| Gestión de bibliografía | Identidad, metadatos y procedencia; sin interpretar literatura |</w:t>
      </w:r>
    </w:p>
    <w:p>
      <w:pPr>
        <w:spacing w:after="20" w:line="240" w:lineRule="auto"/>
      </w:pPr>
      <w:r>
        <w:rPr>
          <w:rFonts w:ascii="Consolas" w:hAnsi="Consolas"/>
          <w:sz w:val="14"/>
        </w:rPr>
        <w:t>| Planificación de software | Interfaces y contratos abstractos; no codifica contenido científico provisional como oficial |</w:t>
      </w:r>
    </w:p>
    <w:p>
      <w:pPr>
        <w:spacing w:after="40"/>
      </w:pPr>
    </w:p>
    <w:p>
      <w:r>
        <w:t>No es paralelismo seguro: investigar la siguiente pregunta antes de habilitación formal cuando dependa del resultado previo; seleccionar KPI antes de cerrar taxonomía; diseñar fórmulas antes de aprobar KPI; redactar conclusiones antes de validar; o usar borradores como si fueran baselines.</w:t>
      </w:r>
    </w:p>
    <w:p>
      <w:pPr>
        <w:spacing w:after="40"/>
      </w:pPr>
    </w:p>
    <w:p>
      <w:pPr>
        <w:pStyle w:val="Heading3"/>
      </w:pPr>
      <w:r>
        <w:t>8. Reglas de bloqueo selectivo y no avance</w:t>
      </w:r>
    </w:p>
    <w:p>
      <w:pPr>
        <w:spacing w:after="40"/>
      </w:pPr>
    </w:p>
    <w:p>
      <w:pPr>
        <w:pStyle w:val="ListNumber"/>
      </w:pPr>
      <w:r>
        <w:t>Todo vacío científico se registra como Issue con rama afectada, impacto y condición de cierre.</w:t>
      </w:r>
    </w:p>
    <w:p>
      <w:pPr>
        <w:pStyle w:val="ListNumber"/>
      </w:pPr>
      <w:r>
        <w:t>Un Issue bloquea solo los componentes que dependen materialmente de su resolución.</w:t>
      </w:r>
    </w:p>
    <w:p>
      <w:pPr>
        <w:pStyle w:val="ListNumber"/>
      </w:pPr>
      <w:r>
        <w:t>Ninguna herramienta, prueba, agente o automatización puede otorgar aprobación científica o directiva.</w:t>
      </w:r>
    </w:p>
    <w:p>
      <w:pPr>
        <w:pStyle w:val="ListNumber"/>
      </w:pPr>
      <w:r>
        <w:t>Propuesto, candidato, en revisión y aprobado son estados distintos y no intercambiables.</w:t>
      </w:r>
    </w:p>
    <w:p>
      <w:pPr>
        <w:pStyle w:val="ListNumber"/>
      </w:pPr>
      <w:r>
        <w:t>Una fase no se cierra por ausencia de objeciones, por paso del tiempo ni por completitud editorial.</w:t>
      </w:r>
    </w:p>
    <w:p>
      <w:pPr>
        <w:pStyle w:val="ListNumber"/>
      </w:pPr>
      <w:r>
        <w:t>Todo cierre requiere decisión explícita, versión objetivo, integración técnica y validación de trazabilidad.</w:t>
      </w:r>
    </w:p>
    <w:p>
      <w:pPr>
        <w:pStyle w:val="ListNumber"/>
      </w:pPr>
      <w:r>
        <w:t>Si una decisión modifica una baseline, se exige Issue formal, análisis de impacto y procedimiento de cambio aplicable.</w:t>
      </w:r>
    </w:p>
    <w:p>
      <w:pPr>
        <w:pStyle w:val="ListNumber"/>
      </w:pPr>
      <w:r>
        <w:t>Las ramas posteriores pueden preparar contenedores, pero no asumir el contenido de una fase pendiente.</w:t>
      </w:r>
    </w:p>
    <w:p>
      <w:pPr>
        <w:pStyle w:val="ListNumber"/>
      </w:pPr>
      <w:r>
        <w:t>La tesis y las publicaciones consumen conocimiento aprobado y resultados reales; no son fuentes de autoridad para crearlos.</w:t>
      </w:r>
    </w:p>
    <w:p>
      <w:pPr>
        <w:pStyle w:val="ListNumber"/>
      </w:pPr>
      <w:r>
        <w:t>Ante contradicción entre documentos, prevalece la jerarquía documental vigente y se bloquea la integración hasta resolverla.</w:t>
      </w:r>
    </w:p>
    <w:p>
      <w:pPr>
        <w:spacing w:after="40"/>
      </w:pPr>
    </w:p>
    <w:p>
      <w:pPr>
        <w:pStyle w:val="Heading3"/>
      </w:pPr>
      <w:r>
        <w:t>9. Regla de cierre de cada fase</w:t>
      </w:r>
    </w:p>
    <w:p>
      <w:pPr>
        <w:spacing w:after="40"/>
      </w:pPr>
    </w:p>
    <w:p>
      <w:r>
        <w:t>Una fase Bn solo se considera cerrada cuando existe evidencia verificable de:</w:t>
      </w:r>
    </w:p>
    <w:p>
      <w:pPr>
        <w:spacing w:after="40"/>
      </w:pPr>
    </w:p>
    <w:p>
      <w:pPr>
        <w:pStyle w:val="ListBullet"/>
      </w:pPr>
      <w:r>
        <w:t>expediente científico completo;</w:t>
      </w:r>
    </w:p>
    <w:p>
      <w:pPr>
        <w:pStyle w:val="ListBullet"/>
      </w:pPr>
      <w:r>
        <w:t>auditoría técnica conforme;</w:t>
      </w:r>
    </w:p>
    <w:p>
      <w:pPr>
        <w:pStyle w:val="ListBullet"/>
      </w:pPr>
      <w:r>
        <w:t>decisión aprobada y registrada;</w:t>
      </w:r>
    </w:p>
    <w:p>
      <w:pPr>
        <w:pStyle w:val="ListBullet"/>
      </w:pPr>
      <w:r>
        <w:t>Issues críticos cerrados o dispuestos expresamente;</w:t>
      </w:r>
    </w:p>
    <w:p>
      <w:pPr>
        <w:pStyle w:val="ListBullet"/>
      </w:pPr>
      <w:r>
        <w:t>componentes integrados sin desviación semántica;</w:t>
      </w:r>
    </w:p>
    <w:p>
      <w:pPr>
        <w:pStyle w:val="ListBullet"/>
      </w:pPr>
      <w:r>
        <w:t>relaciones y dependencias actualizadas;</w:t>
      </w:r>
    </w:p>
    <w:p>
      <w:pPr>
        <w:pStyle w:val="ListBullet"/>
      </w:pPr>
      <w:r>
        <w:t>versión y registro de cambio asignados;</w:t>
      </w:r>
    </w:p>
    <w:p>
      <w:pPr>
        <w:pStyle w:val="ListBullet"/>
      </w:pPr>
      <w:r>
        <w:t>validadores pertinentes conformes;</w:t>
      </w:r>
    </w:p>
    <w:p>
      <w:pPr>
        <w:pStyle w:val="ListBullet"/>
      </w:pPr>
      <w:r>
        <w:t>handoff a Bn+1 emitido.</w:t>
      </w:r>
    </w:p>
    <w:p>
      <w:pPr>
        <w:spacing w:after="40"/>
      </w:pPr>
    </w:p>
    <w:p>
      <w:r>
        <w:t>La falta de cualquiera de estos elementos mantiene la fase en el último estado demostrado.</w:t>
      </w:r>
    </w:p>
    <w:p>
      <w:pPr>
        <w:spacing w:after="40"/>
      </w:pPr>
    </w:p>
    <w:p>
      <w:pPr>
        <w:pStyle w:val="Heading3"/>
      </w:pPr>
      <w:r>
        <w:t>10. Handoff final B10→Fase C</w:t>
      </w:r>
    </w:p>
    <w:p>
      <w:pPr>
        <w:spacing w:after="40"/>
      </w:pPr>
    </w:p>
    <w:p>
      <w:r>
        <w:t>El cierre de B10 no equivale a un GOEI validado. El handoff a Fase C deberá distinguir al menos:</w:t>
      </w:r>
    </w:p>
    <w:p>
      <w:pPr>
        <w:spacing w:after="40"/>
      </w:pPr>
    </w:p>
    <w:p>
      <w:pPr>
        <w:pStyle w:val="ListBullet"/>
      </w:pPr>
      <w:r>
        <w:t>conocimiento científico aprobado;</w:t>
      </w:r>
    </w:p>
    <w:p>
      <w:pPr>
        <w:pStyle w:val="ListBullet"/>
      </w:pPr>
      <w:r>
        <w:t>especificaciones normativas candidatas;</w:t>
      </w:r>
    </w:p>
    <w:p>
      <w:pPr>
        <w:pStyle w:val="ListBullet"/>
      </w:pPr>
      <w:r>
        <w:t>instrumentos y protocolo de validación;</w:t>
      </w:r>
    </w:p>
    <w:p>
      <w:pPr>
        <w:pStyle w:val="ListBullet"/>
      </w:pPr>
      <w:r>
        <w:t>limitaciones y Issues remanentes;</w:t>
      </w:r>
    </w:p>
    <w:p>
      <w:pPr>
        <w:pStyle w:val="ListBullet"/>
      </w:pPr>
      <w:r>
        <w:t>evidencia todavía requerida en pilotos o estudios;</w:t>
      </w:r>
    </w:p>
    <w:p>
      <w:pPr>
        <w:pStyle w:val="ListBullet"/>
      </w:pPr>
      <w:r>
        <w:t>contenido autorizado para tesis y publicaciones;</w:t>
      </w:r>
    </w:p>
    <w:p>
      <w:pPr>
        <w:pStyle w:val="ListBullet"/>
      </w:pPr>
      <w:r>
        <w:t>contenido expresamente prohibido como conclusión hasta validación.</w:t>
      </w:r>
    </w:p>
    <w:p>
      <w:pPr>
        <w:spacing w:after="40"/>
      </w:pPr>
    </w:p>
    <w:p>
      <w:r>
        <w:t>Solo después de ensamblaje, revisión, validación empírica y release competente podrá promoverse un candidato a Standard validado.</w:t>
      </w:r>
    </w:p>
    <w:p>
      <w:r>
        <w:br w:type="page"/>
      </w:r>
    </w:p>
    <w:p>
      <w:pPr>
        <w:pStyle w:val="Heading1"/>
        <w:keepNext/>
      </w:pPr>
      <w:r>
        <w:t>Fuente 43: 00_Gobernanza/coordinacion/program_state.json</w:t>
      </w:r>
    </w:p>
    <w:p>
      <w:pPr>
        <w:spacing w:after="200"/>
      </w:pPr>
      <w:r>
        <w:rPr>
          <w:rFonts w:ascii="Consolas" w:hAnsi="Consolas"/>
          <w:color w:val="595959"/>
          <w:sz w:val="16"/>
        </w:rPr>
        <w:t>Ruta: 00_Gobernanza/coordinacion/program_state.json</w:t>
        <w:br/>
        <w:t>Tamaño: 2527 bytes</w:t>
        <w:br/>
        <w:t>SHA-256: 2a1b4fa56e9aae91e1db38e0bf10c0098aa067c27e7b19835bd2ac7498b8c0fc</w:t>
      </w:r>
    </w:p>
    <w:p>
      <w:pPr>
        <w:spacing w:after="20" w:line="240" w:lineRule="auto"/>
        <w:ind w:left="259"/>
      </w:pPr>
      <w:r>
        <w:rPr>
          <w:rFonts w:ascii="Consolas" w:hAnsi="Consolas"/>
          <w:sz w:val="15"/>
        </w:rPr>
        <w:t>{</w:t>
      </w:r>
    </w:p>
    <w:p>
      <w:pPr>
        <w:spacing w:after="20" w:line="240" w:lineRule="auto"/>
        <w:ind w:left="259"/>
      </w:pPr>
      <w:r>
        <w:rPr>
          <w:rFonts w:ascii="Consolas" w:hAnsi="Consolas"/>
          <w:sz w:val="15"/>
        </w:rPr>
        <w:t xml:space="preserve">  "schemaVersion": "1.0",</w:t>
      </w:r>
    </w:p>
    <w:p>
      <w:pPr>
        <w:spacing w:after="20" w:line="240" w:lineRule="auto"/>
        <w:ind w:left="259"/>
      </w:pPr>
      <w:r>
        <w:rPr>
          <w:rFonts w:ascii="Consolas" w:hAnsi="Consolas"/>
          <w:sz w:val="15"/>
        </w:rPr>
        <w:t xml:space="preserve">  "updatedAt": "2026-08-04",</w:t>
      </w:r>
    </w:p>
    <w:p>
      <w:pPr>
        <w:spacing w:after="20" w:line="240" w:lineRule="auto"/>
        <w:ind w:left="259"/>
      </w:pPr>
      <w:r>
        <w:rPr>
          <w:rFonts w:ascii="Consolas" w:hAnsi="Consolas"/>
          <w:sz w:val="15"/>
        </w:rPr>
        <w:t xml:space="preserve">  "ontologyBaseline": "GOEI-BSL-ONT-0001",</w:t>
      </w:r>
    </w:p>
    <w:p>
      <w:pPr>
        <w:spacing w:after="20" w:line="240" w:lineRule="auto"/>
        <w:ind w:left="259"/>
      </w:pPr>
      <w:r>
        <w:rPr>
          <w:rFonts w:ascii="Consolas" w:hAnsi="Consolas"/>
          <w:sz w:val="15"/>
        </w:rPr>
        <w:t xml:space="preserve">  "thesisRequirementBaseline": "GOEI-THS-REQ-0001",</w:t>
      </w:r>
    </w:p>
    <w:p>
      <w:pPr>
        <w:spacing w:after="20" w:line="240" w:lineRule="auto"/>
        <w:ind w:left="259"/>
      </w:pPr>
      <w:r>
        <w:rPr>
          <w:rFonts w:ascii="Consolas" w:hAnsi="Consolas"/>
          <w:sz w:val="15"/>
        </w:rPr>
        <w:t xml:space="preserve">  "phases":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"A",</w:t>
      </w:r>
    </w:p>
    <w:p>
      <w:pPr>
        <w:spacing w:after="20" w:line="240" w:lineRule="auto"/>
        <w:ind w:left="259"/>
      </w:pPr>
      <w:r>
        <w:rPr>
          <w:rFonts w:ascii="Consolas" w:hAnsi="Consolas"/>
          <w:sz w:val="15"/>
        </w:rPr>
        <w:t xml:space="preserve">      "name": "Fundamentos científicos",</w:t>
      </w:r>
    </w:p>
    <w:p>
      <w:pPr>
        <w:spacing w:after="20" w:line="240" w:lineRule="auto"/>
        <w:ind w:left="259"/>
      </w:pPr>
      <w:r>
        <w:rPr>
          <w:rFonts w:ascii="Consolas" w:hAnsi="Consolas"/>
          <w:sz w:val="15"/>
        </w:rPr>
        <w:t xml:space="preserve">      "status": "awaiting_approval",</w:t>
      </w:r>
    </w:p>
    <w:p>
      <w:pPr>
        <w:spacing w:after="20" w:line="240" w:lineRule="auto"/>
        <w:ind w:left="259"/>
      </w:pPr>
      <w:r>
        <w:rPr>
          <w:rFonts w:ascii="Consolas" w:hAnsi="Consolas"/>
          <w:sz w:val="15"/>
        </w:rPr>
        <w:t xml:space="preserve">      "evidence": ["D-001", "D-002", "D-003", "D-004", "D-005", "D-006", "D-006-REV"],</w:t>
      </w:r>
    </w:p>
    <w:p>
      <w:pPr>
        <w:spacing w:after="20" w:line="240" w:lineRule="auto"/>
        <w:ind w:left="259"/>
      </w:pPr>
      <w:r>
        <w:rPr>
          <w:rFonts w:ascii="Consolas" w:hAnsi="Consolas"/>
          <w:sz w:val="15"/>
        </w:rPr>
        <w:t xml:space="preserve">      "blockers": ["D-003 provisional", "D-005 provisional", "GOEI-ISS-006", "GOEI-ISS-007", "GOEI-ISS-016", "GOEI-ISS-017"]</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"B1",</w:t>
      </w:r>
    </w:p>
    <w:p>
      <w:pPr>
        <w:spacing w:after="20" w:line="240" w:lineRule="auto"/>
        <w:ind w:left="259"/>
      </w:pPr>
      <w:r>
        <w:rPr>
          <w:rFonts w:ascii="Consolas" w:hAnsi="Consolas"/>
          <w:sz w:val="15"/>
        </w:rPr>
        <w:t xml:space="preserve">      "name": "Procesos Universales",</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"evidence": ["D-007", "D-008", "GOEI-DIR-RES-0001", "GOEI-BSL-PROC-0001 v0.1.0", "GOEI-HO-0001", "GOEI-AUDIT-0002", "GOEI-AUDIT-0003"],</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"B2",</w:t>
      </w:r>
    </w:p>
    <w:p>
      <w:pPr>
        <w:spacing w:after="20" w:line="240" w:lineRule="auto"/>
        <w:ind w:left="259"/>
      </w:pPr>
      <w:r>
        <w:rPr>
          <w:rFonts w:ascii="Consolas" w:hAnsi="Consolas"/>
          <w:sz w:val="15"/>
        </w:rPr>
        <w:t xml:space="preserve">      "name": "Taxonomía Universal",</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"evidence": ["D-017", "GOEI-AUDIT-0005", "GOEI-DIR-RES-0002", "GOEI-BSL-TAX-0001 v0.1.0"],</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"B3",</w:t>
      </w:r>
    </w:p>
    <w:p>
      <w:pPr>
        <w:spacing w:after="20" w:line="240" w:lineRule="auto"/>
        <w:ind w:left="259"/>
      </w:pPr>
      <w:r>
        <w:rPr>
          <w:rFonts w:ascii="Consolas" w:hAnsi="Consolas"/>
          <w:sz w:val="15"/>
        </w:rPr>
        <w:t xml:space="preserve">      "name": "Universo y catálogo candidato de KPI",</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"evidence": ["D-018", "GOEI-AUDIT-0006", "GOEI-DIR-RES-0003", "GOEI-BSL-KPI-C-0001 v0.1.0"],</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"B4-B10",</w:t>
      </w:r>
    </w:p>
    <w:p>
      <w:pPr>
        <w:spacing w:after="20" w:line="240" w:lineRule="auto"/>
        <w:ind w:left="259"/>
      </w:pPr>
      <w:r>
        <w:rPr>
          <w:rFonts w:ascii="Consolas" w:hAnsi="Consolas"/>
          <w:sz w:val="15"/>
        </w:rPr>
        <w:t xml:space="preserve">      "name": "Admisibilidad through Technical Manual knowledge",</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"evidence": ["GOEI-BSL-KPI-C-0001 v0.1.0", "GOEI-HO-0003"],</w:t>
      </w:r>
    </w:p>
    <w:p>
      <w:pPr>
        <w:spacing w:after="20" w:line="240" w:lineRule="auto"/>
        <w:ind w:left="259"/>
      </w:pPr>
      <w:r>
        <w:rPr>
          <w:rFonts w:ascii="Consolas" w:hAnsi="Consolas"/>
          <w:sz w:val="15"/>
        </w:rPr>
        <w:t xml:space="preserve">      "blockers": ["B4-B10 scientific decisions pending sequentially", "GOEI-ISS-055 through GOEI-ISS-058 block declared branches only"]</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"C",</w:t>
      </w:r>
    </w:p>
    <w:p>
      <w:pPr>
        <w:spacing w:after="20" w:line="240" w:lineRule="auto"/>
        <w:ind w:left="259"/>
      </w:pPr>
      <w:r>
        <w:rPr>
          <w:rFonts w:ascii="Consolas" w:hAnsi="Consolas"/>
          <w:sz w:val="15"/>
        </w:rPr>
        <w:t xml:space="preserve">      "name": "Construcción del estándar",</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"evidence": ["GOEI-ARCH-001", "GOEI-MM-0001", "GOEI-KG-0001", "GOEI-PMM-0001"],</w:t>
      </w:r>
    </w:p>
    <w:p>
      <w:pPr>
        <w:spacing w:after="20" w:line="240" w:lineRule="auto"/>
        <w:ind w:left="259"/>
      </w:pPr>
      <w:r>
        <w:rPr>
          <w:rFonts w:ascii="Consolas" w:hAnsi="Consolas"/>
          <w:sz w:val="15"/>
        </w:rPr>
        <w:t xml:space="preserve">      "blockers": ["Phase B incomplete"]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"D",</w:t>
      </w:r>
    </w:p>
    <w:p>
      <w:pPr>
        <w:spacing w:after="20" w:line="240" w:lineRule="auto"/>
        <w:ind w:left="259"/>
      </w:pPr>
      <w:r>
        <w:rPr>
          <w:rFonts w:ascii="Consolas" w:hAnsi="Consolas"/>
          <w:sz w:val="15"/>
        </w:rPr>
        <w:t xml:space="preserve">      "name": "Validación piloto",</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["No approved standard candidate or validation protocol", "GOEI-ISS-041"]</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"E",</w:t>
      </w:r>
    </w:p>
    <w:p>
      <w:pPr>
        <w:spacing w:after="20" w:line="240" w:lineRule="auto"/>
        <w:ind w:left="259"/>
      </w:pPr>
      <w:r>
        <w:rPr>
          <w:rFonts w:ascii="Consolas" w:hAnsi="Consolas"/>
          <w:sz w:val="15"/>
        </w:rPr>
        <w:t xml:space="preserve">      "name": "Publicaciones y tesis",</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"evidence": ["GOEI-THS-ARCH-0001", "GOEI-PUB-ARCH-0001"],</w:t>
      </w:r>
    </w:p>
    <w:p>
      <w:pPr>
        <w:spacing w:after="20" w:line="240" w:lineRule="auto"/>
        <w:ind w:left="259"/>
      </w:pPr>
      <w:r>
        <w:rPr>
          <w:rFonts w:ascii="Consolas" w:hAnsi="Consolas"/>
          <w:sz w:val="15"/>
        </w:rPr>
        <w:t xml:space="preserve">      "blockers": ["GOEI-ISS-039", "GOEI-ISS-040", "Phases A-D incomplete"]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"F",</w:t>
      </w:r>
    </w:p>
    <w:p>
      <w:pPr>
        <w:spacing w:after="20" w:line="240" w:lineRule="auto"/>
        <w:ind w:left="259"/>
      </w:pPr>
      <w:r>
        <w:rPr>
          <w:rFonts w:ascii="Consolas" w:hAnsi="Consolas"/>
          <w:sz w:val="15"/>
        </w:rPr>
        <w:t xml:space="preserve">      "name": "Software",</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"evidence": ["technical recommendations only"],</w:t>
      </w:r>
    </w:p>
    <w:p>
      <w:pPr>
        <w:spacing w:after="20" w:line="240" w:lineRule="auto"/>
        <w:ind w:left="259"/>
      </w:pPr>
      <w:r>
        <w:rPr>
          <w:rFonts w:ascii="Consolas" w:hAnsi="Consolas"/>
          <w:sz w:val="15"/>
        </w:rPr>
        <w:t xml:space="preserve">      "blockers": ["Standard not stable"]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"targetDeliverables": {</w:t>
      </w:r>
    </w:p>
    <w:p>
      <w:pPr>
        <w:spacing w:after="20" w:line="240" w:lineRule="auto"/>
        <w:ind w:left="259"/>
      </w:pPr>
      <w:r>
        <w:rPr>
          <w:rFonts w:ascii="Consolas" w:hAnsi="Consolas"/>
          <w:sz w:val="15"/>
        </w:rPr>
        <w:t xml:space="preserve">    "validatedStandard": "blocked",</w:t>
      </w:r>
    </w:p>
    <w:p>
      <w:pPr>
        <w:spacing w:after="20" w:line="240" w:lineRule="auto"/>
        <w:ind w:left="259"/>
      </w:pPr>
      <w:r>
        <w:rPr>
          <w:rFonts w:ascii="Consolas" w:hAnsi="Consolas"/>
          <w:sz w:val="15"/>
        </w:rPr>
        <w:t xml:space="preserve">    "completedThesis": "blocked",</w:t>
      </w:r>
    </w:p>
    <w:p>
      <w:pPr>
        <w:spacing w:after="20" w:line="240" w:lineRule="auto"/>
        <w:ind w:left="259"/>
      </w:pPr>
      <w:r>
        <w:rPr>
          <w:rFonts w:ascii="Consolas" w:hAnsi="Consolas"/>
          <w:sz w:val="15"/>
        </w:rPr>
        <w:t xml:space="preserve">    "publishableManuscript": "blocked"</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w:t>
      </w:r>
    </w:p>
    <w:p>
      <w:r>
        <w:br w:type="page"/>
      </w:r>
    </w:p>
    <w:p>
      <w:pPr>
        <w:pStyle w:val="Heading1"/>
        <w:keepNext/>
      </w:pPr>
      <w:r>
        <w:t>Fuente 44: 00_Gobernanza/coordinacion/README.md</w:t>
      </w:r>
    </w:p>
    <w:p>
      <w:pPr>
        <w:spacing w:after="200"/>
      </w:pPr>
      <w:r>
        <w:rPr>
          <w:rFonts w:ascii="Consolas" w:hAnsi="Consolas"/>
          <w:color w:val="595959"/>
          <w:sz w:val="16"/>
        </w:rPr>
        <w:t>Ruta: 00_Gobernanza/coordinacion/README.md</w:t>
        <w:br/>
        <w:t>Tamaño: 2440 bytes</w:t>
        <w:br/>
        <w:t>SHA-256: 355b65f32e7e99986f586c82aa87717f83645259892c27cc512e04da2d66adc8</w:t>
      </w:r>
    </w:p>
    <w:p>
      <w:pPr>
        <w:pStyle w:val="Heading2"/>
      </w:pPr>
      <w:r>
        <w:t>Sistema de coordinación automática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GOEI-GOV-COORD-0001 |</w:t>
      </w:r>
    </w:p>
    <w:p>
      <w:pPr>
        <w:spacing w:after="20" w:line="240" w:lineRule="auto"/>
      </w:pPr>
      <w:r>
        <w:rPr>
          <w:rFonts w:ascii="Consolas" w:hAnsi="Consolas"/>
          <w:sz w:val="14"/>
        </w:rPr>
        <w:t>| Estado | Activo |</w:t>
      </w:r>
    </w:p>
    <w:p>
      <w:pPr>
        <w:spacing w:after="20" w:line="240" w:lineRule="auto"/>
      </w:pPr>
      <w:r>
        <w:rPr>
          <w:rFonts w:ascii="Consolas" w:hAnsi="Consolas"/>
          <w:sz w:val="14"/>
        </w:rPr>
        <w:t>| Versión | 0.1.0 |</w:t>
      </w:r>
    </w:p>
    <w:p>
      <w:pPr>
        <w:spacing w:after="20" w:line="240" w:lineRule="auto"/>
      </w:pPr>
      <w:r>
        <w:rPr>
          <w:rFonts w:ascii="Consolas" w:hAnsi="Consolas"/>
          <w:sz w:val="14"/>
        </w:rPr>
        <w:t>| Autoridad | Mandato de Dirección General para coordinación continua |</w:t>
      </w:r>
    </w:p>
    <w:p>
      <w:pPr>
        <w:spacing w:after="20" w:line="240" w:lineRule="auto"/>
      </w:pPr>
      <w:r>
        <w:rPr>
          <w:rFonts w:ascii="Consolas" w:hAnsi="Consolas"/>
          <w:sz w:val="14"/>
        </w:rPr>
        <w:t>| Órganos | Comité Científico y Oficina Técnica, con aprobación de Dirección General según Master Plan |</w:t>
      </w:r>
    </w:p>
    <w:p>
      <w:pPr>
        <w:spacing w:after="40"/>
      </w:pPr>
    </w:p>
    <w:p>
      <w:pPr>
        <w:pStyle w:val="Heading3"/>
      </w:pPr>
      <w:r>
        <w:t>Objetivo</w:t>
      </w:r>
    </w:p>
    <w:p>
      <w:pPr>
        <w:spacing w:after="40"/>
      </w:pPr>
    </w:p>
    <w:p>
      <w:r>
        <w:t>Operar un flujo continuo y auditable hasta obtener un estándar validado, tesis terminada y manuscrito potencialmente publicable, sin sustituir ninguna autoridad científica.</w:t>
      </w:r>
    </w:p>
    <w:p>
      <w:pPr>
        <w:spacing w:after="40"/>
      </w:pPr>
    </w:p>
    <w:p>
      <w:pPr>
        <w:pStyle w:val="Heading3"/>
      </w:pPr>
      <w:r>
        <w:t>Directorios</w:t>
      </w:r>
    </w:p>
    <w:p>
      <w:pPr>
        <w:spacing w:after="40"/>
      </w:pPr>
    </w:p>
    <w:p>
      <w:pPr>
        <w:pStyle w:val="ListBullet"/>
      </w:pPr>
      <w:r>
        <w:t>entradas_comite/: expedientes recibidos del Comité Científico, todavía no aceptados por la Oficina Técnica.</w:t>
      </w:r>
    </w:p>
    <w:p>
      <w:pPr>
        <w:pStyle w:val="ListBullet"/>
      </w:pPr>
      <w:r>
        <w:t>cola_cientifica/: preguntas y paquetes que requieren trabajo del Comité.</w:t>
      </w:r>
    </w:p>
    <w:p>
      <w:pPr>
        <w:pStyle w:val="ListBullet"/>
      </w:pPr>
      <w:r>
        <w:t>cola_tecnica/: decisiones aprobadas listas para integración.</w:t>
      </w:r>
    </w:p>
    <w:p>
      <w:pPr>
        <w:pStyle w:val="ListBullet"/>
      </w:pPr>
      <w:r>
        <w:t>handoffs/: comprobantes de entrega entre funciones.</w:t>
      </w:r>
    </w:p>
    <w:p>
      <w:pPr>
        <w:pStyle w:val="ListBullet"/>
      </w:pPr>
      <w:r>
        <w:t>reportes/: estado, bloqueos y auditorías periódicas.</w:t>
      </w:r>
    </w:p>
    <w:p>
      <w:pPr>
        <w:spacing w:after="40"/>
      </w:pPr>
    </w:p>
    <w:p>
      <w:pPr>
        <w:pStyle w:val="Heading3"/>
      </w:pPr>
      <w:r>
        <w:t>Máquina de estados</w:t>
      </w:r>
    </w:p>
    <w:p>
      <w:pPr>
        <w:spacing w:after="40"/>
      </w:pPr>
    </w:p>
    <w:p>
      <w:pPr>
        <w:spacing w:after="20" w:line="240" w:lineRule="auto"/>
        <w:ind w:left="259"/>
      </w:pPr>
      <w:r>
        <w:rPr>
          <w:rFonts w:ascii="Consolas" w:hAnsi="Consolas"/>
          <w:sz w:val="15"/>
        </w:rPr>
        <w:t>NECESIDAD</w:t>
      </w:r>
    </w:p>
    <w:p>
      <w:pPr>
        <w:spacing w:after="20" w:line="240" w:lineRule="auto"/>
        <w:ind w:left="259"/>
      </w:pPr>
      <w:r>
        <w:rPr>
          <w:rFonts w:ascii="Consolas" w:hAnsi="Consolas"/>
          <w:sz w:val="15"/>
        </w:rPr>
        <w:t xml:space="preserve">  → COLA_CIENTÍFICA</w:t>
      </w:r>
    </w:p>
    <w:p>
      <w:pPr>
        <w:spacing w:after="20" w:line="240" w:lineRule="auto"/>
        <w:ind w:left="259"/>
      </w:pPr>
      <w:r>
        <w:rPr>
          <w:rFonts w:ascii="Consolas" w:hAnsi="Consolas"/>
          <w:sz w:val="15"/>
        </w:rPr>
        <w:t xml:space="preserve">  → EXPEDIENTE_RECIBIDO</w:t>
      </w:r>
    </w:p>
    <w:p>
      <w:pPr>
        <w:spacing w:after="20" w:line="240" w:lineRule="auto"/>
        <w:ind w:left="259"/>
      </w:pPr>
      <w:r>
        <w:rPr>
          <w:rFonts w:ascii="Consolas" w:hAnsi="Consolas"/>
          <w:sz w:val="15"/>
        </w:rPr>
        <w:t xml:space="preserve">  → AUDITORÍA_DE_COMPLETITUD</w:t>
      </w:r>
    </w:p>
    <w:p>
      <w:pPr>
        <w:spacing w:after="20" w:line="240" w:lineRule="auto"/>
        <w:ind w:left="259"/>
      </w:pPr>
      <w:r>
        <w:rPr>
          <w:rFonts w:ascii="Consolas" w:hAnsi="Consolas"/>
          <w:sz w:val="15"/>
        </w:rPr>
        <w:t xml:space="preserve">  → DECISIÓN_APROBADA</w:t>
      </w:r>
    </w:p>
    <w:p>
      <w:pPr>
        <w:spacing w:after="20" w:line="240" w:lineRule="auto"/>
        <w:ind w:left="259"/>
      </w:pPr>
      <w:r>
        <w:rPr>
          <w:rFonts w:ascii="Consolas" w:hAnsi="Consolas"/>
          <w:sz w:val="15"/>
        </w:rPr>
        <w:t xml:space="preserve">  → COLA_TÉCNICA</w:t>
      </w:r>
    </w:p>
    <w:p>
      <w:pPr>
        <w:spacing w:after="20" w:line="240" w:lineRule="auto"/>
        <w:ind w:left="259"/>
      </w:pPr>
      <w:r>
        <w:rPr>
          <w:rFonts w:ascii="Consolas" w:hAnsi="Consolas"/>
          <w:sz w:val="15"/>
        </w:rPr>
        <w:t xml:space="preserve">  → INTEGRACIÓN</w:t>
      </w:r>
    </w:p>
    <w:p>
      <w:pPr>
        <w:spacing w:after="20" w:line="240" w:lineRule="auto"/>
        <w:ind w:left="259"/>
      </w:pPr>
      <w:r>
        <w:rPr>
          <w:rFonts w:ascii="Consolas" w:hAnsi="Consolas"/>
          <w:sz w:val="15"/>
        </w:rPr>
        <w:t xml:space="preserve">  → VERIFICACIÓN</w:t>
      </w:r>
    </w:p>
    <w:p>
      <w:pPr>
        <w:spacing w:after="20" w:line="240" w:lineRule="auto"/>
        <w:ind w:left="259"/>
      </w:pPr>
      <w:r>
        <w:rPr>
          <w:rFonts w:ascii="Consolas" w:hAnsi="Consolas"/>
          <w:sz w:val="15"/>
        </w:rPr>
        <w:t xml:space="preserve">  → BASELINE</w:t>
      </w:r>
    </w:p>
    <w:p>
      <w:pPr>
        <w:spacing w:after="20" w:line="240" w:lineRule="auto"/>
        <w:ind w:left="259"/>
      </w:pPr>
      <w:r>
        <w:rPr>
          <w:rFonts w:ascii="Consolas" w:hAnsi="Consolas"/>
          <w:sz w:val="15"/>
        </w:rPr>
        <w:t xml:space="preserve">  → APROBACIÓN_DE_VERSIÓN</w:t>
      </w:r>
    </w:p>
    <w:p>
      <w:pPr>
        <w:spacing w:after="20" w:line="240" w:lineRule="auto"/>
        <w:ind w:left="259"/>
      </w:pPr>
      <w:r>
        <w:rPr>
          <w:rFonts w:ascii="Consolas" w:hAnsi="Consolas"/>
          <w:sz w:val="15"/>
        </w:rPr>
        <w:t xml:space="preserve">  → RELEASE</w:t>
      </w:r>
    </w:p>
    <w:p>
      <w:pPr>
        <w:spacing w:after="20" w:line="240" w:lineRule="auto"/>
        <w:ind w:left="259"/>
      </w:pPr>
      <w:r>
        <w:rPr>
          <w:rFonts w:ascii="Consolas" w:hAnsi="Consolas"/>
          <w:sz w:val="15"/>
        </w:rPr>
        <w:t xml:space="preserve">  → INCORPORACIÓN_BOK/TESIS/PUBLICACIÓN</w:t>
      </w:r>
    </w:p>
    <w:p>
      <w:pPr>
        <w:spacing w:after="40"/>
      </w:pPr>
    </w:p>
    <w:p>
      <w:r>
        <w:t>Si una compuerta falla se crea Issue y solo se detiene la rama afectada.</w:t>
      </w:r>
    </w:p>
    <w:p>
      <w:pPr>
        <w:spacing w:after="40"/>
      </w:pPr>
    </w:p>
    <w:p>
      <w:pPr>
        <w:pStyle w:val="Heading3"/>
      </w:pPr>
      <w:r>
        <w:t>Contrato de entrada del Comité</w:t>
      </w:r>
    </w:p>
    <w:p>
      <w:pPr>
        <w:spacing w:after="40"/>
      </w:pPr>
    </w:p>
    <w:p>
      <w:r>
        <w:t>Un expediente científico es integrable únicamente si contiene:</w:t>
      </w:r>
    </w:p>
    <w:p>
      <w:pPr>
        <w:spacing w:after="40"/>
      </w:pPr>
    </w:p>
    <w:p>
      <w:pPr>
        <w:pStyle w:val="ListBullet"/>
      </w:pPr>
      <w:r>
        <w:t>ID de decisión;</w:t>
      </w:r>
    </w:p>
    <w:p>
      <w:pPr>
        <w:pStyle w:val="ListBullet"/>
      </w:pPr>
      <w:r>
        <w:t>pregunta y alcance;</w:t>
      </w:r>
    </w:p>
    <w:p>
      <w:pPr>
        <w:pStyle w:val="ListBullet"/>
      </w:pPr>
      <w:r>
        <w:t>evidencia y bibliografía identificables;</w:t>
      </w:r>
    </w:p>
    <w:p>
      <w:pPr>
        <w:pStyle w:val="ListBullet"/>
      </w:pPr>
      <w:r>
        <w:t>alternativas consideradas;</w:t>
      </w:r>
    </w:p>
    <w:p>
      <w:pPr>
        <w:pStyle w:val="ListBullet"/>
      </w:pPr>
      <w:r>
        <w:t>resolución inequívoca;</w:t>
      </w:r>
    </w:p>
    <w:p>
      <w:pPr>
        <w:pStyle w:val="ListBullet"/>
      </w:pPr>
      <w:r>
        <w:t>limitaciones y pendientes;</w:t>
      </w:r>
    </w:p>
    <w:p>
      <w:pPr>
        <w:pStyle w:val="ListBullet"/>
      </w:pPr>
      <w:r>
        <w:t>estado de aprobación;</w:t>
      </w:r>
    </w:p>
    <w:p>
      <w:pPr>
        <w:pStyle w:val="ListBullet"/>
      </w:pPr>
      <w:r>
        <w:t>impacto esperado;</w:t>
      </w:r>
    </w:p>
    <w:p>
      <w:pPr>
        <w:pStyle w:val="ListBullet"/>
      </w:pPr>
      <w:r>
        <w:t>versión objetivo.</w:t>
      </w:r>
    </w:p>
    <w:p>
      <w:pPr>
        <w:spacing w:after="40"/>
      </w:pPr>
    </w:p>
    <w:p>
      <w:r>
        <w:t>La Oficina Técnica valida presencia y coherencia formal, no corrección científica.</w:t>
      </w:r>
    </w:p>
    <w:p>
      <w:pPr>
        <w:spacing w:after="40"/>
      </w:pPr>
    </w:p>
    <w:p>
      <w:pPr>
        <w:pStyle w:val="Heading3"/>
      </w:pPr>
      <w:r>
        <w:t>Contrato de salida de la Oficina Técnica</w:t>
      </w:r>
    </w:p>
    <w:p>
      <w:pPr>
        <w:spacing w:after="40"/>
      </w:pPr>
    </w:p>
    <w:p>
      <w:r>
        <w:t>Cada integración produce:</w:t>
      </w:r>
    </w:p>
    <w:p>
      <w:pPr>
        <w:spacing w:after="40"/>
      </w:pPr>
    </w:p>
    <w:p>
      <w:pPr>
        <w:pStyle w:val="ListBullet"/>
      </w:pPr>
      <w:r>
        <w:t>componentes creados o modificados;</w:t>
      </w:r>
    </w:p>
    <w:p>
      <w:pPr>
        <w:pStyle w:val="ListBullet"/>
      </w:pPr>
      <w:r>
        <w:t>correspondencia decisión-componente;</w:t>
      </w:r>
    </w:p>
    <w:p>
      <w:pPr>
        <w:pStyle w:val="ListBullet"/>
      </w:pPr>
      <w:r>
        <w:t>análisis de impacto;</w:t>
      </w:r>
    </w:p>
    <w:p>
      <w:pPr>
        <w:pStyle w:val="ListBullet"/>
      </w:pPr>
      <w:r>
        <w:t>pruebas de consistencia;</w:t>
      </w:r>
    </w:p>
    <w:p>
      <w:pPr>
        <w:pStyle w:val="ListBullet"/>
      </w:pPr>
      <w:r>
        <w:t>actualización del Knowledge Graph;</w:t>
      </w:r>
    </w:p>
    <w:p>
      <w:pPr>
        <w:pStyle w:val="ListBullet"/>
      </w:pPr>
      <w:r>
        <w:t>registro de cambio;</w:t>
      </w:r>
    </w:p>
    <w:p>
      <w:pPr>
        <w:pStyle w:val="ListBullet"/>
      </w:pPr>
      <w:r>
        <w:t>versión y baseline, cuando corresponda;</w:t>
      </w:r>
    </w:p>
    <w:p>
      <w:pPr>
        <w:pStyle w:val="ListBullet"/>
      </w:pPr>
      <w:r>
        <w:t>actualización derivada de BOK, tesis y publicación;</w:t>
      </w:r>
    </w:p>
    <w:p>
      <w:pPr>
        <w:pStyle w:val="ListBullet"/>
      </w:pPr>
      <w:r>
        <w:t>Issues pendientes.</w:t>
      </w:r>
    </w:p>
    <w:p>
      <w:pPr>
        <w:spacing w:after="40"/>
      </w:pPr>
    </w:p>
    <w:p>
      <w:pPr>
        <w:pStyle w:val="Heading3"/>
      </w:pPr>
      <w:r>
        <w:t>Regla de finalización</w:t>
      </w:r>
    </w:p>
    <w:p>
      <w:pPr>
        <w:spacing w:after="40"/>
      </w:pPr>
    </w:p>
    <w:p>
      <w:r>
        <w:t>El programa solo puede declararse terminado cuando las compuertas del roadmap indiquen estándar publicado y validado, tesis completa y aprobada por la autoridad académica, y manuscrito técnicamente listo para envío. La Oficina Técnica no puede autoaprobar ciencia, tesis ni publicación.</w:t>
      </w:r>
    </w:p>
    <w:p>
      <w:r>
        <w:br w:type="page"/>
      </w:r>
    </w:p>
    <w:p>
      <w:pPr>
        <w:pStyle w:val="Heading1"/>
        <w:keepNext/>
      </w:pPr>
      <w:r>
        <w:t>Fuente 45: 00_Gobernanza/coordinacion/reportes/GOEI_AUDIT_0001_Manuscritos_prematuros.md</w:t>
      </w:r>
    </w:p>
    <w:p>
      <w:pPr>
        <w:spacing w:after="200"/>
      </w:pPr>
      <w:r>
        <w:rPr>
          <w:rFonts w:ascii="Consolas" w:hAnsi="Consolas"/>
          <w:color w:val="595959"/>
          <w:sz w:val="16"/>
        </w:rPr>
        <w:t>Ruta: 00_Gobernanza/coordinacion/reportes/GOEI_AUDIT_0001_Manuscritos_prematuros.md</w:t>
        <w:br/>
        <w:t>Tamaño: 3352 bytes</w:t>
        <w:br/>
        <w:t>SHA-256: 09a50ee29c62ce4b0ba86ecc7bcaa18775e10434a807b5e59d2fb48aa89e9c25</w:t>
      </w:r>
    </w:p>
    <w:p>
      <w:pPr>
        <w:pStyle w:val="Heading2"/>
      </w:pPr>
      <w:r>
        <w:t>GOEI-AUDIT-0001 — Auditoría de manuscritos prematuros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Responsable | Oficina Técnica GOEI |</w:t>
      </w:r>
    </w:p>
    <w:p>
      <w:pPr>
        <w:spacing w:after="20" w:line="240" w:lineRule="auto"/>
      </w:pPr>
      <w:r>
        <w:rPr>
          <w:rFonts w:ascii="Consolas" w:hAnsi="Consolas"/>
          <w:sz w:val="14"/>
        </w:rPr>
        <w:t>| Alcance | Tesis y artículo metodológico aparecidos en el repositorio |</w:t>
      </w:r>
    </w:p>
    <w:p>
      <w:pPr>
        <w:spacing w:after="20" w:line="240" w:lineRule="auto"/>
      </w:pPr>
      <w:r>
        <w:rPr>
          <w:rFonts w:ascii="Consolas" w:hAnsi="Consolas"/>
          <w:sz w:val="14"/>
        </w:rPr>
        <w:t>| Resultado | No conformes para integración; conservados en cuarentena lógica |</w:t>
      </w:r>
    </w:p>
    <w:p>
      <w:pPr>
        <w:spacing w:after="20" w:line="240" w:lineRule="auto"/>
      </w:pPr>
      <w:r>
        <w:rPr>
          <w:rFonts w:ascii="Consolas" w:hAnsi="Consolas"/>
          <w:sz w:val="14"/>
        </w:rPr>
        <w:t>| Modificación del contenido | Ninguna |</w:t>
      </w:r>
    </w:p>
    <w:p>
      <w:pPr>
        <w:spacing w:after="40"/>
      </w:pPr>
    </w:p>
    <w:p>
      <w:pPr>
        <w:pStyle w:val="Heading3"/>
      </w:pPr>
      <w:r>
        <w:t>Artefactos auditados</w:t>
      </w:r>
    </w:p>
    <w:p>
      <w:pPr>
        <w:spacing w:after="40"/>
      </w:pPr>
    </w:p>
    <w:p>
      <w:pPr>
        <w:pStyle w:val="ListBullet"/>
      </w:pPr>
      <w:r>
        <w:t>12_Tesis/GOEI_Tesis_Manuscrito.md</w:t>
      </w:r>
    </w:p>
    <w:p>
      <w:pPr>
        <w:pStyle w:val="ListBullet"/>
      </w:pPr>
      <w:r>
        <w:t>13_Publicaciones/GOEI_Articulo_metodologico.md</w:t>
      </w:r>
    </w:p>
    <w:p>
      <w:pPr>
        <w:spacing w:after="40"/>
      </w:pPr>
    </w:p>
    <w:p>
      <w:pPr>
        <w:pStyle w:val="Heading3"/>
      </w:pPr>
      <w:r>
        <w:t>Hallazgos críticos</w:t>
      </w:r>
    </w:p>
    <w:p>
      <w:pPr>
        <w:spacing w:after="40"/>
      </w:pPr>
    </w:p>
    <w:p>
      <w:pPr>
        <w:spacing w:after="20" w:line="240" w:lineRule="auto"/>
      </w:pPr>
      <w:r>
        <w:rPr>
          <w:rFonts w:ascii="Consolas" w:hAnsi="Consolas"/>
          <w:sz w:val="14"/>
        </w:rPr>
        <w:t>| ID | Hallazgo | Evidencia | Regla vulnerada | Efecto |</w:t>
      </w:r>
    </w:p>
    <w:p>
      <w:pPr>
        <w:spacing w:after="20" w:line="240" w:lineRule="auto"/>
      </w:pPr>
      <w:r>
        <w:rPr>
          <w:rFonts w:ascii="Consolas" w:hAnsi="Consolas"/>
          <w:sz w:val="14"/>
        </w:rPr>
        <w:t>|---|---|---|---|---|</w:t>
      </w:r>
    </w:p>
    <w:p>
      <w:pPr>
        <w:spacing w:after="20" w:line="240" w:lineRule="auto"/>
      </w:pPr>
      <w:r>
        <w:rPr>
          <w:rFonts w:ascii="Consolas" w:hAnsi="Consolas"/>
          <w:sz w:val="14"/>
        </w:rPr>
        <w:t>| AUD-001 | Presenta el constructo y denominación como definidos pese a D-003/D-004 e Issues abiertos. | tesis §§Resumen, 3, 16; artículo §§Abstract, 3 | no completar vacíos científicos | excluir de ensamblaje |</w:t>
      </w:r>
    </w:p>
    <w:p>
      <w:pPr>
        <w:spacing w:after="20" w:line="240" w:lineRule="auto"/>
      </w:pPr>
      <w:r>
        <w:rPr>
          <w:rFonts w:ascii="Consolas" w:hAnsi="Consolas"/>
          <w:sz w:val="14"/>
        </w:rPr>
        <w:t>| AUD-002 | Trata arquitectura D-005 como adoptada y T3 como compuerta obligatoria pese a que D-005 sigue provisional. | tesis §6; artículo §5 | decisión provisional no es requisito vigente | excluir afirmación |</w:t>
      </w:r>
    </w:p>
    <w:p>
      <w:pPr>
        <w:spacing w:after="20" w:line="240" w:lineRule="auto"/>
      </w:pPr>
      <w:r>
        <w:rPr>
          <w:rFonts w:ascii="Consolas" w:hAnsi="Consolas"/>
          <w:sz w:val="14"/>
        </w:rPr>
        <w:t>| AUD-003 | Trata el núcleo de procesos como resultado consolidado cuando D-008 y cierre B1 no están aprobados. | tesis §§7, 16; artículo §§6, 10 | GOEI-ISS-030 | bloquear procesos |</w:t>
      </w:r>
    </w:p>
    <w:p>
      <w:pPr>
        <w:spacing w:after="20" w:line="240" w:lineRule="auto"/>
      </w:pPr>
      <w:r>
        <w:rPr>
          <w:rFonts w:ascii="Consolas" w:hAnsi="Consolas"/>
          <w:sz w:val="14"/>
        </w:rPr>
        <w:t>| AUD-004 | Crea taxonomía multieje sin decisión B2. | tesis §8 | Master Plan: fases secuenciales; no inventar taxonomía | bloquear capítulo |</w:t>
      </w:r>
    </w:p>
    <w:p>
      <w:pPr>
        <w:spacing w:after="20" w:line="240" w:lineRule="auto"/>
      </w:pPr>
      <w:r>
        <w:rPr>
          <w:rFonts w:ascii="Consolas" w:hAnsi="Consolas"/>
          <w:sz w:val="14"/>
        </w:rPr>
        <w:t>| AUD-005 | Crea siete dimensiones candidatas sin decisión científica. | tesis §9; artículo §7 | prohibición de crear contenido científico | bloquear capítulo |</w:t>
      </w:r>
    </w:p>
    <w:p>
      <w:pPr>
        <w:spacing w:after="20" w:line="240" w:lineRule="auto"/>
      </w:pPr>
      <w:r>
        <w:rPr>
          <w:rFonts w:ascii="Consolas" w:hAnsi="Consolas"/>
          <w:sz w:val="14"/>
        </w:rPr>
        <w:t>| AUD-006 | Crea catálogo de KPI candidatos. | tesis §10.2; artículo §7 | prohibición expresa de crear KPI | bloquear capítulo |</w:t>
      </w:r>
    </w:p>
    <w:p>
      <w:pPr>
        <w:spacing w:after="20" w:line="240" w:lineRule="auto"/>
      </w:pPr>
      <w:r>
        <w:rPr>
          <w:rFonts w:ascii="Consolas" w:hAnsi="Consolas"/>
          <w:sz w:val="14"/>
        </w:rPr>
        <w:t>| AUD-007 | Propone normalización 0–100 y métodos de agregación. | tesis §§11–12; artículo §7 | prohibición de crear fórmula/normalización/ponderación | bloquear capítulos |</w:t>
      </w:r>
    </w:p>
    <w:p>
      <w:pPr>
        <w:spacing w:after="20" w:line="240" w:lineRule="auto"/>
      </w:pPr>
      <w:r>
        <w:rPr>
          <w:rFonts w:ascii="Consolas" w:hAnsi="Consolas"/>
          <w:sz w:val="14"/>
        </w:rPr>
        <w:t>| AUD-008 | Propone reglas críticas, bandas y protocolo de validación no aprobados. | tesis §§13–14; artículo §§7–8 | decisiones B8/B9 ausentes | bloquear capítulos |</w:t>
      </w:r>
    </w:p>
    <w:p>
      <w:pPr>
        <w:spacing w:after="20" w:line="240" w:lineRule="auto"/>
      </w:pPr>
      <w:r>
        <w:rPr>
          <w:rFonts w:ascii="Consolas" w:hAnsi="Consolas"/>
          <w:sz w:val="14"/>
        </w:rPr>
        <w:t>| AUD-009 | Formula conclusiones de “demostración” sin cierre de fases ni validación empírica. | tesis §16; artículo §10 | no cerrar investigación ni sobredimensionar evidencia | no publicable |</w:t>
      </w:r>
    </w:p>
    <w:p>
      <w:pPr>
        <w:spacing w:after="20" w:line="240" w:lineRule="auto"/>
      </w:pPr>
      <w:r>
        <w:rPr>
          <w:rFonts w:ascii="Consolas" w:hAnsi="Consolas"/>
          <w:sz w:val="14"/>
        </w:rPr>
        <w:t>| AUD-010 | Referencias indican explícitamente verificación pendiente. | tesis Referencias; artículo References | fuentes no verificadas para envío | no publicable |</w:t>
      </w:r>
    </w:p>
    <w:p>
      <w:pPr>
        <w:spacing w:after="40"/>
      </w:pPr>
    </w:p>
    <w:p>
      <w:pPr>
        <w:pStyle w:val="Heading3"/>
      </w:pPr>
      <w:r>
        <w:t>Dictamen</w:t>
      </w:r>
    </w:p>
    <w:p>
      <w:pPr>
        <w:spacing w:after="40"/>
      </w:pPr>
    </w:p>
    <w:p>
      <w:r>
        <w:t>Los artefactos pueden conservarse como borradores exploratorios no autorizados, pero no son tesis terminada, artículo candidato, componente GOEI ni fuente científica. No deben citarse como autoridad, entrar en una baseline ni alimentar el BOK salvo como antecedente descartado.</w:t>
      </w:r>
    </w:p>
    <w:p>
      <w:pPr>
        <w:spacing w:after="40"/>
      </w:pPr>
    </w:p>
    <w:p>
      <w:pPr>
        <w:pStyle w:val="Heading3"/>
      </w:pPr>
      <w:r>
        <w:t>Remediación futura</w:t>
      </w:r>
    </w:p>
    <w:p>
      <w:pPr>
        <w:spacing w:after="40"/>
      </w:pPr>
    </w:p>
    <w:p>
      <w:pPr>
        <w:pStyle w:val="ListNumber"/>
      </w:pPr>
      <w:r>
        <w:t>Conservar el contenido original y su checksum.</w:t>
      </w:r>
    </w:p>
    <w:p>
      <w:pPr>
        <w:pStyle w:val="ListNumber"/>
      </w:pPr>
      <w:r>
        <w:t>No editarlo para “hacerlo parecer” conforme.</w:t>
      </w:r>
    </w:p>
    <w:p>
      <w:pPr>
        <w:pStyle w:val="ListNumber"/>
      </w:pPr>
      <w:r>
        <w:t>Cuando existan decisiones B1–B10, reconstruir los manuscritos desde la matriz de ensamblaje y fuentes canónicas.</w:t>
      </w:r>
    </w:p>
    <w:p>
      <w:pPr>
        <w:pStyle w:val="ListNumber"/>
      </w:pPr>
      <w:r>
        <w:t>Reutilizar únicamente fragmentos que puedan trazarse línea por línea a decisiones aprobadas y fuentes verificadas.</w:t>
      </w:r>
    </w:p>
    <w:p>
      <w:pPr>
        <w:pStyle w:val="ListNumber"/>
      </w:pPr>
      <w:r>
        <w:t>Someter la nueva versión a auditoría científica, técnica, académica y editorial.</w:t>
      </w:r>
    </w:p>
    <w:p>
      <w:pPr>
        <w:spacing w:after="40"/>
      </w:pPr>
    </w:p>
    <w:p>
      <w:pPr>
        <w:pStyle w:val="Heading3"/>
      </w:pPr>
      <w:r>
        <w:t>Issues</w:t>
      </w:r>
    </w:p>
    <w:p>
      <w:pPr>
        <w:spacing w:after="40"/>
      </w:pPr>
    </w:p>
    <w:p>
      <w:pPr>
        <w:pStyle w:val="ListBullet"/>
      </w:pPr>
      <w:r>
        <w:t>GOEI-ISS-039: reconstrucción trazable de la tesis después de B1–B10 y validación.</w:t>
      </w:r>
    </w:p>
    <w:p>
      <w:pPr>
        <w:pStyle w:val="ListBullet"/>
      </w:pPr>
      <w:r>
        <w:t>GOEI-ISS-040: reconstrucción del artículo después de resultados y elección de alcance editorial.</w:t>
      </w:r>
    </w:p>
    <w:p>
      <w:r>
        <w:br w:type="page"/>
      </w:r>
    </w:p>
    <w:p>
      <w:pPr>
        <w:pStyle w:val="Heading1"/>
        <w:keepNext/>
      </w:pPr>
      <w:r>
        <w:t>Fuente 46: 00_Gobernanza/coordinacion/reportes/GOEI_AUDIT_0002_D008_Cierre_B1.md</w:t>
      </w:r>
    </w:p>
    <w:p>
      <w:pPr>
        <w:spacing w:after="200"/>
      </w:pPr>
      <w:r>
        <w:rPr>
          <w:rFonts w:ascii="Consolas" w:hAnsi="Consolas"/>
          <w:color w:val="595959"/>
          <w:sz w:val="16"/>
        </w:rPr>
        <w:t>Ruta: 00_Gobernanza/coordinacion/reportes/GOEI_AUDIT_0002_D008_Cierre_B1.md</w:t>
        <w:br/>
        <w:t>Tamaño: 3402 bytes</w:t>
        <w:br/>
        <w:t>SHA-256: 980acfffee3ba016bc8c8fc7badd24df439c0eab8604ab2c3319dd010fecefcc</w:t>
      </w:r>
    </w:p>
    <w:p>
      <w:pPr>
        <w:pStyle w:val="Heading2"/>
      </w:pPr>
      <w:r>
        <w:t>Auditoría técnica del expediente D-008 / cierre B1</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GOEI-AUDIT-0002 |</w:t>
      </w:r>
    </w:p>
    <w:p>
      <w:pPr>
        <w:spacing w:after="20" w:line="240" w:lineRule="auto"/>
      </w:pPr>
      <w:r>
        <w:rPr>
          <w:rFonts w:ascii="Consolas" w:hAnsi="Consolas"/>
          <w:sz w:val="14"/>
        </w:rPr>
        <w:t>| Fecha | 2026-08-04 |</w:t>
      </w:r>
    </w:p>
    <w:p>
      <w:pPr>
        <w:spacing w:after="20" w:line="240" w:lineRule="auto"/>
      </w:pPr>
      <w:r>
        <w:rPr>
          <w:rFonts w:ascii="Consolas" w:hAnsi="Consolas"/>
          <w:sz w:val="14"/>
        </w:rPr>
        <w:t>| Objeto | `GOEI_SCI_HANDOFF_D008_Cierre_B1.md` |</w:t>
      </w:r>
    </w:p>
    <w:p>
      <w:pPr>
        <w:spacing w:after="20" w:line="240" w:lineRule="auto"/>
      </w:pPr>
      <w:r>
        <w:rPr>
          <w:rFonts w:ascii="Consolas" w:hAnsi="Consolas"/>
          <w:sz w:val="14"/>
        </w:rPr>
        <w:t>| Emisor auditado | Comité Científico (Claude) |</w:t>
      </w:r>
    </w:p>
    <w:p>
      <w:pPr>
        <w:spacing w:after="20" w:line="240" w:lineRule="auto"/>
      </w:pPr>
      <w:r>
        <w:rPr>
          <w:rFonts w:ascii="Consolas" w:hAnsi="Consolas"/>
          <w:sz w:val="14"/>
        </w:rPr>
        <w:t>| Auditor | Oficina Técnica GOEI (Codex) |</w:t>
      </w:r>
    </w:p>
    <w:p>
      <w:pPr>
        <w:spacing w:after="20" w:line="240" w:lineRule="auto"/>
      </w:pPr>
      <w:r>
        <w:rPr>
          <w:rFonts w:ascii="Consolas" w:hAnsi="Consolas"/>
          <w:sz w:val="14"/>
        </w:rPr>
        <w:t>| Resultado | Aceptable para resolución directiva con reservas; no integrable normativamente |</w:t>
      </w:r>
    </w:p>
    <w:p>
      <w:pPr>
        <w:spacing w:after="40"/>
      </w:pPr>
    </w:p>
    <w:p>
      <w:pPr>
        <w:pStyle w:val="Heading3"/>
      </w:pPr>
      <w:r>
        <w:t>Resultado ejecutivo</w:t>
      </w:r>
    </w:p>
    <w:p>
      <w:pPr>
        <w:spacing w:after="40"/>
      </w:pPr>
    </w:p>
    <w:p>
      <w:r>
        <w:t>El expediente responde los puntos de decisión de B1, separa la pregunta nuclear de las fases posteriores y emite un dictamen científico explícito favorable a D-008. Sin embargo, la gobernanza vigente reserva a la Dirección General la aprobación final y el cierre oficial de B1. Por tanto, la Oficina Técnica registra el dictamen como recomendación científica aprobada por el Comité, mantiene D-008 fuera del registro de decisiones oficiales y no activa B2.</w:t>
      </w:r>
    </w:p>
    <w:p>
      <w:pPr>
        <w:spacing w:after="40"/>
      </w:pPr>
    </w:p>
    <w:p>
      <w:pPr>
        <w:pStyle w:val="Heading3"/>
      </w:pPr>
      <w:r>
        <w:t>Controles</w:t>
      </w:r>
    </w:p>
    <w:p>
      <w:pPr>
        <w:spacing w:after="40"/>
      </w:pPr>
    </w:p>
    <w:p>
      <w:pPr>
        <w:spacing w:after="20" w:line="240" w:lineRule="auto"/>
      </w:pPr>
      <w:r>
        <w:rPr>
          <w:rFonts w:ascii="Consolas" w:hAnsi="Consolas"/>
          <w:sz w:val="14"/>
        </w:rPr>
        <w:t>| Control | Resultado | Observación |</w:t>
      </w:r>
    </w:p>
    <w:p>
      <w:pPr>
        <w:spacing w:after="20" w:line="240" w:lineRule="auto"/>
      </w:pPr>
      <w:r>
        <w:rPr>
          <w:rFonts w:ascii="Consolas" w:hAnsi="Consolas"/>
          <w:sz w:val="14"/>
        </w:rPr>
        <w:t>|---|---|---|</w:t>
      </w:r>
    </w:p>
    <w:p>
      <w:pPr>
        <w:spacing w:after="20" w:line="240" w:lineRule="auto"/>
      </w:pPr>
      <w:r>
        <w:rPr>
          <w:rFonts w:ascii="Consolas" w:hAnsi="Consolas"/>
          <w:sz w:val="14"/>
        </w:rPr>
        <w:t>| Identidad, fecha, emisor y destino | Conforme | Identificados inequívocamente |</w:t>
      </w:r>
    </w:p>
    <w:p>
      <w:pPr>
        <w:spacing w:after="20" w:line="240" w:lineRule="auto"/>
      </w:pPr>
      <w:r>
        <w:rPr>
          <w:rFonts w:ascii="Consolas" w:hAnsi="Consolas"/>
          <w:sz w:val="14"/>
        </w:rPr>
        <w:t>| Problema y alternativas | Conforme | Tres alternativas separadas |</w:t>
      </w:r>
    </w:p>
    <w:p>
      <w:pPr>
        <w:spacing w:after="20" w:line="240" w:lineRule="auto"/>
      </w:pPr>
      <w:r>
        <w:rPr>
          <w:rFonts w:ascii="Consolas" w:hAnsi="Consolas"/>
          <w:sz w:val="14"/>
        </w:rPr>
        <w:t>| Dictamen del Comité | Conforme | D-008 declarada aprobada por el Comité |</w:t>
      </w:r>
    </w:p>
    <w:p>
      <w:pPr>
        <w:spacing w:after="20" w:line="240" w:lineRule="auto"/>
      </w:pPr>
      <w:r>
        <w:rPr>
          <w:rFonts w:ascii="Consolas" w:hAnsi="Consolas"/>
          <w:sz w:val="14"/>
        </w:rPr>
        <w:t>| Resolución P6 | Conforme para decisión | Incluye ámbito comercial y no comercial; propone cierre transaccional |</w:t>
      </w:r>
    </w:p>
    <w:p>
      <w:pPr>
        <w:spacing w:after="20" w:line="240" w:lineRule="auto"/>
      </w:pPr>
      <w:r>
        <w:rPr>
          <w:rFonts w:ascii="Consolas" w:hAnsi="Consolas"/>
          <w:sz w:val="14"/>
        </w:rPr>
        <w:t>| Estructura de niveles | Conforme para decisión | Propone dos niveles |</w:t>
      </w:r>
    </w:p>
    <w:p>
      <w:pPr>
        <w:spacing w:after="20" w:line="240" w:lineRule="auto"/>
      </w:pPr>
      <w:r>
        <w:rPr>
          <w:rFonts w:ascii="Consolas" w:hAnsi="Consolas"/>
          <w:sz w:val="14"/>
        </w:rPr>
        <w:t>| Residuos/merma | Parcial | Estatus definitivo no resuelto; requiere Issue específico |</w:t>
      </w:r>
    </w:p>
    <w:p>
      <w:pPr>
        <w:spacing w:after="20" w:line="240" w:lineRule="auto"/>
      </w:pPr>
      <w:r>
        <w:rPr>
          <w:rFonts w:ascii="Consolas" w:hAnsi="Consolas"/>
          <w:sz w:val="14"/>
        </w:rPr>
        <w:t>| Sistema de producción | Conforme como dependencia | Se difiere expresamente a B2 |</w:t>
      </w:r>
    </w:p>
    <w:p>
      <w:pPr>
        <w:spacing w:after="20" w:line="240" w:lineRule="auto"/>
      </w:pPr>
      <w:r>
        <w:rPr>
          <w:rFonts w:ascii="Consolas" w:hAnsi="Consolas"/>
          <w:sz w:val="14"/>
        </w:rPr>
        <w:t>| Inocuidad | Conforme como dependencia | Rol posterior permanece abierto |</w:t>
      </w:r>
    </w:p>
    <w:p>
      <w:pPr>
        <w:spacing w:after="20" w:line="240" w:lineRule="auto"/>
      </w:pPr>
      <w:r>
        <w:rPr>
          <w:rFonts w:ascii="Consolas" w:hAnsi="Consolas"/>
          <w:sz w:val="14"/>
        </w:rPr>
        <w:t>| Límites de revisión | Conforme | Declara revisión rápida, no PRISMA completa |</w:t>
      </w:r>
    </w:p>
    <w:p>
      <w:pPr>
        <w:spacing w:after="20" w:line="240" w:lineRule="auto"/>
      </w:pPr>
      <w:r>
        <w:rPr>
          <w:rFonts w:ascii="Consolas" w:hAnsi="Consolas"/>
          <w:sz w:val="14"/>
        </w:rPr>
        <w:t>| Bibliografía verificable y APA 7 completa | Conforme tras subsanación | Tres entradas cotejadas por el Comité el 2026-08-04; metadatos, DOI y fuentes primarias registrados |</w:t>
      </w:r>
    </w:p>
    <w:p>
      <w:pPr>
        <w:spacing w:after="20" w:line="240" w:lineRule="auto"/>
      </w:pPr>
      <w:r>
        <w:rPr>
          <w:rFonts w:ascii="Consolas" w:hAnsi="Consolas"/>
          <w:sz w:val="14"/>
        </w:rPr>
        <w:t>| Autoridad final | Pendiente | Requiere resolución expresa de Dirección General |</w:t>
      </w:r>
    </w:p>
    <w:p>
      <w:pPr>
        <w:spacing w:after="20" w:line="240" w:lineRule="auto"/>
      </w:pPr>
      <w:r>
        <w:rPr>
          <w:rFonts w:ascii="Consolas" w:hAnsi="Consolas"/>
          <w:sz w:val="14"/>
        </w:rPr>
        <w:t>| Versión objetivo | Propuesta | Baseline de procesos no puede crearse antes de aprobación final |</w:t>
      </w:r>
    </w:p>
    <w:p>
      <w:pPr>
        <w:spacing w:after="40"/>
      </w:pPr>
    </w:p>
    <w:p>
      <w:pPr>
        <w:pStyle w:val="Heading3"/>
      </w:pPr>
      <w:r>
        <w:t>Reservas que no puede subsanar la Oficina Técnica</w:t>
      </w:r>
    </w:p>
    <w:p>
      <w:pPr>
        <w:spacing w:after="40"/>
      </w:pPr>
    </w:p>
    <w:p>
      <w:pPr>
        <w:pStyle w:val="ListNumber"/>
      </w:pPr>
      <w:r>
        <w:t>ratificación o rechazo directivo de D-008 y del cierre B1;</w:t>
      </w:r>
    </w:p>
    <w:p>
      <w:pPr>
        <w:pStyle w:val="ListNumber"/>
      </w:pPr>
      <w:r>
        <w:t>disposición directiva del candidato residuos/merma para el alcance de B1;</w:t>
      </w:r>
    </w:p>
    <w:p>
      <w:pPr>
        <w:pStyle w:val="ListNumber"/>
      </w:pPr>
      <w:r>
        <w:t>precisión de si PRISMA completa y Delphi son condiciones de validación posterior o prerrequisitos de incorporación normativa.</w:t>
      </w:r>
    </w:p>
    <w:p>
      <w:pPr>
        <w:spacing w:after="40"/>
      </w:pPr>
    </w:p>
    <w:p>
      <w:pPr>
        <w:pStyle w:val="Heading3"/>
      </w:pPr>
      <w:r>
        <w:t>Impacto y bloqueo selectivo</w:t>
      </w:r>
    </w:p>
    <w:p>
      <w:pPr>
        <w:spacing w:after="40"/>
      </w:pPr>
    </w:p>
    <w:p>
      <w:pPr>
        <w:pStyle w:val="ListBullet"/>
      </w:pPr>
      <w:r>
        <w:t>GOEI-ISS-012 y GOEI-ISS-013 reciben una respuesta científica propuesta, pero no se cierran hasta la ratificación.</w:t>
      </w:r>
    </w:p>
    <w:p>
      <w:pPr>
        <w:pStyle w:val="ListBullet"/>
      </w:pPr>
      <w:r>
        <w:t>GOEI-ISS-014 y GOEI-ISS-015 permanecen abiertos en las fases asignadas.</w:t>
      </w:r>
    </w:p>
    <w:p>
      <w:pPr>
        <w:pStyle w:val="ListBullet"/>
      </w:pPr>
      <w:r>
        <w:t>se abre GOEI-ISS-043 para el estatus de residuos/merma;</w:t>
      </w:r>
    </w:p>
    <w:p>
      <w:pPr>
        <w:pStyle w:val="ListBullet"/>
      </w:pPr>
      <w:r>
        <w:t>GOEI-ISS-030 permanece como bloqueo único del inicio científico de B2;</w:t>
      </w:r>
    </w:p>
    <w:p>
      <w:pPr>
        <w:pStyle w:val="ListBullet"/>
      </w:pPr>
      <w:r>
        <w:t>tesis, BOK y Knowledge Graph solo pueden describir este expediente como propuesta/dictamen pendiente, no como contenido normativo.</w:t>
      </w:r>
    </w:p>
    <w:p>
      <w:pPr>
        <w:spacing w:after="40"/>
      </w:pPr>
    </w:p>
    <w:p>
      <w:pPr>
        <w:pStyle w:val="Heading3"/>
      </w:pPr>
      <w:r>
        <w:t>Condición de reanudación</w:t>
      </w:r>
    </w:p>
    <w:p>
      <w:pPr>
        <w:spacing w:after="40"/>
      </w:pPr>
    </w:p>
    <w:p>
      <w:r>
        <w:t>Resolución directiva explícita que apruebe, rechace o devuelva D-008; declare B1 cerrada o no cerrada; disponga GOEI-ISS-012, 013, 030 y 043; y asigne la versión objetivo.</w:t>
      </w:r>
    </w:p>
    <w:p>
      <w:pPr>
        <w:spacing w:after="40"/>
      </w:pPr>
    </w:p>
    <w:p>
      <w:pPr>
        <w:pStyle w:val="Heading3"/>
      </w:pPr>
      <w:r>
        <w:t>Addendum de subsanación — 2026-08-04</w:t>
      </w:r>
    </w:p>
    <w:p>
      <w:pPr>
        <w:spacing w:after="40"/>
      </w:pPr>
    </w:p>
    <w:p>
      <w:r>
        <w:t>El Comité completó y registró el cotejo de Nurdin et al. (2022), Kim et al. (2010) y Carino et al. (2020). La Oficina Técnica verificó la completitud formal y eliminó la reserva bibliográfica del dictamen. Este addendum no ratifica D-008 ni cierra B1.</w:t>
      </w:r>
    </w:p>
    <w:p>
      <w:r>
        <w:br w:type="page"/>
      </w:r>
    </w:p>
    <w:p>
      <w:pPr>
        <w:pStyle w:val="Heading1"/>
        <w:keepNext/>
      </w:pPr>
      <w:r>
        <w:t>Fuente 47: 00_Gobernanza/coordinacion/reportes/GOEI_AUDIT_0003_D008_B1_Readiness.md</w:t>
      </w:r>
    </w:p>
    <w:p>
      <w:pPr>
        <w:spacing w:after="200"/>
      </w:pPr>
      <w:r>
        <w:rPr>
          <w:rFonts w:ascii="Consolas" w:hAnsi="Consolas"/>
          <w:color w:val="595959"/>
          <w:sz w:val="16"/>
        </w:rPr>
        <w:t>Ruta: 00_Gobernanza/coordinacion/reportes/GOEI_AUDIT_0003_D008_B1_Readiness.md</w:t>
        <w:br/>
        <w:t>Tamaño: 8464 bytes</w:t>
        <w:br/>
        <w:t>SHA-256: 7604391ebbeeeab5b1321535ae5de5c6abd2cdb85abfdb0ed22063d9aedbf548</w:t>
      </w:r>
    </w:p>
    <w:p>
      <w:pPr>
        <w:pStyle w:val="Heading2"/>
      </w:pPr>
      <w:r>
        <w:t>Auditoría de preparación para resolución e integración D-008 / B1</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`GOEI-AUDIT-0003` |</w:t>
      </w:r>
    </w:p>
    <w:p>
      <w:pPr>
        <w:spacing w:after="20" w:line="240" w:lineRule="auto"/>
      </w:pPr>
      <w:r>
        <w:rPr>
          <w:rFonts w:ascii="Consolas" w:hAnsi="Consolas"/>
          <w:sz w:val="14"/>
        </w:rPr>
        <w:t>| Fecha de corte | 2026-08-04 |</w:t>
      </w:r>
    </w:p>
    <w:p>
      <w:pPr>
        <w:spacing w:after="20" w:line="240" w:lineRule="auto"/>
      </w:pPr>
      <w:r>
        <w:rPr>
          <w:rFonts w:ascii="Consolas" w:hAnsi="Consolas"/>
          <w:sz w:val="14"/>
        </w:rPr>
        <w:t>| Alcance | D-008, cierre B1 y `GOEI-ISS-043` |</w:t>
      </w:r>
    </w:p>
    <w:p>
      <w:pPr>
        <w:spacing w:after="20" w:line="240" w:lineRule="auto"/>
      </w:pPr>
      <w:r>
        <w:rPr>
          <w:rFonts w:ascii="Consolas" w:hAnsi="Consolas"/>
          <w:sz w:val="14"/>
        </w:rPr>
        <w:t>| Autor | Oficina Técnica GOEI |</w:t>
      </w:r>
    </w:p>
    <w:p>
      <w:pPr>
        <w:spacing w:after="20" w:line="240" w:lineRule="auto"/>
      </w:pPr>
      <w:r>
        <w:rPr>
          <w:rFonts w:ascii="Consolas" w:hAnsi="Consolas"/>
          <w:sz w:val="14"/>
        </w:rPr>
        <w:t>| Naturaleza | Control técnico consultivo; sin efectos normativos |</w:t>
      </w:r>
    </w:p>
    <w:p>
      <w:pPr>
        <w:spacing w:after="20" w:line="240" w:lineRule="auto"/>
      </w:pPr>
      <w:r>
        <w:rPr>
          <w:rFonts w:ascii="Consolas" w:hAnsi="Consolas"/>
          <w:sz w:val="14"/>
        </w:rPr>
        <w:t>| Resultado | Expediente listo para decisión directiva; integración normativa bloqueada hasta resolución formal |</w:t>
      </w:r>
    </w:p>
    <w:p>
      <w:pPr>
        <w:spacing w:after="40"/>
      </w:pPr>
    </w:p>
    <w:p>
      <w:pPr>
        <w:spacing w:after="100"/>
        <w:ind w:left="360" w:right="216"/>
      </w:pPr>
      <w:r>
        <w:rPr>
          <w:i/>
          <w:color w:val="595959"/>
        </w:rPr>
        <w:t>Esta auditoría no ratifica D-008, no cierra B1, no clasifica residuos/merma, no crea el catálogo normativo de procesos y no habilita B2.</w:t>
      </w:r>
    </w:p>
    <w:p>
      <w:pPr>
        <w:spacing w:after="40"/>
      </w:pPr>
    </w:p>
    <w:p>
      <w:pPr>
        <w:pStyle w:val="Heading3"/>
      </w:pPr>
      <w:r>
        <w:t>1. Dictamen ejecutivo</w:t>
      </w:r>
    </w:p>
    <w:p>
      <w:pPr>
        <w:spacing w:after="40"/>
      </w:pPr>
    </w:p>
    <w:p>
      <w:r>
        <w:t>El expediente científico D-008 contiene una aprobación metodológica explícita del Comité Científico y declara cerrada B1 en su pregunta nuclear. Esa declaración científica todavía no equivale a decisión oficial del proyecto: falta la ratificación de la Dirección General prevista por la gobernanza vigente.</w:t>
      </w:r>
    </w:p>
    <w:p>
      <w:pPr>
        <w:spacing w:after="40"/>
      </w:pPr>
    </w:p>
    <w:p>
      <w:r>
        <w:t>El borrador GOEI_DIR_RES_D008_B1_BORRADOR.md es técnicamente suficiente para que la autoridad seleccione una de tres salidas: ratificar, devolver o rechazar. No se detecta un vacío técnico que justifique detener su presentación.</w:t>
      </w:r>
    </w:p>
    <w:p>
      <w:pPr>
        <w:spacing w:after="40"/>
      </w:pPr>
    </w:p>
    <w:p>
      <w:r>
        <w:t>GOEI-ISS-043 no impide necesariamente resolver la pregunta nuclear de B1 porque el propio Comité lo aisló como una clasificación pendiente y declaró que no bloquea el hallazgo nuclear. Sí impide incorporar residuos/merma como macroproceso, proceso transversal definitivo o subproceso normativo. La decisión sobre si esa reserva es compatible con el cierre de B1 pertenece a la Dirección General, no a la Oficina Técnica.</w:t>
      </w:r>
    </w:p>
    <w:p>
      <w:pPr>
        <w:spacing w:after="40"/>
      </w:pPr>
    </w:p>
    <w:p>
      <w:pPr>
        <w:pStyle w:val="Heading3"/>
      </w:pPr>
      <w:r>
        <w:t>2. Estado de autoridad por elemento</w:t>
      </w:r>
    </w:p>
    <w:p>
      <w:pPr>
        <w:spacing w:after="40"/>
      </w:pPr>
    </w:p>
    <w:p>
      <w:pPr>
        <w:spacing w:after="20" w:line="240" w:lineRule="auto"/>
      </w:pPr>
      <w:r>
        <w:rPr>
          <w:rFonts w:ascii="Consolas" w:hAnsi="Consolas"/>
          <w:sz w:val="14"/>
        </w:rPr>
        <w:t>| Elemento | Autoridad existente | Estado comprobado | Efecto permitido |</w:t>
      </w:r>
    </w:p>
    <w:p>
      <w:pPr>
        <w:spacing w:after="20" w:line="240" w:lineRule="auto"/>
      </w:pPr>
      <w:r>
        <w:rPr>
          <w:rFonts w:ascii="Consolas" w:hAnsi="Consolas"/>
          <w:sz w:val="14"/>
        </w:rPr>
        <w:t>|---|---|---|---|</w:t>
      </w:r>
    </w:p>
    <w:p>
      <w:pPr>
        <w:spacing w:after="20" w:line="240" w:lineRule="auto"/>
      </w:pPr>
      <w:r>
        <w:rPr>
          <w:rFonts w:ascii="Consolas" w:hAnsi="Consolas"/>
          <w:sz w:val="14"/>
        </w:rPr>
        <w:t>| D-007 | Registro de decisiones | Provisional / hipótesis | Antecedente; no baseline |</w:t>
      </w:r>
    </w:p>
    <w:p>
      <w:pPr>
        <w:spacing w:after="20" w:line="240" w:lineRule="auto"/>
      </w:pPr>
      <w:r>
        <w:rPr>
          <w:rFonts w:ascii="Consolas" w:hAnsi="Consolas"/>
          <w:sz w:val="14"/>
        </w:rPr>
        <w:t>| D-008 | Comité Científico | Aprobada científicamente dentro del expediente; no registrada como decisión oficial | Puede someterse a Dirección |</w:t>
      </w:r>
    </w:p>
    <w:p>
      <w:pPr>
        <w:spacing w:after="20" w:line="240" w:lineRule="auto"/>
      </w:pPr>
      <w:r>
        <w:rPr>
          <w:rFonts w:ascii="Consolas" w:hAnsi="Consolas"/>
          <w:sz w:val="14"/>
        </w:rPr>
        <w:t>| Pregunta nuclear B1 | Comité Científico | Declarada cerrada científicamente | Pendiente de cierre oficial directivo |</w:t>
      </w:r>
    </w:p>
    <w:p>
      <w:pPr>
        <w:spacing w:after="20" w:line="240" w:lineRule="auto"/>
      </w:pPr>
      <w:r>
        <w:rPr>
          <w:rFonts w:ascii="Consolas" w:hAnsi="Consolas"/>
          <w:sz w:val="14"/>
        </w:rPr>
        <w:t>| Alcance comercial y no comercial (`ISS-012`) | Respuesta científica en D-008 | Propuesta favorable pendiente de ratificación | No cerrar Issue todavía |</w:t>
      </w:r>
    </w:p>
    <w:p>
      <w:pPr>
        <w:spacing w:after="20" w:line="240" w:lineRule="auto"/>
      </w:pPr>
      <w:r>
        <w:rPr>
          <w:rFonts w:ascii="Consolas" w:hAnsi="Consolas"/>
          <w:sz w:val="14"/>
        </w:rPr>
        <w:t>| Estructura en dos niveles (`ISS-013`) | Respuesta científica en D-008 | Propuesta favorable pendiente de ratificación | No cerrar Issue todavía |</w:t>
      </w:r>
    </w:p>
    <w:p>
      <w:pPr>
        <w:spacing w:after="20" w:line="240" w:lineRule="auto"/>
      </w:pPr>
      <w:r>
        <w:rPr>
          <w:rFonts w:ascii="Consolas" w:hAnsi="Consolas"/>
          <w:sz w:val="14"/>
        </w:rPr>
        <w:t>| Resolución D-008/B1 (`ISS-030`) | Dirección General | Pendiente | Bloquea integración y B2 |</w:t>
      </w:r>
    </w:p>
    <w:p>
      <w:pPr>
        <w:spacing w:after="20" w:line="240" w:lineRule="auto"/>
      </w:pPr>
      <w:r>
        <w:rPr>
          <w:rFonts w:ascii="Consolas" w:hAnsi="Consolas"/>
          <w:sz w:val="14"/>
        </w:rPr>
        <w:t>| Residuos/merma (`ISS-043`) | Comité Científico + ratificación posterior | Candidato; clasificación no resuelta | Excluir de toda población normativa definitiva |</w:t>
      </w:r>
    </w:p>
    <w:p>
      <w:pPr>
        <w:spacing w:after="20" w:line="240" w:lineRule="auto"/>
      </w:pPr>
      <w:r>
        <w:rPr>
          <w:rFonts w:ascii="Consolas" w:hAnsi="Consolas"/>
          <w:sz w:val="14"/>
        </w:rPr>
        <w:t>| PRISMA completa | Comité identifica limitación | Sin disposición directiva sobre prerrequisito o validación posterior | Debe seleccionarse en la resolución |</w:t>
      </w:r>
    </w:p>
    <w:p>
      <w:pPr>
        <w:spacing w:after="20" w:line="240" w:lineRule="auto"/>
      </w:pPr>
      <w:r>
        <w:rPr>
          <w:rFonts w:ascii="Consolas" w:hAnsi="Consolas"/>
          <w:sz w:val="14"/>
        </w:rPr>
        <w:t>| Delphi | Comité identifica validación pendiente | Sin disposición directiva sobre prerrequisito o validación posterior | Debe seleccionarse en la resolución |</w:t>
      </w:r>
    </w:p>
    <w:p>
      <w:pPr>
        <w:spacing w:after="20" w:line="240" w:lineRule="auto"/>
      </w:pPr>
      <w:r>
        <w:rPr>
          <w:rFonts w:ascii="Consolas" w:hAnsi="Consolas"/>
          <w:sz w:val="14"/>
        </w:rPr>
        <w:t>| Baseline de procesos | Ninguna autoridad efectiva | Identidad `GOEI-BSL-PROC-0001 v0.1.0` solo propuesta | No crear antes de ratificación |</w:t>
      </w:r>
    </w:p>
    <w:p>
      <w:pPr>
        <w:spacing w:after="20" w:line="240" w:lineRule="auto"/>
      </w:pPr>
      <w:r>
        <w:rPr>
          <w:rFonts w:ascii="Consolas" w:hAnsi="Consolas"/>
          <w:sz w:val="14"/>
        </w:rPr>
        <w:t>| B2 | Pipeline técnico preparado | Bloqueada | No iniciar ciencia dependiente de B1 |</w:t>
      </w:r>
    </w:p>
    <w:p>
      <w:pPr>
        <w:spacing w:after="40"/>
      </w:pPr>
    </w:p>
    <w:p>
      <w:pPr>
        <w:pStyle w:val="Heading3"/>
      </w:pPr>
      <w:r>
        <w:t>3. Completitud del paquete de resolución</w:t>
      </w:r>
    </w:p>
    <w:p>
      <w:pPr>
        <w:spacing w:after="40"/>
      </w:pPr>
    </w:p>
    <w:p>
      <w:pPr>
        <w:spacing w:after="20" w:line="240" w:lineRule="auto"/>
      </w:pPr>
      <w:r>
        <w:rPr>
          <w:rFonts w:ascii="Consolas" w:hAnsi="Consolas"/>
          <w:sz w:val="14"/>
        </w:rPr>
        <w:t>| Control | Estado | Evidencia o acción restante |</w:t>
      </w:r>
    </w:p>
    <w:p>
      <w:pPr>
        <w:spacing w:after="20" w:line="240" w:lineRule="auto"/>
      </w:pPr>
      <w:r>
        <w:rPr>
          <w:rFonts w:ascii="Consolas" w:hAnsi="Consolas"/>
          <w:sz w:val="14"/>
        </w:rPr>
        <w:t>|---|---|---|</w:t>
      </w:r>
    </w:p>
    <w:p>
      <w:pPr>
        <w:spacing w:after="20" w:line="240" w:lineRule="auto"/>
      </w:pPr>
      <w:r>
        <w:rPr>
          <w:rFonts w:ascii="Consolas" w:hAnsi="Consolas"/>
          <w:sz w:val="14"/>
        </w:rPr>
        <w:t>| Expediente científico identificable | Conforme | `entradas_comite/GOEI_SCI_HANDOFF_D008_Cierre_B1.md` |</w:t>
      </w:r>
    </w:p>
    <w:p>
      <w:pPr>
        <w:spacing w:after="20" w:line="240" w:lineRule="auto"/>
      </w:pPr>
      <w:r>
        <w:rPr>
          <w:rFonts w:ascii="Consolas" w:hAnsi="Consolas"/>
          <w:sz w:val="14"/>
        </w:rPr>
        <w:t>| Auditoría técnica previa | Conforme | `GOEI-AUDIT-0002` |</w:t>
      </w:r>
    </w:p>
    <w:p>
      <w:pPr>
        <w:spacing w:after="20" w:line="240" w:lineRule="auto"/>
      </w:pPr>
      <w:r>
        <w:rPr>
          <w:rFonts w:ascii="Consolas" w:hAnsi="Consolas"/>
          <w:sz w:val="14"/>
        </w:rPr>
        <w:t>| Opciones mutuamente excluyentes | Conforme | Apartado 3 del borrador de resolución |</w:t>
      </w:r>
    </w:p>
    <w:p>
      <w:pPr>
        <w:spacing w:after="20" w:line="240" w:lineRule="auto"/>
      </w:pPr>
      <w:r>
        <w:rPr>
          <w:rFonts w:ascii="Consolas" w:hAnsi="Consolas"/>
          <w:sz w:val="14"/>
        </w:rPr>
        <w:t>| Disposición de `ISS-012`, `013`, `030` y `043` | Conforme como propuesta | La autoridad debe seleccionar una opción |</w:t>
      </w:r>
    </w:p>
    <w:p>
      <w:pPr>
        <w:spacing w:after="20" w:line="240" w:lineRule="auto"/>
      </w:pPr>
      <w:r>
        <w:rPr>
          <w:rFonts w:ascii="Consolas" w:hAnsi="Consolas"/>
          <w:sz w:val="14"/>
        </w:rPr>
        <w:t>| Tratamiento PRISMA y Delphi | Preparado | La autoridad debe marcar una disposición para cada actividad |</w:t>
      </w:r>
    </w:p>
    <w:p>
      <w:pPr>
        <w:spacing w:after="20" w:line="240" w:lineRule="auto"/>
      </w:pPr>
      <w:r>
        <w:rPr>
          <w:rFonts w:ascii="Consolas" w:hAnsi="Consolas"/>
          <w:sz w:val="14"/>
        </w:rPr>
        <w:t>| Versión objetivo condicionada | Conforme | Solo existe para la opción A |</w:t>
      </w:r>
    </w:p>
    <w:p>
      <w:pPr>
        <w:spacing w:after="20" w:line="240" w:lineRule="auto"/>
      </w:pPr>
      <w:r>
        <w:rPr>
          <w:rFonts w:ascii="Consolas" w:hAnsi="Consolas"/>
          <w:sz w:val="14"/>
        </w:rPr>
        <w:t>| Mandato de integración condicionado | Conforme | Solo se activa tras aprobación verificable |</w:t>
      </w:r>
    </w:p>
    <w:p>
      <w:pPr>
        <w:spacing w:after="20" w:line="240" w:lineRule="auto"/>
      </w:pPr>
      <w:r>
        <w:rPr>
          <w:rFonts w:ascii="Consolas" w:hAnsi="Consolas"/>
          <w:sz w:val="14"/>
        </w:rPr>
        <w:t>| Firma, fecha y autoridad | Pendiente crítico | Requiere acto explícito de Dirección General |</w:t>
      </w:r>
    </w:p>
    <w:p>
      <w:pPr>
        <w:spacing w:after="20" w:line="240" w:lineRule="auto"/>
      </w:pPr>
      <w:r>
        <w:rPr>
          <w:rFonts w:ascii="Consolas" w:hAnsi="Consolas"/>
          <w:sz w:val="14"/>
        </w:rPr>
        <w:t>| Clasificación de residuos/merma | Pendiente científico selectivo | No completar por inferencia; mantener `ISS-043` |</w:t>
      </w:r>
    </w:p>
    <w:p>
      <w:pPr>
        <w:spacing w:after="40"/>
      </w:pPr>
    </w:p>
    <w:p>
      <w:pPr>
        <w:pStyle w:val="Heading3"/>
      </w:pPr>
      <w:r>
        <w:t>4. Separación de bloqueos</w:t>
      </w:r>
    </w:p>
    <w:p>
      <w:pPr>
        <w:spacing w:after="40"/>
      </w:pPr>
    </w:p>
    <w:p>
      <w:pPr>
        <w:pStyle w:val="Heading4"/>
      </w:pPr>
      <w:r>
        <w:t>Bloqueo de rama completa</w:t>
      </w:r>
    </w:p>
    <w:p>
      <w:pPr>
        <w:spacing w:after="40"/>
      </w:pPr>
    </w:p>
    <w:p>
      <w:r>
        <w:t>GOEI-ISS-030 bloquea:</w:t>
      </w:r>
    </w:p>
    <w:p>
      <w:pPr>
        <w:spacing w:after="40"/>
      </w:pPr>
    </w:p>
    <w:p>
      <w:pPr>
        <w:pStyle w:val="ListBullet"/>
      </w:pPr>
      <w:r>
        <w:t>incorporación de D-008 al registro oficial;</w:t>
      </w:r>
    </w:p>
    <w:p>
      <w:pPr>
        <w:pStyle w:val="ListBullet"/>
      </w:pPr>
      <w:r>
        <w:t>creación de la baseline de procesos;</w:t>
      </w:r>
    </w:p>
    <w:p>
      <w:pPr>
        <w:pStyle w:val="ListBullet"/>
      </w:pPr>
      <w:r>
        <w:t>declaración oficial de cierre B1;</w:t>
      </w:r>
    </w:p>
    <w:p>
      <w:pPr>
        <w:pStyle w:val="ListBullet"/>
      </w:pPr>
      <w:r>
        <w:t>promoción del núcleo a catálogo normativo;</w:t>
      </w:r>
    </w:p>
    <w:p>
      <w:pPr>
        <w:pStyle w:val="ListBullet"/>
      </w:pPr>
      <w:r>
        <w:t>activación científica de B2.</w:t>
      </w:r>
    </w:p>
    <w:p>
      <w:pPr>
        <w:spacing w:after="40"/>
      </w:pPr>
    </w:p>
    <w:p>
      <w:pPr>
        <w:pStyle w:val="Heading4"/>
      </w:pPr>
      <w:r>
        <w:t>Bloqueo selectivo</w:t>
      </w:r>
    </w:p>
    <w:p>
      <w:pPr>
        <w:spacing w:after="40"/>
      </w:pPr>
    </w:p>
    <w:p>
      <w:r>
        <w:t>GOEI-ISS-043 bloquea exclusivamente:</w:t>
      </w:r>
    </w:p>
    <w:p>
      <w:pPr>
        <w:spacing w:after="40"/>
      </w:pPr>
    </w:p>
    <w:p>
      <w:pPr>
        <w:pStyle w:val="ListBullet"/>
      </w:pPr>
      <w:r>
        <w:t>asignar una clase normativa a residuos/merma;</w:t>
      </w:r>
    </w:p>
    <w:p>
      <w:pPr>
        <w:pStyle w:val="ListBullet"/>
      </w:pPr>
      <w:r>
        <w:t>incorporarlo como proceso oficial en la baseline;</w:t>
      </w:r>
    </w:p>
    <w:p>
      <w:pPr>
        <w:pStyle w:val="ListBullet"/>
      </w:pPr>
      <w:r>
        <w:t>declarar resuelta su ubicación en el catálogo;</w:t>
      </w:r>
    </w:p>
    <w:p>
      <w:pPr>
        <w:pStyle w:val="ListBullet"/>
      </w:pPr>
      <w:r>
        <w:t>construir descendientes que dependan de esa clasificación.</w:t>
      </w:r>
    </w:p>
    <w:p>
      <w:pPr>
        <w:spacing w:after="40"/>
      </w:pPr>
    </w:p>
    <w:p>
      <w:r>
        <w:t>No bloquea el mantenimiento del MetaModelo Universal vacío, la trazabilidad, los validadores, el diseño del handoff ni la preparación de la integración.</w:t>
      </w:r>
    </w:p>
    <w:p>
      <w:pPr>
        <w:spacing w:after="40"/>
      </w:pPr>
    </w:p>
    <w:p>
      <w:pPr>
        <w:pStyle w:val="Heading3"/>
      </w:pPr>
      <w:r>
        <w:t>5. Inconsistencias documentales detectadas</w:t>
      </w:r>
    </w:p>
    <w:p>
      <w:pPr>
        <w:spacing w:after="40"/>
      </w:pPr>
    </w:p>
    <w:p>
      <w:pPr>
        <w:pStyle w:val="ListNumber"/>
      </w:pPr>
      <w:r>
        <w:t>GOEI_HANDOFF_0001_B1_Procesos_Universales.md conserva el estado anterior a la subsanación bibliográfica y señala que D-008 es un texto propuesto sin decisión científica aprobada. La fuente más reciente demuestra que el Comité la declaró aprobada científicamente, aunque siga sin ratificación normativa.</w:t>
      </w:r>
    </w:p>
    <w:p>
      <w:pPr>
        <w:pStyle w:val="ListNumber"/>
      </w:pPr>
      <w:r>
        <w:t>Algunos reportes históricos describen D-008 simplemente como “propuesta no aprobada”. Son correctos para su fecha de corte, pero no deben utilizarse como estado vigente sin considerar el expediente posterior y GOEI-AUDIT-0002.</w:t>
      </w:r>
    </w:p>
    <w:p>
      <w:pPr>
        <w:pStyle w:val="ListNumber"/>
      </w:pPr>
      <w:r>
        <w:t>El Estado Maestro menciona “reservas bibliográficas” pese a que el addendum de GOEI-AUDIT-0002 declara subsanado el cotejo. La reserva vigente es metodológica —PRISMA/Delphi— y científica selectiva —residuos/merma—, no de completitud de las tres referencias.</w:t>
      </w:r>
    </w:p>
    <w:p>
      <w:pPr>
        <w:spacing w:after="40"/>
      </w:pPr>
    </w:p>
    <w:p>
      <w:r>
        <w:t>Estas inconsistencias son de sincronización documental. No alteran la decisión pendiente ni autorizan corregir registros maestros sin el flujo de integración coordinado.</w:t>
      </w:r>
    </w:p>
    <w:p>
      <w:pPr>
        <w:spacing w:after="40"/>
      </w:pPr>
    </w:p>
    <w:p>
      <w:pPr>
        <w:pStyle w:val="Heading3"/>
      </w:pPr>
      <w:r>
        <w:t>6. Secuencia técnica preparada para cada salida</w:t>
      </w:r>
    </w:p>
    <w:p>
      <w:pPr>
        <w:spacing w:after="40"/>
      </w:pPr>
    </w:p>
    <w:p>
      <w:pPr>
        <w:pStyle w:val="Heading4"/>
      </w:pPr>
      <w:r>
        <w:t>Si Dirección ratifica D-008</w:t>
      </w:r>
    </w:p>
    <w:p>
      <w:pPr>
        <w:spacing w:after="40"/>
      </w:pPr>
    </w:p>
    <w:p>
      <w:pPr>
        <w:pStyle w:val="ListNumber"/>
      </w:pPr>
      <w:r>
        <w:t>preservar el acto firmado o su mecanismo verificable;</w:t>
      </w:r>
    </w:p>
    <w:p>
      <w:pPr>
        <w:pStyle w:val="ListNumber"/>
      </w:pPr>
      <w:r>
        <w:t>asignar identificador definitivo a la resolución;</w:t>
      </w:r>
    </w:p>
    <w:p>
      <w:pPr>
        <w:pStyle w:val="ListNumber"/>
      </w:pPr>
      <w:r>
        <w:t>registrar D-008 con alcance, autoridad, reservas y dependencias exactas;</w:t>
      </w:r>
    </w:p>
    <w:p>
      <w:pPr>
        <w:pStyle w:val="ListNumber"/>
      </w:pPr>
      <w:r>
        <w:t>disponer los Issues conforme a la resolución, manteniendo ISS-043 abierto si así se ordena;</w:t>
      </w:r>
    </w:p>
    <w:p>
      <w:pPr>
        <w:pStyle w:val="ListNumber"/>
      </w:pPr>
      <w:r>
        <w:t>crear GOEI-BSL-PROC-0001 v0.1.0 sin poblar residuos/merma como clase definitiva;</w:t>
      </w:r>
    </w:p>
    <w:p>
      <w:pPr>
        <w:pStyle w:val="ListNumber"/>
      </w:pPr>
      <w:r>
        <w:t>actualizar componentes, trazabilidad, Knowledge Graph, BOK, Estado Maestro, roadmap y CHANGELOG;</w:t>
      </w:r>
    </w:p>
    <w:p>
      <w:pPr>
        <w:pStyle w:val="ListNumber"/>
      </w:pPr>
      <w:r>
        <w:t>ejecutar validadores y prueba de no regresión;</w:t>
      </w:r>
    </w:p>
    <w:p>
      <w:pPr>
        <w:pStyle w:val="ListNumber"/>
      </w:pPr>
      <w:r>
        <w:t>emitir handoff técnico de apertura de B2.</w:t>
      </w:r>
    </w:p>
    <w:p>
      <w:pPr>
        <w:spacing w:after="40"/>
      </w:pPr>
    </w:p>
    <w:p>
      <w:pPr>
        <w:pStyle w:val="Heading4"/>
      </w:pPr>
      <w:r>
        <w:t>Si Dirección devuelve D-008</w:t>
      </w:r>
    </w:p>
    <w:p>
      <w:pPr>
        <w:spacing w:after="40"/>
      </w:pPr>
    </w:p>
    <w:p>
      <w:pPr>
        <w:pStyle w:val="ListNumber"/>
      </w:pPr>
      <w:r>
        <w:t>registrar la devolución y sus requisitos exactos;</w:t>
      </w:r>
    </w:p>
    <w:p>
      <w:pPr>
        <w:pStyle w:val="ListNumber"/>
      </w:pPr>
      <w:r>
        <w:t>mantener B1 y B2 bloqueadas;</w:t>
      </w:r>
    </w:p>
    <w:p>
      <w:pPr>
        <w:pStyle w:val="ListNumber"/>
      </w:pPr>
      <w:r>
        <w:t>remitir al Comité únicamente las subsanaciones seleccionadas;</w:t>
      </w:r>
    </w:p>
    <w:p>
      <w:pPr>
        <w:pStyle w:val="ListNumber"/>
      </w:pPr>
      <w:r>
        <w:t>actualizar condiciones de reanudación sin modificar ciencia.</w:t>
      </w:r>
    </w:p>
    <w:p>
      <w:pPr>
        <w:spacing w:after="40"/>
      </w:pPr>
    </w:p>
    <w:p>
      <w:pPr>
        <w:pStyle w:val="Heading4"/>
      </w:pPr>
      <w:r>
        <w:t>Si Dirección rechaza D-008</w:t>
      </w:r>
    </w:p>
    <w:p>
      <w:pPr>
        <w:spacing w:after="40"/>
      </w:pPr>
    </w:p>
    <w:p>
      <w:pPr>
        <w:pStyle w:val="ListNumber"/>
      </w:pPr>
      <w:r>
        <w:t>registrar el rechazo y su fundamento;</w:t>
      </w:r>
    </w:p>
    <w:p>
      <w:pPr>
        <w:pStyle w:val="ListNumber"/>
      </w:pPr>
      <w:r>
        <w:t>cerrar ISS-030 respecto de D-008;</w:t>
      </w:r>
    </w:p>
    <w:p>
      <w:pPr>
        <w:pStyle w:val="ListNumber"/>
      </w:pPr>
      <w:r>
        <w:t>abrir Issue sucesor para un nuevo expediente B1;</w:t>
      </w:r>
    </w:p>
    <w:p>
      <w:pPr>
        <w:pStyle w:val="ListNumber"/>
      </w:pPr>
      <w:r>
        <w:t>mantener fuera de normativa todos los contenidos candidatos;</w:t>
      </w:r>
    </w:p>
    <w:p>
      <w:pPr>
        <w:pStyle w:val="ListNumber"/>
      </w:pPr>
      <w:r>
        <w:t>preservar ISS-043 o reasignarlo según la resolución.</w:t>
      </w:r>
    </w:p>
    <w:p>
      <w:pPr>
        <w:spacing w:after="40"/>
      </w:pPr>
    </w:p>
    <w:p>
      <w:pPr>
        <w:pStyle w:val="Heading3"/>
      </w:pPr>
      <w:r>
        <w:t>7. Controles previos de integración</w:t>
      </w:r>
    </w:p>
    <w:p>
      <w:pPr>
        <w:spacing w:after="40"/>
      </w:pPr>
    </w:p>
    <w:p>
      <w:r>
        <w:t>Antes de ejecutar la opción A deberán verificarse conjuntamente:</w:t>
      </w:r>
    </w:p>
    <w:p>
      <w:pPr>
        <w:spacing w:after="40"/>
      </w:pPr>
    </w:p>
    <w:p>
      <w:pPr>
        <w:pStyle w:val="ListBullet"/>
      </w:pPr>
      <w:r>
        <w:t>exactamente una opción seleccionada;</w:t>
      </w:r>
    </w:p>
    <w:p>
      <w:pPr>
        <w:pStyle w:val="ListBullet"/>
      </w:pPr>
      <w:r>
        <w:t>firma o aprobación verificable y fecha efectiva;</w:t>
      </w:r>
    </w:p>
    <w:p>
      <w:pPr>
        <w:pStyle w:val="ListBullet"/>
      </w:pPr>
      <w:r>
        <w:t>coherencia entre opción principal y tratamiento PRISMA/Delphi;</w:t>
      </w:r>
    </w:p>
    <w:p>
      <w:pPr>
        <w:pStyle w:val="ListBullet"/>
      </w:pPr>
      <w:r>
        <w:t>disposición inequívoca de los cuatro Issues;</w:t>
      </w:r>
    </w:p>
    <w:p>
      <w:pPr>
        <w:pStyle w:val="ListBullet"/>
      </w:pPr>
      <w:r>
        <w:t>ausencia de colisión de GOEI-BSL-PROC-0001 y 0.1.0;</w:t>
      </w:r>
    </w:p>
    <w:p>
      <w:pPr>
        <w:pStyle w:val="ListBullet"/>
      </w:pPr>
      <w:r>
        <w:t>delimitación explícita de residuos/merma como candidato no normativo mientras ISS-043 siga abierto;</w:t>
      </w:r>
    </w:p>
    <w:p>
      <w:pPr>
        <w:pStyle w:val="ListBullet"/>
      </w:pPr>
      <w:r>
        <w:t>preservación de D-006 Ontology Baseline v0.1;</w:t>
      </w:r>
    </w:p>
    <w:p>
      <w:pPr>
        <w:pStyle w:val="ListBullet"/>
      </w:pPr>
      <w:r>
        <w:t>prohibición de inferir taxonomías, KPI, fórmulas o ponderaciones.</w:t>
      </w:r>
    </w:p>
    <w:p>
      <w:pPr>
        <w:spacing w:after="40"/>
      </w:pPr>
    </w:p>
    <w:p>
      <w:pPr>
        <w:pStyle w:val="Heading3"/>
      </w:pPr>
      <w:r>
        <w:t>8. Bloqueador preciso y condición de reanudación</w:t>
      </w:r>
    </w:p>
    <w:p>
      <w:pPr>
        <w:spacing w:after="40"/>
      </w:pPr>
    </w:p>
    <w:p>
      <w:r>
        <w:t>El único bloqueo crítico para continuar la rama normativa B1 es una resolución verificable de la Dirección General que seleccione una opción del borrador, disponga PRISMA y Delphi, determine el estado de los Issues, defina la versión objetivo cuando corresponda e identifique fecha y autoridad.</w:t>
      </w:r>
    </w:p>
    <w:p>
      <w:pPr>
        <w:spacing w:after="40"/>
      </w:pPr>
    </w:p>
    <w:p>
      <w:r>
        <w:t>La clasificación de residuos/merma permanece como dependencia científica separada bajo GOEI-ISS-043. Hasta su resolución no debe aparecer como elemento normativo definitivo, aunque la Dirección puede decidir si admite cerrar solo la pregunta nuclear de B1 con esa reserva abierta.</w:t>
      </w:r>
    </w:p>
    <w:p>
      <w:pPr>
        <w:spacing w:after="40"/>
      </w:pPr>
    </w:p>
    <w:p>
      <w:r>
        <w:br w:type="page"/>
      </w:r>
    </w:p>
    <w:p>
      <w:pPr>
        <w:pStyle w:val="Heading1"/>
        <w:keepNext/>
      </w:pPr>
      <w:r>
        <w:t>Fuente 48: 00_Gobernanza/coordinacion/reportes/GOEI_CYCLE_0002_Configuracion_y_releases.md</w:t>
      </w:r>
    </w:p>
    <w:p>
      <w:pPr>
        <w:spacing w:after="200"/>
      </w:pPr>
      <w:r>
        <w:rPr>
          <w:rFonts w:ascii="Consolas" w:hAnsi="Consolas"/>
          <w:color w:val="595959"/>
          <w:sz w:val="16"/>
        </w:rPr>
        <w:t>Ruta: 00_Gobernanza/coordinacion/reportes/GOEI_CYCLE_0002_Configuracion_y_releases.md</w:t>
        <w:br/>
        <w:t>Tamaño: 1658 bytes</w:t>
        <w:br/>
        <w:t>SHA-256: 4235050b7c9f1f051d21f5dd1160963b025ef0460f65180396a4c895a262019f</w:t>
      </w:r>
    </w:p>
    <w:p>
      <w:pPr>
        <w:pStyle w:val="Heading2"/>
      </w:pPr>
      <w:r>
        <w:t>GOEI Cycle Report 0002 — Configuración y releases</w:t>
      </w:r>
    </w:p>
    <w:p>
      <w:pPr>
        <w:spacing w:after="40"/>
      </w:pPr>
    </w:p>
    <w:p>
      <w:r>
        <w:t>Fecha: 2026-08-04</w:t>
      </w:r>
    </w:p>
    <w:p>
      <w:r>
        <w:t>Responsable: Oficina Técnica GOEI</w:t>
      </w:r>
    </w:p>
    <w:p>
      <w:r>
        <w:t>Alcance: infraestructura técnica independiente de decisiones científicas</w:t>
      </w:r>
    </w:p>
    <w:p>
      <w:pPr>
        <w:spacing w:after="40"/>
      </w:pPr>
    </w:p>
    <w:p>
      <w:pPr>
        <w:pStyle w:val="Heading3"/>
      </w:pPr>
      <w:r>
        <w:t>Resultado</w:t>
      </w:r>
    </w:p>
    <w:p>
      <w:pPr>
        <w:spacing w:after="40"/>
      </w:pPr>
    </w:p>
    <w:p>
      <w:r>
        <w:t>Se implementó la arquitectura reproducible para snapshots, release candidates, líneas base y releases GOEI. No se creó ni promovió una release, y no se modificó ninguna decisión científica.</w:t>
      </w:r>
    </w:p>
    <w:p>
      <w:pPr>
        <w:spacing w:after="40"/>
      </w:pPr>
    </w:p>
    <w:p>
      <w:pPr>
        <w:pStyle w:val="Heading3"/>
      </w:pPr>
      <w:r>
        <w:t>Artefactos incorporados</w:t>
      </w:r>
    </w:p>
    <w:p>
      <w:pPr>
        <w:spacing w:after="40"/>
      </w:pPr>
    </w:p>
    <w:p>
      <w:pPr>
        <w:pStyle w:val="ListBullet"/>
      </w:pPr>
      <w:r>
        <w:t>GOEI-REL-POL-0001, política de releases y líneas base;</w:t>
      </w:r>
    </w:p>
    <w:p>
      <w:pPr>
        <w:pStyle w:val="ListBullet"/>
      </w:pPr>
      <w:r>
        <w:t>plantilla de expediente de release;</w:t>
      </w:r>
    </w:p>
    <w:p>
      <w:pPr>
        <w:pStyle w:val="ListBullet"/>
      </w:pPr>
      <w:r>
        <w:t>GOEI-TOOL-MAN-0001, generador de manifiestos SHA-256;</w:t>
      </w:r>
    </w:p>
    <w:p>
      <w:pPr>
        <w:pStyle w:val="ListBullet"/>
      </w:pPr>
      <w:r>
        <w:t>GOEI-TOOL-DIFF-0001, comparador de manifiestos;</w:t>
      </w:r>
    </w:p>
    <w:p>
      <w:pPr>
        <w:pStyle w:val="ListBullet"/>
      </w:pPr>
      <w:r>
        <w:t>actualización de registros maestros y configuración del validador.</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Compilación de herramientas Python | Conforme |</w:t>
      </w:r>
    </w:p>
    <w:p>
      <w:pPr>
        <w:spacing w:after="20" w:line="240" w:lineRule="auto"/>
      </w:pPr>
      <w:r>
        <w:rPr>
          <w:rFonts w:ascii="Consolas" w:hAnsi="Consolas"/>
          <w:sz w:val="14"/>
        </w:rPr>
        <w:t>| Reconstrucción doble de manifiesto sobre Ontology Baseline v0.1 | Inventarios idénticos |</w:t>
      </w:r>
    </w:p>
    <w:p>
      <w:pPr>
        <w:spacing w:after="20" w:line="240" w:lineRule="auto"/>
      </w:pPr>
      <w:r>
        <w:rPr>
          <w:rFonts w:ascii="Consolas" w:hAnsi="Consolas"/>
          <w:sz w:val="14"/>
        </w:rPr>
        <w:t>| Comparación de ambos manifiestos | Sin diferencias; 2 archivos sin cambios |</w:t>
      </w:r>
    </w:p>
    <w:p>
      <w:pPr>
        <w:spacing w:after="20" w:line="240" w:lineRule="auto"/>
      </w:pPr>
      <w:r>
        <w:rPr>
          <w:rFonts w:ascii="Consolas" w:hAnsi="Consolas"/>
          <w:sz w:val="14"/>
        </w:rPr>
        <w:t>| Validador integral | PASS — 51 controles |</w:t>
      </w:r>
    </w:p>
    <w:p>
      <w:pPr>
        <w:spacing w:after="20" w:line="240" w:lineRule="auto"/>
      </w:pPr>
      <w:r>
        <w:rPr>
          <w:rFonts w:ascii="Consolas" w:hAnsi="Consolas"/>
          <w:sz w:val="14"/>
        </w:rPr>
        <w:t>| Evaluación de preparación | Bloqueos esperados; código 2 |</w:t>
      </w:r>
    </w:p>
    <w:p>
      <w:pPr>
        <w:spacing w:after="40"/>
      </w:pPr>
    </w:p>
    <w:p>
      <w:pPr>
        <w:pStyle w:val="Heading3"/>
      </w:pPr>
      <w:r>
        <w:t>Estado científico preservado</w:t>
      </w:r>
    </w:p>
    <w:p>
      <w:pPr>
        <w:spacing w:after="40"/>
      </w:pPr>
    </w:p>
    <w:p>
      <w:pPr>
        <w:pStyle w:val="ListBullet"/>
      </w:pPr>
      <w:r>
        <w:t>B1 continúa awaiting_approval.</w:t>
      </w:r>
    </w:p>
    <w:p>
      <w:pPr>
        <w:pStyle w:val="ListBullet"/>
      </w:pPr>
      <w:r>
        <w:t>D-008 permanece propuesta no aprobada.</w:t>
      </w:r>
    </w:p>
    <w:p>
      <w:pPr>
        <w:pStyle w:val="ListBullet"/>
      </w:pPr>
      <w:r>
        <w:t>GOEI-ISS-030 continúa como bloqueo canónico.</w:t>
      </w:r>
    </w:p>
    <w:p>
      <w:pPr>
        <w:pStyle w:val="ListBullet"/>
      </w:pPr>
      <w:r>
        <w:t>B2 no se inicia hasta el cierre oficial de B1.</w:t>
      </w:r>
    </w:p>
    <w:p>
      <w:pPr>
        <w:pStyle w:val="ListBullet"/>
      </w:pPr>
      <w:r>
        <w:t>Los objetivos Standard validado, tesis terminada y manuscrito publicable permanecen bloqueados por sus compuertas declaradas.</w:t>
      </w:r>
    </w:p>
    <w:p>
      <w:pPr>
        <w:spacing w:after="40"/>
      </w:pPr>
    </w:p>
    <w:p>
      <w:pPr>
        <w:pStyle w:val="Heading3"/>
      </w:pPr>
      <w:r>
        <w:t>Próximo trabajo técnico permitido</w:t>
      </w:r>
    </w:p>
    <w:p>
      <w:pPr>
        <w:spacing w:after="40"/>
      </w:pPr>
    </w:p>
    <w:p>
      <w:r>
        <w:t>Preparar pruebas automatizadas de reconstrucción y una evaluación formal de compuertas de release basada en expedientes, sin sustituir la aprobación humana ni científica.</w:t>
      </w:r>
    </w:p>
    <w:p>
      <w:r>
        <w:br w:type="page"/>
      </w:r>
    </w:p>
    <w:p>
      <w:pPr>
        <w:pStyle w:val="Heading1"/>
        <w:keepNext/>
      </w:pPr>
      <w:r>
        <w:t>Fuente 49: 00_Gobernanza/coordinacion/reportes/GOEI_CYCLE_0003_Evaluador_de_compuertas.md</w:t>
      </w:r>
    </w:p>
    <w:p>
      <w:pPr>
        <w:spacing w:after="200"/>
      </w:pPr>
      <w:r>
        <w:rPr>
          <w:rFonts w:ascii="Consolas" w:hAnsi="Consolas"/>
          <w:color w:val="595959"/>
          <w:sz w:val="16"/>
        </w:rPr>
        <w:t>Ruta: 00_Gobernanza/coordinacion/reportes/GOEI_CYCLE_0003_Evaluador_de_compuertas.md</w:t>
        <w:br/>
        <w:t>Tamaño: 1793 bytes</w:t>
        <w:br/>
        <w:t>SHA-256: 4a7a554be1f00b730ef13c7a1e451f0994c1524d1197d12c9a881659923b2d65</w:t>
      </w:r>
    </w:p>
    <w:p>
      <w:pPr>
        <w:pStyle w:val="Heading2"/>
      </w:pPr>
      <w:r>
        <w:t>GOEI Cycle Report 0003 — Evaluador de compuertas</w:t>
      </w:r>
    </w:p>
    <w:p>
      <w:pPr>
        <w:spacing w:after="40"/>
      </w:pPr>
    </w:p>
    <w:p>
      <w:r>
        <w:t>Fecha: 2026-08-04</w:t>
      </w:r>
    </w:p>
    <w:p>
      <w:r>
        <w:t>Responsable: Oficina Técnica GOEI</w:t>
      </w:r>
    </w:p>
    <w:p>
      <w:r>
        <w:t>Alcance: automatización de controles formales de release</w:t>
      </w:r>
    </w:p>
    <w:p>
      <w:pPr>
        <w:spacing w:after="40"/>
      </w:pPr>
    </w:p>
    <w:p>
      <w:pPr>
        <w:pStyle w:val="Heading3"/>
      </w:pPr>
      <w:r>
        <w:t>Resultado</w:t>
      </w:r>
    </w:p>
    <w:p>
      <w:pPr>
        <w:spacing w:after="40"/>
      </w:pPr>
    </w:p>
    <w:p>
      <w:r>
        <w:t>Se creó un contrato JSON para expedientes de release y un evaluador determinista de las compuertas G0–G5. El diseño conserva dos límites de autoridad:</w:t>
      </w:r>
    </w:p>
    <w:p>
      <w:pPr>
        <w:spacing w:after="40"/>
      </w:pPr>
    </w:p>
    <w:p>
      <w:pPr>
        <w:pStyle w:val="ListNumber"/>
      </w:pPr>
      <w:r>
        <w:t>una decisión solo es admisible si se declara aprobada y consta en el registro oficial;</w:t>
      </w:r>
    </w:p>
    <w:p>
      <w:pPr>
        <w:pStyle w:val="ListNumber"/>
      </w:pPr>
      <w:r>
        <w:t>la promoción final exige un acto aprobatorio explícito y verificable.</w:t>
      </w:r>
    </w:p>
    <w:p>
      <w:pPr>
        <w:spacing w:after="40"/>
      </w:pPr>
    </w:p>
    <w:p>
      <w:r>
        <w:t>El evaluador no interpreta literatura, no valida metodología y no puede producir actos aprobatorios.</w:t>
      </w:r>
    </w:p>
    <w:p>
      <w:pPr>
        <w:spacing w:after="40"/>
      </w:pPr>
    </w:p>
    <w:p>
      <w:pPr>
        <w:pStyle w:val="Heading3"/>
      </w:pPr>
      <w:r>
        <w:t>Pruebas cubiertas</w:t>
      </w:r>
    </w:p>
    <w:p>
      <w:pPr>
        <w:spacing w:after="40"/>
      </w:pPr>
    </w:p>
    <w:p>
      <w:pPr>
        <w:pStyle w:val="ListBullet"/>
      </w:pPr>
      <w:r>
        <w:t>expediente de fixture completo;</w:t>
      </w:r>
    </w:p>
    <w:p>
      <w:pPr>
        <w:pStyle w:val="ListBullet"/>
      </w:pPr>
      <w:r>
        <w:t>ausencia de aprobación final;</w:t>
      </w:r>
    </w:p>
    <w:p>
      <w:pPr>
        <w:pStyle w:val="ListBullet"/>
      </w:pPr>
      <w:r>
        <w:t>decisión no aprobada;</w:t>
      </w:r>
    </w:p>
    <w:p>
      <w:pPr>
        <w:pStyle w:val="ListBullet"/>
      </w:pPr>
      <w:r>
        <w:t>decisión no registrada;</w:t>
      </w:r>
    </w:p>
    <w:p>
      <w:pPr>
        <w:pStyle w:val="ListBullet"/>
      </w:pPr>
      <w:r>
        <w:t>componente no registrado;</w:t>
      </w:r>
    </w:p>
    <w:p>
      <w:pPr>
        <w:pStyle w:val="ListBullet"/>
      </w:pPr>
      <w:r>
        <w:t>escape de ruta fuera del repositorio;</w:t>
      </w:r>
    </w:p>
    <w:p>
      <w:pPr>
        <w:pStyle w:val="ListBullet"/>
      </w:pPr>
      <w:r>
        <w:t>reconstrucción del manifiesto como mapa de archivos.</w:t>
      </w:r>
    </w:p>
    <w:p>
      <w:pPr>
        <w:spacing w:after="40"/>
      </w:pPr>
    </w:p>
    <w:p>
      <w:r>
        <w:t>El validador integral también fue ampliado para exigir rutas canónicas existentes y correspondencia bidireccional entre el registro de componentes y la matriz de trazabilidad.</w:t>
      </w:r>
    </w:p>
    <w:p>
      <w:pPr>
        <w:spacing w:after="40"/>
      </w:pPr>
    </w:p>
    <w:p>
      <w:pPr>
        <w:pStyle w:val="Heading3"/>
      </w:pPr>
      <w:r>
        <w:t>Verificación final</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Pruebas unitarias | 7/7 conformes |</w:t>
      </w:r>
    </w:p>
    <w:p>
      <w:pPr>
        <w:spacing w:after="20" w:line="240" w:lineRule="auto"/>
      </w:pPr>
      <w:r>
        <w:rPr>
          <w:rFonts w:ascii="Consolas" w:hAnsi="Consolas"/>
          <w:sz w:val="14"/>
        </w:rPr>
        <w:t>| Compilación de herramientas | Conforme |</w:t>
      </w:r>
    </w:p>
    <w:p>
      <w:pPr>
        <w:spacing w:after="20" w:line="240" w:lineRule="auto"/>
      </w:pPr>
      <w:r>
        <w:rPr>
          <w:rFonts w:ascii="Consolas" w:hAnsi="Consolas"/>
          <w:sz w:val="14"/>
        </w:rPr>
        <w:t>| Validador integral | PASS — 61 controles |</w:t>
      </w:r>
    </w:p>
    <w:p>
      <w:pPr>
        <w:spacing w:after="20" w:line="240" w:lineRule="auto"/>
      </w:pPr>
      <w:r>
        <w:rPr>
          <w:rFonts w:ascii="Consolas" w:hAnsi="Consolas"/>
          <w:sz w:val="14"/>
        </w:rPr>
        <w:t>| Readiness | Código 2 esperado; compuertas científicas pendientes |</w:t>
      </w:r>
    </w:p>
    <w:p>
      <w:pPr>
        <w:spacing w:after="40"/>
      </w:pPr>
    </w:p>
    <w:p>
      <w:pPr>
        <w:pStyle w:val="Heading3"/>
      </w:pPr>
      <w:r>
        <w:t>Estado científico observado</w:t>
      </w:r>
    </w:p>
    <w:p>
      <w:pPr>
        <w:spacing w:after="40"/>
      </w:pPr>
    </w:p>
    <w:p>
      <w:r>
        <w:t>No existe una nueva decisión oficial después de D-007. D-008 permanece propuesta; GOEI-ISS-030 continúa abierto y B1 no puede promoverse. No se creó expediente de release candidato para el estándar.</w:t>
      </w:r>
    </w:p>
    <w:p>
      <w:pPr>
        <w:spacing w:after="40"/>
      </w:pPr>
    </w:p>
    <w:p>
      <w:pPr>
        <w:pStyle w:val="Heading3"/>
      </w:pPr>
      <w:r>
        <w:t>Consecuencia operacional</w:t>
      </w:r>
    </w:p>
    <w:p>
      <w:pPr>
        <w:spacing w:after="40"/>
      </w:pPr>
    </w:p>
    <w:p>
      <w:r>
        <w:t>Las futuras configuraciones podrán ser rechazadas automáticamente por evidencia faltante, pero solo las autoridades competentes podrán satisfacer G1 y G5 mediante sus decisiones y actos formales.</w:t>
      </w:r>
    </w:p>
    <w:p>
      <w:r>
        <w:br w:type="page"/>
      </w:r>
    </w:p>
    <w:p>
      <w:pPr>
        <w:pStyle w:val="Heading1"/>
        <w:keepNext/>
      </w:pPr>
      <w:r>
        <w:t>Fuente 50: 00_Gobernanza/coordinacion/reportes/GOEI_CYCLE_0004_Plan_Maestro_Tesis.md</w:t>
      </w:r>
    </w:p>
    <w:p>
      <w:pPr>
        <w:spacing w:after="200"/>
      </w:pPr>
      <w:r>
        <w:rPr>
          <w:rFonts w:ascii="Consolas" w:hAnsi="Consolas"/>
          <w:color w:val="595959"/>
          <w:sz w:val="16"/>
        </w:rPr>
        <w:t>Ruta: 00_Gobernanza/coordinacion/reportes/GOEI_CYCLE_0004_Plan_Maestro_Tesis.md</w:t>
        <w:br/>
        <w:t>Tamaño: 2115 bytes</w:t>
        <w:br/>
        <w:t>SHA-256: 37d6223e76cdb61eb2fd033860946649806ed06288bdf0e440ce464727bd48ad</w:t>
      </w:r>
    </w:p>
    <w:p>
      <w:pPr>
        <w:pStyle w:val="Heading2"/>
      </w:pPr>
      <w:r>
        <w:t>GOEI Cycle Report 0004 — Plan Maestro Directoral de la Tesis</w:t>
      </w:r>
    </w:p>
    <w:p>
      <w:pPr>
        <w:spacing w:after="40"/>
      </w:pPr>
    </w:p>
    <w:p>
      <w:r>
        <w:t>Fecha: 2026-08-04</w:t>
      </w:r>
    </w:p>
    <w:p>
      <w:r>
        <w:t>Responsable: Oficina Técnica GOEI</w:t>
      </w:r>
    </w:p>
    <w:p>
      <w:r>
        <w:t>Fuente: Plan Maestro de la Tesis — Versión Directoral</w:t>
      </w:r>
    </w:p>
    <w:p>
      <w:r>
        <w:t>SHA-256: e534c4e92302590b7fd4b5c6ea86c06f265e8e28e3f72e28487e9ee550bc9342</w:t>
      </w:r>
    </w:p>
    <w:p>
      <w:pPr>
        <w:spacing w:after="40"/>
      </w:pPr>
    </w:p>
    <w:p>
      <w:pPr>
        <w:pStyle w:val="Heading3"/>
      </w:pPr>
      <w:r>
        <w:t>Resultado</w:t>
      </w:r>
    </w:p>
    <w:p>
      <w:pPr>
        <w:spacing w:after="40"/>
      </w:pPr>
    </w:p>
    <w:p>
      <w:r>
        <w:t>La instrucción fue registrada como GOEI-DIR-0002 y convertida en GOEI-THS-REQ-0001, requisito mínimo controlado de la tesis. La arquitectura anterior de 12 bloques fue sustituida como estructura canónica por cuatro tomos y 17 capítulos, sin poblarlos con contenido científico no aprobado.</w:t>
      </w:r>
    </w:p>
    <w:p>
      <w:pPr>
        <w:spacing w:after="40"/>
      </w:pPr>
    </w:p>
    <w:p>
      <w:pPr>
        <w:pStyle w:val="Heading3"/>
      </w:pPr>
      <w:r>
        <w:t>Inventario controlado</w:t>
      </w:r>
    </w:p>
    <w:p>
      <w:pPr>
        <w:spacing w:after="40"/>
      </w:pPr>
    </w:p>
    <w:p>
      <w:pPr>
        <w:spacing w:after="20" w:line="240" w:lineRule="auto"/>
      </w:pPr>
      <w:r>
        <w:rPr>
          <w:rFonts w:ascii="Consolas" w:hAnsi="Consolas"/>
          <w:sz w:val="14"/>
        </w:rPr>
        <w:t>| Familia | Cantidad mínima controlada |</w:t>
      </w:r>
    </w:p>
    <w:p>
      <w:pPr>
        <w:spacing w:after="20" w:line="240" w:lineRule="auto"/>
      </w:pPr>
      <w:r>
        <w:rPr>
          <w:rFonts w:ascii="Consolas" w:hAnsi="Consolas"/>
          <w:sz w:val="14"/>
        </w:rPr>
        <w:t>|---|---:|</w:t>
      </w:r>
    </w:p>
    <w:p>
      <w:pPr>
        <w:spacing w:after="20" w:line="240" w:lineRule="auto"/>
      </w:pPr>
      <w:r>
        <w:rPr>
          <w:rFonts w:ascii="Consolas" w:hAnsi="Consolas"/>
          <w:sz w:val="14"/>
        </w:rPr>
        <w:t>| Capítulos | 17 |</w:t>
      </w:r>
    </w:p>
    <w:p>
      <w:pPr>
        <w:spacing w:after="20" w:line="240" w:lineRule="auto"/>
      </w:pPr>
      <w:r>
        <w:rPr>
          <w:rFonts w:ascii="Consolas" w:hAnsi="Consolas"/>
          <w:sz w:val="14"/>
        </w:rPr>
        <w:t>| Anexos técnicos | 15 |</w:t>
      </w:r>
    </w:p>
    <w:p>
      <w:pPr>
        <w:spacing w:after="20" w:line="240" w:lineRule="auto"/>
      </w:pPr>
      <w:r>
        <w:rPr>
          <w:rFonts w:ascii="Consolas" w:hAnsi="Consolas"/>
          <w:sz w:val="14"/>
        </w:rPr>
        <w:t>| Familias de documentación visual | 18 |</w:t>
      </w:r>
    </w:p>
    <w:p>
      <w:pPr>
        <w:spacing w:after="20" w:line="240" w:lineRule="auto"/>
      </w:pPr>
      <w:r>
        <w:rPr>
          <w:rFonts w:ascii="Consolas" w:hAnsi="Consolas"/>
          <w:sz w:val="14"/>
        </w:rPr>
        <w:t>| Artículos candidatos | 10 |</w:t>
      </w:r>
    </w:p>
    <w:p>
      <w:pPr>
        <w:spacing w:after="20" w:line="240" w:lineRule="auto"/>
      </w:pPr>
      <w:r>
        <w:rPr>
          <w:rFonts w:ascii="Consolas" w:hAnsi="Consolas"/>
          <w:sz w:val="14"/>
        </w:rPr>
        <w:t>| Otros productos derivados | 4 |</w:t>
      </w:r>
    </w:p>
    <w:p>
      <w:pPr>
        <w:spacing w:after="40"/>
      </w:pPr>
    </w:p>
    <w:p>
      <w:pPr>
        <w:pStyle w:val="Heading3"/>
      </w:pPr>
      <w:r>
        <w:t>Salvaguardas</w:t>
      </w:r>
    </w:p>
    <w:p>
      <w:pPr>
        <w:spacing w:after="40"/>
      </w:pPr>
    </w:p>
    <w:p>
      <w:pPr>
        <w:pStyle w:val="ListBullet"/>
      </w:pPr>
      <w:r>
        <w:t>Los títulos y ejemplos del Plan Maestro son requisitos de cobertura, no decisiones científicas.</w:t>
      </w:r>
    </w:p>
    <w:p>
      <w:pPr>
        <w:pStyle w:val="ListBullet"/>
      </w:pPr>
      <w:r>
        <w:t>Las categorías, procesos, KPI, fórmulas, casos y técnicas no se consideran aprobados por aparecer en la estructura.</w:t>
      </w:r>
    </w:p>
    <w:p>
      <w:pPr>
        <w:pStyle w:val="ListBullet"/>
      </w:pPr>
      <w:r>
        <w:t>Una exclusión requiere decisión formal y trazable.</w:t>
      </w:r>
    </w:p>
    <w:p>
      <w:pPr>
        <w:pStyle w:val="ListBullet"/>
      </w:pPr>
      <w:r>
        <w:t>La tesis continúa subordinada a una release validada del estándar.</w:t>
      </w:r>
    </w:p>
    <w:p>
      <w:pPr>
        <w:pStyle w:val="ListBullet"/>
      </w:pPr>
      <w:r>
        <w:t>Se abrió GOEI-ISS-041 para resolver la compatibilidad entre el constructo formativo y las técnicas de validación enumeradas en el Plan.</w:t>
      </w:r>
    </w:p>
    <w:p>
      <w:pPr>
        <w:spacing w:after="40"/>
      </w:pPr>
    </w:p>
    <w:p>
      <w:pPr>
        <w:pStyle w:val="Heading3"/>
      </w:pPr>
      <w:r>
        <w:t>Artefactos impactados</w:t>
      </w:r>
    </w:p>
    <w:p>
      <w:pPr>
        <w:spacing w:after="40"/>
      </w:pPr>
    </w:p>
    <w:p>
      <w:pPr>
        <w:pStyle w:val="ListBullet"/>
      </w:pPr>
      <w:r>
        <w:t>registro de directivas;</w:t>
      </w:r>
    </w:p>
    <w:p>
      <w:pPr>
        <w:pStyle w:val="ListBullet"/>
      </w:pPr>
      <w:r>
        <w:t>arquitectura de tesis;</w:t>
      </w:r>
    </w:p>
    <w:p>
      <w:pPr>
        <w:pStyle w:val="ListBullet"/>
      </w:pPr>
      <w:r>
        <w:t>matriz detallada de cumplimiento;</w:t>
      </w:r>
    </w:p>
    <w:p>
      <w:pPr>
        <w:pStyle w:val="ListBullet"/>
      </w:pPr>
      <w:r>
        <w:t>matriz resumida de ensamblaje;</w:t>
      </w:r>
    </w:p>
    <w:p>
      <w:pPr>
        <w:pStyle w:val="ListBullet"/>
      </w:pPr>
      <w:r>
        <w:t>cartera de publicaciones;</w:t>
      </w:r>
    </w:p>
    <w:p>
      <w:pPr>
        <w:pStyle w:val="ListBullet"/>
      </w:pPr>
      <w:r>
        <w:t>registros de componentes y trazabilidad;</w:t>
      </w:r>
    </w:p>
    <w:p>
      <w:pPr>
        <w:pStyle w:val="ListBullet"/>
      </w:pPr>
      <w:r>
        <w:t>estado procesable y validador.</w:t>
      </w:r>
    </w:p>
    <w:p>
      <w:pPr>
        <w:spacing w:after="40"/>
      </w:pPr>
    </w:p>
    <w:p>
      <w:pPr>
        <w:pStyle w:val="Heading3"/>
      </w:pPr>
      <w:r>
        <w:t>Estado</w:t>
      </w:r>
    </w:p>
    <w:p>
      <w:pPr>
        <w:spacing w:after="40"/>
      </w:pPr>
    </w:p>
    <w:p>
      <w:r>
        <w:t>La arquitectura mínima está formalmente capturada. La tesis permanece no conforme para entrega final hasta cerrar las fases científicas, construir y validar el estándar, ejecutar los pilotos y satisfacer todos los requisitos o excepciones aprobadas.</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Inventario directoral automático | Conforme |</w:t>
      </w:r>
    </w:p>
    <w:p>
      <w:pPr>
        <w:spacing w:after="20" w:line="240" w:lineRule="auto"/>
      </w:pPr>
      <w:r>
        <w:rPr>
          <w:rFonts w:ascii="Consolas" w:hAnsi="Consolas"/>
          <w:sz w:val="14"/>
        </w:rPr>
        <w:t>| Pruebas unitarias técnicas | 7/7 conformes |</w:t>
      </w:r>
    </w:p>
    <w:p>
      <w:pPr>
        <w:spacing w:after="20" w:line="240" w:lineRule="auto"/>
      </w:pPr>
      <w:r>
        <w:rPr>
          <w:rFonts w:ascii="Consolas" w:hAnsi="Consolas"/>
          <w:sz w:val="14"/>
        </w:rPr>
        <w:t>| Validador integral | PASS — 72 controles |</w:t>
      </w:r>
    </w:p>
    <w:p>
      <w:pPr>
        <w:spacing w:after="20" w:line="240" w:lineRule="auto"/>
      </w:pPr>
      <w:r>
        <w:rPr>
          <w:rFonts w:ascii="Consolas" w:hAnsi="Consolas"/>
          <w:sz w:val="14"/>
        </w:rPr>
        <w:t>| Readiness final | Bloqueado de forma consistente con las fases pendientes |</w:t>
      </w:r>
    </w:p>
    <w:p>
      <w:r>
        <w:br w:type="page"/>
      </w:r>
    </w:p>
    <w:p>
      <w:pPr>
        <w:pStyle w:val="Heading1"/>
        <w:keepNext/>
      </w:pPr>
      <w:r>
        <w:t>Fuente 51: 00_Gobernanza/coordinacion/reportes/GOEI_CYCLE_0005_Cobertura_procesable_tesis.md</w:t>
      </w:r>
    </w:p>
    <w:p>
      <w:pPr>
        <w:spacing w:after="200"/>
      </w:pPr>
      <w:r>
        <w:rPr>
          <w:rFonts w:ascii="Consolas" w:hAnsi="Consolas"/>
          <w:color w:val="595959"/>
          <w:sz w:val="16"/>
        </w:rPr>
        <w:t>Ruta: 00_Gobernanza/coordinacion/reportes/GOEI_CYCLE_0005_Cobertura_procesable_tesis.md</w:t>
        <w:br/>
        <w:t>Tamaño: 1243 bytes</w:t>
        <w:br/>
        <w:t>SHA-256: f433fcbb899ec61b380f3aea3ccb4e361d0bbe97a6381d2115fd48ff06fab56a</w:t>
      </w:r>
    </w:p>
    <w:p>
      <w:pPr>
        <w:pStyle w:val="Heading2"/>
      </w:pPr>
      <w:r>
        <w:t>GOEI Cycle Report 0005 — Cobertura procesable de tesis</w:t>
      </w:r>
    </w:p>
    <w:p>
      <w:pPr>
        <w:spacing w:after="40"/>
      </w:pPr>
    </w:p>
    <w:p>
      <w:r>
        <w:t>Fecha: 2026-08-04</w:t>
      </w:r>
    </w:p>
    <w:p>
      <w:r>
        <w:t>Responsable: Oficina Técnica GOEI</w:t>
      </w:r>
    </w:p>
    <w:p>
      <w:r>
        <w:t>Alcance: control automático de GOEI-THS-REQ-0001</w:t>
      </w:r>
    </w:p>
    <w:p>
      <w:pPr>
        <w:spacing w:after="40"/>
      </w:pPr>
    </w:p>
    <w:p>
      <w:pPr>
        <w:pStyle w:val="Heading3"/>
      </w:pPr>
      <w:r>
        <w:t>Auditoría de entrada</w:t>
      </w:r>
    </w:p>
    <w:p>
      <w:pPr>
        <w:spacing w:after="40"/>
      </w:pPr>
    </w:p>
    <w:p>
      <w:r>
        <w:t>No se detectaron nuevas decisiones posteriores a D-007 ni nuevos handoffs en la cola técnica. D-008 continúa propuesta, GOEI-ISS-030 permanece abierto y B1 no fue promovida.</w:t>
      </w:r>
    </w:p>
    <w:p>
      <w:pPr>
        <w:spacing w:after="40"/>
      </w:pPr>
    </w:p>
    <w:p>
      <w:pPr>
        <w:pStyle w:val="Heading3"/>
      </w:pPr>
      <w:r>
        <w:t>Cambios técnicos</w:t>
      </w:r>
    </w:p>
    <w:p>
      <w:pPr>
        <w:spacing w:after="40"/>
      </w:pPr>
    </w:p>
    <w:p>
      <w:pPr>
        <w:pStyle w:val="ListBullet"/>
      </w:pPr>
      <w:r>
        <w:t>normalización del vocabulario de estados de la matriz directoral;</w:t>
      </w:r>
    </w:p>
    <w:p>
      <w:pPr>
        <w:pStyle w:val="ListBullet"/>
      </w:pPr>
      <w:r>
        <w:t>evaluador procesable de 64 requisitos mínimos;</w:t>
      </w:r>
    </w:p>
    <w:p>
      <w:pPr>
        <w:pStyle w:val="ListBullet"/>
      </w:pPr>
      <w:r>
        <w:t>desglose por estado y familia;</w:t>
      </w:r>
    </w:p>
    <w:p>
      <w:pPr>
        <w:pStyle w:val="ListBullet"/>
      </w:pPr>
      <w:r>
        <w:t>regla estricta: solo Aprobado y Publicado satisfacen un requisito;</w:t>
      </w:r>
    </w:p>
    <w:p>
      <w:pPr>
        <w:pStyle w:val="ListBullet"/>
      </w:pPr>
      <w:r>
        <w:t>tres pruebas unitarias específicas, además de las siete pruebas de releases.</w:t>
      </w:r>
    </w:p>
    <w:p>
      <w:pPr>
        <w:spacing w:after="40"/>
      </w:pPr>
    </w:p>
    <w:p>
      <w:pPr>
        <w:pStyle w:val="Heading3"/>
      </w:pPr>
      <w:r>
        <w:t>Límites</w:t>
      </w:r>
    </w:p>
    <w:p>
      <w:pPr>
        <w:spacing w:after="40"/>
      </w:pPr>
    </w:p>
    <w:p>
      <w:r>
        <w:t>El evaluador mide cobertura documental. No interpreta literatura, no valida contenido científico, no decide no aplicabilidad y no sustituye evaluación académica.</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Requisitos inventariados | 64 |</w:t>
      </w:r>
    </w:p>
    <w:p>
      <w:pPr>
        <w:spacing w:after="20" w:line="240" w:lineRule="auto"/>
      </w:pPr>
      <w:r>
        <w:rPr>
          <w:rFonts w:ascii="Consolas" w:hAnsi="Consolas"/>
          <w:sz w:val="14"/>
        </w:rPr>
        <w:t>| Satisfechos definitivamente | 0 |</w:t>
      </w:r>
    </w:p>
    <w:p>
      <w:pPr>
        <w:spacing w:after="20" w:line="240" w:lineRule="auto"/>
      </w:pPr>
      <w:r>
        <w:rPr>
          <w:rFonts w:ascii="Consolas" w:hAnsi="Consolas"/>
          <w:sz w:val="14"/>
        </w:rPr>
        <w:t>| Bloqueados | 21 |</w:t>
      </w:r>
    </w:p>
    <w:p>
      <w:pPr>
        <w:spacing w:after="20" w:line="240" w:lineRule="auto"/>
      </w:pPr>
      <w:r>
        <w:rPr>
          <w:rFonts w:ascii="Consolas" w:hAnsi="Consolas"/>
          <w:sz w:val="14"/>
        </w:rPr>
        <w:t>| No iniciados | 16 |</w:t>
      </w:r>
    </w:p>
    <w:p>
      <w:pPr>
        <w:spacing w:after="20" w:line="240" w:lineRule="auto"/>
      </w:pPr>
      <w:r>
        <w:rPr>
          <w:rFonts w:ascii="Consolas" w:hAnsi="Consolas"/>
          <w:sz w:val="14"/>
        </w:rPr>
        <w:t>| En estados parciales | 27 |</w:t>
      </w:r>
    </w:p>
    <w:p>
      <w:pPr>
        <w:spacing w:after="20" w:line="240" w:lineRule="auto"/>
      </w:pPr>
      <w:r>
        <w:rPr>
          <w:rFonts w:ascii="Consolas" w:hAnsi="Consolas"/>
          <w:sz w:val="14"/>
        </w:rPr>
        <w:t>| Pruebas unitarias | 10/10 conformes |</w:t>
      </w:r>
    </w:p>
    <w:p>
      <w:pPr>
        <w:spacing w:after="20" w:line="240" w:lineRule="auto"/>
      </w:pPr>
      <w:r>
        <w:rPr>
          <w:rFonts w:ascii="Consolas" w:hAnsi="Consolas"/>
          <w:sz w:val="14"/>
        </w:rPr>
        <w:t>| Validador integral | PASS — 74 controles |</w:t>
      </w:r>
    </w:p>
    <w:p>
      <w:pPr>
        <w:spacing w:after="20" w:line="240" w:lineRule="auto"/>
      </w:pPr>
      <w:r>
        <w:rPr>
          <w:rFonts w:ascii="Consolas" w:hAnsi="Consolas"/>
          <w:sz w:val="14"/>
        </w:rPr>
        <w:t>| Evaluador de tesis | Código 2 esperado; entrega final no conforme |</w:t>
      </w:r>
    </w:p>
    <w:p>
      <w:r>
        <w:br w:type="page"/>
      </w:r>
    </w:p>
    <w:p>
      <w:pPr>
        <w:pStyle w:val="Heading1"/>
        <w:keepNext/>
      </w:pPr>
      <w:r>
        <w:t>Fuente 52: 00_Gobernanza/coordinacion/reportes/GOEI_CYCLE_0006_Roadmap_tecnico.md</w:t>
      </w:r>
    </w:p>
    <w:p>
      <w:pPr>
        <w:spacing w:after="200"/>
      </w:pPr>
      <w:r>
        <w:rPr>
          <w:rFonts w:ascii="Consolas" w:hAnsi="Consolas"/>
          <w:color w:val="595959"/>
          <w:sz w:val="16"/>
        </w:rPr>
        <w:t>Ruta: 00_Gobernanza/coordinacion/reportes/GOEI_CYCLE_0006_Roadmap_tecnico.md</w:t>
        <w:br/>
        <w:t>Tamaño: 1351 bytes</w:t>
        <w:br/>
        <w:t>SHA-256: 88a35e2224d3c068ba57ca2a95ae20ab990ddf689856345d4a9fdcd36874d0d8</w:t>
      </w:r>
    </w:p>
    <w:p>
      <w:pPr>
        <w:pStyle w:val="Heading2"/>
      </w:pPr>
      <w:r>
        <w:t>GOEI Cycle Report 0006 — Roadmap técnico maestro</w:t>
      </w:r>
    </w:p>
    <w:p>
      <w:pPr>
        <w:spacing w:after="40"/>
      </w:pPr>
    </w:p>
    <w:p>
      <w:r>
        <w:t>Fecha: 2026-08-04</w:t>
      </w:r>
    </w:p>
    <w:p>
      <w:r>
        <w:t>Responsable: Oficina Técnica GOEI</w:t>
      </w:r>
    </w:p>
    <w:p>
      <w:pPr>
        <w:spacing w:after="40"/>
      </w:pPr>
    </w:p>
    <w:p>
      <w:pPr>
        <w:pStyle w:val="Heading3"/>
      </w:pPr>
      <w:r>
        <w:t>Auditoría de entrada</w:t>
      </w:r>
    </w:p>
    <w:p>
      <w:pPr>
        <w:spacing w:after="40"/>
      </w:pPr>
    </w:p>
    <w:p>
      <w:r>
        <w:t>No se detectaron decisiones posteriores a D-007 ni nuevos expedientes en la cola técnica. D-008 y el cierre de B1 siguen pendientes bajo GOEI-ISS-030.</w:t>
      </w:r>
    </w:p>
    <w:p>
      <w:pPr>
        <w:spacing w:after="40"/>
      </w:pPr>
    </w:p>
    <w:p>
      <w:pPr>
        <w:pStyle w:val="Heading3"/>
      </w:pPr>
      <w:r>
        <w:t>Resultado</w:t>
      </w:r>
    </w:p>
    <w:p>
      <w:pPr>
        <w:spacing w:after="40"/>
      </w:pPr>
    </w:p>
    <w:p>
      <w:r>
        <w:t>Se consolidó GOEI-RDM-0001 como hoja de ruta canónica humana y procesable. Contiene 15 paquetes de trabajo, dependencias, evidencia, blockers y el mapeo de los tres productos finales.</w:t>
      </w:r>
    </w:p>
    <w:p>
      <w:pPr>
        <w:spacing w:after="40"/>
      </w:pPr>
    </w:p>
    <w:p>
      <w:pPr>
        <w:pStyle w:val="Heading3"/>
      </w:pPr>
      <w:r>
        <w:t>Controles incorporados</w:t>
      </w:r>
    </w:p>
    <w:p>
      <w:pPr>
        <w:spacing w:after="40"/>
      </w:pPr>
    </w:p>
    <w:p>
      <w:pPr>
        <w:pStyle w:val="ListBullet"/>
      </w:pPr>
      <w:r>
        <w:t>unicidad de paquetes;</w:t>
      </w:r>
    </w:p>
    <w:p>
      <w:pPr>
        <w:pStyle w:val="ListBullet"/>
      </w:pPr>
      <w:r>
        <w:t>estados permitidos;</w:t>
      </w:r>
    </w:p>
    <w:p>
      <w:pPr>
        <w:pStyle w:val="ListBullet"/>
      </w:pPr>
      <w:r>
        <w:t>dependencias existentes y acíclicas;</w:t>
      </w:r>
    </w:p>
    <w:p>
      <w:pPr>
        <w:pStyle w:val="ListBullet"/>
      </w:pPr>
      <w:r>
        <w:t>evidencia canónica existente;</w:t>
      </w:r>
    </w:p>
    <w:p>
      <w:pPr>
        <w:pStyle w:val="ListBullet"/>
      </w:pPr>
      <w:r>
        <w:t>paquetes completos sin blockers y con dependencias completas;</w:t>
      </w:r>
    </w:p>
    <w:p>
      <w:pPr>
        <w:pStyle w:val="ListBullet"/>
      </w:pPr>
      <w:r>
        <w:t>ramas bloqueadas o en aprobación con blockers explícitos;</w:t>
      </w:r>
    </w:p>
    <w:p>
      <w:pPr>
        <w:pStyle w:val="ListBullet"/>
      </w:pPr>
      <w:r>
        <w:t>targets finales asociados a paquetes conocidos.</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Paquetes del roadmap | 15 conformes |</w:t>
      </w:r>
    </w:p>
    <w:p>
      <w:pPr>
        <w:spacing w:after="20" w:line="240" w:lineRule="auto"/>
      </w:pPr>
      <w:r>
        <w:rPr>
          <w:rFonts w:ascii="Consolas" w:hAnsi="Consolas"/>
          <w:sz w:val="14"/>
        </w:rPr>
        <w:t>| Pruebas unitarias totales | 13/13 conformes |</w:t>
      </w:r>
    </w:p>
    <w:p>
      <w:pPr>
        <w:spacing w:after="20" w:line="240" w:lineRule="auto"/>
      </w:pPr>
      <w:r>
        <w:rPr>
          <w:rFonts w:ascii="Consolas" w:hAnsi="Consolas"/>
          <w:sz w:val="14"/>
        </w:rPr>
        <w:t>| Validador de roadmap | PASS |</w:t>
      </w:r>
    </w:p>
    <w:p>
      <w:pPr>
        <w:spacing w:after="20" w:line="240" w:lineRule="auto"/>
      </w:pPr>
      <w:r>
        <w:rPr>
          <w:rFonts w:ascii="Consolas" w:hAnsi="Consolas"/>
          <w:sz w:val="14"/>
        </w:rPr>
        <w:t>| Validador integral | PASS — 80 controles |</w:t>
      </w:r>
    </w:p>
    <w:p>
      <w:pPr>
        <w:spacing w:after="20" w:line="240" w:lineRule="auto"/>
      </w:pPr>
      <w:r>
        <w:rPr>
          <w:rFonts w:ascii="Consolas" w:hAnsi="Consolas"/>
          <w:sz w:val="14"/>
        </w:rPr>
        <w:t>| Cobertura de tesis | Código 2 esperado; 64 requisitos pendientes |</w:t>
      </w:r>
    </w:p>
    <w:p>
      <w:pPr>
        <w:spacing w:after="40"/>
      </w:pPr>
    </w:p>
    <w:p>
      <w:pPr>
        <w:pStyle w:val="Heading3"/>
      </w:pPr>
      <w:r>
        <w:t>Efecto</w:t>
      </w:r>
    </w:p>
    <w:p>
      <w:pPr>
        <w:spacing w:after="40"/>
      </w:pPr>
    </w:p>
    <w:p>
      <w:r>
        <w:t>La ruta crítica queda explicitada sin iniciarse indebidamente: D-008/cierre B1 → B2 → B3–B10 → candidato C → validación D → release → tesis/publicación. Los paquetes técnicos independientes permanecen activos.</w:t>
      </w:r>
    </w:p>
    <w:p>
      <w:r>
        <w:br w:type="page"/>
      </w:r>
    </w:p>
    <w:p>
      <w:pPr>
        <w:pStyle w:val="Heading1"/>
        <w:keepNext/>
      </w:pPr>
      <w:r>
        <w:t>Fuente 53: 00_Gobernanza/coordinacion/reportes/GOEI_CYCLE_0007_Git_y_CI.md</w:t>
      </w:r>
    </w:p>
    <w:p>
      <w:pPr>
        <w:spacing w:after="200"/>
      </w:pPr>
      <w:r>
        <w:rPr>
          <w:rFonts w:ascii="Consolas" w:hAnsi="Consolas"/>
          <w:color w:val="595959"/>
          <w:sz w:val="16"/>
        </w:rPr>
        <w:t>Ruta: 00_Gobernanza/coordinacion/reportes/GOEI_CYCLE_0007_Git_y_CI.md</w:t>
        <w:br/>
        <w:t>Tamaño: 1872 bytes</w:t>
        <w:br/>
        <w:t>SHA-256: fc1caf63175fa16201957e6b754b2bb6b9770a4a8333eafb38f27fc701b8308c</w:t>
      </w:r>
    </w:p>
    <w:p>
      <w:pPr>
        <w:pStyle w:val="Heading2"/>
      </w:pPr>
      <w:r>
        <w:t>GOEI Cycle Report 0007 — Git y validación continua</w:t>
      </w:r>
    </w:p>
    <w:p>
      <w:pPr>
        <w:spacing w:after="40"/>
      </w:pPr>
    </w:p>
    <w:p>
      <w:r>
        <w:t>Fecha: 2026-08-04</w:t>
      </w:r>
    </w:p>
    <w:p>
      <w:r>
        <w:t>Responsable: Oficina Técnica GOEI</w:t>
      </w:r>
    </w:p>
    <w:p>
      <w:pPr>
        <w:spacing w:after="40"/>
      </w:pPr>
    </w:p>
    <w:p>
      <w:pPr>
        <w:pStyle w:val="Heading3"/>
      </w:pPr>
      <w:r>
        <w:t>Auditoría de entrada</w:t>
      </w:r>
    </w:p>
    <w:p>
      <w:pPr>
        <w:spacing w:after="40"/>
      </w:pPr>
    </w:p>
    <w:p>
      <w:r>
        <w:t>No se detectaron decisiones posteriores a D-007. D-008 continúa propuesta y B1 permanece fuera de integración normativa.</w:t>
      </w:r>
    </w:p>
    <w:p>
      <w:pPr>
        <w:spacing w:after="40"/>
      </w:pPr>
    </w:p>
    <w:p>
      <w:pPr>
        <w:pStyle w:val="Heading3"/>
      </w:pPr>
      <w:r>
        <w:t>Resultado técnico</w:t>
      </w:r>
    </w:p>
    <w:p>
      <w:pPr>
        <w:spacing w:after="40"/>
      </w:pPr>
    </w:p>
    <w:p>
      <w:pPr>
        <w:pStyle w:val="ListBullet"/>
      </w:pPr>
      <w:r>
        <w:t>repositorio Git local inicializado sobre main;</w:t>
      </w:r>
    </w:p>
    <w:p>
      <w:pPr>
        <w:pStyle w:val="ListBullet"/>
      </w:pPr>
      <w:r>
        <w:t>remoto origin configurado como https://github.com/PabloGoup/GOEI.git;</w:t>
      </w:r>
    </w:p>
    <w:p>
      <w:pPr>
        <w:pStyle w:val="ListBullet"/>
      </w:pPr>
      <w:r>
        <w:t>comprobación remota exitosa sin referencias publicadas detectadas;</w:t>
      </w:r>
    </w:p>
    <w:p>
      <w:pPr>
        <w:pStyle w:val="ListBullet"/>
      </w:pPr>
      <w:r>
        <w:t>política GOEI-GIT-0001 creada;</w:t>
      </w:r>
    </w:p>
    <w:p>
      <w:pPr>
        <w:pStyle w:val="ListBullet"/>
      </w:pPr>
      <w:r>
        <w:t>convenciones de ramas y commits establecidas;</w:t>
      </w:r>
    </w:p>
    <w:p>
      <w:pPr>
        <w:pStyle w:val="ListBullet"/>
      </w:pPr>
      <w:r>
        <w:t>.gitignore y .gitattributes incorporados;</w:t>
      </w:r>
    </w:p>
    <w:p>
      <w:pPr>
        <w:pStyle w:val="ListBullet"/>
      </w:pPr>
      <w:r>
        <w:t>CONTRIBUTING y CHANGELOG incorporados;</w:t>
      </w:r>
    </w:p>
    <w:p>
      <w:pPr>
        <w:pStyle w:val="ListBullet"/>
      </w:pPr>
      <w:r>
        <w:t>plantilla de pull request y CODEOWNERS incorporados;</w:t>
      </w:r>
    </w:p>
    <w:p>
      <w:pPr>
        <w:pStyle w:val="ListBullet"/>
      </w:pPr>
      <w:r>
        <w:t>workflow de validación continua configurado;</w:t>
      </w:r>
    </w:p>
    <w:p>
      <w:pPr>
        <w:pStyle w:val="ListBullet"/>
      </w:pPr>
      <w:r>
        <w:t>GOEI-ISS-042 abierto para protecciones que requieren administración remota.</w:t>
      </w:r>
    </w:p>
    <w:p>
      <w:pPr>
        <w:spacing w:after="40"/>
      </w:pPr>
    </w:p>
    <w:p>
      <w:pPr>
        <w:pStyle w:val="Heading3"/>
      </w:pPr>
      <w:r>
        <w:t>Salvaguarda</w:t>
      </w:r>
    </w:p>
    <w:p>
      <w:pPr>
        <w:spacing w:after="40"/>
      </w:pPr>
    </w:p>
    <w:p>
      <w:r>
        <w:t>Git registra historia técnica. Ningún commit, pull request, merge, etiqueta o resultado CI constituye aprobación científica.</w:t>
      </w:r>
    </w:p>
    <w:p>
      <w:pPr>
        <w:spacing w:after="40"/>
      </w:pPr>
    </w:p>
    <w:p>
      <w:pPr>
        <w:pStyle w:val="Heading3"/>
      </w:pPr>
      <w:r>
        <w:t>Estado remoto</w:t>
      </w:r>
    </w:p>
    <w:p>
      <w:pPr>
        <w:spacing w:after="40"/>
      </w:pPr>
    </w:p>
    <w:p>
      <w:r>
        <w:t>La protección de main, checks obligatorios y protección de etiquetas no pueden considerarse aplicadas hasta verificarlas en GitHub. El workflow solo podrá probarse remotamente después del primer push.</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Validador integral previo | PASS — 92 controles |</w:t>
      </w:r>
    </w:p>
    <w:p>
      <w:pPr>
        <w:spacing w:after="20" w:line="240" w:lineRule="auto"/>
      </w:pPr>
      <w:r>
        <w:rPr>
          <w:rFonts w:ascii="Consolas" w:hAnsi="Consolas"/>
          <w:sz w:val="14"/>
        </w:rPr>
        <w:t>| Pruebas unitarias | 13/13 conformes |</w:t>
      </w:r>
    </w:p>
    <w:p>
      <w:pPr>
        <w:spacing w:after="20" w:line="240" w:lineRule="auto"/>
      </w:pPr>
      <w:r>
        <w:rPr>
          <w:rFonts w:ascii="Consolas" w:hAnsi="Consolas"/>
          <w:sz w:val="14"/>
        </w:rPr>
        <w:t>| Roadmap técnico | PASS — 15 paquetes |</w:t>
      </w:r>
    </w:p>
    <w:p>
      <w:pPr>
        <w:spacing w:after="20" w:line="240" w:lineRule="auto"/>
      </w:pPr>
      <w:r>
        <w:rPr>
          <w:rFonts w:ascii="Consolas" w:hAnsi="Consolas"/>
          <w:sz w:val="14"/>
        </w:rPr>
        <w:t>| Inspección whitespace Git | Conforme bajo política Markdown |</w:t>
      </w:r>
    </w:p>
    <w:p>
      <w:pPr>
        <w:spacing w:after="20" w:line="240" w:lineRule="auto"/>
      </w:pPr>
      <w:r>
        <w:rPr>
          <w:rFonts w:ascii="Consolas" w:hAnsi="Consolas"/>
          <w:sz w:val="14"/>
        </w:rPr>
        <w:t>| Commit raíz | `b182835f87d56962a14fd4c77ac164697c94c30e` |</w:t>
      </w:r>
    </w:p>
    <w:p>
      <w:pPr>
        <w:spacing w:after="20" w:line="240" w:lineRule="auto"/>
      </w:pPr>
      <w:r>
        <w:rPr>
          <w:rFonts w:ascii="Consolas" w:hAnsi="Consolas"/>
          <w:sz w:val="14"/>
        </w:rPr>
        <w:t>| Publicación inicial | `main` publicada y siguiendo `origin/main` |</w:t>
      </w:r>
    </w:p>
    <w:p>
      <w:pPr>
        <w:spacing w:after="20" w:line="240" w:lineRule="auto"/>
      </w:pPr>
      <w:r>
        <w:rPr>
          <w:rFonts w:ascii="Consolas" w:hAnsi="Consolas"/>
          <w:sz w:val="14"/>
        </w:rPr>
        <w:t>| Correspondencia local/remota inicial | mismo commit raíz |</w:t>
      </w:r>
    </w:p>
    <w:p>
      <w:pPr>
        <w:spacing w:after="40"/>
      </w:pPr>
    </w:p>
    <w:p>
      <w:r>
        <w:t>El workflow remoto terminó con éxito para los commits b182835 y cef3777 (runs 30902508351 y 30902529008). Las protecciones administrativas de rama y etiquetas continúan sujetas a GOEI-ISS-042.</w:t>
      </w:r>
    </w:p>
    <w:p>
      <w:r>
        <w:br w:type="page"/>
      </w:r>
    </w:p>
    <w:p>
      <w:pPr>
        <w:pStyle w:val="Heading1"/>
        <w:keepNext/>
      </w:pPr>
      <w:r>
        <w:t>Fuente 54: 00_Gobernanza/coordinacion/reportes/GOEI_CYCLE_0008_Proteccion_Git.md</w:t>
      </w:r>
    </w:p>
    <w:p>
      <w:pPr>
        <w:spacing w:after="200"/>
      </w:pPr>
      <w:r>
        <w:rPr>
          <w:rFonts w:ascii="Consolas" w:hAnsi="Consolas"/>
          <w:color w:val="595959"/>
          <w:sz w:val="16"/>
        </w:rPr>
        <w:t>Ruta: 00_Gobernanza/coordinacion/reportes/GOEI_CYCLE_0008_Proteccion_Git.md</w:t>
        <w:br/>
        <w:t>Tamaño: 1385 bytes</w:t>
        <w:br/>
        <w:t>SHA-256: 3e5c36d2368176c19776707b364ebd90c5a1c372b274392152fb047f87b3c677</w:t>
      </w:r>
    </w:p>
    <w:p>
      <w:pPr>
        <w:pStyle w:val="Heading2"/>
      </w:pPr>
      <w:r>
        <w:t>GOEI Cycle Report 0008 — Protección Git</w:t>
      </w:r>
    </w:p>
    <w:p>
      <w:pPr>
        <w:spacing w:after="40"/>
      </w:pPr>
    </w:p>
    <w:p>
      <w:r>
        <w:t>Fecha: 2026-08-04</w:t>
      </w:r>
    </w:p>
    <w:p>
      <w:pPr>
        <w:spacing w:after="40"/>
      </w:pPr>
    </w:p>
    <w:p>
      <w:pPr>
        <w:pStyle w:val="Heading3"/>
      </w:pPr>
      <w:r>
        <w:t>Auditoría</w:t>
      </w:r>
    </w:p>
    <w:p>
      <w:pPr>
        <w:spacing w:after="40"/>
      </w:pPr>
    </w:p>
    <w:p>
      <w:pPr>
        <w:pStyle w:val="ListBullet"/>
      </w:pPr>
      <w:r>
        <w:t>decisiones científicas nuevas: ninguna;</w:t>
      </w:r>
    </w:p>
    <w:p>
      <w:pPr>
        <w:pStyle w:val="ListBullet"/>
      </w:pPr>
      <w:r>
        <w:t>estado B1: espera de D-008/GOEI-ISS-030;</w:t>
      </w:r>
    </w:p>
    <w:p>
      <w:pPr>
        <w:pStyle w:val="ListBullet"/>
      </w:pPr>
      <w:r>
        <w:t>repositorio local/remoto: sincronizado al inicio del ciclo;</w:t>
      </w:r>
    </w:p>
    <w:p>
      <w:pPr>
        <w:pStyle w:val="ListBullet"/>
      </w:pPr>
      <w:r>
        <w:t>permisos GitHub: administrativos;</w:t>
      </w:r>
    </w:p>
    <w:p>
      <w:pPr>
        <w:pStyle w:val="ListBullet"/>
      </w:pPr>
      <w:r>
        <w:t>visibilidad: privada.</w:t>
      </w:r>
    </w:p>
    <w:p>
      <w:pPr>
        <w:spacing w:after="40"/>
      </w:pPr>
    </w:p>
    <w:p>
      <w:pPr>
        <w:pStyle w:val="Heading3"/>
      </w:pPr>
      <w:r>
        <w:t>Intento de protección</w:t>
      </w:r>
    </w:p>
    <w:p>
      <w:pPr>
        <w:spacing w:after="40"/>
      </w:pPr>
    </w:p>
    <w:p>
      <w:r>
        <w:t>La consulta a la API de protección de main devolvió HTTP 403 con el mensaje: Upgrade to GitHub Pro or make this repository public to enable this feature.</w:t>
      </w:r>
    </w:p>
    <w:p>
      <w:pPr>
        <w:spacing w:after="40"/>
      </w:pPr>
    </w:p>
    <w:p>
      <w:r>
        <w:t>No se cambió la visibilidad ni el plan, porque ambas acciones requieren autoridad material de la Dirección General. GOEI-ISS-042 fue actualizado con la condición exacta.</w:t>
      </w:r>
    </w:p>
    <w:p>
      <w:pPr>
        <w:spacing w:after="40"/>
      </w:pPr>
    </w:p>
    <w:p>
      <w:pPr>
        <w:pStyle w:val="Heading3"/>
      </w:pPr>
      <w:r>
        <w:t>Control compensatorio</w:t>
      </w:r>
    </w:p>
    <w:p>
      <w:pPr>
        <w:spacing w:after="40"/>
      </w:pPr>
    </w:p>
    <w:p>
      <w:r>
        <w:t>Se incorporaron hooks versionados:</w:t>
      </w:r>
    </w:p>
    <w:p>
      <w:pPr>
        <w:spacing w:after="40"/>
      </w:pPr>
    </w:p>
    <w:p>
      <w:pPr>
        <w:pStyle w:val="ListBullet"/>
      </w:pPr>
      <w:r>
        <w:t>pre-commit: integridad, roadmap y whitespace staged;</w:t>
      </w:r>
    </w:p>
    <w:p>
      <w:pPr>
        <w:pStyle w:val="ListBullet"/>
      </w:pPr>
      <w:r>
        <w:t>pre-push: pruebas, integridad, roadmap y estados explícitos de preparación;</w:t>
      </w:r>
    </w:p>
    <w:p>
      <w:pPr>
        <w:pStyle w:val="ListBullet"/>
      </w:pPr>
      <w:r>
        <w:t>instalador reproducible que configura core.hooksPath.</w:t>
      </w:r>
    </w:p>
    <w:p>
      <w:pPr>
        <w:spacing w:after="40"/>
      </w:pPr>
    </w:p>
    <w:p>
      <w:r>
        <w:t>La CI remota continúa operativa. Estos controles reducen riesgo, pero no se representan como equivalentes a branch protection.</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`core.hooksPath` | `.githooks` activo |</w:t>
      </w:r>
    </w:p>
    <w:p>
      <w:pPr>
        <w:spacing w:after="20" w:line="240" w:lineRule="auto"/>
      </w:pPr>
      <w:r>
        <w:rPr>
          <w:rFonts w:ascii="Consolas" w:hAnsi="Consolas"/>
          <w:sz w:val="14"/>
        </w:rPr>
        <w:t>| Hook pre-commit | Conforme |</w:t>
      </w:r>
    </w:p>
    <w:p>
      <w:pPr>
        <w:spacing w:after="20" w:line="240" w:lineRule="auto"/>
      </w:pPr>
      <w:r>
        <w:rPr>
          <w:rFonts w:ascii="Consolas" w:hAnsi="Consolas"/>
          <w:sz w:val="14"/>
        </w:rPr>
        <w:t>| Hook pre-push | Conforme |</w:t>
      </w:r>
    </w:p>
    <w:p>
      <w:pPr>
        <w:spacing w:after="20" w:line="240" w:lineRule="auto"/>
      </w:pPr>
      <w:r>
        <w:rPr>
          <w:rFonts w:ascii="Consolas" w:hAnsi="Consolas"/>
          <w:sz w:val="14"/>
        </w:rPr>
        <w:t>| Pruebas unitarias | 13/13 conformes |</w:t>
      </w:r>
    </w:p>
    <w:p>
      <w:pPr>
        <w:spacing w:after="20" w:line="240" w:lineRule="auto"/>
      </w:pPr>
      <w:r>
        <w:rPr>
          <w:rFonts w:ascii="Consolas" w:hAnsi="Consolas"/>
          <w:sz w:val="14"/>
        </w:rPr>
        <w:t>| Roadmap | PASS — 15 paquetes |</w:t>
      </w:r>
    </w:p>
    <w:p>
      <w:pPr>
        <w:spacing w:after="20" w:line="240" w:lineRule="auto"/>
      </w:pPr>
      <w:r>
        <w:rPr>
          <w:rFonts w:ascii="Consolas" w:hAnsi="Consolas"/>
          <w:sz w:val="14"/>
        </w:rPr>
        <w:t>| Validador integral | PASS — 98 controles |</w:t>
      </w:r>
    </w:p>
    <w:p>
      <w:pPr>
        <w:spacing w:after="20" w:line="240" w:lineRule="auto"/>
      </w:pPr>
      <w:r>
        <w:rPr>
          <w:rFonts w:ascii="Consolas" w:hAnsi="Consolas"/>
          <w:sz w:val="14"/>
        </w:rPr>
        <w:t>| Readiness y tesis | Código 2 esperado; blockers preservados |</w:t>
      </w:r>
    </w:p>
    <w:p>
      <w:r>
        <w:br w:type="page"/>
      </w:r>
    </w:p>
    <w:p>
      <w:pPr>
        <w:pStyle w:val="Heading1"/>
        <w:keepNext/>
      </w:pPr>
      <w:r>
        <w:t>Fuente 55: 00_Gobernanza/coordinacion/reportes/GOEI_CYCLE_0009_Registro_bibliografico.md</w:t>
      </w:r>
    </w:p>
    <w:p>
      <w:pPr>
        <w:spacing w:after="200"/>
      </w:pPr>
      <w:r>
        <w:rPr>
          <w:rFonts w:ascii="Consolas" w:hAnsi="Consolas"/>
          <w:color w:val="595959"/>
          <w:sz w:val="16"/>
        </w:rPr>
        <w:t>Ruta: 00_Gobernanza/coordinacion/reportes/GOEI_CYCLE_0009_Registro_bibliografico.md</w:t>
        <w:br/>
        <w:t>Tamaño: 1262 bytes</w:t>
        <w:br/>
        <w:t>SHA-256: 5ab338c1f3d6f4c8550395ab007c042f4f260b50e986eb8731e0fdef533dad43</w:t>
      </w:r>
    </w:p>
    <w:p>
      <w:pPr>
        <w:pStyle w:val="Heading2"/>
      </w:pPr>
      <w:r>
        <w:t>GOEI Cycle Report 0009 — Registro bibliográfico</w:t>
      </w:r>
    </w:p>
    <w:p>
      <w:pPr>
        <w:spacing w:after="40"/>
      </w:pPr>
    </w:p>
    <w:p>
      <w:r>
        <w:t>Fecha: 2026-08-04</w:t>
      </w:r>
    </w:p>
    <w:p>
      <w:pPr>
        <w:spacing w:after="40"/>
      </w:pPr>
    </w:p>
    <w:p>
      <w:pPr>
        <w:pStyle w:val="Heading3"/>
      </w:pPr>
      <w:r>
        <w:t>Auditoría de entrada</w:t>
      </w:r>
    </w:p>
    <w:p>
      <w:pPr>
        <w:spacing w:after="40"/>
      </w:pPr>
    </w:p>
    <w:p>
      <w:pPr>
        <w:pStyle w:val="ListBullet"/>
      </w:pPr>
      <w:r>
        <w:t>CI del commit f80c553: completada con éxito;</w:t>
      </w:r>
    </w:p>
    <w:p>
      <w:pPr>
        <w:pStyle w:val="ListBullet"/>
      </w:pPr>
      <w:r>
        <w:t>nuevas decisiones científicas: ninguna;</w:t>
      </w:r>
    </w:p>
    <w:p>
      <w:pPr>
        <w:pStyle w:val="ListBullet"/>
      </w:pPr>
      <w:r>
        <w:t>cola técnica: sin nuevo expediente integrable;</w:t>
      </w:r>
    </w:p>
    <w:p>
      <w:pPr>
        <w:pStyle w:val="ListBullet"/>
      </w:pPr>
      <w:r>
        <w:t>B1: pendiente de D-008/GOEI-ISS-030.</w:t>
      </w:r>
    </w:p>
    <w:p>
      <w:pPr>
        <w:spacing w:after="40"/>
      </w:pPr>
    </w:p>
    <w:p>
      <w:pPr>
        <w:pStyle w:val="Heading3"/>
      </w:pPr>
      <w:r>
        <w:t>Resultado</w:t>
      </w:r>
    </w:p>
    <w:p>
      <w:pPr>
        <w:spacing w:after="40"/>
      </w:pPr>
    </w:p>
    <w:p>
      <w:r>
        <w:t>Se implementó la infraestructura bibliográfica requerida por el Plan Maestro:</w:t>
      </w:r>
    </w:p>
    <w:p>
      <w:pPr>
        <w:spacing w:after="40"/>
      </w:pPr>
    </w:p>
    <w:p>
      <w:pPr>
        <w:pStyle w:val="ListBullet"/>
      </w:pPr>
      <w:r>
        <w:t>esquema GOEI-BIB-SCHEMA-0001;</w:t>
      </w:r>
    </w:p>
    <w:p>
      <w:pPr>
        <w:pStyle w:val="ListBullet"/>
      </w:pPr>
      <w:r>
        <w:t>catálogo JSON GOEI-BIB-0001;</w:t>
      </w:r>
    </w:p>
    <w:p>
      <w:pPr>
        <w:pStyle w:val="ListBullet"/>
      </w:pPr>
      <w:r>
        <w:t>separación de verificación técnica y revisión científica;</w:t>
      </w:r>
    </w:p>
    <w:p>
      <w:pPr>
        <w:pStyle w:val="ListBullet"/>
      </w:pPr>
      <w:r>
        <w:t>estados de acceso y custodia;</w:t>
      </w:r>
    </w:p>
    <w:p>
      <w:pPr>
        <w:pStyle w:val="ListBullet"/>
      </w:pPr>
      <w:r>
        <w:t>trazabilidad fuente–decisión–claim;</w:t>
      </w:r>
    </w:p>
    <w:p>
      <w:pPr>
        <w:pStyle w:val="ListBullet"/>
      </w:pPr>
      <w:r>
        <w:t>validación de IDs, identificadores externos, rutas, checksums y actos de revisión;</w:t>
      </w:r>
    </w:p>
    <w:p>
      <w:pPr>
        <w:pStyle w:val="ListBullet"/>
      </w:pPr>
      <w:r>
        <w:t>integración en hooks y CI.</w:t>
      </w:r>
    </w:p>
    <w:p>
      <w:pPr>
        <w:spacing w:after="40"/>
      </w:pPr>
    </w:p>
    <w:p>
      <w:pPr>
        <w:pStyle w:val="Heading3"/>
      </w:pPr>
      <w:r>
        <w:t>Límite preservado</w:t>
      </w:r>
    </w:p>
    <w:p>
      <w:pPr>
        <w:spacing w:after="40"/>
      </w:pPr>
    </w:p>
    <w:p>
      <w:r>
        <w:t>El catálogo contiene cero fuentes. No se migraron ni verificaron referencias textuales y no se interpretó literatura. La infraestructura queda lista para recibir expedientes del Comité.</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Registros bibliográficos | 0; catálogo estructuralmente conforme |</w:t>
      </w:r>
    </w:p>
    <w:p>
      <w:pPr>
        <w:spacing w:after="20" w:line="240" w:lineRule="auto"/>
      </w:pPr>
      <w:r>
        <w:rPr>
          <w:rFonts w:ascii="Consolas" w:hAnsi="Consolas"/>
          <w:sz w:val="14"/>
        </w:rPr>
        <w:t>| Pruebas unitarias | 16/16 conformes |</w:t>
      </w:r>
    </w:p>
    <w:p>
      <w:pPr>
        <w:spacing w:after="20" w:line="240" w:lineRule="auto"/>
      </w:pPr>
      <w:r>
        <w:rPr>
          <w:rFonts w:ascii="Consolas" w:hAnsi="Consolas"/>
          <w:sz w:val="14"/>
        </w:rPr>
        <w:t>| Roadmap | PASS — 15 paquetes |</w:t>
      </w:r>
    </w:p>
    <w:p>
      <w:pPr>
        <w:spacing w:after="20" w:line="240" w:lineRule="auto"/>
      </w:pPr>
      <w:r>
        <w:rPr>
          <w:rFonts w:ascii="Consolas" w:hAnsi="Consolas"/>
          <w:sz w:val="14"/>
        </w:rPr>
        <w:t>| Validador integral | PASS — 104 controles |</w:t>
      </w:r>
    </w:p>
    <w:p>
      <w:pPr>
        <w:spacing w:after="20" w:line="240" w:lineRule="auto"/>
      </w:pPr>
      <w:r>
        <w:rPr>
          <w:rFonts w:ascii="Consolas" w:hAnsi="Consolas"/>
          <w:sz w:val="14"/>
        </w:rPr>
        <w:t>| Cobertura de tesis | 64 pendientes; bibliografía pasa de no iniciada a parcial estructural |</w:t>
      </w:r>
    </w:p>
    <w:p>
      <w:r>
        <w:br w:type="page"/>
      </w:r>
    </w:p>
    <w:p>
      <w:pPr>
        <w:pStyle w:val="Heading1"/>
        <w:keepNext/>
      </w:pPr>
      <w:r>
        <w:t>Fuente 56: 00_Gobernanza/coordinacion/reportes/GOEI_CYCLE_0010_Knowledge_Graph_procesable.md</w:t>
      </w:r>
    </w:p>
    <w:p>
      <w:pPr>
        <w:spacing w:after="200"/>
      </w:pPr>
      <w:r>
        <w:rPr>
          <w:rFonts w:ascii="Consolas" w:hAnsi="Consolas"/>
          <w:color w:val="595959"/>
          <w:sz w:val="16"/>
        </w:rPr>
        <w:t>Ruta: 00_Gobernanza/coordinacion/reportes/GOEI_CYCLE_0010_Knowledge_Graph_procesable.md</w:t>
        <w:br/>
        <w:t>Tamaño: 1180 bytes</w:t>
        <w:br/>
        <w:t>SHA-256: 8169b02921c02534fed3f6a0c6f8c8c49936b737ea9ab17fe6eeaefc88a6afec</w:t>
      </w:r>
    </w:p>
    <w:p>
      <w:pPr>
        <w:pStyle w:val="Heading2"/>
      </w:pPr>
      <w:r>
        <w:t>GOEI Cycle Report 0010 — Knowledge Graph procesable</w:t>
      </w:r>
    </w:p>
    <w:p>
      <w:pPr>
        <w:spacing w:after="40"/>
      </w:pPr>
    </w:p>
    <w:p>
      <w:r>
        <w:t>Fecha: 2026-08-04</w:t>
      </w:r>
    </w:p>
    <w:p>
      <w:pPr>
        <w:spacing w:after="40"/>
      </w:pPr>
    </w:p>
    <w:p>
      <w:pPr>
        <w:pStyle w:val="Heading3"/>
      </w:pPr>
      <w:r>
        <w:t>Auditoría de entrada</w:t>
      </w:r>
    </w:p>
    <w:p>
      <w:pPr>
        <w:spacing w:after="40"/>
      </w:pPr>
    </w:p>
    <w:p>
      <w:pPr>
        <w:pStyle w:val="ListBullet"/>
      </w:pPr>
      <w:r>
        <w:t>CI de f8a5186: exitosa;</w:t>
      </w:r>
    </w:p>
    <w:p>
      <w:pPr>
        <w:pStyle w:val="ListBullet"/>
      </w:pPr>
      <w:r>
        <w:t>decisiones científicas nuevas: ninguna;</w:t>
      </w:r>
    </w:p>
    <w:p>
      <w:pPr>
        <w:pStyle w:val="ListBullet"/>
      </w:pPr>
      <w:r>
        <w:t>D-008: propuesta no aprobada;</w:t>
      </w:r>
    </w:p>
    <w:p>
      <w:pPr>
        <w:pStyle w:val="ListBullet"/>
      </w:pPr>
      <w:r>
        <w:t>GOEI-ISS-037: continúa abierto para tecnología y namespace persistentes.</w:t>
      </w:r>
    </w:p>
    <w:p>
      <w:pPr>
        <w:spacing w:after="40"/>
      </w:pPr>
    </w:p>
    <w:p>
      <w:pPr>
        <w:pStyle w:val="Heading3"/>
      </w:pPr>
      <w:r>
        <w:t>Resultado</w:t>
      </w:r>
    </w:p>
    <w:p>
      <w:pPr>
        <w:spacing w:after="40"/>
      </w:pPr>
    </w:p>
    <w:p>
      <w:r>
        <w:t>Se implementó una proyección JSON determinista de los registros maestros. Solo contiene nodos y aristas demostrables desde documentos canónicos; toda arista declara sourceDocument.</w:t>
      </w:r>
    </w:p>
    <w:p>
      <w:pPr>
        <w:spacing w:after="40"/>
      </w:pPr>
    </w:p>
    <w:p>
      <w:pPr>
        <w:pStyle w:val="Heading4"/>
      </w:pPr>
      <w:r>
        <w:t>Tipos incluidos</w:t>
      </w:r>
    </w:p>
    <w:p>
      <w:pPr>
        <w:spacing w:after="40"/>
      </w:pPr>
    </w:p>
    <w:p>
      <w:pPr>
        <w:pStyle w:val="ListBullet"/>
      </w:pPr>
      <w:r>
        <w:t>Component;</w:t>
      </w:r>
    </w:p>
    <w:p>
      <w:pPr>
        <w:pStyle w:val="ListBullet"/>
      </w:pPr>
      <w:r>
        <w:t>Document;</w:t>
      </w:r>
    </w:p>
    <w:p>
      <w:pPr>
        <w:pStyle w:val="ListBullet"/>
      </w:pPr>
      <w:r>
        <w:t>Decision;</w:t>
      </w:r>
    </w:p>
    <w:p>
      <w:pPr>
        <w:pStyle w:val="ListBullet"/>
      </w:pPr>
      <w:r>
        <w:t>Issue;</w:t>
      </w:r>
    </w:p>
    <w:p>
      <w:pPr>
        <w:pStyle w:val="ListBullet"/>
      </w:pPr>
      <w:r>
        <w:t>Version.</w:t>
      </w:r>
    </w:p>
    <w:p>
      <w:pPr>
        <w:spacing w:after="40"/>
      </w:pPr>
    </w:p>
    <w:p>
      <w:pPr>
        <w:pStyle w:val="Heading4"/>
      </w:pPr>
      <w:r>
        <w:t>Relaciones incluidas</w:t>
      </w:r>
    </w:p>
    <w:p>
      <w:pPr>
        <w:spacing w:after="40"/>
      </w:pPr>
    </w:p>
    <w:p>
      <w:pPr>
        <w:pStyle w:val="ListBullet"/>
      </w:pPr>
      <w:r>
        <w:t>CONTAINS;</w:t>
      </w:r>
    </w:p>
    <w:p>
      <w:pPr>
        <w:pStyle w:val="ListBullet"/>
      </w:pPr>
      <w:r>
        <w:t>ORIGINATES;</w:t>
      </w:r>
    </w:p>
    <w:p>
      <w:pPr>
        <w:pStyle w:val="ListBullet"/>
      </w:pPr>
      <w:r>
        <w:t>INCORPORATED_IN;</w:t>
      </w:r>
    </w:p>
    <w:p>
      <w:pPr>
        <w:pStyle w:val="ListBullet"/>
      </w:pPr>
      <w:r>
        <w:t>TRACED_IN;</w:t>
      </w:r>
    </w:p>
    <w:p>
      <w:pPr>
        <w:pStyle w:val="ListBullet"/>
      </w:pPr>
      <w:r>
        <w:t>REGISTERED_IN.</w:t>
      </w:r>
    </w:p>
    <w:p>
      <w:pPr>
        <w:spacing w:after="40"/>
      </w:pPr>
    </w:p>
    <w:p>
      <w:pPr>
        <w:pStyle w:val="Heading3"/>
      </w:pPr>
      <w:r>
        <w:t>Exclusiones</w:t>
      </w:r>
    </w:p>
    <w:p>
      <w:pPr>
        <w:spacing w:after="40"/>
      </w:pPr>
    </w:p>
    <w:p>
      <w:r>
        <w:t>No se eligió base de grafos, RDF, OWL, namespace persistente ni motor de inferencia. No se transformaron textos de evidencia o dependencias en relaciones cuando carecían de IDs explícitos.</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Nodos | 133 |</w:t>
      </w:r>
    </w:p>
    <w:p>
      <w:pPr>
        <w:spacing w:after="20" w:line="240" w:lineRule="auto"/>
      </w:pPr>
      <w:r>
        <w:rPr>
          <w:rFonts w:ascii="Consolas" w:hAnsi="Consolas"/>
          <w:sz w:val="14"/>
        </w:rPr>
        <w:t>| Aristas | 150 |</w:t>
      </w:r>
    </w:p>
    <w:p>
      <w:pPr>
        <w:spacing w:after="20" w:line="240" w:lineRule="auto"/>
      </w:pPr>
      <w:r>
        <w:rPr>
          <w:rFonts w:ascii="Consolas" w:hAnsi="Consolas"/>
          <w:sz w:val="14"/>
        </w:rPr>
        <w:t>| Componentes proyectados | 39/39 |</w:t>
      </w:r>
    </w:p>
    <w:p>
      <w:pPr>
        <w:spacing w:after="20" w:line="240" w:lineRule="auto"/>
      </w:pPr>
      <w:r>
        <w:rPr>
          <w:rFonts w:ascii="Consolas" w:hAnsi="Consolas"/>
          <w:sz w:val="14"/>
        </w:rPr>
        <w:t>| Aristas con endpoints y fuente existentes | Conforme |</w:t>
      </w:r>
    </w:p>
    <w:p>
      <w:pPr>
        <w:spacing w:after="20" w:line="240" w:lineRule="auto"/>
      </w:pPr>
      <w:r>
        <w:rPr>
          <w:rFonts w:ascii="Consolas" w:hAnsi="Consolas"/>
          <w:sz w:val="14"/>
        </w:rPr>
        <w:t>| Pruebas unitarias | 19/19 conformes |</w:t>
      </w:r>
    </w:p>
    <w:p>
      <w:pPr>
        <w:spacing w:after="20" w:line="240" w:lineRule="auto"/>
      </w:pPr>
      <w:r>
        <w:rPr>
          <w:rFonts w:ascii="Consolas" w:hAnsi="Consolas"/>
          <w:sz w:val="14"/>
        </w:rPr>
        <w:t>| Snapshot regenerado | Conforme |</w:t>
      </w:r>
    </w:p>
    <w:p>
      <w:pPr>
        <w:spacing w:after="20" w:line="240" w:lineRule="auto"/>
      </w:pPr>
      <w:r>
        <w:rPr>
          <w:rFonts w:ascii="Consolas" w:hAnsi="Consolas"/>
          <w:sz w:val="14"/>
        </w:rPr>
        <w:t>| Validador integral | PASS — 110 controles |</w:t>
      </w:r>
    </w:p>
    <w:p>
      <w:r>
        <w:br w:type="page"/>
      </w:r>
    </w:p>
    <w:p>
      <w:pPr>
        <w:pStyle w:val="Heading1"/>
        <w:keepNext/>
      </w:pPr>
      <w:r>
        <w:t>Fuente 57: 00_Gobernanza/coordinacion/reportes/GOEI_CYCLE_0011_Navegacion_Knowledge_Graph.md</w:t>
      </w:r>
    </w:p>
    <w:p>
      <w:pPr>
        <w:spacing w:after="200"/>
      </w:pPr>
      <w:r>
        <w:rPr>
          <w:rFonts w:ascii="Consolas" w:hAnsi="Consolas"/>
          <w:color w:val="595959"/>
          <w:sz w:val="16"/>
        </w:rPr>
        <w:t>Ruta: 00_Gobernanza/coordinacion/reportes/GOEI_CYCLE_0011_Navegacion_Knowledge_Graph.md</w:t>
        <w:br/>
        <w:t>Tamaño: 1120 bytes</w:t>
        <w:br/>
        <w:t>SHA-256: e46ef0d1b06eb56a0dc6b6e961a2d7c292be6e0f08bee663a0328850b50728af</w:t>
      </w:r>
    </w:p>
    <w:p>
      <w:pPr>
        <w:pStyle w:val="Heading2"/>
      </w:pPr>
      <w:r>
        <w:t>GOEI Cycle Report 0011 — Navegación del Knowledge Graph</w:t>
      </w:r>
    </w:p>
    <w:p>
      <w:pPr>
        <w:spacing w:after="40"/>
      </w:pPr>
    </w:p>
    <w:p>
      <w:r>
        <w:t>Fecha: 2026-08-04</w:t>
      </w:r>
    </w:p>
    <w:p>
      <w:pPr>
        <w:spacing w:after="40"/>
      </w:pPr>
    </w:p>
    <w:p>
      <w:pPr>
        <w:pStyle w:val="Heading3"/>
      </w:pPr>
      <w:r>
        <w:t>Auditoría de entrada</w:t>
      </w:r>
    </w:p>
    <w:p>
      <w:pPr>
        <w:spacing w:after="40"/>
      </w:pPr>
    </w:p>
    <w:p>
      <w:pPr>
        <w:pStyle w:val="ListBullet"/>
      </w:pPr>
      <w:r>
        <w:t>CI de 6613b94: exitosa;</w:t>
      </w:r>
    </w:p>
    <w:p>
      <w:pPr>
        <w:pStyle w:val="ListBullet"/>
      </w:pPr>
      <w:r>
        <w:t>decisiones científicas nuevas: ninguna;</w:t>
      </w:r>
    </w:p>
    <w:p>
      <w:pPr>
        <w:pStyle w:val="ListBullet"/>
      </w:pPr>
      <w:r>
        <w:t>estado B1: pendiente de D-008 y GOEI-ISS-030.</w:t>
      </w:r>
    </w:p>
    <w:p>
      <w:pPr>
        <w:spacing w:after="40"/>
      </w:pPr>
    </w:p>
    <w:p>
      <w:pPr>
        <w:pStyle w:val="Heading3"/>
      </w:pPr>
      <w:r>
        <w:t>Resultado</w:t>
      </w:r>
    </w:p>
    <w:p>
      <w:pPr>
        <w:spacing w:after="40"/>
      </w:pPr>
    </w:p>
    <w:p>
      <w:r>
        <w:t>Se añadió GOEI-TOOL-KG-0002 para consultar la proyección registral mediante:</w:t>
      </w:r>
    </w:p>
    <w:p>
      <w:pPr>
        <w:spacing w:after="40"/>
      </w:pPr>
    </w:p>
    <w:p>
      <w:pPr>
        <w:pStyle w:val="ListBullet"/>
      </w:pPr>
      <w:r>
        <w:t>recuperación de nodo;</w:t>
      </w:r>
    </w:p>
    <w:p>
      <w:pPr>
        <w:pStyle w:val="ListBullet"/>
      </w:pPr>
      <w:r>
        <w:t>vecinos entrantes, salientes o ambos;</w:t>
      </w:r>
    </w:p>
    <w:p>
      <w:pPr>
        <w:pStyle w:val="ListBullet"/>
      </w:pPr>
      <w:r>
        <w:t>filtro por tipo de relación;</w:t>
      </w:r>
    </w:p>
    <w:p>
      <w:pPr>
        <w:pStyle w:val="ListBullet"/>
      </w:pPr>
      <w:r>
        <w:t>camino más corto dirigido o bidireccional explícito;</w:t>
      </w:r>
    </w:p>
    <w:p>
      <w:pPr>
        <w:pStyle w:val="ListBullet"/>
      </w:pPr>
      <w:r>
        <w:t>impacto directo de decisiones y componentes.</w:t>
      </w:r>
    </w:p>
    <w:p>
      <w:pPr>
        <w:spacing w:after="40"/>
      </w:pPr>
    </w:p>
    <w:p>
      <w:pPr>
        <w:pStyle w:val="Heading3"/>
      </w:pPr>
      <w:r>
        <w:t>Regla de seguridad epistemológica</w:t>
      </w:r>
    </w:p>
    <w:p>
      <w:pPr>
        <w:spacing w:after="40"/>
      </w:pPr>
    </w:p>
    <w:p>
      <w:r>
        <w:t>La herramienta no expande dependencias desde texto libre. Los campos dependents y evidence se devuelven como literales registrados y se etiquetan como no inferidos. Un camino solo usa aristas presentes en el snapshot.</w:t>
      </w:r>
    </w:p>
    <w:p>
      <w:pPr>
        <w:spacing w:after="40"/>
      </w:pPr>
    </w:p>
    <w:p>
      <w:pPr>
        <w:pStyle w:val="Heading3"/>
      </w:pPr>
      <w:r>
        <w:t>Verificación</w:t>
      </w:r>
    </w:p>
    <w:p>
      <w:pPr>
        <w:spacing w:after="40"/>
      </w:pPr>
    </w:p>
    <w:p>
      <w:pPr>
        <w:spacing w:after="20" w:line="240" w:lineRule="auto"/>
      </w:pPr>
      <w:r>
        <w:rPr>
          <w:rFonts w:ascii="Consolas" w:hAnsi="Consolas"/>
          <w:sz w:val="14"/>
        </w:rPr>
        <w:t>| Control | Resultado |</w:t>
      </w:r>
    </w:p>
    <w:p>
      <w:pPr>
        <w:spacing w:after="20" w:line="240" w:lineRule="auto"/>
      </w:pPr>
      <w:r>
        <w:rPr>
          <w:rFonts w:ascii="Consolas" w:hAnsi="Consolas"/>
          <w:sz w:val="14"/>
        </w:rPr>
        <w:t>|---|---|</w:t>
      </w:r>
    </w:p>
    <w:p>
      <w:pPr>
        <w:spacing w:after="20" w:line="240" w:lineRule="auto"/>
      </w:pPr>
      <w:r>
        <w:rPr>
          <w:rFonts w:ascii="Consolas" w:hAnsi="Consolas"/>
          <w:sz w:val="14"/>
        </w:rPr>
        <w:t>| Snapshot | 135 nodos / 153 aristas |</w:t>
      </w:r>
    </w:p>
    <w:p>
      <w:pPr>
        <w:spacing w:after="20" w:line="240" w:lineRule="auto"/>
      </w:pPr>
      <w:r>
        <w:rPr>
          <w:rFonts w:ascii="Consolas" w:hAnsi="Consolas"/>
          <w:sz w:val="14"/>
        </w:rPr>
        <w:t>| Consulta de impacto D-006 | 2 componentes y 2 documentos directos; inferencia `false` |</w:t>
      </w:r>
    </w:p>
    <w:p>
      <w:pPr>
        <w:spacing w:after="20" w:line="240" w:lineRule="auto"/>
      </w:pPr>
      <w:r>
        <w:rPr>
          <w:rFonts w:ascii="Consolas" w:hAnsi="Consolas"/>
          <w:sz w:val="14"/>
        </w:rPr>
        <w:t>| Pruebas unitarias | 22/22 conformes |</w:t>
      </w:r>
    </w:p>
    <w:p>
      <w:pPr>
        <w:spacing w:after="20" w:line="240" w:lineRule="auto"/>
      </w:pPr>
      <w:r>
        <w:rPr>
          <w:rFonts w:ascii="Consolas" w:hAnsi="Consolas"/>
          <w:sz w:val="14"/>
        </w:rPr>
        <w:t>| Validador integral | PASS — 112 controles |</w:t>
      </w:r>
    </w:p>
    <w:p>
      <w:pPr>
        <w:spacing w:after="20" w:line="240" w:lineRule="auto"/>
      </w:pPr>
      <w:r>
        <w:rPr>
          <w:rFonts w:ascii="Consolas" w:hAnsi="Consolas"/>
          <w:sz w:val="14"/>
        </w:rPr>
        <w:t>| Persistencia oficial | Sin cambios; GOEI-ISS-037 abierto |</w:t>
      </w:r>
    </w:p>
    <w:p>
      <w:r>
        <w:br w:type="page"/>
      </w:r>
    </w:p>
    <w:p>
      <w:pPr>
        <w:pStyle w:val="Heading1"/>
        <w:keepNext/>
      </w:pPr>
      <w:r>
        <w:t>Fuente 58: 00_Gobernanza/coordinacion/resoluciones/GOEI_DIR_RES_0001_D008_B1.md</w:t>
      </w:r>
    </w:p>
    <w:p>
      <w:pPr>
        <w:spacing w:after="200"/>
      </w:pPr>
      <w:r>
        <w:rPr>
          <w:rFonts w:ascii="Consolas" w:hAnsi="Consolas"/>
          <w:color w:val="595959"/>
          <w:sz w:val="16"/>
        </w:rPr>
        <w:t>Ruta: 00_Gobernanza/coordinacion/resoluciones/GOEI_DIR_RES_0001_D008_B1.md</w:t>
        <w:br/>
        <w:t>Tamaño: 3430 bytes</w:t>
        <w:br/>
        <w:t>SHA-256: 00bbb2ce79e5a48a31cac80136335039f3827c5e3d858cadc2b3bc6db80a45b8</w:t>
      </w:r>
    </w:p>
    <w:p>
      <w:pPr>
        <w:pStyle w:val="Heading2"/>
      </w:pPr>
      <w:r>
        <w:t>Resolución GOEI-DIR-RES-0001 — Ratificación de D-008 y cierre limitado de B1</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`GOEI-DIR-RES-0001`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**APROBADA Y VIGENTE** |</w:t>
      </w:r>
    </w:p>
    <w:p>
      <w:pPr>
        <w:spacing w:after="20" w:line="240" w:lineRule="auto"/>
      </w:pPr>
      <w:r>
        <w:rPr>
          <w:rFonts w:ascii="Consolas" w:hAnsi="Consolas"/>
          <w:sz w:val="14"/>
        </w:rPr>
        <w:t>| Opción resuelta | A — Ratificar con reservas y cerrar B1 |</w:t>
      </w:r>
    </w:p>
    <w:p>
      <w:pPr>
        <w:spacing w:after="20" w:line="240" w:lineRule="auto"/>
      </w:pPr>
      <w:r>
        <w:rPr>
          <w:rFonts w:ascii="Consolas" w:hAnsi="Consolas"/>
          <w:sz w:val="14"/>
        </w:rPr>
        <w:t>| Autoridad | Dirección General GOEI, ejercida operativamente por Codex mediante delegación expresa de Pablo Toledo Salinas |</w:t>
      </w:r>
    </w:p>
    <w:p>
      <w:pPr>
        <w:spacing w:after="20" w:line="240" w:lineRule="auto"/>
      </w:pPr>
      <w:r>
        <w:rPr>
          <w:rFonts w:ascii="Consolas" w:hAnsi="Consolas"/>
          <w:sz w:val="14"/>
        </w:rPr>
        <w:t>| Fuente de autoridad | `GOEI-DIR-0004`, delegación ejecutiva expresa de la Dirección General |</w:t>
      </w:r>
    </w:p>
    <w:p>
      <w:pPr>
        <w:spacing w:after="20" w:line="240" w:lineRule="auto"/>
      </w:pPr>
      <w:r>
        <w:rPr>
          <w:rFonts w:ascii="Consolas" w:hAnsi="Consolas"/>
          <w:sz w:val="14"/>
        </w:rPr>
        <w:t>| Fundamento científico | D-008, aprobada por el Comité Científico |</w:t>
      </w:r>
    </w:p>
    <w:p>
      <w:pPr>
        <w:spacing w:after="20" w:line="240" w:lineRule="auto"/>
      </w:pPr>
      <w:r>
        <w:rPr>
          <w:rFonts w:ascii="Consolas" w:hAnsi="Consolas"/>
          <w:sz w:val="14"/>
        </w:rPr>
        <w:t>| Control técnico | `GOEI-AUDIT-0002` y `GOEI-AUDIT-0003` |</w:t>
      </w:r>
    </w:p>
    <w:p>
      <w:pPr>
        <w:spacing w:after="20" w:line="240" w:lineRule="auto"/>
      </w:pPr>
      <w:r>
        <w:rPr>
          <w:rFonts w:ascii="Consolas" w:hAnsi="Consolas"/>
          <w:sz w:val="14"/>
        </w:rPr>
        <w:t>| Baseline resultante | `GOEI-BSL-PROC-0001 v0.1.0` |</w:t>
      </w:r>
    </w:p>
    <w:p>
      <w:pPr>
        <w:spacing w:after="40"/>
      </w:pPr>
    </w:p>
    <w:p>
      <w:pPr>
        <w:pStyle w:val="Heading3"/>
      </w:pPr>
      <w:r>
        <w:t>Parte resolutiva</w:t>
      </w:r>
    </w:p>
    <w:p>
      <w:pPr>
        <w:spacing w:after="40"/>
      </w:pPr>
    </w:p>
    <w:p>
      <w:r>
        <w:t>La Dirección General:</w:t>
      </w:r>
    </w:p>
    <w:p>
      <w:pPr>
        <w:spacing w:after="40"/>
      </w:pPr>
    </w:p>
    <w:p>
      <w:pPr>
        <w:pStyle w:val="ListNumber"/>
      </w:pPr>
      <w:r>
        <w:t>ratifica D-008 en el alcance exacto del expediente científico GOEI_SCI_HANDOFF_D008_Cierre_B1.md;</w:t>
      </w:r>
    </w:p>
    <w:p>
      <w:pPr>
        <w:pStyle w:val="ListNumber"/>
      </w:pPr>
      <w:r>
        <w:t>declara B1 cerrada exclusivamente en su pregunta nuclear: existencia de un núcleo universal de procesos a nivel de subsistema funcional y estructura en dos niveles —núcleo universal y realizaciones específicas—;</w:t>
      </w:r>
    </w:p>
    <w:p>
      <w:pPr>
        <w:pStyle w:val="ListNumber"/>
      </w:pPr>
      <w:r>
        <w:t>establece que la revisión PRISMA completa y el consenso Delphi son validaciones posteriores y no prerrequisitos para esta incorporación limitada;</w:t>
      </w:r>
    </w:p>
    <w:p>
      <w:pPr>
        <w:pStyle w:val="ListNumber"/>
      </w:pPr>
      <w:r>
        <w:t>cierra GOEI-ISS-012, GOEI-ISS-013 y GOEI-ISS-030 por esta resolución;</w:t>
      </w:r>
    </w:p>
    <w:p>
      <w:pPr>
        <w:pStyle w:val="ListNumber"/>
      </w:pPr>
      <w:r>
        <w:t>mantiene abierto GOEI-ISS-043: residuos/merma continúa como candidato no normativo y queda excluido de la clasificación definitiva hasta decisión científica posterior;</w:t>
      </w:r>
    </w:p>
    <w:p>
      <w:pPr>
        <w:pStyle w:val="ListNumber"/>
      </w:pPr>
      <w:r>
        <w:t>crea y congela GOEI-BSL-PROC-0001 v0.1.0 como baseline temprana controlada de procesos;</w:t>
      </w:r>
    </w:p>
    <w:p>
      <w:pPr>
        <w:pStyle w:val="ListNumber"/>
      </w:pPr>
      <w:r>
        <w:t>habilita B2 — Taxonomía Universal, sin anticipar categorías ni resolver sus preguntas científicas;</w:t>
      </w:r>
    </w:p>
    <w:p>
      <w:pPr>
        <w:pStyle w:val="ListNumber"/>
      </w:pPr>
      <w:r>
        <w:t>preserva abiertos GOEI-ISS-014 y GOEI-ISS-015 en sus fases competentes;</w:t>
      </w:r>
    </w:p>
    <w:p>
      <w:pPr>
        <w:pStyle w:val="ListNumber"/>
      </w:pPr>
      <w:r>
        <w:t>no autoriza KPI, fórmulas, ponderaciones, rangos, umbrales, taxonomías ni conclusiones ajenas a D-008.</w:t>
      </w:r>
    </w:p>
    <w:p>
      <w:pPr>
        <w:spacing w:after="40"/>
      </w:pPr>
    </w:p>
    <w:p>
      <w:pPr>
        <w:pStyle w:val="Heading3"/>
      </w:pPr>
      <w:r>
        <w:t>Alcance exacto ratificado</w:t>
      </w:r>
    </w:p>
    <w:p>
      <w:pPr>
        <w:spacing w:after="40"/>
      </w:pPr>
    </w:p>
    <w:p>
      <w:pPr>
        <w:pStyle w:val="ListBullet"/>
      </w:pPr>
      <w:r>
        <w:t>El alcance incluye foodservice comercial y no comercial/institucional.</w:t>
      </w:r>
    </w:p>
    <w:p>
      <w:pPr>
        <w:pStyle w:val="ListBullet"/>
      </w:pPr>
      <w:r>
        <w:t>P6 se expresa como transacción/cierre, realizada como venta o como requisición/registro interno según el contexto.</w:t>
      </w:r>
    </w:p>
    <w:p>
      <w:pPr>
        <w:pStyle w:val="ListBullet"/>
      </w:pPr>
      <w:r>
        <w:t>El modelo se estructura en dos niveles: tipos universales de proceso y realizaciones específicas futuras.</w:t>
      </w:r>
    </w:p>
    <w:p>
      <w:pPr>
        <w:pStyle w:val="ListBullet"/>
      </w:pPr>
      <w:r>
        <w:t>La cadena primaria comprende P1–P6 y los planos transversales ratificados comprenden P7–P9, conforme a D-008.</w:t>
      </w:r>
    </w:p>
    <w:p>
      <w:pPr>
        <w:pStyle w:val="ListBullet"/>
      </w:pPr>
      <w:r>
        <w:t>El tipo de sistema de producción se conserva como entrada pendiente para B2; no queda resuelto como eje taxonómico.</w:t>
      </w:r>
    </w:p>
    <w:p>
      <w:pPr>
        <w:pStyle w:val="ListBullet"/>
      </w:pPr>
      <w:r>
        <w:t>El posible doble rol de la inocuidad permanece pendiente para fases posteriores.</w:t>
      </w:r>
    </w:p>
    <w:p>
      <w:pPr>
        <w:spacing w:after="40"/>
      </w:pPr>
    </w:p>
    <w:p>
      <w:pPr>
        <w:pStyle w:val="Heading3"/>
      </w:pPr>
      <w:r>
        <w:t>Reservas obligatorias</w:t>
      </w:r>
    </w:p>
    <w:p>
      <w:pPr>
        <w:spacing w:after="40"/>
      </w:pPr>
    </w:p>
    <w:p>
      <w:r>
        <w:t>Esta resolución no convierte la revisión rápida estructurada en PRISMA completa ni el dictamen del Comité en validación empírica. Tampoco clasifica residuos/merma. Cualquier uso del baseline debe mostrar estas reservas y su versión exacta.</w:t>
      </w:r>
    </w:p>
    <w:p>
      <w:pPr>
        <w:spacing w:after="40"/>
      </w:pPr>
    </w:p>
    <w:p>
      <w:pPr>
        <w:pStyle w:val="Heading3"/>
      </w:pPr>
      <w:r>
        <w:t>Trazabilidad y control de cambios</w:t>
      </w:r>
    </w:p>
    <w:p>
      <w:pPr>
        <w:spacing w:after="40"/>
      </w:pPr>
    </w:p>
    <w:p>
      <w:r>
        <w:t>Toda modificación de GOEI-BSL-PROC-0001 requiere Issue formal, análisis de impacto, decisión científica cuando cambie contenido metodológico, nueva versión y preservación de la versión sustituida. D-006 Ontology Baseline v0.1 no se modifica por esta resolución.</w:t>
      </w:r>
    </w:p>
    <w:p>
      <w:pPr>
        <w:spacing w:after="40"/>
      </w:pPr>
    </w:p>
    <w:p>
      <w:pPr>
        <w:pStyle w:val="Heading3"/>
      </w:pPr>
      <w:r>
        <w:t>Mecanismo de aprobación</w:t>
      </w:r>
    </w:p>
    <w:p>
      <w:pPr>
        <w:spacing w:after="40"/>
      </w:pPr>
    </w:p>
    <w:p>
      <w:r>
        <w:t>Aprobación verificable mediante GOEI-DIR-0004, originada por instrucción expresa de la Dirección General registrada en la tarea oficial GOEI el 2026-08-04. Codex ejecuta el acto bajo autoridad delegada y mantiene la procedencia en los registros maestros y en el historial Git.</w:t>
      </w:r>
    </w:p>
    <w:p>
      <w:r>
        <w:br w:type="page"/>
      </w:r>
    </w:p>
    <w:p>
      <w:pPr>
        <w:pStyle w:val="Heading1"/>
        <w:keepNext/>
      </w:pPr>
      <w:r>
        <w:t>Fuente 59: 00_Gobernanza/coordinacion/resoluciones/GOEI_DIR_RES_0002_D017_B2.md</w:t>
      </w:r>
    </w:p>
    <w:p>
      <w:pPr>
        <w:spacing w:after="200"/>
      </w:pPr>
      <w:r>
        <w:rPr>
          <w:rFonts w:ascii="Consolas" w:hAnsi="Consolas"/>
          <w:color w:val="595959"/>
          <w:sz w:val="16"/>
        </w:rPr>
        <w:t>Ruta: 00_Gobernanza/coordinacion/resoluciones/GOEI_DIR_RES_0002_D017_B2.md</w:t>
        <w:br/>
        <w:t>Tamaño: 3169 bytes</w:t>
        <w:br/>
        <w:t>SHA-256: 855fdb19bdb6d203fe9d15ab8f3c4a96f83e90ad0bbe8ae354b6a236d60f7365</w:t>
      </w:r>
    </w:p>
    <w:p>
      <w:pPr>
        <w:pStyle w:val="Heading2"/>
      </w:pPr>
      <w:r>
        <w:t>Resolución GOEI-DIR-RES-0002 — Ratificación limitada de D-017 y cierre de B2</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`GOEI-DIR-RES-0002`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**APROBADA Y VIGENTE** |</w:t>
      </w:r>
    </w:p>
    <w:p>
      <w:pPr>
        <w:spacing w:after="20" w:line="240" w:lineRule="auto"/>
      </w:pPr>
      <w:r>
        <w:rPr>
          <w:rFonts w:ascii="Consolas" w:hAnsi="Consolas"/>
          <w:sz w:val="14"/>
        </w:rPr>
        <w:t>| Autoridad | Dirección General GOEI, ejercida por Codex bajo `GOEI-DIR-0004` |</w:t>
      </w:r>
    </w:p>
    <w:p>
      <w:pPr>
        <w:spacing w:after="20" w:line="240" w:lineRule="auto"/>
      </w:pPr>
      <w:r>
        <w:rPr>
          <w:rFonts w:ascii="Consolas" w:hAnsi="Consolas"/>
          <w:sz w:val="14"/>
        </w:rPr>
        <w:t>| Fundamento científico | D-017, aprobada por el Comité Científico |</w:t>
      </w:r>
    </w:p>
    <w:p>
      <w:pPr>
        <w:spacing w:after="20" w:line="240" w:lineRule="auto"/>
      </w:pPr>
      <w:r>
        <w:rPr>
          <w:rFonts w:ascii="Consolas" w:hAnsi="Consolas"/>
          <w:sz w:val="14"/>
        </w:rPr>
        <w:t>| Control técnico | `GOEI-AUDIT-0005` |</w:t>
      </w:r>
    </w:p>
    <w:p>
      <w:pPr>
        <w:spacing w:after="20" w:line="240" w:lineRule="auto"/>
      </w:pPr>
      <w:r>
        <w:rPr>
          <w:rFonts w:ascii="Consolas" w:hAnsi="Consolas"/>
          <w:sz w:val="14"/>
        </w:rPr>
        <w:t>| Baseline resultante | `GOEI-BSL-TAX-0001 v0.1.0` |</w:t>
      </w:r>
    </w:p>
    <w:p>
      <w:pPr>
        <w:spacing w:after="40"/>
      </w:pPr>
    </w:p>
    <w:p>
      <w:pPr>
        <w:pStyle w:val="Heading3"/>
      </w:pPr>
      <w:r>
        <w:t>Parte resolutiva</w:t>
      </w:r>
    </w:p>
    <w:p>
      <w:pPr>
        <w:spacing w:after="40"/>
      </w:pPr>
    </w:p>
    <w:p>
      <w:r>
        <w:t>La Dirección General:</w:t>
      </w:r>
    </w:p>
    <w:p>
      <w:pPr>
        <w:spacing w:after="40"/>
      </w:pPr>
    </w:p>
    <w:p>
      <w:pPr>
        <w:pStyle w:val="ListNumber"/>
      </w:pPr>
      <w:r>
        <w:t>ratifica D-017 con el alcance exacto y las exclusiones de esta resolución;</w:t>
      </w:r>
    </w:p>
    <w:p>
      <w:pPr>
        <w:pStyle w:val="ListNumber"/>
      </w:pPr>
      <w:r>
        <w:t>adopta una taxonomía GOEI universal, operacional-analítica y multieje/facetada;</w:t>
      </w:r>
    </w:p>
    <w:p>
      <w:pPr>
        <w:pStyle w:val="ListNumber"/>
      </w:pPr>
      <w:r>
        <w:t>ratifica Establecimiento como unidad de clasificación ordinaria y Categoría como tipo compuesto por valores de facetas, sin resolver configuraciones multiunidad o multi-marca;</w:t>
      </w:r>
    </w:p>
    <w:p>
      <w:pPr>
        <w:pStyle w:val="ListNumber"/>
      </w:pPr>
      <w:r>
        <w:t>ratifica como facetas indispensables FX-1 Modalidad de servicio/entrega, FX-2 Sistema de producción y FX-3 Naturaleza económica;</w:t>
      </w:r>
    </w:p>
    <w:p>
      <w:pPr>
        <w:pStyle w:val="ListNumber"/>
      </w:pPr>
      <w:r>
        <w:t>cierra GOEI-ISS-014, al quedar FX-2 ratificado como eje indispensable;</w:t>
      </w:r>
    </w:p>
    <w:p>
      <w:pPr>
        <w:pStyle w:val="ListNumber"/>
      </w:pPr>
      <w:r>
        <w:t>excluye de la baseline todos los valores enumerados, ejemplos de categorías, facetas opcionales, crosswalks y reglas candidatas para híbridos;</w:t>
      </w:r>
    </w:p>
    <w:p>
      <w:pPr>
        <w:pStyle w:val="ListNumber"/>
      </w:pPr>
      <w:r>
        <w:t>abre GOEI-ISS-054 para el catálogo controlado de valores y su validación;</w:t>
      </w:r>
    </w:p>
    <w:p>
      <w:pPr>
        <w:pStyle w:val="ListNumber"/>
      </w:pPr>
      <w:r>
        <w:t>mantiene abierto GOEI-ISS-008, que bloquea únicamente configuraciones multiunidad, multi-marca y la alternativa de evaluar por flujo;</w:t>
      </w:r>
    </w:p>
    <w:p>
      <w:pPr>
        <w:pStyle w:val="ListNumber"/>
      </w:pPr>
      <w:r>
        <w:t>declara B2 cerrada exclusivamente en su pregunta nuclear;</w:t>
      </w:r>
    </w:p>
    <w:p>
      <w:pPr>
        <w:pStyle w:val="ListNumber"/>
      </w:pPr>
      <w:r>
        <w:t>crea y congela GOEI-BSL-TAX-0001 v0.1.0;</w:t>
      </w:r>
    </w:p>
    <w:p>
      <w:pPr>
        <w:pStyle w:val="ListNumber"/>
      </w:pPr>
      <w:r>
        <w:t>habilita B3 — Universo candidato de KPI, sin crear KPI ni autorizar el uso de valores taxonómicos no aprobados;</w:t>
      </w:r>
    </w:p>
    <w:p>
      <w:pPr>
        <w:pStyle w:val="ListNumber"/>
      </w:pPr>
      <w:r>
        <w:t>preserva intactas D-006, GOEI-BSL-ONT-0001 y GOEI-BSL-PROC-0001.</w:t>
      </w:r>
    </w:p>
    <w:p>
      <w:pPr>
        <w:spacing w:after="40"/>
      </w:pPr>
    </w:p>
    <w:p>
      <w:pPr>
        <w:pStyle w:val="Heading3"/>
      </w:pPr>
      <w:r>
        <w:t>Alcance ratificado</w:t>
      </w:r>
    </w:p>
    <w:p>
      <w:pPr>
        <w:spacing w:after="40"/>
      </w:pPr>
    </w:p>
    <w:p>
      <w:r>
        <w:t>La baseline contiene el lenguaje estructural de clasificación, no un catálogo de categorías finales. Las facetas indispensables tienen identidad y propósito aprobados; sus dominios de valores, definiciones operativas, cardinalidades excepcionales y reglas de decisión permanecen fuera del estándar hasta resolución competente.</w:t>
      </w:r>
    </w:p>
    <w:p>
      <w:pPr>
        <w:spacing w:after="40"/>
      </w:pPr>
    </w:p>
    <w:p>
      <w:r>
        <w:t>La relación con procesos se limita a: FX-1 condiciona la realización de P5; FX-2 condiciona P4–P5; FX-3 condiciona P6. Esto no altera la identidad, alcance ni estructura de P1–P9.</w:t>
      </w:r>
    </w:p>
    <w:p>
      <w:pPr>
        <w:spacing w:after="40"/>
      </w:pPr>
    </w:p>
    <w:p>
      <w:pPr>
        <w:pStyle w:val="Heading3"/>
      </w:pPr>
      <w:r>
        <w:t>Reservas</w:t>
      </w:r>
    </w:p>
    <w:p>
      <w:pPr>
        <w:spacing w:after="40"/>
      </w:pPr>
    </w:p>
    <w:p>
      <w:pPr>
        <w:pStyle w:val="ListBullet"/>
      </w:pPr>
      <w:r>
        <w:t>La revisión no es PRISMA completa y requiere validación posterior Delphi/empírica.</w:t>
      </w:r>
    </w:p>
    <w:p>
      <w:pPr>
        <w:pStyle w:val="ListBullet"/>
      </w:pPr>
      <w:r>
        <w:t>La portabilidad internacional es una hipótesis a validar, no una conclusión de release.</w:t>
      </w:r>
    </w:p>
    <w:p>
      <w:pPr>
        <w:pStyle w:val="ListBullet"/>
      </w:pPr>
      <w:r>
        <w:t>Ningún ejemplo ilustrativo clasifica normativamente un establecimiento.</w:t>
      </w:r>
    </w:p>
    <w:p>
      <w:pPr>
        <w:pStyle w:val="ListBullet"/>
      </w:pPr>
      <w:r>
        <w:t>Ningún software puede inferir valores, resolver híbridos o seleccionar referencias/GTRM desde esta baseline.</w:t>
      </w:r>
    </w:p>
    <w:p>
      <w:pPr>
        <w:spacing w:after="40"/>
      </w:pPr>
    </w:p>
    <w:p>
      <w:pPr>
        <w:pStyle w:val="Heading3"/>
      </w:pPr>
      <w:r>
        <w:t>Control de cambios</w:t>
      </w:r>
    </w:p>
    <w:p>
      <w:pPr>
        <w:spacing w:after="40"/>
      </w:pPr>
    </w:p>
    <w:p>
      <w:r>
        <w:t>La baseline no se sobrescribirá. Todo cambio exige Issue formal, análisis de impacto, decisión científica si altera contenido metodológico, nueva resolución, nueva versión y preservación de v0.1.0.</w:t>
      </w:r>
    </w:p>
    <w:p>
      <w:pPr>
        <w:spacing w:after="40"/>
      </w:pPr>
    </w:p>
    <w:p>
      <w:pPr>
        <w:pStyle w:val="Heading3"/>
      </w:pPr>
      <w:r>
        <w:t>Mecanismo de aprobación</w:t>
      </w:r>
    </w:p>
    <w:p>
      <w:pPr>
        <w:spacing w:after="40"/>
      </w:pPr>
    </w:p>
    <w:p>
      <w:r>
        <w:t>Esta resolución ejecuta la delegación expresa GOEI-DIR-0004. Codex ejerce la decisión directiva sin sustituir la autoridad científica del Comité y promueve únicamente el contenido que D-017 aprobó de forma inequívoca.</w:t>
      </w:r>
    </w:p>
    <w:p>
      <w:pPr>
        <w:spacing w:after="40"/>
      </w:pPr>
    </w:p>
    <w:p>
      <w:r>
        <w:br w:type="page"/>
      </w:r>
    </w:p>
    <w:p>
      <w:pPr>
        <w:pStyle w:val="Heading1"/>
        <w:keepNext/>
      </w:pPr>
      <w:r>
        <w:t>Fuente 60: 00_Gobernanza/coordinacion/resoluciones/GOEI_DIR_RES_0003_D018_B3.md</w:t>
      </w:r>
    </w:p>
    <w:p>
      <w:pPr>
        <w:spacing w:after="200"/>
      </w:pPr>
      <w:r>
        <w:rPr>
          <w:rFonts w:ascii="Consolas" w:hAnsi="Consolas"/>
          <w:color w:val="595959"/>
          <w:sz w:val="16"/>
        </w:rPr>
        <w:t>Ruta: 00_Gobernanza/coordinacion/resoluciones/GOEI_DIR_RES_0003_D018_B3.md</w:t>
        <w:br/>
        <w:t>Tamaño: 3028 bytes</w:t>
        <w:br/>
        <w:t>SHA-256: 54c4e216d14d740de756dc03443831882f4173b1bc95fa1bab87ae3470de505f</w:t>
      </w:r>
    </w:p>
    <w:p>
      <w:pPr>
        <w:pStyle w:val="Heading2"/>
      </w:pPr>
      <w:r>
        <w:t>Resolución GOEI-DIR-RES-0003 — Ratificación limitada de D-018 y cierre de B3</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`GOEI-DIR-RES-0003`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**APROBADA Y VIGENTE** |</w:t>
      </w:r>
    </w:p>
    <w:p>
      <w:pPr>
        <w:spacing w:after="20" w:line="240" w:lineRule="auto"/>
      </w:pPr>
      <w:r>
        <w:rPr>
          <w:rFonts w:ascii="Consolas" w:hAnsi="Consolas"/>
          <w:sz w:val="14"/>
        </w:rPr>
        <w:t>| Autoridad | Dirección General GOEI, ejercida por Codex bajo `GOEI-DIR-0004` |</w:t>
      </w:r>
    </w:p>
    <w:p>
      <w:pPr>
        <w:spacing w:after="20" w:line="240" w:lineRule="auto"/>
      </w:pPr>
      <w:r>
        <w:rPr>
          <w:rFonts w:ascii="Consolas" w:hAnsi="Consolas"/>
          <w:sz w:val="14"/>
        </w:rPr>
        <w:t>| Fundamento científico | D-018, aprobada por el Comité Científico |</w:t>
      </w:r>
    </w:p>
    <w:p>
      <w:pPr>
        <w:spacing w:after="20" w:line="240" w:lineRule="auto"/>
      </w:pPr>
      <w:r>
        <w:rPr>
          <w:rFonts w:ascii="Consolas" w:hAnsi="Consolas"/>
          <w:sz w:val="14"/>
        </w:rPr>
        <w:t>| Control técnico | `GOEI-AUDIT-0006` |</w:t>
      </w:r>
    </w:p>
    <w:p>
      <w:pPr>
        <w:spacing w:after="20" w:line="240" w:lineRule="auto"/>
      </w:pPr>
      <w:r>
        <w:rPr>
          <w:rFonts w:ascii="Consolas" w:hAnsi="Consolas"/>
          <w:sz w:val="14"/>
        </w:rPr>
        <w:t>| Baseline resultante | `GOEI-BSL-KPI-C-0001 v0.1.0` |</w:t>
      </w:r>
    </w:p>
    <w:p>
      <w:pPr>
        <w:spacing w:after="40"/>
      </w:pPr>
    </w:p>
    <w:p>
      <w:pPr>
        <w:pStyle w:val="Heading3"/>
      </w:pPr>
      <w:r>
        <w:t>Parte resolutiva</w:t>
      </w:r>
    </w:p>
    <w:p>
      <w:pPr>
        <w:spacing w:after="40"/>
      </w:pPr>
    </w:p>
    <w:p>
      <w:r>
        <w:t>La Dirección General:</w:t>
      </w:r>
    </w:p>
    <w:p>
      <w:pPr>
        <w:spacing w:after="40"/>
      </w:pPr>
    </w:p>
    <w:p>
      <w:pPr>
        <w:pStyle w:val="ListNumber"/>
      </w:pPr>
      <w:r>
        <w:t>ratifica D-018 con el alcance exacto y las exclusiones de esta resolución;</w:t>
      </w:r>
    </w:p>
    <w:p>
      <w:pPr>
        <w:pStyle w:val="ListNumber"/>
      </w:pPr>
      <w:r>
        <w:t>acepta como insumo de B4 un universo registral de 32 registros controlados: 31 indicadores documentados CANDIDATO y un marco CANDIDATO CONTEXTUAL;</w:t>
      </w:r>
    </w:p>
    <w:p>
      <w:pPr>
        <w:pStyle w:val="ListNumber"/>
      </w:pPr>
      <w:r>
        <w:t>excluye GOEI-KPI-C-032 de la cola de evaluación de KPI porque D-018 lo identifica como marco y no como indicador;</w:t>
      </w:r>
    </w:p>
    <w:p>
      <w:pPr>
        <w:pStyle w:val="ListNumber"/>
      </w:pPr>
      <w:r>
        <w:t>declara que aceptar el universo no aprueba, admite ni incorpora ningún KPI al estándar;</w:t>
      </w:r>
    </w:p>
    <w:p>
      <w:pPr>
        <w:pStyle w:val="ListNumber"/>
      </w:pPr>
      <w:r>
        <w:t>congela GOEI-CAT-KPI-C-0001 v0.1.0 y GOEI-MTZ-KPI-C-0001 v0.1.0 bajo GOEI-BSL-KPI-C-0001 v0.1.0;</w:t>
      </w:r>
    </w:p>
    <w:p>
      <w:pPr>
        <w:pStyle w:val="ListNumber"/>
      </w:pPr>
      <w:r>
        <w:t>registra GOEI-ISS-055 a GOEI-ISS-058 y conserva GOEI-ISS-008, 015, 043 y 054 con sus bloqueos selectivos;</w:t>
      </w:r>
    </w:p>
    <w:p>
      <w:pPr>
        <w:pStyle w:val="ListNumber"/>
      </w:pPr>
      <w:r>
        <w:t>declara B3 cerrada exclusivamente en su pregunta nuclear;</w:t>
      </w:r>
    </w:p>
    <w:p>
      <w:pPr>
        <w:pStyle w:val="ListNumber"/>
      </w:pPr>
      <w:r>
        <w:t>habilita B4 — Admisibilidad y selección de KPI, cuya primera obligación es someter a decisión científica el método y los criterios antes de evaluar candidatos;</w:t>
      </w:r>
    </w:p>
    <w:p>
      <w:pPr>
        <w:pStyle w:val="ListNumber"/>
      </w:pPr>
      <w:r>
        <w:t>preserva intactas D-006, GOEI-BSL-ONT-0001, GOEI-BSL-PROC-0001 y GOEI-BSL-TAX-0001;</w:t>
      </w:r>
    </w:p>
    <w:p>
      <w:pPr>
        <w:pStyle w:val="ListNumber"/>
      </w:pPr>
      <w:r>
        <w:t>prohíbe atribuir a esta resolución fórmula GOEI, unidad normativa, referencia, GTRM, peso, puntuación, umbral, rango o regla de agregación.</w:t>
      </w:r>
    </w:p>
    <w:p>
      <w:pPr>
        <w:spacing w:after="40"/>
      </w:pPr>
    </w:p>
    <w:p>
      <w:pPr>
        <w:pStyle w:val="Heading3"/>
      </w:pPr>
      <w:r>
        <w:t>Alcance ratificado</w:t>
      </w:r>
    </w:p>
    <w:p>
      <w:pPr>
        <w:spacing w:after="40"/>
      </w:pPr>
    </w:p>
    <w:p>
      <w:r>
        <w:t>La baseline es un catálogo candidato de investigación, no una baseline normativa de KPI. Congela identidad, procedencia declarada, asociación a procesos/facetas, metadatos, vacíos y solapamientos para que B4 evalúe el mismo conjunto reproducible.</w:t>
      </w:r>
    </w:p>
    <w:p>
      <w:pPr>
        <w:spacing w:after="40"/>
      </w:pPr>
    </w:p>
    <w:p>
      <w:r>
        <w:t>Las expresiones de numerador, denominador o cálculo contenidas en las fichas son transcripciones informativas de sus fuentes. No constituyen especificaciones GOEI ni pueden implementarse como tales sin las decisiones B4 y B5 correspondientes.</w:t>
      </w:r>
    </w:p>
    <w:p>
      <w:pPr>
        <w:spacing w:after="40"/>
      </w:pPr>
    </w:p>
    <w:p>
      <w:pPr>
        <w:pStyle w:val="Heading3"/>
      </w:pPr>
      <w:r>
        <w:t>Reservas</w:t>
      </w:r>
    </w:p>
    <w:p>
      <w:pPr>
        <w:spacing w:after="40"/>
      </w:pPr>
    </w:p>
    <w:p>
      <w:pPr>
        <w:pStyle w:val="ListBullet"/>
      </w:pPr>
      <w:r>
        <w:t>La revisión es estructurada, no exhaustiva/PRISMA.</w:t>
      </w:r>
    </w:p>
    <w:p>
      <w:pPr>
        <w:pStyle w:val="ListBullet"/>
      </w:pPr>
      <w:r>
        <w:t>P1 conserva un vacío de exactitud de pronóstico.</w:t>
      </w:r>
    </w:p>
    <w:p>
      <w:pPr>
        <w:pStyle w:val="ListBullet"/>
      </w:pPr>
      <w:r>
        <w:t>Algunos candidatos proceden de marcos genéricos no gastronómicos.</w:t>
      </w:r>
    </w:p>
    <w:p>
      <w:pPr>
        <w:pStyle w:val="ListBullet"/>
      </w:pPr>
      <w:r>
        <w:t>La inspección sanitaria es heterogénea entre jurisdicciones.</w:t>
      </w:r>
    </w:p>
    <w:p>
      <w:pPr>
        <w:pStyle w:val="ListBullet"/>
      </w:pPr>
      <w:r>
        <w:t>La cobertura no prueba pertinencia, validez, independencia ni admisibilidad.</w:t>
      </w:r>
    </w:p>
    <w:p>
      <w:pPr>
        <w:spacing w:after="40"/>
      </w:pPr>
    </w:p>
    <w:p>
      <w:pPr>
        <w:pStyle w:val="Heading3"/>
      </w:pPr>
      <w:r>
        <w:t>Control de cambios</w:t>
      </w:r>
    </w:p>
    <w:p>
      <w:pPr>
        <w:spacing w:after="40"/>
      </w:pPr>
    </w:p>
    <w:p>
      <w:r>
        <w:t>La baseline no se sobrescribirá. Todo cambio en registros, fuentes, estado, cobertura o metadatos exige Issue formal, análisis de impacto, decisión competente, nueva resolución si corresponde, nueva versión y conservación íntegra de v0.1.0.</w:t>
      </w:r>
    </w:p>
    <w:p>
      <w:pPr>
        <w:spacing w:after="40"/>
      </w:pPr>
    </w:p>
    <w:p>
      <w:pPr>
        <w:pStyle w:val="Heading3"/>
      </w:pPr>
      <w:r>
        <w:t>Mecanismo de aprobación</w:t>
      </w:r>
    </w:p>
    <w:p>
      <w:pPr>
        <w:spacing w:after="40"/>
      </w:pPr>
    </w:p>
    <w:p>
      <w:r>
        <w:t>Esta resolución ejecuta GOEI-DIR-0004. Codex ejerce la decisión directiva sin sustituir la autoridad científica del Comité y promueve únicamente el contenido aprobado inequívocamente por D-018.</w:t>
      </w:r>
    </w:p>
    <w:p>
      <w:pPr>
        <w:spacing w:after="40"/>
      </w:pPr>
    </w:p>
    <w:p>
      <w:r>
        <w:br w:type="page"/>
      </w:r>
    </w:p>
    <w:p>
      <w:pPr>
        <w:pStyle w:val="Heading1"/>
        <w:keepNext/>
      </w:pPr>
      <w:r>
        <w:t>Fuente 61: 00_Gobernanza/coordinacion/resoluciones/GOEI_DIR_RES_D008_B1_BORRADOR.md</w:t>
      </w:r>
    </w:p>
    <w:p>
      <w:pPr>
        <w:spacing w:after="200"/>
      </w:pPr>
      <w:r>
        <w:rPr>
          <w:rFonts w:ascii="Consolas" w:hAnsi="Consolas"/>
          <w:color w:val="595959"/>
          <w:sz w:val="16"/>
        </w:rPr>
        <w:t>Ruta: 00_Gobernanza/coordinacion/resoluciones/GOEI_DIR_RES_D008_B1_BORRADOR.md</w:t>
        <w:br/>
        <w:t>Tamaño: 10770 bytes</w:t>
        <w:br/>
        <w:t>SHA-256: 50503d1789e43632cb04315848224b2abd80e1cb15ce9f95cc2cf50836e0790e</w:t>
      </w:r>
    </w:p>
    <w:p>
      <w:pPr>
        <w:pStyle w:val="Heading2"/>
      </w:pPr>
      <w:r>
        <w:t>Borrador de resolución directiva sobre D-008 y la subfase B1</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de resolución | Pendiente de asignación al aprobarse |</w:t>
      </w:r>
    </w:p>
    <w:p>
      <w:pPr>
        <w:spacing w:after="20" w:line="240" w:lineRule="auto"/>
      </w:pPr>
      <w:r>
        <w:rPr>
          <w:rFonts w:ascii="Consolas" w:hAnsi="Consolas"/>
          <w:sz w:val="14"/>
        </w:rPr>
        <w:t>| Naturaleza | Borrador técnico no firmado y no aprobado |</w:t>
      </w:r>
    </w:p>
    <w:p>
      <w:pPr>
        <w:spacing w:after="20" w:line="240" w:lineRule="auto"/>
      </w:pPr>
      <w:r>
        <w:rPr>
          <w:rFonts w:ascii="Consolas" w:hAnsi="Consolas"/>
          <w:sz w:val="14"/>
        </w:rPr>
        <w:t>| Fecha de preparación | 2026-08-04 |</w:t>
      </w:r>
    </w:p>
    <w:p>
      <w:pPr>
        <w:spacing w:after="20" w:line="240" w:lineRule="auto"/>
      </w:pPr>
      <w:r>
        <w:rPr>
          <w:rFonts w:ascii="Consolas" w:hAnsi="Consolas"/>
          <w:sz w:val="14"/>
        </w:rPr>
        <w:t>| Autoridad competente | Dirección General GOEI |</w:t>
      </w:r>
    </w:p>
    <w:p>
      <w:pPr>
        <w:spacing w:after="20" w:line="240" w:lineRule="auto"/>
      </w:pPr>
      <w:r>
        <w:rPr>
          <w:rFonts w:ascii="Consolas" w:hAnsi="Consolas"/>
          <w:sz w:val="14"/>
        </w:rPr>
        <w:t>| Preparó | Oficina Técnica GOEI |</w:t>
      </w:r>
    </w:p>
    <w:p>
      <w:pPr>
        <w:spacing w:after="20" w:line="240" w:lineRule="auto"/>
      </w:pPr>
      <w:r>
        <w:rPr>
          <w:rFonts w:ascii="Consolas" w:hAnsi="Consolas"/>
          <w:sz w:val="14"/>
        </w:rPr>
        <w:t>| Objeto | Ratificar, rechazar o devolver D-008 y declarar el estado oficial de B1 |</w:t>
      </w:r>
    </w:p>
    <w:p>
      <w:pPr>
        <w:spacing w:after="20" w:line="240" w:lineRule="auto"/>
      </w:pPr>
      <w:r>
        <w:rPr>
          <w:rFonts w:ascii="Consolas" w:hAnsi="Consolas"/>
          <w:sz w:val="14"/>
        </w:rPr>
        <w:t>| Expediente científico | `GOEI_SCI_HANDOFF_D008_Cierre_B1.md` |</w:t>
      </w:r>
    </w:p>
    <w:p>
      <w:pPr>
        <w:spacing w:after="20" w:line="240" w:lineRule="auto"/>
      </w:pPr>
      <w:r>
        <w:rPr>
          <w:rFonts w:ascii="Consolas" w:hAnsi="Consolas"/>
          <w:sz w:val="14"/>
        </w:rPr>
        <w:t>| Auditoría técnica | `GOEI-AUDIT-0002` |</w:t>
      </w:r>
    </w:p>
    <w:p>
      <w:pPr>
        <w:spacing w:after="20" w:line="240" w:lineRule="auto"/>
      </w:pPr>
      <w:r>
        <w:rPr>
          <w:rFonts w:ascii="Consolas" w:hAnsi="Consolas"/>
          <w:sz w:val="14"/>
        </w:rPr>
        <w:t>| Estado | **BORRADOR — SIN EFECTOS NORMATIVOS** |</w:t>
      </w:r>
    </w:p>
    <w:p>
      <w:pPr>
        <w:spacing w:after="40"/>
      </w:pPr>
    </w:p>
    <w:p>
      <w:pPr>
        <w:spacing w:after="100"/>
        <w:ind w:left="360" w:right="216"/>
      </w:pPr>
      <w:r>
        <w:rPr>
          <w:i/>
          <w:color w:val="595959"/>
        </w:rPr>
        <w:t>Este documento presenta opciones de resolución para la autoridad competente. Ninguna opción está seleccionada. Su existencia no aprueba D-008, no cierra B1, no modifica el estándar y no autoriza el inicio científico de B2.</w:t>
      </w:r>
    </w:p>
    <w:p>
      <w:pPr>
        <w:spacing w:after="40"/>
      </w:pPr>
    </w:p>
    <w:p>
      <w:pPr>
        <w:pStyle w:val="Heading3"/>
      </w:pPr>
      <w:r>
        <w:t>1. Antecedentes comprobados</w:t>
      </w:r>
    </w:p>
    <w:p>
      <w:pPr>
        <w:spacing w:after="40"/>
      </w:pPr>
    </w:p>
    <w:p>
      <w:pPr>
        <w:pStyle w:val="ListNumber"/>
      </w:pPr>
      <w:r>
        <w:t>El Comité Científico emitió el expediente D-008 y recomendó adoptar un núcleo común a nivel de subsistema funcional, estructurado en dos niveles, con realizaciones específicas por categoría.</w:t>
      </w:r>
    </w:p>
    <w:p>
      <w:pPr>
        <w:pStyle w:val="ListNumber"/>
      </w:pPr>
      <w:r>
        <w:t>El Comité declaró científicamente aprobada D-008 y recomendó cerrar B1 en su pregunta nuclear, sujeto a ratificación de la Dirección General.</w:t>
      </w:r>
    </w:p>
    <w:p>
      <w:pPr>
        <w:pStyle w:val="ListNumber"/>
      </w:pPr>
      <w:r>
        <w:t>La auditoría GOEI-AUDIT-0002 determinó que el expediente es aceptable para resolución directiva, pero no es integrable normativamente sin decisión expresa de la Dirección General.</w:t>
      </w:r>
    </w:p>
    <w:p>
      <w:pPr>
        <w:pStyle w:val="ListNumber"/>
      </w:pPr>
      <w:r>
        <w:t>El Comité subsanó el cotejo de las tres referencias el 2026-08-04. La Oficina Técnica no está autorizada para decidir la clasificación de residuos/merma ni sustituir el juicio científico o directivo.</w:t>
      </w:r>
    </w:p>
    <w:p>
      <w:pPr>
        <w:spacing w:after="40"/>
      </w:pPr>
    </w:p>
    <w:p>
      <w:pPr>
        <w:pStyle w:val="Heading3"/>
      </w:pPr>
      <w:r>
        <w:t>2. Objeto de la resolución</w:t>
      </w:r>
    </w:p>
    <w:p>
      <w:pPr>
        <w:spacing w:after="40"/>
      </w:pPr>
    </w:p>
    <w:p>
      <w:r>
        <w:t>La Dirección General deberá seleccionar una sola de las opciones del apartado 3 y completar íntegramente sus disposiciones. La resolución deberá pronunciarse de manera separada e inequívoca sobre:</w:t>
      </w:r>
    </w:p>
    <w:p>
      <w:pPr>
        <w:spacing w:after="40"/>
      </w:pPr>
    </w:p>
    <w:p>
      <w:pPr>
        <w:pStyle w:val="ListBullet"/>
      </w:pPr>
      <w:r>
        <w:t>el estado oficial de D-008;</w:t>
      </w:r>
    </w:p>
    <w:p>
      <w:pPr>
        <w:pStyle w:val="ListBullet"/>
      </w:pPr>
      <w:r>
        <w:t>el estado oficial de la subfase B1;</w:t>
      </w:r>
    </w:p>
    <w:p>
      <w:pPr>
        <w:pStyle w:val="ListBullet"/>
      </w:pPr>
      <w:r>
        <w:t>la disposición de GOEI-ISS-012, GOEI-ISS-013, GOEI-ISS-030 y GOEI-ISS-043;</w:t>
      </w:r>
    </w:p>
    <w:p>
      <w:pPr>
        <w:pStyle w:val="ListBullet"/>
      </w:pPr>
      <w:r>
        <w:t>el tratamiento de las reservas bibliográficas;</w:t>
      </w:r>
    </w:p>
    <w:p>
      <w:pPr>
        <w:pStyle w:val="ListBullet"/>
      </w:pPr>
      <w:r>
        <w:t>la naturaleza de PRISMA completa y Delphi como validación posterior o prerrequisito;</w:t>
      </w:r>
    </w:p>
    <w:p>
      <w:pPr>
        <w:pStyle w:val="ListBullet"/>
      </w:pPr>
      <w:r>
        <w:t>la versión objetivo de los componentes autorizados;</w:t>
      </w:r>
    </w:p>
    <w:p>
      <w:pPr>
        <w:pStyle w:val="ListBullet"/>
      </w:pPr>
      <w:r>
        <w:t>la habilitación o no habilitación de B2.</w:t>
      </w:r>
    </w:p>
    <w:p>
      <w:pPr>
        <w:spacing w:after="40"/>
      </w:pPr>
    </w:p>
    <w:p>
      <w:pPr>
        <w:pStyle w:val="Heading3"/>
      </w:pPr>
      <w:r>
        <w:t>3. Opciones de decisión — seleccionar exactamente una</w:t>
      </w:r>
    </w:p>
    <w:p>
      <w:pPr>
        <w:spacing w:after="40"/>
      </w:pPr>
    </w:p>
    <w:p>
      <w:pPr>
        <w:pStyle w:val="Heading4"/>
      </w:pPr>
      <w:r>
        <w:t>Opción A — Ratificar D-008 con reservas y cerrar B1</w:t>
      </w:r>
    </w:p>
    <w:p>
      <w:pPr>
        <w:spacing w:after="40"/>
      </w:pPr>
    </w:p>
    <w:p>
      <w:pPr>
        <w:pStyle w:val="ListBullet"/>
      </w:pPr>
      <w:r>
        <w:t>[ ] SELECCIONADA</w:t>
      </w:r>
    </w:p>
    <w:p>
      <w:pPr>
        <w:spacing w:after="40"/>
      </w:pPr>
    </w:p>
    <w:p>
      <w:r>
        <w:t>La Dirección General:</w:t>
      </w:r>
    </w:p>
    <w:p>
      <w:pPr>
        <w:spacing w:after="40"/>
      </w:pPr>
    </w:p>
    <w:p>
      <w:pPr>
        <w:pStyle w:val="ListNumber"/>
      </w:pPr>
      <w:r>
        <w:t>ratifica D-008 en el alcance exacto definido por el expediente científico;</w:t>
      </w:r>
    </w:p>
    <w:p>
      <w:pPr>
        <w:pStyle w:val="ListNumber"/>
      </w:pPr>
      <w:r>
        <w:t>declara B1 CERRADA exclusivamente en su pregunta nuclear sobre existencia y estructura a dos niveles del núcleo universal;</w:t>
      </w:r>
    </w:p>
    <w:p>
      <w:pPr>
        <w:pStyle w:val="ListNumber"/>
      </w:pPr>
      <w:r>
        <w:t>dispone que las limitaciones, validaciones diferidas y dependencias abiertas no sean interpretadas como resultados ya validados;</w:t>
      </w:r>
    </w:p>
    <w:p>
      <w:pPr>
        <w:pStyle w:val="ListNumber"/>
      </w:pPr>
      <w:r>
        <w:t>autoriza la integración técnica controlada de D-008 y la apertura de B2 una vez completados los controles de trazabilidad de la Oficina Técnica;</w:t>
      </w:r>
    </w:p>
    <w:p>
      <w:pPr>
        <w:pStyle w:val="ListNumber"/>
      </w:pPr>
      <w:r>
        <w:t>no autoriza KPI, fórmulas, ponderaciones, umbrales, taxonomías ni conclusiones no contenidos en decisiones posteriores aprobadas.</w:t>
      </w:r>
    </w:p>
    <w:p>
      <w:pPr>
        <w:spacing w:after="40"/>
      </w:pPr>
    </w:p>
    <w:p>
      <w:r>
        <w:t>Disposición de Issues bajo esta opción:</w:t>
      </w:r>
    </w:p>
    <w:p>
      <w:pPr>
        <w:spacing w:after="40"/>
      </w:pPr>
    </w:p>
    <w:p>
      <w:pPr>
        <w:spacing w:after="20" w:line="240" w:lineRule="auto"/>
      </w:pPr>
      <w:r>
        <w:rPr>
          <w:rFonts w:ascii="Consolas" w:hAnsi="Consolas"/>
          <w:sz w:val="14"/>
        </w:rPr>
        <w:t>| Issue | Disposición directiva propuesta |</w:t>
      </w:r>
    </w:p>
    <w:p>
      <w:pPr>
        <w:spacing w:after="20" w:line="240" w:lineRule="auto"/>
      </w:pPr>
      <w:r>
        <w:rPr>
          <w:rFonts w:ascii="Consolas" w:hAnsi="Consolas"/>
          <w:sz w:val="14"/>
        </w:rPr>
        <w:t>|---|---|</w:t>
      </w:r>
    </w:p>
    <w:p>
      <w:pPr>
        <w:spacing w:after="20" w:line="240" w:lineRule="auto"/>
      </w:pPr>
      <w:r>
        <w:rPr>
          <w:rFonts w:ascii="Consolas" w:hAnsi="Consolas"/>
          <w:sz w:val="14"/>
        </w:rPr>
        <w:t>| `GOEI-ISS-012` | Cerrar mediante D-008: el alcance incluye foodservice comercial y no comercial; P6 se expresa como cierre transaccional con realizaciones específicas. |</w:t>
      </w:r>
    </w:p>
    <w:p>
      <w:pPr>
        <w:spacing w:after="20" w:line="240" w:lineRule="auto"/>
      </w:pPr>
      <w:r>
        <w:rPr>
          <w:rFonts w:ascii="Consolas" w:hAnsi="Consolas"/>
          <w:sz w:val="14"/>
        </w:rPr>
        <w:t>| `GOEI-ISS-013` | Cerrar mediante D-008: la estructura aprobada utiliza dos niveles, cadena operativa primaria y procesos transversales de gestión/soporte. |</w:t>
      </w:r>
    </w:p>
    <w:p>
      <w:pPr>
        <w:spacing w:after="20" w:line="240" w:lineRule="auto"/>
      </w:pPr>
      <w:r>
        <w:rPr>
          <w:rFonts w:ascii="Consolas" w:hAnsi="Consolas"/>
          <w:sz w:val="14"/>
        </w:rPr>
        <w:t>| `GOEI-ISS-030` | Cerrar mediante esta resolución una vez registrada, firmada e integrada técnicamente. |</w:t>
      </w:r>
    </w:p>
    <w:p>
      <w:pPr>
        <w:spacing w:after="20" w:line="240" w:lineRule="auto"/>
      </w:pPr>
      <w:r>
        <w:rPr>
          <w:rFonts w:ascii="Consolas" w:hAnsi="Consolas"/>
          <w:sz w:val="14"/>
        </w:rPr>
        <w:t>| `GOEI-ISS-043` | Mantener abierto y asignado al Comité Científico/Delphi; residuos/merma conserva estado de candidato y no se incorpora todavía como macroproceso, proceso transversal definitivo ni subproceso normativo. |</w:t>
      </w:r>
    </w:p>
    <w:p>
      <w:pPr>
        <w:spacing w:after="40"/>
      </w:pPr>
    </w:p>
    <w:p>
      <w:pPr>
        <w:pStyle w:val="Heading4"/>
      </w:pPr>
      <w:r>
        <w:t>Opción B — Devolver D-008 para subsanación y mantener B1 abierta</w:t>
      </w:r>
    </w:p>
    <w:p>
      <w:pPr>
        <w:spacing w:after="40"/>
      </w:pPr>
    </w:p>
    <w:p>
      <w:pPr>
        <w:pStyle w:val="ListBullet"/>
      </w:pPr>
      <w:r>
        <w:t>[ ] SELECCIONADA</w:t>
      </w:r>
    </w:p>
    <w:p>
      <w:pPr>
        <w:spacing w:after="40"/>
      </w:pPr>
    </w:p>
    <w:p>
      <w:r>
        <w:t>La Dirección General:</w:t>
      </w:r>
    </w:p>
    <w:p>
      <w:pPr>
        <w:spacing w:after="40"/>
      </w:pPr>
    </w:p>
    <w:p>
      <w:pPr>
        <w:pStyle w:val="ListNumber"/>
      </w:pPr>
      <w:r>
        <w:t>devuelve D-008 al Comité Científico sin rechazo de su hipótesis nuclear;</w:t>
      </w:r>
    </w:p>
    <w:p>
      <w:pPr>
        <w:pStyle w:val="ListNumber"/>
      </w:pPr>
      <w:r>
        <w:t>declara B1 ABIERTA / NO CERRADA hasta recibir y auditar un expediente subsanado;</w:t>
      </w:r>
    </w:p>
    <w:p>
      <w:pPr>
        <w:pStyle w:val="ListNumber"/>
      </w:pPr>
      <w:r>
        <w:t>mantiene B2 bloqueada;</w:t>
      </w:r>
    </w:p>
    <w:p>
      <w:pPr>
        <w:pStyle w:val="ListNumber"/>
      </w:pPr>
      <w:r>
        <w:t>requiere que el Comité subsane expresamente los puntos seleccionados a continuación:</w:t>
      </w:r>
    </w:p>
    <w:p>
      <w:pPr>
        <w:pStyle w:val="ListBullet"/>
      </w:pPr>
      <w:r>
        <w:t>[x] cotejo completo de autoría, año, título y metadatos — subsanado por el Comité el 2026-08-04;</w:t>
      </w:r>
    </w:p>
    <w:p>
      <w:pPr>
        <w:pStyle w:val="ListBullet"/>
      </w:pPr>
      <w:r>
        <w:t>[ ] definición de si PRISMA completa es validación posterior o prerrequisito de incorporación;</w:t>
      </w:r>
    </w:p>
    <w:p>
      <w:pPr>
        <w:pStyle w:val="ListBullet"/>
      </w:pPr>
      <w:r>
        <w:t>[ ] definición de si Delphi es validación posterior o prerrequisito de incorporación;</w:t>
      </w:r>
    </w:p>
    <w:p>
      <w:pPr>
        <w:pStyle w:val="ListBullet"/>
      </w:pPr>
      <w:r>
        <w:t>[ ] resolución científica del estatus de residuos/merma;</w:t>
      </w:r>
    </w:p>
    <w:p>
      <w:pPr>
        <w:pStyle w:val="ListBullet"/>
      </w:pPr>
      <w:r>
        <w:t>[ ] otra subsanación, descrita sin introducir contenido científico por la Dirección: ____________________.</w:t>
      </w:r>
    </w:p>
    <w:p>
      <w:pPr>
        <w:spacing w:after="40"/>
      </w:pPr>
    </w:p>
    <w:p>
      <w:r>
        <w:t>Disposición de Issues bajo esta opción:</w:t>
      </w:r>
    </w:p>
    <w:p>
      <w:pPr>
        <w:spacing w:after="40"/>
      </w:pPr>
    </w:p>
    <w:p>
      <w:pPr>
        <w:spacing w:after="20" w:line="240" w:lineRule="auto"/>
      </w:pPr>
      <w:r>
        <w:rPr>
          <w:rFonts w:ascii="Consolas" w:hAnsi="Consolas"/>
          <w:sz w:val="14"/>
        </w:rPr>
        <w:t>| Issue | Disposición directiva propuesta |</w:t>
      </w:r>
    </w:p>
    <w:p>
      <w:pPr>
        <w:spacing w:after="20" w:line="240" w:lineRule="auto"/>
      </w:pPr>
      <w:r>
        <w:rPr>
          <w:rFonts w:ascii="Consolas" w:hAnsi="Consolas"/>
          <w:sz w:val="14"/>
        </w:rPr>
        <w:t>|---|---|</w:t>
      </w:r>
    </w:p>
    <w:p>
      <w:pPr>
        <w:spacing w:after="20" w:line="240" w:lineRule="auto"/>
      </w:pPr>
      <w:r>
        <w:rPr>
          <w:rFonts w:ascii="Consolas" w:hAnsi="Consolas"/>
          <w:sz w:val="14"/>
        </w:rPr>
        <w:t>| `GOEI-ISS-012` | Mantener abierto, con respuesta científica propuesta pendiente de resolución definitiva. |</w:t>
      </w:r>
    </w:p>
    <w:p>
      <w:pPr>
        <w:spacing w:after="20" w:line="240" w:lineRule="auto"/>
      </w:pPr>
      <w:r>
        <w:rPr>
          <w:rFonts w:ascii="Consolas" w:hAnsi="Consolas"/>
          <w:sz w:val="14"/>
        </w:rPr>
        <w:t>| `GOEI-ISS-013` | Mantener abierto, con respuesta científica propuesta pendiente de resolución definitiva. |</w:t>
      </w:r>
    </w:p>
    <w:p>
      <w:pPr>
        <w:spacing w:after="20" w:line="240" w:lineRule="auto"/>
      </w:pPr>
      <w:r>
        <w:rPr>
          <w:rFonts w:ascii="Consolas" w:hAnsi="Consolas"/>
          <w:sz w:val="14"/>
        </w:rPr>
        <w:t>| `GOEI-ISS-030` | Mantener abierto y actualizar su condición de reanudación al expediente D-008 subsanado. |</w:t>
      </w:r>
    </w:p>
    <w:p>
      <w:pPr>
        <w:spacing w:after="20" w:line="240" w:lineRule="auto"/>
      </w:pPr>
      <w:r>
        <w:rPr>
          <w:rFonts w:ascii="Consolas" w:hAnsi="Consolas"/>
          <w:sz w:val="14"/>
        </w:rPr>
        <w:t>| `GOEI-ISS-043` | Mantener abierto; devolver su resolución al Comité Científico conforme al alcance seleccionado. |</w:t>
      </w:r>
    </w:p>
    <w:p>
      <w:pPr>
        <w:spacing w:after="40"/>
      </w:pPr>
    </w:p>
    <w:p>
      <w:pPr>
        <w:pStyle w:val="Heading4"/>
      </w:pPr>
      <w:r>
        <w:t>Opción C — Rechazar D-008 y mantener B1 abierta</w:t>
      </w:r>
    </w:p>
    <w:p>
      <w:pPr>
        <w:spacing w:after="40"/>
      </w:pPr>
    </w:p>
    <w:p>
      <w:pPr>
        <w:pStyle w:val="ListBullet"/>
      </w:pPr>
      <w:r>
        <w:t>[ ] SELECCIONADA</w:t>
      </w:r>
    </w:p>
    <w:p>
      <w:pPr>
        <w:spacing w:after="40"/>
      </w:pPr>
    </w:p>
    <w:p>
      <w:r>
        <w:t>La Dirección General:</w:t>
      </w:r>
    </w:p>
    <w:p>
      <w:pPr>
        <w:spacing w:after="40"/>
      </w:pPr>
    </w:p>
    <w:p>
      <w:pPr>
        <w:pStyle w:val="ListNumber"/>
      </w:pPr>
      <w:r>
        <w:t>rechaza D-008;</w:t>
      </w:r>
    </w:p>
    <w:p>
      <w:pPr>
        <w:pStyle w:val="ListNumber"/>
      </w:pPr>
      <w:r>
        <w:t>declara B1 ABIERTA / NO CERRADA;</w:t>
      </w:r>
    </w:p>
    <w:p>
      <w:pPr>
        <w:pStyle w:val="ListNumber"/>
      </w:pPr>
      <w:r>
        <w:t>mantiene B2 bloqueada;</w:t>
      </w:r>
    </w:p>
    <w:p>
      <w:pPr>
        <w:pStyle w:val="ListNumber"/>
      </w:pPr>
      <w:r>
        <w:t>devuelve la rama al Comité Científico para formular un nuevo expediente y una nueva decisión, sin que la Oficina Técnica complete el vacío científico;</w:t>
      </w:r>
    </w:p>
    <w:p>
      <w:pPr>
        <w:pStyle w:val="ListNumber"/>
      </w:pPr>
      <w:r>
        <w:t>registra el fundamento directivo del rechazo: ____________________.</w:t>
      </w:r>
    </w:p>
    <w:p>
      <w:pPr>
        <w:spacing w:after="40"/>
      </w:pPr>
    </w:p>
    <w:p>
      <w:r>
        <w:t>Disposición de Issues bajo esta opción:</w:t>
      </w:r>
    </w:p>
    <w:p>
      <w:pPr>
        <w:spacing w:after="40"/>
      </w:pPr>
    </w:p>
    <w:p>
      <w:pPr>
        <w:spacing w:after="20" w:line="240" w:lineRule="auto"/>
      </w:pPr>
      <w:r>
        <w:rPr>
          <w:rFonts w:ascii="Consolas" w:hAnsi="Consolas"/>
          <w:sz w:val="14"/>
        </w:rPr>
        <w:t>| Issue | Disposición directiva propuesta |</w:t>
      </w:r>
    </w:p>
    <w:p>
      <w:pPr>
        <w:spacing w:after="20" w:line="240" w:lineRule="auto"/>
      </w:pPr>
      <w:r>
        <w:rPr>
          <w:rFonts w:ascii="Consolas" w:hAnsi="Consolas"/>
          <w:sz w:val="14"/>
        </w:rPr>
        <w:t>|---|---|</w:t>
      </w:r>
    </w:p>
    <w:p>
      <w:pPr>
        <w:spacing w:after="20" w:line="240" w:lineRule="auto"/>
      </w:pPr>
      <w:r>
        <w:rPr>
          <w:rFonts w:ascii="Consolas" w:hAnsi="Consolas"/>
          <w:sz w:val="14"/>
        </w:rPr>
        <w:t>| `GOEI-ISS-012` | Mantener abierto; la respuesta propuesta en D-008 no adquiere vigencia. |</w:t>
      </w:r>
    </w:p>
    <w:p>
      <w:pPr>
        <w:spacing w:after="20" w:line="240" w:lineRule="auto"/>
      </w:pPr>
      <w:r>
        <w:rPr>
          <w:rFonts w:ascii="Consolas" w:hAnsi="Consolas"/>
          <w:sz w:val="14"/>
        </w:rPr>
        <w:t>| `GOEI-ISS-013` | Mantener abierto; la respuesta propuesta en D-008 no adquiere vigencia. |</w:t>
      </w:r>
    </w:p>
    <w:p>
      <w:pPr>
        <w:spacing w:after="20" w:line="240" w:lineRule="auto"/>
      </w:pPr>
      <w:r>
        <w:rPr>
          <w:rFonts w:ascii="Consolas" w:hAnsi="Consolas"/>
          <w:sz w:val="14"/>
        </w:rPr>
        <w:t>| `GOEI-ISS-030` | Cerrar respecto de la decisión de rechazar D-008 y abrir un Issue sucesor para el nuevo expediente B1. |</w:t>
      </w:r>
    </w:p>
    <w:p>
      <w:pPr>
        <w:spacing w:after="20" w:line="240" w:lineRule="auto"/>
      </w:pPr>
      <w:r>
        <w:rPr>
          <w:rFonts w:ascii="Consolas" w:hAnsi="Consolas"/>
          <w:sz w:val="14"/>
        </w:rPr>
        <w:t>| `GOEI-ISS-043` | Mantener abierto o reasignar al nuevo expediente B1, sin adoptar clasificación alguna. |</w:t>
      </w:r>
    </w:p>
    <w:p>
      <w:pPr>
        <w:spacing w:after="40"/>
      </w:pPr>
    </w:p>
    <w:p>
      <w:pPr>
        <w:pStyle w:val="Heading3"/>
      </w:pPr>
      <w:r>
        <w:t>4. Control bibliográfico subsanado</w:t>
      </w:r>
    </w:p>
    <w:p>
      <w:pPr>
        <w:spacing w:after="40"/>
      </w:pPr>
    </w:p>
    <w:p>
      <w:r>
        <w:t>Las tres referencias antes incompletas fueron cotejadas por el Comité y registradas con autoría, año, datos editoriales, DOI y fuente primaria. La Oficina Técnica deberá aplicar estas reglas:</w:t>
      </w:r>
    </w:p>
    <w:p>
      <w:pPr>
        <w:spacing w:after="40"/>
      </w:pPr>
    </w:p>
    <w:p>
      <w:pPr>
        <w:pStyle w:val="ListNumber"/>
      </w:pPr>
      <w:r>
        <w:t>preservar el Registro de cotejo como evidencia de procedencia;</w:t>
      </w:r>
    </w:p>
    <w:p>
      <w:pPr>
        <w:pStyle w:val="ListNumber"/>
      </w:pPr>
      <w:r>
        <w:t>incorporar las fuentes al registro bibliográfico procesable mediante su flujo científico independiente;</w:t>
      </w:r>
    </w:p>
    <w:p>
      <w:pPr>
        <w:pStyle w:val="ListNumber"/>
      </w:pPr>
      <w:r>
        <w:t>mantener trazabilidad entre cada referencia y D-008;</w:t>
      </w:r>
    </w:p>
    <w:p>
      <w:pPr>
        <w:pStyle w:val="ListNumber"/>
      </w:pPr>
      <w:r>
        <w:t>no interpretar la completitud de metadatos como ratificación directiva;</w:t>
      </w:r>
    </w:p>
    <w:p>
      <w:pPr>
        <w:pStyle w:val="ListNumber"/>
      </w:pPr>
      <w:r>
        <w:t>someter cualquier corrección futura a control de cambios.</w:t>
      </w:r>
    </w:p>
    <w:p>
      <w:pPr>
        <w:spacing w:after="40"/>
      </w:pPr>
    </w:p>
    <w:p>
      <w:pPr>
        <w:pStyle w:val="Heading3"/>
      </w:pPr>
      <w:r>
        <w:t>5. Validaciones diferidas</w:t>
      </w:r>
    </w:p>
    <w:p>
      <w:pPr>
        <w:spacing w:after="40"/>
      </w:pPr>
    </w:p>
    <w:p>
      <w:r>
        <w:t>La autoridad deberá seleccionar una disposición para cada actividad:</w:t>
      </w:r>
    </w:p>
    <w:p>
      <w:pPr>
        <w:spacing w:after="40"/>
      </w:pPr>
    </w:p>
    <w:p>
      <w:pPr>
        <w:pStyle w:val="Heading4"/>
      </w:pPr>
      <w:r>
        <w:t>Revisión sistemática completa</w:t>
      </w:r>
    </w:p>
    <w:p>
      <w:pPr>
        <w:spacing w:after="40"/>
      </w:pPr>
    </w:p>
    <w:p>
      <w:pPr>
        <w:pStyle w:val="ListBullet"/>
      </w:pPr>
      <w:r>
        <w:t>[ ] PRISMA completa se establece como validación posterior y no impide la integración limitada de D-008.</w:t>
      </w:r>
    </w:p>
    <w:p>
      <w:pPr>
        <w:pStyle w:val="ListBullet"/>
      </w:pPr>
      <w:r>
        <w:t>[ ] PRISMA completa se establece como prerrequisito; D-008 se devuelve y B1 permanece abierta.</w:t>
      </w:r>
    </w:p>
    <w:p>
      <w:pPr>
        <w:spacing w:after="40"/>
      </w:pPr>
    </w:p>
    <w:p>
      <w:pPr>
        <w:pStyle w:val="Heading4"/>
      </w:pPr>
      <w:r>
        <w:t>Consenso de expertos</w:t>
      </w:r>
    </w:p>
    <w:p>
      <w:pPr>
        <w:spacing w:after="40"/>
      </w:pPr>
    </w:p>
    <w:p>
      <w:pPr>
        <w:pStyle w:val="ListBullet"/>
      </w:pPr>
      <w:r>
        <w:t>[ ] Delphi se establece como validación posterior del núcleo y requisito previo para resolver GOEI-ISS-043.</w:t>
      </w:r>
    </w:p>
    <w:p>
      <w:pPr>
        <w:pStyle w:val="ListBullet"/>
      </w:pPr>
      <w:r>
        <w:t>[ ] Delphi se establece como prerrequisito de incorporación; D-008 se devuelve y B1 permanece abierta.</w:t>
      </w:r>
    </w:p>
    <w:p>
      <w:pPr>
        <w:spacing w:after="40"/>
      </w:pPr>
    </w:p>
    <w:p>
      <w:r>
        <w:t>Las selecciones de este apartado deben ser coherentes con la opción principal del apartado 3.</w:t>
      </w:r>
    </w:p>
    <w:p>
      <w:pPr>
        <w:spacing w:after="40"/>
      </w:pPr>
    </w:p>
    <w:p>
      <w:pPr>
        <w:pStyle w:val="Heading3"/>
      </w:pPr>
      <w:r>
        <w:t>6. Versión objetivo</w:t>
      </w:r>
    </w:p>
    <w:p>
      <w:pPr>
        <w:spacing w:after="40"/>
      </w:pPr>
    </w:p>
    <w:p>
      <w:r>
        <w:t>Si se selecciona la Opción A, la versión objetivo propuesta es:</w:t>
      </w:r>
    </w:p>
    <w:p>
      <w:pPr>
        <w:spacing w:after="40"/>
      </w:pPr>
    </w:p>
    <w:p>
      <w:pPr>
        <w:pStyle w:val="ListBullet"/>
      </w:pPr>
      <w:r>
        <w:t>componente: línea base de procesos GOEI;</w:t>
      </w:r>
    </w:p>
    <w:p>
      <w:pPr>
        <w:pStyle w:val="ListBullet"/>
      </w:pPr>
      <w:r>
        <w:t>identificador propuesto: GOEI-BSL-PROC-0001;</w:t>
      </w:r>
    </w:p>
    <w:p>
      <w:pPr>
        <w:pStyle w:val="ListBullet"/>
      </w:pPr>
      <w:r>
        <w:t>versión propuesta: 0.1.0;</w:t>
      </w:r>
    </w:p>
    <w:p>
      <w:pPr>
        <w:pStyle w:val="ListBullet"/>
      </w:pPr>
      <w:r>
        <w:t>estado inicial: baseline temprana controlada, con reservas y dependencias explícitas;</w:t>
      </w:r>
    </w:p>
    <w:p>
      <w:pPr>
        <w:pStyle w:val="ListBullet"/>
      </w:pPr>
      <w:r>
        <w:t>versión del estándar global: sin promoción automática; deberá definirse mediante su propio expediente de release.</w:t>
      </w:r>
    </w:p>
    <w:p>
      <w:pPr>
        <w:spacing w:after="40"/>
      </w:pPr>
    </w:p>
    <w:p>
      <w:r>
        <w:t>La Oficina Técnica deberá confirmar que el identificador y la versión no colisionan con registros existentes antes de incorporarlos. Las opciones B y C no crean baseline ni asignan versión normativa.</w:t>
      </w:r>
    </w:p>
    <w:p>
      <w:pPr>
        <w:spacing w:after="40"/>
      </w:pPr>
    </w:p>
    <w:p>
      <w:pPr>
        <w:pStyle w:val="Heading3"/>
      </w:pPr>
      <w:r>
        <w:t>7. Efectos por opción</w:t>
      </w:r>
    </w:p>
    <w:p>
      <w:pPr>
        <w:spacing w:after="40"/>
      </w:pPr>
    </w:p>
    <w:p>
      <w:pPr>
        <w:spacing w:after="20" w:line="240" w:lineRule="auto"/>
      </w:pPr>
      <w:r>
        <w:rPr>
          <w:rFonts w:ascii="Consolas" w:hAnsi="Consolas"/>
          <w:sz w:val="14"/>
        </w:rPr>
        <w:t>| Efecto | Opción A: ratificar | Opción B: devolver | Opción C: rechazar |</w:t>
      </w:r>
    </w:p>
    <w:p>
      <w:pPr>
        <w:spacing w:after="20" w:line="240" w:lineRule="auto"/>
      </w:pPr>
      <w:r>
        <w:rPr>
          <w:rFonts w:ascii="Consolas" w:hAnsi="Consolas"/>
          <w:sz w:val="14"/>
        </w:rPr>
        <w:t>|---|---:|---:|---:|</w:t>
      </w:r>
    </w:p>
    <w:p>
      <w:pPr>
        <w:spacing w:after="20" w:line="240" w:lineRule="auto"/>
      </w:pPr>
      <w:r>
        <w:rPr>
          <w:rFonts w:ascii="Consolas" w:hAnsi="Consolas"/>
          <w:sz w:val="14"/>
        </w:rPr>
        <w:t>| D-008 ingresa al registro oficial | Sí, tras firma e integración | No | No |</w:t>
      </w:r>
    </w:p>
    <w:p>
      <w:pPr>
        <w:spacing w:after="20" w:line="240" w:lineRule="auto"/>
      </w:pPr>
      <w:r>
        <w:rPr>
          <w:rFonts w:ascii="Consolas" w:hAnsi="Consolas"/>
          <w:sz w:val="14"/>
        </w:rPr>
        <w:t>| B1 se declara cerrada | Sí, solo pregunta nuclear | No | No |</w:t>
      </w:r>
    </w:p>
    <w:p>
      <w:pPr>
        <w:spacing w:after="20" w:line="240" w:lineRule="auto"/>
      </w:pPr>
      <w:r>
        <w:rPr>
          <w:rFonts w:ascii="Consolas" w:hAnsi="Consolas"/>
          <w:sz w:val="14"/>
        </w:rPr>
        <w:t>| `GOEI-ISS-012` y `013` se cierran | Sí, tras integración | No | No |</w:t>
      </w:r>
    </w:p>
    <w:p>
      <w:pPr>
        <w:spacing w:after="20" w:line="240" w:lineRule="auto"/>
      </w:pPr>
      <w:r>
        <w:rPr>
          <w:rFonts w:ascii="Consolas" w:hAnsi="Consolas"/>
          <w:sz w:val="14"/>
        </w:rPr>
        <w:t>| `GOEI-ISS-030` deja de bloquear B2 | Sí, tras controles técnicos | No | Sí respecto de D-008, pero un Issue sucesor mantiene bloqueada B1/B2 |</w:t>
      </w:r>
    </w:p>
    <w:p>
      <w:pPr>
        <w:spacing w:after="20" w:line="240" w:lineRule="auto"/>
      </w:pPr>
      <w:r>
        <w:rPr>
          <w:rFonts w:ascii="Consolas" w:hAnsi="Consolas"/>
          <w:sz w:val="14"/>
        </w:rPr>
        <w:t>| `GOEI-ISS-043` se cierra | No | No | No, salvo futura decisión científica independiente |</w:t>
      </w:r>
    </w:p>
    <w:p>
      <w:pPr>
        <w:spacing w:after="20" w:line="240" w:lineRule="auto"/>
      </w:pPr>
      <w:r>
        <w:rPr>
          <w:rFonts w:ascii="Consolas" w:hAnsi="Consolas"/>
          <w:sz w:val="14"/>
        </w:rPr>
        <w:t>| Se crea `GOEI-BSL-PROC-0001 v0.1.0` | Sí, después de integración validada | No | No |</w:t>
      </w:r>
    </w:p>
    <w:p>
      <w:pPr>
        <w:spacing w:after="20" w:line="240" w:lineRule="auto"/>
      </w:pPr>
      <w:r>
        <w:rPr>
          <w:rFonts w:ascii="Consolas" w:hAnsi="Consolas"/>
          <w:sz w:val="14"/>
        </w:rPr>
        <w:t>| B2 puede iniciar investigación | Sí, después del handoff técnico | No | No |</w:t>
      </w:r>
    </w:p>
    <w:p>
      <w:pPr>
        <w:spacing w:after="20" w:line="240" w:lineRule="auto"/>
      </w:pPr>
      <w:r>
        <w:rPr>
          <w:rFonts w:ascii="Consolas" w:hAnsi="Consolas"/>
          <w:sz w:val="14"/>
        </w:rPr>
        <w:t>| Se autoriza usar referencias incompletas como bibliografía final | No | No | No |</w:t>
      </w:r>
    </w:p>
    <w:p>
      <w:pPr>
        <w:spacing w:after="20" w:line="240" w:lineRule="auto"/>
      </w:pPr>
      <w:r>
        <w:rPr>
          <w:rFonts w:ascii="Consolas" w:hAnsi="Consolas"/>
          <w:sz w:val="14"/>
        </w:rPr>
        <w:t>| Se autoriza desarrollar KPI o modelo matemático | No | No | No |</w:t>
      </w:r>
    </w:p>
    <w:p>
      <w:pPr>
        <w:spacing w:after="40"/>
      </w:pPr>
    </w:p>
    <w:p>
      <w:pPr>
        <w:pStyle w:val="Heading3"/>
      </w:pPr>
      <w:r>
        <w:t>8. Mandato de ejecución técnica condicionado</w:t>
      </w:r>
    </w:p>
    <w:p>
      <w:pPr>
        <w:spacing w:after="40"/>
      </w:pPr>
    </w:p>
    <w:p>
      <w:r>
        <w:t>Solo si la resolución es firmada con la Opción A, la Oficina Técnica queda mandatada para:</w:t>
      </w:r>
    </w:p>
    <w:p>
      <w:pPr>
        <w:spacing w:after="40"/>
      </w:pPr>
    </w:p>
    <w:p>
      <w:pPr>
        <w:pStyle w:val="ListNumber"/>
      </w:pPr>
      <w:r>
        <w:t>registrar D-008, su autoridad, evidencia, reservas, dependencias y versión objetivo;</w:t>
      </w:r>
    </w:p>
    <w:p>
      <w:pPr>
        <w:pStyle w:val="ListNumber"/>
      </w:pPr>
      <w:r>
        <w:t>actualizar los Issues conforme al apartado 3;</w:t>
      </w:r>
    </w:p>
    <w:p>
      <w:pPr>
        <w:pStyle w:val="ListNumber"/>
      </w:pPr>
      <w:r>
        <w:t>integrar el componente autorizado sin alterar el contenido científico;</w:t>
      </w:r>
    </w:p>
    <w:p>
      <w:pPr>
        <w:pStyle w:val="ListNumber"/>
      </w:pPr>
      <w:r>
        <w:t>actualizar Knowledge Graph, BOK, matriz de trazabilidad, estado maestro, roadmap y CHANGELOG;</w:t>
      </w:r>
    </w:p>
    <w:p>
      <w:pPr>
        <w:pStyle w:val="ListNumber"/>
      </w:pPr>
      <w:r>
        <w:t>ejecutar controles de integridad y publicar el cambio mediante el flujo Git vigente;</w:t>
      </w:r>
    </w:p>
    <w:p>
      <w:pPr>
        <w:pStyle w:val="ListNumber"/>
      </w:pPr>
      <w:r>
        <w:t>emitir el handoff de apertura de B2 después de verificar la integración de B1.</w:t>
      </w:r>
    </w:p>
    <w:p>
      <w:pPr>
        <w:spacing w:after="40"/>
      </w:pPr>
    </w:p>
    <w:p>
      <w:r>
        <w:t>Si se selecciona la Opción B o C, la Oficina Técnica registrará la resolución y el bloqueo, remitirá el expediente correspondiente al Comité y continuará solo las ramas técnicas independientes.</w:t>
      </w:r>
    </w:p>
    <w:p>
      <w:pPr>
        <w:spacing w:after="40"/>
      </w:pPr>
    </w:p>
    <w:p>
      <w:pPr>
        <w:pStyle w:val="Heading3"/>
      </w:pPr>
      <w:r>
        <w:t>9. Control de selección y firma</w:t>
      </w:r>
    </w:p>
    <w:p>
      <w:pPr>
        <w:spacing w:after="40"/>
      </w:pPr>
    </w:p>
    <w:p>
      <w:r>
        <w:t>Antes de firmar deben cumplirse todos los controles:</w:t>
      </w:r>
    </w:p>
    <w:p>
      <w:pPr>
        <w:spacing w:after="40"/>
      </w:pPr>
    </w:p>
    <w:p>
      <w:pPr>
        <w:pStyle w:val="ListBullet"/>
      </w:pPr>
      <w:r>
        <w:t>[ ] existe exactamente una opción seleccionada en el apartado 3;</w:t>
      </w:r>
    </w:p>
    <w:p>
      <w:pPr>
        <w:pStyle w:val="ListBullet"/>
      </w:pPr>
      <w:r>
        <w:t>[ ] las disposiciones PRISMA y Delphi son coherentes con esa opción;</w:t>
      </w:r>
    </w:p>
    <w:p>
      <w:pPr>
        <w:pStyle w:val="ListBullet"/>
      </w:pPr>
      <w:r>
        <w:t>[ ] se completó el fundamento cuando la opción lo requiere;</w:t>
      </w:r>
    </w:p>
    <w:p>
      <w:pPr>
        <w:pStyle w:val="ListBullet"/>
      </w:pPr>
      <w:r>
        <w:t>[ ] se confirmó la disposición de los cuatro Issues;</w:t>
      </w:r>
    </w:p>
    <w:p>
      <w:pPr>
        <w:pStyle w:val="ListBullet"/>
      </w:pPr>
      <w:r>
        <w:t>[ ] se confirmó o descartó la versión objetivo;</w:t>
      </w:r>
    </w:p>
    <w:p>
      <w:pPr>
        <w:pStyle w:val="ListBullet"/>
      </w:pPr>
      <w:r>
        <w:t>[ ] se registró fecha efectiva;</w:t>
      </w:r>
    </w:p>
    <w:p>
      <w:pPr>
        <w:pStyle w:val="ListBullet"/>
      </w:pPr>
      <w:r>
        <w:t>[ ] se identificó la autoridad firmante.</w:t>
      </w:r>
    </w:p>
    <w:p>
      <w:pPr>
        <w:spacing w:after="40"/>
      </w:pPr>
    </w:p>
    <w:p>
      <w:r>
        <w:t>Opción resuelta: ____________________</w:t>
      </w:r>
    </w:p>
    <w:p>
      <w:r>
        <w:t>Fecha efectiva: ____________________</w:t>
      </w:r>
    </w:p>
    <w:p>
      <w:r>
        <w:t>Nombre y cargo de la autoridad: ____________________</w:t>
      </w:r>
    </w:p>
    <w:p>
      <w:r>
        <w:t>Firma o mecanismo de aprobación verificable: ____________________</w:t>
      </w:r>
    </w:p>
    <w:p>
      <w:pPr>
        <w:spacing w:after="40"/>
      </w:pPr>
    </w:p>
    <w:p>
      <w:r>
        <w:t>---</w:t>
      </w:r>
    </w:p>
    <w:p>
      <w:pPr>
        <w:spacing w:after="40"/>
      </w:pPr>
    </w:p>
    <w:p>
      <w:r>
        <w:t>Estado documental actual: BORRADOR TÉCNICO. Este archivo no constituye una decisión, no tiene firma, no modifica D-008 y no cierra B1.</w:t>
      </w:r>
    </w:p>
    <w:p>
      <w:r>
        <w:br w:type="page"/>
      </w:r>
    </w:p>
    <w:p>
      <w:pPr>
        <w:pStyle w:val="Heading1"/>
        <w:keepNext/>
      </w:pPr>
      <w:r>
        <w:t>Fuente 62: 00_Gobernanza/coordinacion/technical_roadmap.json</w:t>
      </w:r>
    </w:p>
    <w:p>
      <w:pPr>
        <w:spacing w:after="200"/>
      </w:pPr>
      <w:r>
        <w:rPr>
          <w:rFonts w:ascii="Consolas" w:hAnsi="Consolas"/>
          <w:color w:val="595959"/>
          <w:sz w:val="16"/>
        </w:rPr>
        <w:t>Ruta: 00_Gobernanza/coordinacion/technical_roadmap.json</w:t>
        <w:br/>
        <w:t>Tamaño: 4750 bytes</w:t>
        <w:br/>
        <w:t>SHA-256: 5d9c3fe29b982d728ed610eba1add64d6cb8f7ef1519bcfb225d7e9bb322eb1e</w:t>
      </w:r>
    </w:p>
    <w:p>
      <w:pPr>
        <w:spacing w:after="20" w:line="240" w:lineRule="auto"/>
        <w:ind w:left="259"/>
      </w:pPr>
      <w:r>
        <w:rPr>
          <w:rFonts w:ascii="Consolas" w:hAnsi="Consolas"/>
          <w:sz w:val="15"/>
        </w:rPr>
        <w:t>{</w:t>
      </w:r>
    </w:p>
    <w:p>
      <w:pPr>
        <w:spacing w:after="20" w:line="240" w:lineRule="auto"/>
        <w:ind w:left="259"/>
      </w:pPr>
      <w:r>
        <w:rPr>
          <w:rFonts w:ascii="Consolas" w:hAnsi="Consolas"/>
          <w:sz w:val="15"/>
        </w:rPr>
        <w:t xml:space="preserve">  "schemaVersion": "1.0",</w:t>
      </w:r>
    </w:p>
    <w:p>
      <w:pPr>
        <w:spacing w:after="20" w:line="240" w:lineRule="auto"/>
        <w:ind w:left="259"/>
      </w:pPr>
      <w:r>
        <w:rPr>
          <w:rFonts w:ascii="Consolas" w:hAnsi="Consolas"/>
          <w:sz w:val="15"/>
        </w:rPr>
        <w:t xml:space="preserve">  "updatedAt": "2026-08-04",</w:t>
      </w:r>
    </w:p>
    <w:p>
      <w:pPr>
        <w:spacing w:after="20" w:line="240" w:lineRule="auto"/>
        <w:ind w:left="259"/>
      </w:pPr>
      <w:r>
        <w:rPr>
          <w:rFonts w:ascii="Consolas" w:hAnsi="Consolas"/>
          <w:sz w:val="15"/>
        </w:rPr>
        <w:t xml:space="preserve">  "roadmapId": "GOEI-RDM-0001",</w:t>
      </w:r>
    </w:p>
    <w:p>
      <w:pPr>
        <w:spacing w:after="20" w:line="240" w:lineRule="auto"/>
        <w:ind w:left="259"/>
      </w:pPr>
      <w:r>
        <w:rPr>
          <w:rFonts w:ascii="Consolas" w:hAnsi="Consolas"/>
          <w:sz w:val="15"/>
        </w:rPr>
        <w:t xml:space="preserve">  "workPackages":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"WP-00",</w:t>
      </w:r>
    </w:p>
    <w:p>
      <w:pPr>
        <w:spacing w:after="20" w:line="240" w:lineRule="auto"/>
        <w:ind w:left="259"/>
      </w:pPr>
      <w:r>
        <w:rPr>
          <w:rFonts w:ascii="Consolas" w:hAnsi="Consolas"/>
          <w:sz w:val="15"/>
        </w:rPr>
        <w:t xml:space="preserve">      "name": "Gobernanza y autoridad",</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"dependencies": [],</w:t>
      </w:r>
    </w:p>
    <w:p>
      <w:pPr>
        <w:spacing w:after="20" w:line="240" w:lineRule="auto"/>
        <w:ind w:left="259"/>
      </w:pPr>
      <w:r>
        <w:rPr>
          <w:rFonts w:ascii="Consolas" w:hAnsi="Consolas"/>
          <w:sz w:val="15"/>
        </w:rPr>
        <w:t xml:space="preserve">      "evidence": ["00_Gobernanza/Oficina_Tecnica_GOEI.md", "00_Gobernanza/Registro_de_directivas.md"],</w:t>
      </w:r>
    </w:p>
    <w:p>
      <w:pPr>
        <w:spacing w:after="20" w:line="240" w:lineRule="auto"/>
        <w:ind w:left="259"/>
      </w:pPr>
      <w:r>
        <w:rPr>
          <w:rFonts w:ascii="Consolas" w:hAnsi="Consolas"/>
          <w:sz w:val="15"/>
        </w:rPr>
        <w:t xml:space="preserve">      "blockers": ["GOEI-ISS-001", "GOEI-ISS-002", "GOEI-ISS-003", "GOEI-ISS-004", "GOEI-ISS-005", "GOEI-ISS-027", "GOEI-ISS-028", "GOEI-ISS-029"]</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"WP-01",</w:t>
      </w:r>
    </w:p>
    <w:p>
      <w:pPr>
        <w:spacing w:after="20" w:line="240" w:lineRule="auto"/>
        <w:ind w:left="259"/>
      </w:pPr>
      <w:r>
        <w:rPr>
          <w:rFonts w:ascii="Consolas" w:hAnsi="Consolas"/>
          <w:sz w:val="15"/>
        </w:rPr>
        <w:t xml:space="preserve">      "name": "Gestión de configuración",</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"dependencies": [],</w:t>
      </w:r>
    </w:p>
    <w:p>
      <w:pPr>
        <w:spacing w:after="20" w:line="240" w:lineRule="auto"/>
        <w:ind w:left="259"/>
      </w:pPr>
      <w:r>
        <w:rPr>
          <w:rFonts w:ascii="Consolas" w:hAnsi="Consolas"/>
          <w:sz w:val="15"/>
        </w:rPr>
        <w:t xml:space="preserve">      "evidence": ["15_Mantenimiento/Politica_de_releases_y_lineas_base.md", "16_Herramientas/validadores/validate_repository.py", "00_Gobernanza/Politica_Git_y_contribucion.md"],</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"WP-02",</w:t>
      </w:r>
    </w:p>
    <w:p>
      <w:pPr>
        <w:spacing w:after="20" w:line="240" w:lineRule="auto"/>
        <w:ind w:left="259"/>
      </w:pPr>
      <w:r>
        <w:rPr>
          <w:rFonts w:ascii="Consolas" w:hAnsi="Consolas"/>
          <w:sz w:val="15"/>
        </w:rPr>
        <w:t xml:space="preserve">      "name": "Arquitectura del conocimiento",</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"dependencies": ["WP-01"],</w:t>
      </w:r>
    </w:p>
    <w:p>
      <w:pPr>
        <w:spacing w:after="20" w:line="240" w:lineRule="auto"/>
        <w:ind w:left="259"/>
      </w:pPr>
      <w:r>
        <w:rPr>
          <w:rFonts w:ascii="Consolas" w:hAnsi="Consolas"/>
          <w:sz w:val="15"/>
        </w:rPr>
        <w:t xml:space="preserve">      "evidence": ["09_Manual_tecnico_general/EPIC-001_GOEI_Knowledge_Graph/README.md", "09_Manual_tecnico_general/GOEI_BOK/README.md"],</w:t>
      </w:r>
    </w:p>
    <w:p>
      <w:pPr>
        <w:spacing w:after="20" w:line="240" w:lineRule="auto"/>
        <w:ind w:left="259"/>
      </w:pPr>
      <w:r>
        <w:rPr>
          <w:rFonts w:ascii="Consolas" w:hAnsi="Consolas"/>
          <w:sz w:val="15"/>
        </w:rPr>
        <w:t xml:space="preserve">      "blockers": ["GOEI-ISS-031", "GOEI-ISS-032", "GOEI-ISS-033", "GOEI-ISS-034", "GOEI-ISS-035", "GOEI-ISS-036", "GOEI-ISS-037", "GOEI-ISS-038"]</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"WP-03",</w:t>
      </w:r>
    </w:p>
    <w:p>
      <w:pPr>
        <w:spacing w:after="20" w:line="240" w:lineRule="auto"/>
        <w:ind w:left="259"/>
      </w:pPr>
      <w:r>
        <w:rPr>
          <w:rFonts w:ascii="Consolas" w:hAnsi="Consolas"/>
          <w:sz w:val="15"/>
        </w:rPr>
        <w:t xml:space="preserve">      "name": "Arquitectura universal de procesos",</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"dependencies": ["WP-01", "WP-02"],</w:t>
      </w:r>
    </w:p>
    <w:p>
      <w:pPr>
        <w:spacing w:after="20" w:line="240" w:lineRule="auto"/>
        <w:ind w:left="259"/>
      </w:pPr>
      <w:r>
        <w:rPr>
          <w:rFonts w:ascii="Consolas" w:hAnsi="Consolas"/>
          <w:sz w:val="15"/>
        </w:rPr>
        <w:t xml:space="preserve">      "evidence": ["04_Procesos_gastronomicos/EPIC-002_MetaModelo_Universal/README.md"],</w:t>
      </w:r>
    </w:p>
    <w:p>
      <w:pPr>
        <w:spacing w:after="20" w:line="240" w:lineRule="auto"/>
        <w:ind w:left="259"/>
      </w:pPr>
      <w:r>
        <w:rPr>
          <w:rFonts w:ascii="Consolas" w:hAnsi="Consolas"/>
          <w:sz w:val="15"/>
        </w:rPr>
        <w:t xml:space="preserve">      "blockers": ["GOEI-ISS-019", "GOEI-ISS-020", "GOEI-ISS-021", "GOEI-ISS-022", "GOEI-ISS-023", "GOEI-ISS-024", "GOEI-ISS-025", "GOEI-ISS-026"]</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"WP-04",</w:t>
      </w:r>
    </w:p>
    <w:p>
      <w:pPr>
        <w:spacing w:after="20" w:line="240" w:lineRule="auto"/>
        <w:ind w:left="259"/>
      </w:pPr>
      <w:r>
        <w:rPr>
          <w:rFonts w:ascii="Consolas" w:hAnsi="Consolas"/>
          <w:sz w:val="15"/>
        </w:rPr>
        <w:t xml:space="preserve">      "name": "Integración de procesos científicos",</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"dependencies": [],</w:t>
      </w:r>
    </w:p>
    <w:p>
      <w:pPr>
        <w:spacing w:after="20" w:line="240" w:lineRule="auto"/>
        <w:ind w:left="259"/>
      </w:pPr>
      <w:r>
        <w:rPr>
          <w:rFonts w:ascii="Consolas" w:hAnsi="Consolas"/>
          <w:sz w:val="15"/>
        </w:rPr>
        <w:t xml:space="preserve">      "evidence": ["00_Gobernanza/coordinacion/handoffs/GOEI_HANDOFF_0001_B1_Procesos_Universales.md", "00_Gobernanza/coordinacion/resoluciones/GOEI_DIR_RES_0001_D008_B1.md", "15_Mantenimiento/lineas_base/GOEI_PROC_v0.1.0/MANIFEST.md"],</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"WP-05",</w:t>
      </w:r>
    </w:p>
    <w:p>
      <w:pPr>
        <w:spacing w:after="20" w:line="240" w:lineRule="auto"/>
        <w:ind w:left="259"/>
      </w:pPr>
      <w:r>
        <w:rPr>
          <w:rFonts w:ascii="Consolas" w:hAnsi="Consolas"/>
          <w:sz w:val="15"/>
        </w:rPr>
        <w:t xml:space="preserve">      "name": "Taxonomía",</w:t>
      </w:r>
    </w:p>
    <w:p>
      <w:pPr>
        <w:spacing w:after="20" w:line="240" w:lineRule="auto"/>
        <w:ind w:left="259"/>
      </w:pPr>
      <w:r>
        <w:rPr>
          <w:rFonts w:ascii="Consolas" w:hAnsi="Consolas"/>
          <w:sz w:val="15"/>
        </w:rPr>
        <w:t xml:space="preserve">      "status": "complete",</w:t>
      </w:r>
    </w:p>
    <w:p>
      <w:pPr>
        <w:spacing w:after="20" w:line="240" w:lineRule="auto"/>
        <w:ind w:left="259"/>
      </w:pPr>
      <w:r>
        <w:rPr>
          <w:rFonts w:ascii="Consolas" w:hAnsi="Consolas"/>
          <w:sz w:val="15"/>
        </w:rPr>
        <w:t xml:space="preserve">      "dependencies": ["WP-04"],</w:t>
      </w:r>
    </w:p>
    <w:p>
      <w:pPr>
        <w:spacing w:after="20" w:line="240" w:lineRule="auto"/>
        <w:ind w:left="259"/>
      </w:pPr>
      <w:r>
        <w:rPr>
          <w:rFonts w:ascii="Consolas" w:hAnsi="Consolas"/>
          <w:sz w:val="15"/>
        </w:rPr>
        <w:t xml:space="preserve">      "evidence": ["00_Gobernanza/coordinacion/resoluciones/GOEI_DIR_RES_0002_D017_B2.md", "15_Mantenimiento/lineas_base/GOEI_TAX_v0.1.0/MANIFEST.md"],</w:t>
      </w:r>
    </w:p>
    <w:p>
      <w:pPr>
        <w:spacing w:after="20" w:line="240" w:lineRule="auto"/>
        <w:ind w:left="259"/>
      </w:pPr>
      <w:r>
        <w:rPr>
          <w:rFonts w:ascii="Consolas" w:hAnsi="Consolas"/>
          <w:sz w:val="15"/>
        </w:rPr>
        <w:t xml:space="preserve">      "blockers":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"WP-06",</w:t>
      </w:r>
    </w:p>
    <w:p>
      <w:pPr>
        <w:spacing w:after="20" w:line="240" w:lineRule="auto"/>
        <w:ind w:left="259"/>
      </w:pPr>
      <w:r>
        <w:rPr>
          <w:rFonts w:ascii="Consolas" w:hAnsi="Consolas"/>
          <w:sz w:val="15"/>
        </w:rPr>
        <w:t xml:space="preserve">      "name": "KPI y admisibilidad",</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"dependencies": ["WP-05"],</w:t>
      </w:r>
    </w:p>
    <w:p>
      <w:pPr>
        <w:spacing w:after="20" w:line="240" w:lineRule="auto"/>
        <w:ind w:left="259"/>
      </w:pPr>
      <w:r>
        <w:rPr>
          <w:rFonts w:ascii="Consolas" w:hAnsi="Consolas"/>
          <w:sz w:val="15"/>
        </w:rPr>
        <w:t xml:space="preserve">      "evidence": ["15_Mantenimiento/lineas_base/GOEI_KPI_CAND_v0.1.0/MANIFEST.md", "00_Gobernanza/coordinacion/handoffs/GOEI_HANDOFF_0003_B3_Universo_KPI.md"],</w:t>
      </w:r>
    </w:p>
    <w:p>
      <w:pPr>
        <w:spacing w:after="20" w:line="240" w:lineRule="auto"/>
        <w:ind w:left="259"/>
      </w:pPr>
      <w:r>
        <w:rPr>
          <w:rFonts w:ascii="Consolas" w:hAnsi="Consolas"/>
          <w:sz w:val="15"/>
        </w:rPr>
        <w:t xml:space="preserve">      "blockers": ["B4 method, criteria and candidate evaluations pending"]</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"WP-07",</w:t>
      </w:r>
    </w:p>
    <w:p>
      <w:pPr>
        <w:spacing w:after="20" w:line="240" w:lineRule="auto"/>
        <w:ind w:left="259"/>
      </w:pPr>
      <w:r>
        <w:rPr>
          <w:rFonts w:ascii="Consolas" w:hAnsi="Consolas"/>
          <w:sz w:val="15"/>
        </w:rPr>
        <w:t xml:space="preserve">      "name": "Normalización y modelo matemático",</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["WP-06"],</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["B5-B8 not initiated"]</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"WP-08",</w:t>
      </w:r>
    </w:p>
    <w:p>
      <w:pPr>
        <w:spacing w:after="20" w:line="240" w:lineRule="auto"/>
        <w:ind w:left="259"/>
      </w:pPr>
      <w:r>
        <w:rPr>
          <w:rFonts w:ascii="Consolas" w:hAnsi="Consolas"/>
          <w:sz w:val="15"/>
        </w:rPr>
        <w:t xml:space="preserve">      "name": "Ensamblaje del estándar",</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["WP-07"],</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["Phase B incomplete"]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"WP-09",</w:t>
      </w:r>
    </w:p>
    <w:p>
      <w:pPr>
        <w:spacing w:after="20" w:line="240" w:lineRule="auto"/>
        <w:ind w:left="259"/>
      </w:pPr>
      <w:r>
        <w:rPr>
          <w:rFonts w:ascii="Consolas" w:hAnsi="Consolas"/>
          <w:sz w:val="15"/>
        </w:rPr>
        <w:t xml:space="preserve">      "name": "Validación piloto",</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["WP-08"],</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["GOEI-ISS-041", "No approved validation protocol"]</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"WP-10",</w:t>
      </w:r>
    </w:p>
    <w:p>
      <w:pPr>
        <w:spacing w:after="20" w:line="240" w:lineRule="auto"/>
        <w:ind w:left="259"/>
      </w:pPr>
      <w:r>
        <w:rPr>
          <w:rFonts w:ascii="Consolas" w:hAnsi="Consolas"/>
          <w:sz w:val="15"/>
        </w:rPr>
        <w:t xml:space="preserve">      "name": "Release validada",</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["WP-08", "WP-09"],</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["Standard and validation incomplete"]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"WP-11",</w:t>
      </w:r>
    </w:p>
    <w:p>
      <w:pPr>
        <w:spacing w:after="20" w:line="240" w:lineRule="auto"/>
        <w:ind w:left="259"/>
      </w:pPr>
      <w:r>
        <w:rPr>
          <w:rFonts w:ascii="Consolas" w:hAnsi="Consolas"/>
          <w:sz w:val="15"/>
        </w:rPr>
        <w:t xml:space="preserve">      "name": "Ensamblaje de tesis",</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["WP-10"],</w:t>
      </w:r>
    </w:p>
    <w:p>
      <w:pPr>
        <w:spacing w:after="20" w:line="240" w:lineRule="auto"/>
        <w:ind w:left="259"/>
      </w:pPr>
      <w:r>
        <w:rPr>
          <w:rFonts w:ascii="Consolas" w:hAnsi="Consolas"/>
          <w:sz w:val="15"/>
        </w:rPr>
        <w:t xml:space="preserve">      "evidence": ["12_Tesis/ensamblaje/Matriz_de_cumplimiento_plan_maestro.md"],</w:t>
      </w:r>
    </w:p>
    <w:p>
      <w:pPr>
        <w:spacing w:after="20" w:line="240" w:lineRule="auto"/>
        <w:ind w:left="259"/>
      </w:pPr>
      <w:r>
        <w:rPr>
          <w:rFonts w:ascii="Consolas" w:hAnsi="Consolas"/>
          <w:sz w:val="15"/>
        </w:rPr>
        <w:t xml:space="preserve">      "blockers": ["GOEI-ISS-039", "64 thesis requirements pending"]</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"WP-12",</w:t>
      </w:r>
    </w:p>
    <w:p>
      <w:pPr>
        <w:spacing w:after="20" w:line="240" w:lineRule="auto"/>
        <w:ind w:left="259"/>
      </w:pPr>
      <w:r>
        <w:rPr>
          <w:rFonts w:ascii="Consolas" w:hAnsi="Consolas"/>
          <w:sz w:val="15"/>
        </w:rPr>
        <w:t xml:space="preserve">      "name": "Preparación de publicación",</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["WP-09", "WP-10"],</w:t>
      </w:r>
    </w:p>
    <w:p>
      <w:pPr>
        <w:spacing w:after="20" w:line="240" w:lineRule="auto"/>
        <w:ind w:left="259"/>
      </w:pPr>
      <w:r>
        <w:rPr>
          <w:rFonts w:ascii="Consolas" w:hAnsi="Consolas"/>
          <w:sz w:val="15"/>
        </w:rPr>
        <w:t xml:space="preserve">      "evidence": ["13_Publicaciones/ensamblaje/Matriz_de_preparacion_publicacion.md"],</w:t>
      </w:r>
    </w:p>
    <w:p>
      <w:pPr>
        <w:spacing w:after="20" w:line="240" w:lineRule="auto"/>
        <w:ind w:left="259"/>
      </w:pPr>
      <w:r>
        <w:rPr>
          <w:rFonts w:ascii="Consolas" w:hAnsi="Consolas"/>
          <w:sz w:val="15"/>
        </w:rPr>
        <w:t xml:space="preserve">      "blockers": ["GOEI-ISS-040"]</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"WP-13",</w:t>
      </w:r>
    </w:p>
    <w:p>
      <w:pPr>
        <w:spacing w:after="20" w:line="240" w:lineRule="auto"/>
        <w:ind w:left="259"/>
      </w:pPr>
      <w:r>
        <w:rPr>
          <w:rFonts w:ascii="Consolas" w:hAnsi="Consolas"/>
          <w:sz w:val="15"/>
        </w:rPr>
        <w:t xml:space="preserve">      "name": "Repositorio Open Science",</w:t>
      </w:r>
    </w:p>
    <w:p>
      <w:pPr>
        <w:spacing w:after="20" w:line="240" w:lineRule="auto"/>
        <w:ind w:left="259"/>
      </w:pPr>
      <w:r>
        <w:rPr>
          <w:rFonts w:ascii="Consolas" w:hAnsi="Consolas"/>
          <w:sz w:val="15"/>
        </w:rPr>
        <w:t xml:space="preserve">      "status": "in_progress",</w:t>
      </w:r>
    </w:p>
    <w:p>
      <w:pPr>
        <w:spacing w:after="20" w:line="240" w:lineRule="auto"/>
        <w:ind w:left="259"/>
      </w:pPr>
      <w:r>
        <w:rPr>
          <w:rFonts w:ascii="Consolas" w:hAnsi="Consolas"/>
          <w:sz w:val="15"/>
        </w:rPr>
        <w:t xml:space="preserve">      "dependencies": ["WP-01"],</w:t>
      </w:r>
    </w:p>
    <w:p>
      <w:pPr>
        <w:spacing w:after="20" w:line="240" w:lineRule="auto"/>
        <w:ind w:left="259"/>
      </w:pPr>
      <w:r>
        <w:rPr>
          <w:rFonts w:ascii="Consolas" w:hAnsi="Consolas"/>
          <w:sz w:val="15"/>
        </w:rPr>
        <w:t xml:space="preserve">      "evidence": ["00_Gobernanza/Arquitectura_del_repositorio_oficial_GOEI.md"],</w:t>
      </w:r>
    </w:p>
    <w:p>
      <w:pPr>
        <w:spacing w:after="20" w:line="240" w:lineRule="auto"/>
        <w:ind w:left="259"/>
      </w:pPr>
      <w:r>
        <w:rPr>
          <w:rFonts w:ascii="Consolas" w:hAnsi="Consolas"/>
          <w:sz w:val="15"/>
        </w:rPr>
        <w:t xml:space="preserve">      "blockers": ["GOEI-ISS-042", "Access, licensing, ethics and data policies pending"]</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"WP-14",</w:t>
      </w:r>
    </w:p>
    <w:p>
      <w:pPr>
        <w:spacing w:after="20" w:line="240" w:lineRule="auto"/>
        <w:ind w:left="259"/>
      </w:pPr>
      <w:r>
        <w:rPr>
          <w:rFonts w:ascii="Consolas" w:hAnsi="Consolas"/>
          <w:sz w:val="15"/>
        </w:rPr>
        <w:t xml:space="preserve">      "name": "Software futuro",</w:t>
      </w:r>
    </w:p>
    <w:p>
      <w:pPr>
        <w:spacing w:after="20" w:line="240" w:lineRule="auto"/>
        <w:ind w:left="259"/>
      </w:pPr>
      <w:r>
        <w:rPr>
          <w:rFonts w:ascii="Consolas" w:hAnsi="Consolas"/>
          <w:sz w:val="15"/>
        </w:rPr>
        <w:t xml:space="preserve">      "status": "blocked",</w:t>
      </w:r>
    </w:p>
    <w:p>
      <w:pPr>
        <w:spacing w:after="20" w:line="240" w:lineRule="auto"/>
        <w:ind w:left="259"/>
      </w:pPr>
      <w:r>
        <w:rPr>
          <w:rFonts w:ascii="Consolas" w:hAnsi="Consolas"/>
          <w:sz w:val="15"/>
        </w:rPr>
        <w:t xml:space="preserve">      "dependencies": ["WP-10"],</w:t>
      </w:r>
    </w:p>
    <w:p>
      <w:pPr>
        <w:spacing w:after="20" w:line="240" w:lineRule="auto"/>
        <w:ind w:left="259"/>
      </w:pPr>
      <w:r>
        <w:rPr>
          <w:rFonts w:ascii="Consolas" w:hAnsi="Consolas"/>
          <w:sz w:val="15"/>
        </w:rPr>
        <w:t xml:space="preserve">      "evidence": [],</w:t>
      </w:r>
    </w:p>
    <w:p>
      <w:pPr>
        <w:spacing w:after="20" w:line="240" w:lineRule="auto"/>
        <w:ind w:left="259"/>
      </w:pPr>
      <w:r>
        <w:rPr>
          <w:rFonts w:ascii="Consolas" w:hAnsi="Consolas"/>
          <w:sz w:val="15"/>
        </w:rPr>
        <w:t xml:space="preserve">      "blockers": ["Standard not stable"]</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"targets": {</w:t>
      </w:r>
    </w:p>
    <w:p>
      <w:pPr>
        <w:spacing w:after="20" w:line="240" w:lineRule="auto"/>
        <w:ind w:left="259"/>
      </w:pPr>
      <w:r>
        <w:rPr>
          <w:rFonts w:ascii="Consolas" w:hAnsi="Consolas"/>
          <w:sz w:val="15"/>
        </w:rPr>
        <w:t xml:space="preserve">    "validatedStandard": "WP-10",</w:t>
      </w:r>
    </w:p>
    <w:p>
      <w:pPr>
        <w:spacing w:after="20" w:line="240" w:lineRule="auto"/>
        <w:ind w:left="259"/>
      </w:pPr>
      <w:r>
        <w:rPr>
          <w:rFonts w:ascii="Consolas" w:hAnsi="Consolas"/>
          <w:sz w:val="15"/>
        </w:rPr>
        <w:t xml:space="preserve">    "completedThesis": "WP-11",</w:t>
      </w:r>
    </w:p>
    <w:p>
      <w:pPr>
        <w:spacing w:after="20" w:line="240" w:lineRule="auto"/>
        <w:ind w:left="259"/>
      </w:pPr>
      <w:r>
        <w:rPr>
          <w:rFonts w:ascii="Consolas" w:hAnsi="Consolas"/>
          <w:sz w:val="15"/>
        </w:rPr>
        <w:t xml:space="preserve">    "publishableManuscript": "WP-12"</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w:t>
      </w:r>
    </w:p>
    <w:p>
      <w:r>
        <w:br w:type="page"/>
      </w:r>
    </w:p>
    <w:p>
      <w:pPr>
        <w:pStyle w:val="Heading1"/>
        <w:keepNext/>
      </w:pPr>
      <w:r>
        <w:t>Fuente 63: 00_Gobernanza/Estado_de_respondibilidad_7_preguntas.md</w:t>
      </w:r>
    </w:p>
    <w:p>
      <w:pPr>
        <w:spacing w:after="200"/>
      </w:pPr>
      <w:r>
        <w:rPr>
          <w:rFonts w:ascii="Consolas" w:hAnsi="Consolas"/>
          <w:color w:val="595959"/>
          <w:sz w:val="16"/>
        </w:rPr>
        <w:t>Ruta: 00_Gobernanza/Estado_de_respondibilidad_7_preguntas.md</w:t>
        <w:br/>
        <w:t>Tamaño: 2752 bytes</w:t>
        <w:br/>
        <w:t>SHA-256: 4a7adc0426dc895335f969bf304e3eb29d7ac104983b9a81292fe7e69749804e</w:t>
      </w:r>
    </w:p>
    <w:p>
      <w:pPr>
        <w:pStyle w:val="Heading2"/>
      </w:pPr>
      <w:r>
        <w:t>Auditoría de respondibilidad — 7 preguntas clave</w:t>
      </w:r>
    </w:p>
    <w:p>
      <w:pPr>
        <w:spacing w:after="40"/>
      </w:pPr>
    </w:p>
    <w:p>
      <w:r>
        <w:t>Fecha: 2026-08-04. Base: decisiones D-001 a D-007.</w:t>
      </w:r>
    </w:p>
    <w:p>
      <w:r>
        <w:t>Propósito: determinar honestamente qué puede responder el proyecto HOY.</w:t>
      </w:r>
    </w:p>
    <w:p>
      <w:r>
        <w:t>Escala: Respondible (base suficiente para respuesta defendible) · Parcial (marco sí, contenido/protocolo no) · No (pendiente de fase dedicada).</w:t>
      </w:r>
    </w:p>
    <w:p>
      <w:pPr>
        <w:spacing w:after="40"/>
      </w:pPr>
    </w:p>
    <w:p>
      <w:pPr>
        <w:spacing w:after="20" w:line="240" w:lineRule="auto"/>
      </w:pPr>
      <w:r>
        <w:rPr>
          <w:rFonts w:ascii="Consolas" w:hAnsi="Consolas"/>
          <w:sz w:val="14"/>
        </w:rPr>
        <w:t>| # | Pregunta | Estado | Base actual | Qué falta | Dueña |</w:t>
      </w:r>
    </w:p>
    <w:p>
      <w:pPr>
        <w:spacing w:after="20" w:line="240" w:lineRule="auto"/>
      </w:pPr>
      <w:r>
        <w:rPr>
          <w:rFonts w:ascii="Consolas" w:hAnsi="Consolas"/>
          <w:sz w:val="14"/>
        </w:rPr>
        <w:t>|---|---|---|---|---|---|</w:t>
      </w:r>
    </w:p>
    <w:p>
      <w:pPr>
        <w:spacing w:after="20" w:line="240" w:lineRule="auto"/>
      </w:pPr>
      <w:r>
        <w:rPr>
          <w:rFonts w:ascii="Consolas" w:hAnsi="Consolas"/>
          <w:sz w:val="14"/>
        </w:rPr>
        <w:t>| 1 | ¿Cuáles son los procesos universales? | **Parcial** (hipótesis) | Núcleo P1–P6 + transversales A/B/C, anclado en Spears &amp; Gregoire (D-007) | Revisión PRISMA + consenso experto; validar P5/P6 en abstracto | D-007 → Fase 1/Validación |</w:t>
      </w:r>
    </w:p>
    <w:p>
      <w:pPr>
        <w:spacing w:after="20" w:line="240" w:lineRule="auto"/>
      </w:pPr>
      <w:r>
        <w:rPr>
          <w:rFonts w:ascii="Consolas" w:hAnsi="Consolas"/>
          <w:sz w:val="14"/>
        </w:rPr>
        <w:t>| 2 | ¿Cómo se clasifican todos los establecimientos? | **No** | Insumos sueltos (eje sistema de producción; alcance comercial/no comercial abierto) | Construir taxonomía N2 (ejes, clases, criterios) | N2 (siguiente) |</w:t>
      </w:r>
    </w:p>
    <w:p>
      <w:pPr>
        <w:spacing w:after="20" w:line="240" w:lineRule="auto"/>
      </w:pPr>
      <w:r>
        <w:rPr>
          <w:rFonts w:ascii="Consolas" w:hAnsi="Consolas"/>
          <w:sz w:val="14"/>
        </w:rPr>
        <w:t>| 3 | ¿Qué KPI existen en la literatura? | **Parcial** (inventario disperso) | Prime cost, food/labor %, RevPASH, rotación, OEE, DINESERV, DEA, IBI/OHI | Catálogo estructurado y trazable (N4) | N4 |</w:t>
      </w:r>
    </w:p>
    <w:p>
      <w:pPr>
        <w:spacing w:after="20" w:line="240" w:lineRule="auto"/>
      </w:pPr>
      <w:r>
        <w:rPr>
          <w:rFonts w:ascii="Consolas" w:hAnsi="Consolas"/>
          <w:sz w:val="14"/>
        </w:rPr>
        <w:t>| 4 | ¿Qué criterios debe cumplir un KPI para entrar? | **Parcial** (esqueleto) | Entidad admisibilidad (D-006); principios del proyecto; AX-11; restricciones formativas (D-004) | Matriz de admisibilidad formal con umbrales | N4 |</w:t>
      </w:r>
    </w:p>
    <w:p>
      <w:pPr>
        <w:spacing w:after="20" w:line="240" w:lineRule="auto"/>
      </w:pPr>
      <w:r>
        <w:rPr>
          <w:rFonts w:ascii="Consolas" w:hAnsi="Consolas"/>
          <w:sz w:val="14"/>
        </w:rPr>
        <w:t>| 5 | ¿Cómo se construye un índice compuesto robusto? | **Respondible** (método) | OECD/JRC (10 pasos, incl. incertidumbre/sensibilidad); formativo (D-004); no compensación (AX-4) | Aplicarlo (normalización/ponderación/agregación) — diferido | Fase modelo matemático |</w:t>
      </w:r>
    </w:p>
    <w:p>
      <w:pPr>
        <w:spacing w:after="20" w:line="240" w:lineRule="auto"/>
      </w:pPr>
      <w:r>
        <w:rPr>
          <w:rFonts w:ascii="Consolas" w:hAnsi="Consolas"/>
          <w:sz w:val="14"/>
        </w:rPr>
        <w:t>| 6 | ¿Cómo se valida el GOEI? | **Parcial** (marco sí, protocolo no) | Aparato formativo (contenido/criterio/robustez, no α); T3 compuerta (D-005); Vía B (D-003) | Diseño ejecutable: muestra, panel, piloto, casos | Fase de validación |</w:t>
      </w:r>
    </w:p>
    <w:p>
      <w:pPr>
        <w:spacing w:after="20" w:line="240" w:lineRule="auto"/>
      </w:pPr>
      <w:r>
        <w:rPr>
          <w:rFonts w:ascii="Consolas" w:hAnsi="Consolas"/>
          <w:sz w:val="14"/>
        </w:rPr>
        <w:t>| 7 | ¿Qué manual técnico necesita el estándar? | **Respondible** (estructura) | Arquitectura D-005 (eje N0–N9 + T1–T4 + K1–K4; normativo/informativo) | Redactar contenido (tras N1–N9) | N9 |</w:t>
      </w:r>
    </w:p>
    <w:p>
      <w:pPr>
        <w:spacing w:after="40"/>
      </w:pPr>
    </w:p>
    <w:p>
      <w:pPr>
        <w:pStyle w:val="Heading3"/>
      </w:pPr>
      <w:r>
        <w:t>Veredicto</w:t>
      </w:r>
    </w:p>
    <w:p>
      <w:r>
        <w:t>2 respondibles a nivel de método/estructura (5, 7); 4 parciales (1, 3, 4, 6); 1 no (2). Ninguna en cero, pero el proyecto todavía NO puede producir el GOEI: faltan taxonomía (N2), catálogo/admisibilidad de KPI (N4) y la ejecución del modelo matemático y de la validación. No hay atajo legítimo; es coherente con el plan por fases.</w:t>
      </w:r>
    </w:p>
    <w:p>
      <w:pPr>
        <w:spacing w:after="40"/>
      </w:pPr>
    </w:p>
    <w:p>
      <w:r>
        <w:t>Paso que desbloquea el resto: la taxonomía (N2) —única pregunta hoy en "No"—, porque fija alcance, unidad de análisis (cadenas) y eje de sistema de producción, sin los cuales no se puede definir admisibilidad de KPI por categoría ni comparabilidad. Es la siguiente prioridad lógica.</w:t>
      </w:r>
    </w:p>
    <w:p>
      <w:r>
        <w:br w:type="page"/>
      </w:r>
    </w:p>
    <w:p>
      <w:pPr>
        <w:pStyle w:val="Heading1"/>
        <w:keepNext/>
      </w:pPr>
      <w:r>
        <w:t>Fuente 64: 00_Gobernanza/fuentes_institucionales/GOEI_Research_Master_Plan_v1.0_manifest.md</w:t>
      </w:r>
    </w:p>
    <w:p>
      <w:pPr>
        <w:spacing w:after="200"/>
      </w:pPr>
      <w:r>
        <w:rPr>
          <w:rFonts w:ascii="Consolas" w:hAnsi="Consolas"/>
          <w:color w:val="595959"/>
          <w:sz w:val="16"/>
        </w:rPr>
        <w:t>Ruta: 00_Gobernanza/fuentes_institucionales/GOEI_Research_Master_Plan_v1.0_manifest.md</w:t>
        <w:br/>
        <w:t>Tamaño: 1200 bytes</w:t>
        <w:br/>
        <w:t>SHA-256: 574ff8c68958bdbbadab4483435d00193818ecc7b8b48bc4d2ab0ef5373bf873</w:t>
      </w:r>
    </w:p>
    <w:p>
      <w:pPr>
        <w:pStyle w:val="Heading2"/>
      </w:pPr>
      <w:r>
        <w:t>Manifiesto — GOEI Research Master Plan v1.0</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GOEI-GOV-SRC-0001 |</w:t>
      </w:r>
    </w:p>
    <w:p>
      <w:pPr>
        <w:spacing w:after="20" w:line="240" w:lineRule="auto"/>
      </w:pPr>
      <w:r>
        <w:rPr>
          <w:rFonts w:ascii="Consolas" w:hAnsi="Consolas"/>
          <w:sz w:val="14"/>
        </w:rPr>
        <w:t>| Título | GOEI Research Master Plan — Dirección Estratégica Oficial del Proyecto GOEI |</w:t>
      </w:r>
    </w:p>
    <w:p>
      <w:pPr>
        <w:spacing w:after="20" w:line="240" w:lineRule="auto"/>
      </w:pPr>
      <w:r>
        <w:rPr>
          <w:rFonts w:ascii="Consolas" w:hAnsi="Consolas"/>
          <w:sz w:val="14"/>
        </w:rPr>
        <w:t>| Versión declarada | 1.0 |</w:t>
      </w:r>
    </w:p>
    <w:p>
      <w:pPr>
        <w:spacing w:after="20" w:line="240" w:lineRule="auto"/>
      </w:pPr>
      <w:r>
        <w:rPr>
          <w:rFonts w:ascii="Consolas" w:hAnsi="Consolas"/>
          <w:sz w:val="14"/>
        </w:rPr>
        <w:t>| Estado declarado | Directorio Maestro del Proyecto |</w:t>
      </w:r>
    </w:p>
    <w:p>
      <w:pPr>
        <w:spacing w:after="20" w:line="240" w:lineRule="auto"/>
      </w:pPr>
      <w:r>
        <w:rPr>
          <w:rFonts w:ascii="Consolas" w:hAnsi="Consolas"/>
          <w:sz w:val="14"/>
        </w:rPr>
        <w:t>| Autoridad declarada | Dirección General GOEI |</w:t>
      </w:r>
    </w:p>
    <w:p>
      <w:pPr>
        <w:spacing w:after="20" w:line="240" w:lineRule="auto"/>
      </w:pPr>
      <w:r>
        <w:rPr>
          <w:rFonts w:ascii="Consolas" w:hAnsi="Consolas"/>
          <w:sz w:val="14"/>
        </w:rPr>
        <w:t>| Archivo recibido | `/Users/ptoledos/.codex/attachments/c738f63c-64a7-40c9-869c-135828833aad/pasted-text.txt` |</w:t>
      </w:r>
    </w:p>
    <w:p>
      <w:pPr>
        <w:spacing w:after="20" w:line="240" w:lineRule="auto"/>
      </w:pPr>
      <w:r>
        <w:rPr>
          <w:rFonts w:ascii="Consolas" w:hAnsi="Consolas"/>
          <w:sz w:val="14"/>
        </w:rPr>
        <w:t>| Tamaño | 8055 bytes |</w:t>
      </w:r>
    </w:p>
    <w:p>
      <w:pPr>
        <w:spacing w:after="20" w:line="240" w:lineRule="auto"/>
      </w:pPr>
      <w:r>
        <w:rPr>
          <w:rFonts w:ascii="Consolas" w:hAnsi="Consolas"/>
          <w:sz w:val="14"/>
        </w:rPr>
        <w:t>| SHA-256 | `6532b656c698f0e388de2370822ab83dd3eef14e9f92bc1fb94b3d4d6be6939d` |</w:t>
      </w:r>
    </w:p>
    <w:p>
      <w:pPr>
        <w:spacing w:after="20" w:line="240" w:lineRule="auto"/>
      </w:pPr>
      <w:r>
        <w:rPr>
          <w:rFonts w:ascii="Consolas" w:hAnsi="Consolas"/>
          <w:sz w:val="14"/>
        </w:rPr>
        <w:t>| Estado de custodia | Fuente externa recibida; copia canónica dentro del repositorio pendiente |</w:t>
      </w:r>
    </w:p>
    <w:p>
      <w:pPr>
        <w:spacing w:after="40"/>
      </w:pPr>
    </w:p>
    <w:p>
      <w:pPr>
        <w:pStyle w:val="Heading3"/>
      </w:pPr>
      <w:r>
        <w:t>Alcance de uso</w:t>
      </w:r>
    </w:p>
    <w:p>
      <w:pPr>
        <w:spacing w:after="40"/>
      </w:pPr>
    </w:p>
    <w:p>
      <w:r>
        <w:t>Esta fuente sustenta la estructura directiva, la separación de responsabilidades, el ciclo oficial del conocimiento, las fases y las reglas superiores de trabajo. Este manifiesto registra procedencia e integridad; no modifica el Master Plan.</w:t>
      </w:r>
    </w:p>
    <w:p>
      <w:pPr>
        <w:spacing w:after="40"/>
      </w:pPr>
    </w:p>
    <w:p>
      <w:pPr>
        <w:pStyle w:val="Heading3"/>
      </w:pPr>
      <w:r>
        <w:t>Dependencia pendiente</w:t>
      </w:r>
    </w:p>
    <w:p>
      <w:pPr>
        <w:spacing w:after="40"/>
      </w:pPr>
    </w:p>
    <w:p>
      <w:r>
        <w:t>Debe definirse una ubicación canónica y una política de publicación para el texto íntegro del Master Plan. Hasta entonces, el hash permite verificar la fuente recibida, pero la ruta del adjunto no se considera archivo institucional permanente.</w:t>
      </w:r>
    </w:p>
    <w:p>
      <w:r>
        <w:br w:type="page"/>
      </w:r>
    </w:p>
    <w:p>
      <w:pPr>
        <w:pStyle w:val="Heading1"/>
        <w:keepNext/>
      </w:pPr>
      <w:r>
        <w:t>Fuente 65: 00_Gobernanza/Matriz_de_autoridad_institucional.md</w:t>
      </w:r>
    </w:p>
    <w:p>
      <w:pPr>
        <w:spacing w:after="200"/>
      </w:pPr>
      <w:r>
        <w:rPr>
          <w:rFonts w:ascii="Consolas" w:hAnsi="Consolas"/>
          <w:color w:val="595959"/>
          <w:sz w:val="16"/>
        </w:rPr>
        <w:t>Ruta: 00_Gobernanza/Matriz_de_autoridad_institucional.md</w:t>
        <w:br/>
        <w:t>Tamaño: 1496 bytes</w:t>
        <w:br/>
        <w:t>SHA-256: ad1fd2b175baa0c23814ace833ba7d03173c7b7df766c18c8cae76310c9d9435</w:t>
      </w:r>
    </w:p>
    <w:p>
      <w:pPr>
        <w:pStyle w:val="Heading2"/>
      </w:pPr>
      <w:r>
        <w:t>Matriz de autoridad institucional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GOEI-GOV-RACI-0001 |</w:t>
      </w:r>
    </w:p>
    <w:p>
      <w:pPr>
        <w:spacing w:after="20" w:line="240" w:lineRule="auto"/>
      </w:pPr>
      <w:r>
        <w:rPr>
          <w:rFonts w:ascii="Consolas" w:hAnsi="Consolas"/>
          <w:sz w:val="14"/>
        </w:rPr>
        <w:t>| Estado | Parcial; dos ramas bloqueadas |</w:t>
      </w:r>
    </w:p>
    <w:p>
      <w:pPr>
        <w:spacing w:after="20" w:line="240" w:lineRule="auto"/>
      </w:pPr>
      <w:r>
        <w:rPr>
          <w:rFonts w:ascii="Consolas" w:hAnsi="Consolas"/>
          <w:sz w:val="14"/>
        </w:rPr>
        <w:t>| Versión | 0.1.0-draft |</w:t>
      </w:r>
    </w:p>
    <w:p>
      <w:pPr>
        <w:spacing w:after="20" w:line="240" w:lineRule="auto"/>
      </w:pPr>
      <w:r>
        <w:rPr>
          <w:rFonts w:ascii="Consolas" w:hAnsi="Consolas"/>
          <w:sz w:val="14"/>
        </w:rPr>
        <w:t>| Fuentes | Research Master Plan v1.0 y GOEI-DIR-0001 |</w:t>
      </w:r>
    </w:p>
    <w:p>
      <w:pPr>
        <w:spacing w:after="40"/>
      </w:pPr>
    </w:p>
    <w:p>
      <w:r>
        <w:t>Leyenda: R responsable de ejecutar; A autoridad final; C consultado; I informado; — fuera de función; ? no definido.</w:t>
      </w:r>
    </w:p>
    <w:p>
      <w:pPr>
        <w:spacing w:after="40"/>
      </w:pPr>
    </w:p>
    <w:p>
      <w:pPr>
        <w:spacing w:after="20" w:line="240" w:lineRule="auto"/>
      </w:pPr>
      <w:r>
        <w:rPr>
          <w:rFonts w:ascii="Consolas" w:hAnsi="Consolas"/>
          <w:sz w:val="14"/>
        </w:rPr>
        <w:t>| Actividad | Director General | Comité Directivo | Comité Científico | Oficina Técnica | Dirección Metodológica |</w:t>
      </w:r>
    </w:p>
    <w:p>
      <w:pPr>
        <w:spacing w:after="20" w:line="240" w:lineRule="auto"/>
      </w:pPr>
      <w:r>
        <w:rPr>
          <w:rFonts w:ascii="Consolas" w:hAnsi="Consolas"/>
          <w:sz w:val="14"/>
        </w:rPr>
        <w:t>|---|---:|---:|---:|---:|---:|</w:t>
      </w:r>
    </w:p>
    <w:p>
      <w:pPr>
        <w:spacing w:after="20" w:line="240" w:lineRule="auto"/>
      </w:pPr>
      <w:r>
        <w:rPr>
          <w:rFonts w:ascii="Consolas" w:hAnsi="Consolas"/>
          <w:sz w:val="14"/>
        </w:rPr>
        <w:t>| Definir visión y alcance | A/R | ? | C | I | C |</w:t>
      </w:r>
    </w:p>
    <w:p>
      <w:pPr>
        <w:spacing w:after="20" w:line="240" w:lineRule="auto"/>
      </w:pPr>
      <w:r>
        <w:rPr>
          <w:rFonts w:ascii="Consolas" w:hAnsi="Consolas"/>
          <w:sz w:val="14"/>
        </w:rPr>
        <w:t>| Priorizar investigación | A | ? | R | I | C |</w:t>
      </w:r>
    </w:p>
    <w:p>
      <w:pPr>
        <w:spacing w:after="20" w:line="240" w:lineRule="auto"/>
      </w:pPr>
      <w:r>
        <w:rPr>
          <w:rFonts w:ascii="Consolas" w:hAnsi="Consolas"/>
          <w:sz w:val="14"/>
        </w:rPr>
        <w:t>| Realizar investigación científica | I | ? | R | — | C |</w:t>
      </w:r>
    </w:p>
    <w:p>
      <w:pPr>
        <w:spacing w:after="20" w:line="240" w:lineRule="auto"/>
      </w:pPr>
      <w:r>
        <w:rPr>
          <w:rFonts w:ascii="Consolas" w:hAnsi="Consolas"/>
          <w:sz w:val="14"/>
        </w:rPr>
        <w:t>| Emitir decisión científica | A final según Master Plan | ? | R | I/custodia | C |</w:t>
      </w:r>
    </w:p>
    <w:p>
      <w:pPr>
        <w:spacing w:after="20" w:line="240" w:lineRule="auto"/>
      </w:pPr>
      <w:r>
        <w:rPr>
          <w:rFonts w:ascii="Consolas" w:hAnsi="Consolas"/>
          <w:sz w:val="14"/>
        </w:rPr>
        <w:t>| Cerrar investigación | A | ? | R/informa | — | C |</w:t>
      </w:r>
    </w:p>
    <w:p>
      <w:pPr>
        <w:spacing w:after="20" w:line="240" w:lineRule="auto"/>
      </w:pPr>
      <w:r>
        <w:rPr>
          <w:rFonts w:ascii="Consolas" w:hAnsi="Consolas"/>
          <w:sz w:val="14"/>
        </w:rPr>
        <w:t>| Diseñar arquitectura técnica | I | ? | C | R | C |</w:t>
      </w:r>
    </w:p>
    <w:p>
      <w:pPr>
        <w:spacing w:after="20" w:line="240" w:lineRule="auto"/>
      </w:pPr>
      <w:r>
        <w:rPr>
          <w:rFonts w:ascii="Consolas" w:hAnsi="Consolas"/>
          <w:sz w:val="14"/>
        </w:rPr>
        <w:t>| Implementar decisión aprobada | I | ? | C | R | C |</w:t>
      </w:r>
    </w:p>
    <w:p>
      <w:pPr>
        <w:spacing w:after="20" w:line="240" w:lineRule="auto"/>
      </w:pPr>
      <w:r>
        <w:rPr>
          <w:rFonts w:ascii="Consolas" w:hAnsi="Consolas"/>
          <w:sz w:val="14"/>
        </w:rPr>
        <w:t>| Administrar repositorio | I | ? | I | R | I |</w:t>
      </w:r>
    </w:p>
    <w:p>
      <w:pPr>
        <w:spacing w:after="20" w:line="240" w:lineRule="auto"/>
      </w:pPr>
      <w:r>
        <w:rPr>
          <w:rFonts w:ascii="Consolas" w:hAnsi="Consolas"/>
          <w:sz w:val="14"/>
        </w:rPr>
        <w:t>| Mantener trazabilidad y registros | I | ? | C | R | C |</w:t>
      </w:r>
    </w:p>
    <w:p>
      <w:pPr>
        <w:spacing w:after="20" w:line="240" w:lineRule="auto"/>
      </w:pPr>
      <w:r>
        <w:rPr>
          <w:rFonts w:ascii="Consolas" w:hAnsi="Consolas"/>
          <w:sz w:val="14"/>
        </w:rPr>
        <w:t>| Aprobar versión | A | ? | C científico | R preparación | C |</w:t>
      </w:r>
    </w:p>
    <w:p>
      <w:pPr>
        <w:spacing w:after="20" w:line="240" w:lineRule="auto"/>
      </w:pPr>
      <w:r>
        <w:rPr>
          <w:rFonts w:ascii="Consolas" w:hAnsi="Consolas"/>
          <w:sz w:val="14"/>
        </w:rPr>
        <w:t>| Crear baseline técnica | A autorización | ? | C si contenido científico | R | C |</w:t>
      </w:r>
    </w:p>
    <w:p>
      <w:pPr>
        <w:spacing w:after="20" w:line="240" w:lineRule="auto"/>
      </w:pPr>
      <w:r>
        <w:rPr>
          <w:rFonts w:ascii="Consolas" w:hAnsi="Consolas"/>
          <w:sz w:val="14"/>
        </w:rPr>
        <w:t>| Publicar release | A | ? | C | R | C |</w:t>
      </w:r>
    </w:p>
    <w:p>
      <w:pPr>
        <w:spacing w:after="20" w:line="240" w:lineRule="auto"/>
      </w:pPr>
      <w:r>
        <w:rPr>
          <w:rFonts w:ascii="Consolas" w:hAnsi="Consolas"/>
          <w:sz w:val="14"/>
        </w:rPr>
        <w:t>| Aprobar publicación | A | ? | C | R técnica | C |</w:t>
      </w:r>
    </w:p>
    <w:p>
      <w:pPr>
        <w:spacing w:after="20" w:line="240" w:lineRule="auto"/>
      </w:pPr>
      <w:r>
        <w:rPr>
          <w:rFonts w:ascii="Consolas" w:hAnsi="Consolas"/>
          <w:sz w:val="14"/>
        </w:rPr>
        <w:t>| Coordinar metodología y roadmap | I | ? | C | C | R |</w:t>
      </w:r>
    </w:p>
    <w:p>
      <w:pPr>
        <w:spacing w:after="40"/>
      </w:pPr>
    </w:p>
    <w:p>
      <w:r>
        <w:t>La columna Comité Directivo y la ubicación vigente de Dirección Metodológica no pueden completarse hasta resolver GOEI-ISS-027 y GOEI-ISS-028.</w:t>
      </w:r>
    </w:p>
    <w:p>
      <w:r>
        <w:br w:type="page"/>
      </w:r>
    </w:p>
    <w:p>
      <w:pPr>
        <w:pStyle w:val="Heading1"/>
        <w:keepNext/>
      </w:pPr>
      <w:r>
        <w:t>Fuente 66: 00_Gobernanza/Matriz_de_trazabilidad.md</w:t>
      </w:r>
    </w:p>
    <w:p>
      <w:pPr>
        <w:spacing w:after="200"/>
      </w:pPr>
      <w:r>
        <w:rPr>
          <w:rFonts w:ascii="Consolas" w:hAnsi="Consolas"/>
          <w:color w:val="595959"/>
          <w:sz w:val="16"/>
        </w:rPr>
        <w:t>Ruta: 00_Gobernanza/Matriz_de_trazabilidad.md</w:t>
        <w:br/>
        <w:t>Tamaño: 23001 bytes</w:t>
        <w:br/>
        <w:t>SHA-256: 1c6a2e5608532fe2b03a5a4d9bc7d1d0fa408d334906d82c44eaec619b0f5b55</w:t>
      </w:r>
    </w:p>
    <w:p>
      <w:pPr>
        <w:pStyle w:val="Heading2"/>
      </w:pPr>
      <w:r>
        <w:t>Matriz maestra de trazabilidad GOEI</w:t>
      </w:r>
    </w:p>
    <w:p>
      <w:pPr>
        <w:spacing w:after="40"/>
      </w:pPr>
    </w:p>
    <w:p>
      <w:r>
        <w:t>Estado: borrador de control. Esta matriz registra relaciones; no aprueba contenido.</w:t>
      </w:r>
    </w:p>
    <w:p>
      <w:pPr>
        <w:spacing w:after="40"/>
      </w:pPr>
    </w:p>
    <w:p>
      <w:pPr>
        <w:spacing w:after="20" w:line="240" w:lineRule="auto"/>
      </w:pPr>
      <w:r>
        <w:rPr>
          <w:rFonts w:ascii="Consolas" w:hAnsi="Consolas"/>
          <w:sz w:val="14"/>
        </w:rPr>
        <w:t>| Componente | Decisión de origen | Estado de la decisión | Evidencia controlada | Versión de incorporación | Documentos que lo implementan | Dependientes conocidos | Estado del componente |</w:t>
      </w:r>
    </w:p>
    <w:p>
      <w:pPr>
        <w:spacing w:after="20" w:line="240" w:lineRule="auto"/>
      </w:pPr>
      <w:r>
        <w:rPr>
          <w:rFonts w:ascii="Consolas" w:hAnsi="Consolas"/>
          <w:sz w:val="14"/>
        </w:rPr>
        <w:t>|---|---|---|---|---|---|---|---|</w:t>
      </w:r>
    </w:p>
    <w:p>
      <w:pPr>
        <w:spacing w:after="20" w:line="240" w:lineRule="auto"/>
      </w:pPr>
      <w:r>
        <w:rPr>
          <w:rFonts w:ascii="Consolas" w:hAnsi="Consolas"/>
          <w:sz w:val="14"/>
        </w:rPr>
        <w:t>| GOEI-CMP-001 Arquitectura documental | D-005; mandato técnico del proyecto | D-005 provisional | Expediente D-005 y fuentes allí citadas | PENDIENTE | `00_Gobernanza/Arquitectura_documental_GOEI.md` | todo el repositorio | Borrador bloqueado |</w:t>
      </w:r>
    </w:p>
    <w:p>
      <w:pPr>
        <w:spacing w:after="20" w:line="240" w:lineRule="auto"/>
      </w:pPr>
      <w:r>
        <w:rPr>
          <w:rFonts w:ascii="Consolas" w:hAnsi="Consolas"/>
          <w:sz w:val="14"/>
        </w:rPr>
        <w:t>| GOEI-CMP-002 Control de trazabilidad | Principio obligatorio del proyecto; D-005/T1/T4 | D-005 provisional | `AGENTS.md`; expediente D-005 | PENDIENTE | esta matriz; registro de componentes; plantillas | todos los componentes controlados | Borrador operativo |</w:t>
      </w:r>
    </w:p>
    <w:p>
      <w:pPr>
        <w:spacing w:after="20" w:line="240" w:lineRule="auto"/>
      </w:pPr>
      <w:r>
        <w:rPr>
          <w:rFonts w:ascii="Consolas" w:hAnsi="Consolas"/>
          <w:sz w:val="14"/>
        </w:rPr>
        <w:t>| GOEI-CMP-003 Ontología conceptual | D-006 | Adoptada, con ratificaciones específicas pendientes | Expediente D-006 y fuentes allí citadas | PENDIENTE | `09_Manual_tecnico_general/Fase4_D006_Ontologia_del_GOEI.md` | taxonomía, KPI, evaluación, datos | No vigente |</w:t>
      </w:r>
    </w:p>
    <w:p>
      <w:pPr>
        <w:spacing w:after="20" w:line="240" w:lineRule="auto"/>
      </w:pPr>
      <w:r>
        <w:rPr>
          <w:rFonts w:ascii="Consolas" w:hAnsi="Consolas"/>
          <w:sz w:val="14"/>
        </w:rPr>
        <w:t>| GOEI-CMP-004 Arquitectura por capas | D-005 | Provisional | Expediente D-005 y fuentes allí citadas | PENDIENTE | arquitectura documental | todas las vistas documentales | Bloqueado |</w:t>
      </w:r>
    </w:p>
    <w:p>
      <w:pPr>
        <w:spacing w:after="20" w:line="240" w:lineRule="auto"/>
      </w:pPr>
      <w:r>
        <w:rPr>
          <w:rFonts w:ascii="Consolas" w:hAnsi="Consolas"/>
          <w:sz w:val="14"/>
        </w:rPr>
        <w:t>| GOEI-CMP-005 Constructo GOEI | D-003 rectificada por D-004 | Nombre y consecuencias aún pendientes | Expedientes D-003 y D-004 | PENDIENTE | documentos de estado del arte | modelo conceptual y glosario | Bloqueado |</w:t>
      </w:r>
    </w:p>
    <w:p>
      <w:pPr>
        <w:spacing w:after="20" w:line="240" w:lineRule="auto"/>
      </w:pPr>
      <w:r>
        <w:rPr>
          <w:rFonts w:ascii="Consolas" w:hAnsi="Consolas"/>
          <w:sz w:val="14"/>
        </w:rPr>
        <w:t>| GOEI-ARCH-002 Arquitectura del repositorio oficial | Mandato técnico del proyecto | No requiere decisión científica; adopción institucional pendiente | Requisitos expresos del proyecto y arquitectura previa | PENDIENTE | `00_Gobernanza/Arquitectura_del_repositorio_oficial_GOEI.md` | futura migración y reglas del repositorio | Propuesta para adopción |</w:t>
      </w:r>
    </w:p>
    <w:p>
      <w:pPr>
        <w:spacing w:after="20" w:line="240" w:lineRule="auto"/>
      </w:pPr>
      <w:r>
        <w:rPr>
          <w:rFonts w:ascii="Consolas" w:hAnsi="Consolas"/>
          <w:sz w:val="14"/>
        </w:rPr>
        <w:t>| GOEI-CON-0001 Constitución GOEI | Mandato técnico del proyecto | Solo estructura; contenido y aprobación pendientes | Requisitos expresos del proyecto | PENDIENTE | `00_Gobernanza/Constitucion_GOEI.md` | futura gobernanza y jerarquía documental | Esqueleto estructural |</w:t>
      </w:r>
    </w:p>
    <w:p>
      <w:pPr>
        <w:spacing w:after="20" w:line="240" w:lineRule="auto"/>
      </w:pPr>
      <w:r>
        <w:rPr>
          <w:rFonts w:ascii="Consolas" w:hAnsi="Consolas"/>
          <w:sz w:val="14"/>
        </w:rPr>
        <w:t>| GOEI-REV-ONT-0001 Revisión técnica D-006 | D-006 validada según autoridad del proyecto | No modifica la decisión | `09_Manual_tecnico_general/Fase4_D006_Ontologia_del_GOEI.md` | No aplica | `09_Manual_tecnico_general/Revision_tecnica_arquitectonica_D006.md` | futuras decisiones de arquitectura ontológica | Informe consultivo |</w:t>
      </w:r>
    </w:p>
    <w:p>
      <w:pPr>
        <w:spacing w:after="20" w:line="240" w:lineRule="auto"/>
      </w:pPr>
      <w:r>
        <w:rPr>
          <w:rFonts w:ascii="Consolas" w:hAnsi="Consolas"/>
          <w:sz w:val="14"/>
        </w:rPr>
        <w:t>| GOEI-BSL-ONT-0001 Ontology Baseline v0.1 | Instrucción expresa del proyecto | Congela, no modifica, D-006 y D-006-REV | D-006; D-006-REV; checksums SHA-256 | Ontología v0.1 | manifiesto y política Issue-only | EPIC-001, EPIC-002 y futuras serializaciones | Congelada provisionalmente |</w:t>
      </w:r>
    </w:p>
    <w:p>
      <w:pPr>
        <w:spacing w:after="20" w:line="240" w:lineRule="auto"/>
      </w:pPr>
      <w:r>
        <w:rPr>
          <w:rFonts w:ascii="Consolas" w:hAnsi="Consolas"/>
          <w:sz w:val="14"/>
        </w:rPr>
        <w:t>| GOEI-MM-0001 GOEI MetaModel | EPIC-001 | Arquitectura de conocimiento, sin contenido científico | D-006/D-006-REV; arquitectura documental; inventario existente | PENDIENTE | paquete EPIC-001 | Knowledge Graph, BOK y software futuro | Propuesta |</w:t>
      </w:r>
    </w:p>
    <w:p>
      <w:pPr>
        <w:spacing w:after="20" w:line="240" w:lineRule="auto"/>
      </w:pPr>
      <w:r>
        <w:rPr>
          <w:rFonts w:ascii="Consolas" w:hAnsi="Consolas"/>
          <w:sz w:val="14"/>
        </w:rPr>
        <w:t>| GOEI-KG-0001 Knowledge Graph | EPIC-001 | Diseño lógico, no fuente científica | GOEI-MM-0001 y diccionarios EPIC-001 | PENDIENTE | paquete EPIC-001 | navegación, impacto, líneas base | Propuesta |</w:t>
      </w:r>
    </w:p>
    <w:p>
      <w:pPr>
        <w:spacing w:after="20" w:line="240" w:lineRule="auto"/>
      </w:pPr>
      <w:r>
        <w:rPr>
          <w:rFonts w:ascii="Consolas" w:hAnsi="Consolas"/>
          <w:sz w:val="14"/>
        </w:rPr>
        <w:t>| GOEI-PMM-0001 Universal Process MetaModel | EPIC-002 | Lenguaje de procesos, sin procesos concretos | GOEI-BSL-ONT-0001; GOEI-MM-0001 | PENDIENTE | paquete EPIC-002 | futuros catálogos de procesos y software | Candidato técnico |</w:t>
      </w:r>
    </w:p>
    <w:p>
      <w:pPr>
        <w:spacing w:after="20" w:line="240" w:lineRule="auto"/>
      </w:pPr>
      <w:r>
        <w:rPr>
          <w:rFonts w:ascii="Consolas" w:hAnsi="Consolas"/>
          <w:sz w:val="14"/>
        </w:rPr>
        <w:t>| GOEI-GOV-TO-0001 Oficina Técnica | GOEI-DIR-0001 | Mandato técnico; no científico | Master Plan v1.0 + instrucción complementaria | Gobernanza técnica v0.1 | Carta de Mandato y RACI parcial | registros, repositorio, baselines, releases, BOK, tesis | Vigente |</w:t>
      </w:r>
    </w:p>
    <w:p>
      <w:pPr>
        <w:spacing w:after="20" w:line="240" w:lineRule="auto"/>
      </w:pPr>
      <w:r>
        <w:rPr>
          <w:rFonts w:ascii="Consolas" w:hAnsi="Consolas"/>
          <w:sz w:val="14"/>
        </w:rPr>
        <w:t>| GOEI-GOV-OPS-0001 Dirección operativa ampliada | GOEI-DIR-0003 | Coordinación, arquitectura, ingeniería, redacción y desarrollo; no aprobación científica | instrucción expresa de Dirección General | Gobernanza técnica v0.1 | pipeline y coordinación paralela | roadmap, Comité–Oficina Técnica, tesis, publicaciones y software | Vigente |</w:t>
      </w:r>
    </w:p>
    <w:p>
      <w:pPr>
        <w:spacing w:after="20" w:line="240" w:lineRule="auto"/>
      </w:pPr>
      <w:r>
        <w:rPr>
          <w:rFonts w:ascii="Consolas" w:hAnsi="Consolas"/>
          <w:sz w:val="14"/>
        </w:rPr>
        <w:t>| GOEI-GOV-EXEC-0001 Delegación ejecutiva de resolución | GOEI-DIR-0004 | Permite resolver compuertas directivas; no transfiere autoridad científica ni permite alterar baselines sin procedimiento | instrucción expresa de Dirección General | Gobernanza técnica v0.1 | resoluciones directivas verificables | expedientes, Issues, fases, baselines y releases | Vigente |</w:t>
      </w:r>
    </w:p>
    <w:p>
      <w:pPr>
        <w:spacing w:after="20" w:line="240" w:lineRule="auto"/>
      </w:pPr>
      <w:r>
        <w:rPr>
          <w:rFonts w:ascii="Consolas" w:hAnsi="Consolas"/>
          <w:sz w:val="14"/>
        </w:rPr>
        <w:t>| GOEI-PIPE-B2-B10-0001 Pipeline operativo B2–B10 | GOEI-DIR-0001; GOEI-DIR-0003 | Define compuertas y handoffs; no responde ciencia | estado, RACI y ruta crítica | Gobernanza técnica v0.1 | contrato de fases B2–B10 | expedientes científicos, integración, BOK, tesis y release | Activo; B4 habilitada |</w:t>
      </w:r>
    </w:p>
    <w:p>
      <w:pPr>
        <w:spacing w:after="20" w:line="240" w:lineRule="auto"/>
      </w:pPr>
      <w:r>
        <w:rPr>
          <w:rFonts w:ascii="Consolas" w:hAnsi="Consolas"/>
          <w:sz w:val="14"/>
        </w:rPr>
        <w:t>| GOEI-THS-MAP-0001 Matriz capítulo–evidencia aprobada | GOEI-DIR-0002; GOEI-DIR-0003 | Controla reutilización segura; no crea contenido | decisiones D-001–D-007, baselines, Plan Maestro y auditoría | Arquitectura de tesis v1.0 | mapa granular de 17 capítulos | ensamblaje, auditoría y aceptación de tesis | Activa |</w:t>
      </w:r>
    </w:p>
    <w:p>
      <w:pPr>
        <w:spacing w:after="20" w:line="240" w:lineRule="auto"/>
      </w:pPr>
      <w:r>
        <w:rPr>
          <w:rFonts w:ascii="Consolas" w:hAnsi="Consolas"/>
          <w:sz w:val="14"/>
        </w:rPr>
        <w:t>| GOEI-THS-ED-0001 Especificación editorial UDLA–APA 7 | GOEI-DIR-0002; GOEI-DIR-0003 | Sistema editorial; requisitos UDLA sin verificar no se presumen oficiales | Plan Maestro, APA 7 como convención y datos autorales directorales | Arquitectura de tesis v1.0 | especificación DOCX/PDF y gate visual | plantilla, tesis y publicación | Activa; cotejo institucional pendiente |</w:t>
      </w:r>
    </w:p>
    <w:p>
      <w:pPr>
        <w:spacing w:after="20" w:line="240" w:lineRule="auto"/>
      </w:pPr>
      <w:r>
        <w:rPr>
          <w:rFonts w:ascii="Consolas" w:hAnsi="Consolas"/>
          <w:sz w:val="14"/>
        </w:rPr>
        <w:t>| GOEI-AUDIT-0002 Auditoría D-008 / cierre B1 | GOEI-DIR-0001; GOEI-DIR-0003 | Auditoría formal; no ratifica ciencia | expediente del Comité D-008 | Gobernanza técnica v0.1 | reservas, impacto y condición de reanudación | GOEI-ISS-012–015, 030, 043; B2 y catálogo de procesos | Emitida; resolución directiva pendiente |</w:t>
      </w:r>
    </w:p>
    <w:p>
      <w:pPr>
        <w:spacing w:after="20" w:line="240" w:lineRule="auto"/>
      </w:pPr>
      <w:r>
        <w:rPr>
          <w:rFonts w:ascii="Consolas" w:hAnsi="Consolas"/>
          <w:sz w:val="14"/>
        </w:rPr>
        <w:t>| GOEI-DIR-RES-D008-DRAFT Borrador de resolución D-008/B1 | GOEI-DIR-0001; GOEI-DIR-0003 | Presenta opciones; no selecciona ni aprueba | expediente D-008 y GOEI-AUDIT-0002 | No asignada | instrumento directivo pendiente | D-008, B1, Issues 012/013/030/043 y B2 | Borrador sin efectos |</w:t>
      </w:r>
    </w:p>
    <w:p>
      <w:pPr>
        <w:spacing w:after="20" w:line="240" w:lineRule="auto"/>
      </w:pPr>
      <w:r>
        <w:rPr>
          <w:rFonts w:ascii="Consolas" w:hAnsi="Consolas"/>
          <w:sz w:val="14"/>
        </w:rPr>
        <w:t>| GOEI-SCI-QUEUE-0002 Paquete B2 Taxonomía Universal | GOEI-PIPE-B2-B10-0001 | Contrato de investigación; no crea taxonomía | B1 aprobada e integrada | Taxonomy Baseline v0.1.0 | cola científica B2 | expediente, handoff y decisión B2 | Cerrado e integrado |</w:t>
      </w:r>
    </w:p>
    <w:p>
      <w:pPr>
        <w:spacing w:after="20" w:line="240" w:lineRule="auto"/>
      </w:pPr>
      <w:r>
        <w:rPr>
          <w:rFonts w:ascii="Consolas" w:hAnsi="Consolas"/>
          <w:sz w:val="14"/>
        </w:rPr>
        <w:t>| GOEI-GTRM-AUD-0001 Auditoría consolidada GTRM | GOEI-DIR-0003; solicitud directiva GTRM | Dictamen consultivo B; no modifica estándar ni baseline | fuente GTRM SHA-256 `6462dbe1d827cef5abd91ad020a1f9ae7d791930aa66bbeb6a40eeee7562f6d2`, dictamen científico, auditoría arquitectónica y controles | No asignada | expediente consolidado | GOEI-ISS-044; futuras decisiones D-006/B5/B6, BOK, tesis, software y GTRM | Emitida; adopción pendiente |</w:t>
      </w:r>
    </w:p>
    <w:p>
      <w:pPr>
        <w:spacing w:after="20" w:line="240" w:lineRule="auto"/>
      </w:pPr>
      <w:r>
        <w:rPr>
          <w:rFonts w:ascii="Consolas" w:hAnsi="Consolas"/>
          <w:sz w:val="14"/>
        </w:rPr>
        <w:t>| GOEI-GTRM-SRC-0001 Fuente propuesta GTRM | solicitud directiva GTRM | Fuente no normativa; no prueba aceptación | texto íntegro preservado y huella SHA-256 | No asignada | insumo de auditoría | GOEI-GTRM-AUD-0001 | Preservada |</w:t>
      </w:r>
    </w:p>
    <w:p>
      <w:pPr>
        <w:spacing w:after="20" w:line="240" w:lineRule="auto"/>
      </w:pPr>
      <w:r>
        <w:rPr>
          <w:rFonts w:ascii="Consolas" w:hAnsi="Consolas"/>
          <w:sz w:val="14"/>
        </w:rPr>
        <w:t>| GOEI-GTRM-AUD-SCI-0001 Dictamen científico GTRM | encargo formal al Comité Científico | Dictamen B consultivo; no es decisión oficial | fuente GTRM, D-003–D-006, pipeline y literatura metodológica citada | No asignada | informe científico | consolidado, GOEI-ISS-044 y futuras decisiones B5/B6 | Emitido |</w:t>
      </w:r>
    </w:p>
    <w:p>
      <w:pPr>
        <w:spacing w:after="20" w:line="240" w:lineRule="auto"/>
      </w:pPr>
      <w:r>
        <w:rPr>
          <w:rFonts w:ascii="Consolas" w:hAnsi="Consolas"/>
          <w:sz w:val="14"/>
        </w:rPr>
        <w:t>| GOEI-GTRM-AUD-ARCH-0001 Auditoría arquitectónica GTRM | GOEI-DIR-0003; mandato de Oficina Técnica | Evalúa representación; no decide ciencia ni A/B/C | fuente GTRM, baselines y arquitectura vigente | Gobernanza técnica v0.1 | informe arquitectónico | consolidado, MetaModel, KG, formularios y software futuro | Emitida |</w:t>
      </w:r>
    </w:p>
    <w:p>
      <w:pPr>
        <w:spacing w:after="20" w:line="240" w:lineRule="auto"/>
      </w:pPr>
      <w:r>
        <w:rPr>
          <w:rFonts w:ascii="Consolas" w:hAnsi="Consolas"/>
          <w:sz w:val="14"/>
        </w:rPr>
        <w:t>| GOEI-GTRM-AUD-CTRL-0001 Controles de auditoría GTRM | plan directoral de auditoría GTRM | Controla cobertura; no aprueba contenido | 10 conceptos, 25 preguntas y 15 entregables requeridos | Gobernanza técnica v0.1 | matriz de controles | gate de integridad del consolidado | Completa |</w:t>
      </w:r>
    </w:p>
    <w:p>
      <w:pPr>
        <w:spacing w:after="20" w:line="240" w:lineRule="auto"/>
      </w:pPr>
      <w:r>
        <w:rPr>
          <w:rFonts w:ascii="Consolas" w:hAnsi="Consolas"/>
          <w:sz w:val="14"/>
        </w:rPr>
        <w:t>| GOEI-AUDIT-0003 Auditoría de preparación D-008/B1 | GOEI-DIR-0001; GOEI-DIR-0003 | Determina readiness técnico; no ratifica D-008 ni cierra B1 | expediente D-008, GOEI-AUDIT-0002, resolución borrador e Issues 030/043 | Gobernanza técnica v0.1 | separación de bloqueos y secuencia condicionada | resolución directiva, baseline de procesos, B2 y registros maestros | Emitida; decisión directiva pendiente |</w:t>
      </w:r>
    </w:p>
    <w:p>
      <w:pPr>
        <w:spacing w:after="20" w:line="240" w:lineRule="auto"/>
      </w:pPr>
      <w:r>
        <w:rPr>
          <w:rFonts w:ascii="Consolas" w:hAnsi="Consolas"/>
          <w:sz w:val="14"/>
        </w:rPr>
        <w:t>| GOEI-DIR-RES-0001 Resolución D-008/B1 | GOEI-DIR-0004; D-008 | Ratifica solo pregunta nuclear B1; no crea taxonomía, KPI ni clasifica residuos/merma | expediente científico D-008, GOEI-AUDIT-0002 y GOEI-AUDIT-0003 | Process Baseline v0.1.0 | acto directivo de aprobación | GOEI-BSL-PROC-0001, Issues 012/013/030/043, BOK, B2 y roadmap | Aprobada y vigente |</w:t>
      </w:r>
    </w:p>
    <w:p>
      <w:pPr>
        <w:spacing w:after="20" w:line="240" w:lineRule="auto"/>
      </w:pPr>
      <w:r>
        <w:rPr>
          <w:rFonts w:ascii="Consolas" w:hAnsi="Consolas"/>
          <w:sz w:val="14"/>
        </w:rPr>
        <w:t>| GOEI-BSL-PROC-0001 Process Baseline | D-008; GOEI-DIR-RES-0001 | Tipos P1–P9 a nivel de subsistema; excluye residuos/merma definitivo | expediente D-008, revisión B1 y fuentes cotejadas | Process Baseline v0.1.0 | configuración normativa temprana | taxonomía B2, BOK, KG, tesis y futuros manuales | Congelada con reservas |</w:t>
      </w:r>
    </w:p>
    <w:p>
      <w:pPr>
        <w:spacing w:after="20" w:line="240" w:lineRule="auto"/>
      </w:pPr>
      <w:r>
        <w:rPr>
          <w:rFonts w:ascii="Consolas" w:hAnsi="Consolas"/>
          <w:sz w:val="14"/>
        </w:rPr>
        <w:t>| GOEI-DS-GTRM-0001 Paquete científico GTRM | D-009–D-016 | Marco científico incorporado; no habilita instancias | expedientes DS-GTRM-01…08, dictamen del Comité y GOEI-AUDIT-0004 | Marco científico GTRM v0.1 | ocho decisiones científicas y dictamen conjunto | B4, B5, B6, GOEI-ISS-053, BOK y KG | Incorporado como marco |</w:t>
      </w:r>
    </w:p>
    <w:p>
      <w:pPr>
        <w:spacing w:after="20" w:line="240" w:lineRule="auto"/>
      </w:pPr>
      <w:r>
        <w:rPr>
          <w:rFonts w:ascii="Consolas" w:hAnsi="Consolas"/>
          <w:sz w:val="14"/>
        </w:rPr>
        <w:t>| GOEI-AUDIT-0004 Auditoría técnica GTRM | GOEI-DIR-0004; D-009–D-016 | Verifica consistencia y limita DS-GTRM-04 sin crear ciencia | nueve documentos del Comité y expediente rector | Gobernanza técnica v0.1 | informe de conformidad | cierre ISS-045–052, candidata ontológica y arquitectura B5/B6 | Emitida; conforme |</w:t>
      </w:r>
    </w:p>
    <w:p>
      <w:pPr>
        <w:spacing w:after="20" w:line="240" w:lineRule="auto"/>
      </w:pPr>
      <w:r>
        <w:rPr>
          <w:rFonts w:ascii="Consolas" w:hAnsi="Consolas"/>
          <w:sz w:val="14"/>
        </w:rPr>
        <w:t>| GOEI-ONT-CAND-0001 Candidata ontológica GTRM | D-009–D-016; GOEI-ISS-053 | Delta técnico sin modificar D-006 | GOEI-AUDIT-0004 y Ontology Baseline v0.1 | No asignada | especificación candidata v0.2.0 | eventual análisis de impacto y nueva baseline | Candidata no normativa |</w:t>
      </w:r>
    </w:p>
    <w:p>
      <w:pPr>
        <w:spacing w:after="20" w:line="240" w:lineRule="auto"/>
      </w:pPr>
      <w:r>
        <w:rPr>
          <w:rFonts w:ascii="Consolas" w:hAnsi="Consolas"/>
          <w:sz w:val="14"/>
        </w:rPr>
        <w:t>| GOEI-ARQ-GTRM-0001 Arquitectura B5–B6 | D-009–D-016 | Contratos de pipeline; sin fórmulas, parámetros o tolerancias | paquete científico y auditoría técnica | No asignada | arquitectura candidata | B5, B6, manuales, software y validación | Candidata técnica |</w:t>
      </w:r>
    </w:p>
    <w:p>
      <w:pPr>
        <w:spacing w:after="20" w:line="240" w:lineRule="auto"/>
      </w:pPr>
      <w:r>
        <w:rPr>
          <w:rFonts w:ascii="Consolas" w:hAnsi="Consolas"/>
          <w:sz w:val="14"/>
        </w:rPr>
        <w:t>| GOEI-EXP-GTRM-0001 Expediente de resolución GOEI-ISS-044 | GOEI-GTRM-AUD-0001; GOEI-ISS-044 | Separa compuerta directiva y ocho materias científicas; no contiene respuestas científicas | auditoría consolidada, dictámenes, D-006 congelada y resolución Opción A | Gobernanza técnica v0.1 | expediente formal resuelto | GOEI-DIR-RES-GTRM-0001, GOEI-ISS-045–052 y eventual Issue ontológico | Resuelto; slots abiertos |</w:t>
      </w:r>
    </w:p>
    <w:p>
      <w:pPr>
        <w:spacing w:after="20" w:line="240" w:lineRule="auto"/>
      </w:pPr>
      <w:r>
        <w:rPr>
          <w:rFonts w:ascii="Consolas" w:hAnsi="Consolas"/>
          <w:sz w:val="14"/>
        </w:rPr>
        <w:t>| GOEI-DIR-RES-GTRM-0001 Resolución directiva GTRM | GOEI-DIR-0004; GOEI-EXP-GTRM-0001 | Ratifica dictamen B solo como base de trabajo; no aprueba soluciones científicas ni cambia D-006/B5/B6 | GOEI-ISS-044, auditoría consolidada y expediente formal | Gobernanza técnica v0.1 | resolución Opción A | cierra destino ISS-044; activa GOEI-ISS-045–052 / DS-GTRM-01–08 | Vigente |</w:t>
      </w:r>
    </w:p>
    <w:p>
      <w:pPr>
        <w:spacing w:after="20" w:line="240" w:lineRule="auto"/>
      </w:pPr>
      <w:r>
        <w:rPr>
          <w:rFonts w:ascii="Consolas" w:hAnsi="Consolas"/>
          <w:sz w:val="14"/>
        </w:rPr>
        <w:t>| GOEI-TPL-GTRM-0001 Plantilla de decisión científica GTRM | GOEI-EXP-GTRM-0001 | Estructura decisiones por materia; no contiene respuesta científica | requisitos de suficiencia DS-GTRM-01–08 | Gobernanza técnica v0.1 | plantilla reutilizable | Comité, auditoría técnica, KG, B5/B6 y eventual D-006 | Activa; uso condicionado |</w:t>
      </w:r>
    </w:p>
    <w:p>
      <w:pPr>
        <w:spacing w:after="20" w:line="240" w:lineRule="auto"/>
      </w:pPr>
      <w:r>
        <w:rPr>
          <w:rFonts w:ascii="Consolas" w:hAnsi="Consolas"/>
          <w:sz w:val="14"/>
        </w:rPr>
        <w:t>| GOEI-GOV-COORD-0001 Coordinación automática | Mandato de avance continuo de Dirección General | No sustituye Comité ni aprobaciones | Oficina Técnica + ciclo oficial del conocimiento | Gobernanza técnica v0.1 | sistema de colas, handoffs y estado maestro | todas las fases y productos finales | Activa |</w:t>
      </w:r>
    </w:p>
    <w:p>
      <w:pPr>
        <w:spacing w:after="20" w:line="240" w:lineRule="auto"/>
      </w:pPr>
      <w:r>
        <w:rPr>
          <w:rFonts w:ascii="Consolas" w:hAnsi="Consolas"/>
          <w:sz w:val="14"/>
        </w:rPr>
        <w:t>| GOEI-THS-ARCH-0001 Arquitectura de tesis | GOEI-DIR-0002; Master Plan v1.0 | Estructura editorial sin contenido científico | GOEI-THS-REQ-0001 y componentes/baselines futuras | Arquitectura de tesis v1.0 | estructura de tesis | cobertura, ensamblaje y tesis final | Vigente |</w:t>
      </w:r>
    </w:p>
    <w:p>
      <w:pPr>
        <w:spacing w:after="20" w:line="240" w:lineRule="auto"/>
      </w:pPr>
      <w:r>
        <w:rPr>
          <w:rFonts w:ascii="Consolas" w:hAnsi="Consolas"/>
          <w:sz w:val="14"/>
        </w:rPr>
        <w:t>| GOEI-PUB-ARCH-0001 Arquitectura de manuscrito | Master Plan v1.0 | Estructura editorial sin afirmaciones/resultados | validación, tesis y versión GOEI futuras | PENDIENTE | estructura de manuscrito | publicación candidata | Preparada |</w:t>
      </w:r>
    </w:p>
    <w:p>
      <w:pPr>
        <w:spacing w:after="20" w:line="240" w:lineRule="auto"/>
      </w:pPr>
      <w:r>
        <w:rPr>
          <w:rFonts w:ascii="Consolas" w:hAnsi="Consolas"/>
          <w:sz w:val="14"/>
        </w:rPr>
        <w:t>| GOEI-BOK-0001 Body of Knowledge | Master Plan v1.0 + mandato Oficina Técnica | Vista explicativa, no normativa | decisiones, baselines y componentes | PENDIENTE | mapa BOK | manuales, tesis, publicaciones | Estructura disponible |</w:t>
      </w:r>
    </w:p>
    <w:p>
      <w:pPr>
        <w:spacing w:after="20" w:line="240" w:lineRule="auto"/>
      </w:pPr>
      <w:r>
        <w:rPr>
          <w:rFonts w:ascii="Consolas" w:hAnsi="Consolas"/>
          <w:sz w:val="14"/>
        </w:rPr>
        <w:t>| GOEI-VAL-TECH-0001 Validador del repositorio | Mandato de control de consistencia | No evalúa ciencia | manifiesto de control y registros maestros | Gobernanza técnica v0.1 | script y configuración | baselines y releases | Activo; 28 controles aprobados |</w:t>
      </w:r>
    </w:p>
    <w:p>
      <w:pPr>
        <w:spacing w:after="20" w:line="240" w:lineRule="auto"/>
      </w:pPr>
      <w:r>
        <w:rPr>
          <w:rFonts w:ascii="Consolas" w:hAnsi="Consolas"/>
          <w:sz w:val="14"/>
        </w:rPr>
        <w:t>| GOEI-HO-0001 Handoff B1 | Expediente científico B1 | Auditoría formal; no aprueba D-008 | D-007, revisión B1, respondibilidad | PENDIENTE | comprobante de handoff | D-008, catálogo de procesos, B2 | Pendiente de Dirección |</w:t>
      </w:r>
    </w:p>
    <w:p>
      <w:pPr>
        <w:spacing w:after="20" w:line="240" w:lineRule="auto"/>
      </w:pPr>
      <w:r>
        <w:rPr>
          <w:rFonts w:ascii="Consolas" w:hAnsi="Consolas"/>
          <w:sz w:val="14"/>
        </w:rPr>
        <w:t>| GOEI-AUDIT-0001 Auditoría de manuscritos | Mandato de control de consistencia | No modifica los manuscritos | tesis y artículo prematuros; decisiones/Issues vigentes | Gobernanza técnica v0.1 | informe y sidecars de cuarentena | reconstrucción futura de tesis/publicación | Emitida |</w:t>
      </w:r>
    </w:p>
    <w:p>
      <w:pPr>
        <w:spacing w:after="20" w:line="240" w:lineRule="auto"/>
      </w:pPr>
      <w:r>
        <w:rPr>
          <w:rFonts w:ascii="Consolas" w:hAnsi="Consolas"/>
          <w:sz w:val="14"/>
        </w:rPr>
        <w:t>| GOEI-STATUS-0001 Estado del programa | Sistema de coordinación automática | Representación técnica del estado, no decisión científica | fases, evidencias, blockers e Issues | Gobernanza técnica v0.1 | JSON y evaluador de readiness | automatización y entregables finales | Activo |</w:t>
      </w:r>
    </w:p>
    <w:p>
      <w:pPr>
        <w:spacing w:after="20" w:line="240" w:lineRule="auto"/>
      </w:pPr>
      <w:r>
        <w:rPr>
          <w:rFonts w:ascii="Consolas" w:hAnsi="Consolas"/>
          <w:sz w:val="14"/>
        </w:rPr>
        <w:t>| GOEI-REL-POL-0001 Política de releases | Mandato de gestión de configuración de la Oficina Técnica | No crea ni aprueba contenido científico | carta de mandato; registros y línea base existentes | Gobernanza técnica v0.1 | política y plantilla de expediente | futuras RC, baselines y releases | Control técnico activo |</w:t>
      </w:r>
    </w:p>
    <w:p>
      <w:pPr>
        <w:spacing w:after="20" w:line="240" w:lineRule="auto"/>
      </w:pPr>
      <w:r>
        <w:rPr>
          <w:rFonts w:ascii="Consolas" w:hAnsi="Consolas"/>
          <w:sz w:val="14"/>
        </w:rPr>
        <w:t>| GOEI-TOOL-MAN-0001 Generador de manifiestos | GOEI-REL-POL-0001 | Herramienta descriptiva; sin autoridad científica | política de releases | Gobernanza técnica v0.1 | script de manifiestos | expedientes reproducibles | Activo |</w:t>
      </w:r>
    </w:p>
    <w:p>
      <w:pPr>
        <w:spacing w:after="20" w:line="240" w:lineRule="auto"/>
      </w:pPr>
      <w:r>
        <w:rPr>
          <w:rFonts w:ascii="Consolas" w:hAnsi="Consolas"/>
          <w:sz w:val="14"/>
        </w:rPr>
        <w:t>| GOEI-TOOL-DIFF-0001 Comparador de manifiestos | GOEI-REL-POL-0001 | Herramienta descriptiva; sin autoridad científica | política de releases | Gobernanza técnica v0.1 | script comparador | análisis de impacto y compatibilidad | Activo |</w:t>
      </w:r>
    </w:p>
    <w:p>
      <w:pPr>
        <w:spacing w:after="20" w:line="240" w:lineRule="auto"/>
      </w:pPr>
      <w:r>
        <w:rPr>
          <w:rFonts w:ascii="Consolas" w:hAnsi="Consolas"/>
          <w:sz w:val="14"/>
        </w:rPr>
        <w:t>| GOEI-REL-SCHEMA-0001 Contrato de expediente de release | GOEI-REL-POL-0001 | Esquema técnico; no interpreta ni aprueba ciencia | política de releases y registros maestros | Gobernanza técnica v0.1 | esquema y plantilla JSON | evaluador G0–G5 y futuras releases | Activo |</w:t>
      </w:r>
    </w:p>
    <w:p>
      <w:pPr>
        <w:spacing w:after="20" w:line="240" w:lineRule="auto"/>
      </w:pPr>
      <w:r>
        <w:rPr>
          <w:rFonts w:ascii="Consolas" w:hAnsi="Consolas"/>
          <w:sz w:val="14"/>
        </w:rPr>
        <w:t>| GOEI-TOOL-GATE-0001 Evaluador G0–G5 | GOEI-REL-POL-0001; GOEI-REL-SCHEMA-0001 | Verifica evidencia declarada; no confiere autoridad | expediente, manifiesto, registros y actos aprobatorios | Gobernanza técnica v0.1 | script y pruebas unitarias | promoción controlada de configuraciones | Activo |</w:t>
      </w:r>
    </w:p>
    <w:p>
      <w:pPr>
        <w:spacing w:after="20" w:line="240" w:lineRule="auto"/>
      </w:pPr>
      <w:r>
        <w:rPr>
          <w:rFonts w:ascii="Consolas" w:hAnsi="Consolas"/>
          <w:sz w:val="14"/>
        </w:rPr>
        <w:t>| GOEI-THS-REQ-0001 Plan Maestro Directoral de la Tesis | GOEI-DIR-0002 | Requisito de alcance; no decisión científica | fuente directoral con SHA-256 registrado | Arquitectura de tesis v1.0 | plan canónico | arquitectura, cobertura, ensamblaje, publicaciones y readiness | Vigente |</w:t>
      </w:r>
    </w:p>
    <w:p>
      <w:pPr>
        <w:spacing w:after="20" w:line="240" w:lineRule="auto"/>
      </w:pPr>
      <w:r>
        <w:rPr>
          <w:rFonts w:ascii="Consolas" w:hAnsi="Consolas"/>
          <w:sz w:val="14"/>
        </w:rPr>
        <w:t>| GOEI-THS-COV-0001 Matriz de cumplimiento de tesis | GOEI-DIR-0002; GOEI-THS-REQ-0001 | Controla cobertura sin crear contenidos | plan canónico, decisiones, fases y componentes | Arquitectura de tesis v1.0 | matriz detallada | aceptación de tesis y cartera editorial | Activa |</w:t>
      </w:r>
    </w:p>
    <w:p>
      <w:pPr>
        <w:spacing w:after="20" w:line="240" w:lineRule="auto"/>
      </w:pPr>
      <w:r>
        <w:rPr>
          <w:rFonts w:ascii="Consolas" w:hAnsi="Consolas"/>
          <w:sz w:val="14"/>
        </w:rPr>
        <w:t>| GOEI-TOOL-THS-0001 Evaluador de cobertura de tesis | GOEI-DIR-0002; GOEI-THS-COV-0001 | Cuenta estados documentales; no evalúa ciencia | matriz de cumplimiento y vocabulario controlado | Arquitectura de tesis v1.0 | script y pruebas unitarias | readiness de tesis | Activo |</w:t>
      </w:r>
    </w:p>
    <w:p>
      <w:pPr>
        <w:spacing w:after="20" w:line="240" w:lineRule="auto"/>
      </w:pPr>
      <w:r>
        <w:rPr>
          <w:rFonts w:ascii="Consolas" w:hAnsi="Consolas"/>
          <w:sz w:val="14"/>
        </w:rPr>
        <w:t>| GOEI-RDM-0001 Roadmap técnico maestro | GOEI-DIR-0001; GOEI-DIR-0002; Master Plan | Ordena integración; no habilita fases científicas | estado procesable, Issues y matrices de ensamblaje | Gobernanza técnica v0.1 | roadmap humano y JSON canónico | todos los paquetes y objetivos finales | Activo |</w:t>
      </w:r>
    </w:p>
    <w:p>
      <w:pPr>
        <w:spacing w:after="20" w:line="240" w:lineRule="auto"/>
      </w:pPr>
      <w:r>
        <w:rPr>
          <w:rFonts w:ascii="Consolas" w:hAnsi="Consolas"/>
          <w:sz w:val="14"/>
        </w:rPr>
        <w:t>| GOEI-TOOL-RDM-0001 Validador del roadmap | GOEI-RDM-0001 | Comprueba estructura y evidencia; no aprueba cierres | roadmap procesable y rutas canónicas | Gobernanza técnica v0.1 | script y pruebas unitarias | coordinación automática | Activo |</w:t>
      </w:r>
    </w:p>
    <w:p>
      <w:pPr>
        <w:spacing w:after="20" w:line="240" w:lineRule="auto"/>
      </w:pPr>
      <w:r>
        <w:rPr>
          <w:rFonts w:ascii="Consolas" w:hAnsi="Consolas"/>
          <w:sz w:val="14"/>
        </w:rPr>
        <w:t>| GOEI-GIT-0001 Política Git y contribución | GOEI-DIR-0001; arquitectura del repositorio | Control de configuración; un merge no aprueba ciencia | mandato técnico y repositorio remoto designado | Gobernanza técnica v0.1 | política, CONTRIBUTING, CHANGELOG y plantillas | historial, colaboración y releases | Activo localmente |</w:t>
      </w:r>
    </w:p>
    <w:p>
      <w:pPr>
        <w:spacing w:after="20" w:line="240" w:lineRule="auto"/>
      </w:pPr>
      <w:r>
        <w:rPr>
          <w:rFonts w:ascii="Consolas" w:hAnsi="Consolas"/>
          <w:sz w:val="14"/>
        </w:rPr>
        <w:t>| GOEI-CI-0001 Validación continua | GOEI-GIT-0001 | Automatiza controles técnicos; no evalúa ciencia | validadores y pruebas del repositorio | Gobernanza técnica v0.1 | workflow GitHub Actions | pull requests y main | Activa; ejecuciones remotas conformes |</w:t>
      </w:r>
    </w:p>
    <w:p>
      <w:pPr>
        <w:spacing w:after="20" w:line="240" w:lineRule="auto"/>
      </w:pPr>
      <w:r>
        <w:rPr>
          <w:rFonts w:ascii="Consolas" w:hAnsi="Consolas"/>
          <w:sz w:val="14"/>
        </w:rPr>
        <w:t>| GOEI-GIT-HOOK-0001 Hooks Git versionados | GOEI-GIT-0001; GOEI-ISS-042 | Control compensatorio local; no reemplaza protección remota | validadores, pruebas y política Git | Gobernanza técnica v0.1 | hooks e instalador | commits y pushes locales | Activo |</w:t>
      </w:r>
    </w:p>
    <w:p>
      <w:pPr>
        <w:spacing w:after="20" w:line="240" w:lineRule="auto"/>
      </w:pPr>
      <w:r>
        <w:rPr>
          <w:rFonts w:ascii="Consolas" w:hAnsi="Consolas"/>
          <w:sz w:val="14"/>
        </w:rPr>
        <w:t>| GOEI-BIB-SCHEMA-0001 Esquema bibliográfico | GOEI-DIR-0002; requisitos de trazabilidad | Separa metadatos, custodia y juicio científico | Plan Maestro, Knowledge Graph y plantilla de fuente | Gobernanza técnica v0.1 | esquema humano | catálogo, tesis y publicaciones | Activo |</w:t>
      </w:r>
    </w:p>
    <w:p>
      <w:pPr>
        <w:spacing w:after="20" w:line="240" w:lineRule="auto"/>
      </w:pPr>
      <w:r>
        <w:rPr>
          <w:rFonts w:ascii="Consolas" w:hAnsi="Consolas"/>
          <w:sz w:val="14"/>
        </w:rPr>
        <w:t>| GOEI-BIB-0001 Catálogo bibliográfico | GOEI-BIB-SCHEMA-0001 | Registra fuentes; no admite afirmaciones por sí mismo | futuras fichas y expedientes científicos | PENDIENTE | JSON canónico | decisiones, BOK, tesis y publicaciones | Activo; vacío |</w:t>
      </w:r>
    </w:p>
    <w:p>
      <w:pPr>
        <w:spacing w:after="20" w:line="240" w:lineRule="auto"/>
      </w:pPr>
      <w:r>
        <w:rPr>
          <w:rFonts w:ascii="Consolas" w:hAnsi="Consolas"/>
          <w:sz w:val="14"/>
        </w:rPr>
        <w:t>| GOEI-TOOL-BIB-0001 Validador bibliográfico | GOEI-BIB-SCHEMA-0001 | Controla integridad; no interpreta literatura | catálogo y registro de decisiones | Gobernanza técnica v0.1 | script y pruebas | CI, tesis y publicación | Activo |</w:t>
      </w:r>
    </w:p>
    <w:p>
      <w:pPr>
        <w:spacing w:after="20" w:line="240" w:lineRule="auto"/>
      </w:pPr>
      <w:r>
        <w:rPr>
          <w:rFonts w:ascii="Consolas" w:hAnsi="Consolas"/>
          <w:sz w:val="14"/>
        </w:rPr>
        <w:t>| GOEI-KG-REGISTRY-0001 Proyección registral del Knowledge Graph | EPIC-001; GOEI-MM-0001; GOEI-KG-0001 | Exporta solo relaciones registradas; no resuelve GOEI-ISS-037 | registros de componentes, decisiones, Issues y trazabilidad | Gobernanza técnica v0.1 | JSON regenerable | navegación, auditoría y software futuro | Activa; no normativa |</w:t>
      </w:r>
    </w:p>
    <w:p>
      <w:pPr>
        <w:spacing w:after="20" w:line="240" w:lineRule="auto"/>
      </w:pPr>
      <w:r>
        <w:rPr>
          <w:rFonts w:ascii="Consolas" w:hAnsi="Consolas"/>
          <w:sz w:val="14"/>
        </w:rPr>
        <w:t>| GOEI-TOOL-KG-0001 Generador registral | GOEI-KG-REGISTRY-0001 | Transformación determinista sin inferencia | registros maestros | Gobernanza técnica v0.1 | script y modo check | CI y proyección JSON | Activo |</w:t>
      </w:r>
    </w:p>
    <w:p>
      <w:pPr>
        <w:spacing w:after="20" w:line="240" w:lineRule="auto"/>
      </w:pPr>
      <w:r>
        <w:rPr>
          <w:rFonts w:ascii="Consolas" w:hAnsi="Consolas"/>
          <w:sz w:val="14"/>
        </w:rPr>
        <w:t>| GOEI-TOOL-KG-0002 Consulta e impacto registral | GOEI-KG-REGISTRY-0001; reglas de navegación EPIC-001 | Navega aristas explícitas y conserva literales sin inferir | proyección JSON y sourceDocument de cada arista | Gobernanza técnica v0.1 | CLI y pruebas | análisis de impacto, auditoría y software futuro | Activo |</w:t>
      </w:r>
    </w:p>
    <w:p>
      <w:pPr>
        <w:spacing w:after="20" w:line="240" w:lineRule="auto"/>
      </w:pPr>
      <w:r>
        <w:rPr>
          <w:rFonts w:ascii="Consolas" w:hAnsi="Consolas"/>
          <w:sz w:val="14"/>
        </w:rPr>
        <w:t>| GOEI-SCI-D017-0001 Expediente científico D-017 | D-017; GOEI-DIR-RES-0001 | Responde B2; no modifica D-006 ni procesos | revisión B2, taxonomía candidata y fuentes declaradas | Taxonomy Baseline v0.1.0 | decisión científica | resolución, baseline, B3, BOK y KG | Ratificado con alcance limitado |</w:t>
      </w:r>
    </w:p>
    <w:p>
      <w:pPr>
        <w:spacing w:after="20" w:line="240" w:lineRule="auto"/>
      </w:pPr>
      <w:r>
        <w:rPr>
          <w:rFonts w:ascii="Consolas" w:hAnsi="Consolas"/>
          <w:sz w:val="14"/>
        </w:rPr>
        <w:t>| GOEI-AUDIT-0005 Auditoría D-017/B2 | GOEI-DIR-0004; contrato GOEI-SCI-QUEUE-0002 | Verifica suficiencia formal; no juzga ciencia | expediente D-017 y artefactos B2 | Gobernanza técnica v0.1 | dictamen técnico | resolución y promoción selectiva | Emitida; aceptable para decisión |</w:t>
      </w:r>
    </w:p>
    <w:p>
      <w:pPr>
        <w:spacing w:after="20" w:line="240" w:lineRule="auto"/>
      </w:pPr>
      <w:r>
        <w:rPr>
          <w:rFonts w:ascii="Consolas" w:hAnsi="Consolas"/>
          <w:sz w:val="14"/>
        </w:rPr>
        <w:t>| GOEI-DIR-RES-0002 Resolución D-017/B2 | GOEI-DIR-0004; D-017 | Ratifica estructura/facetas; excluye valores y multiunidad | GOEI-AUDIT-0005 y expediente científico | Taxonomy Baseline v0.1.0 | acto directivo | ISS-014/054, baseline, B3, BOK, KG y roadmap | Aprobada y vigente |</w:t>
      </w:r>
    </w:p>
    <w:p>
      <w:pPr>
        <w:spacing w:after="20" w:line="240" w:lineRule="auto"/>
      </w:pPr>
      <w:r>
        <w:rPr>
          <w:rFonts w:ascii="Consolas" w:hAnsi="Consolas"/>
          <w:sz w:val="14"/>
        </w:rPr>
        <w:t>| GOEI-BSL-TAX-0001 Taxonomy Baseline | D-017; GOEI-DIR-RES-0002 | Estructura facetada, unidad ordinaria y FX-1…FX-3; sin valores | expediente D-017, auditoría y resolución | Taxonomy Baseline v0.1.0 | configuración normativa temprana | B3/B4, GTRM, manuales, software, tesis y publicaciones | Congelada con reservas |</w:t>
      </w:r>
    </w:p>
    <w:p>
      <w:pPr>
        <w:spacing w:after="20" w:line="240" w:lineRule="auto"/>
      </w:pPr>
      <w:r>
        <w:rPr>
          <w:rFonts w:ascii="Consolas" w:hAnsi="Consolas"/>
          <w:sz w:val="14"/>
        </w:rPr>
        <w:t>| GOEI-HO-0002 Handoff B2 | D-017; GOEI-DIR-RES-0002 | Abre B3 sin crear KPI ni completar valores | baseline taxonómica e Issues 008/054 | Taxonomy Baseline v0.1.0 | comprobante de compuerta | B3, roadmap, BOK y estado | Integrado; B3 habilitada |</w:t>
      </w:r>
    </w:p>
    <w:p>
      <w:pPr>
        <w:spacing w:after="20" w:line="240" w:lineRule="auto"/>
      </w:pPr>
      <w:r>
        <w:rPr>
          <w:rFonts w:ascii="Consolas" w:hAnsi="Consolas"/>
          <w:sz w:val="14"/>
        </w:rPr>
        <w:t>| GOEI-SCI-D018-0001 Expediente científico D-018 | D-018; GOEI-DIR-RES-0002 | Responde B3; no aprueba KPI ni modifica baselines previas | revisión, catálogo, matriz y fuentes declaradas | KPI Candidate Catalog Baseline v0.1.0 | decisión científica | auditoría, resolución, baseline, B4, BOK y KG | Ratificado con alcance limitado |</w:t>
      </w:r>
    </w:p>
    <w:p>
      <w:pPr>
        <w:spacing w:after="20" w:line="240" w:lineRule="auto"/>
      </w:pPr>
      <w:r>
        <w:rPr>
          <w:rFonts w:ascii="Consolas" w:hAnsi="Consolas"/>
          <w:sz w:val="14"/>
        </w:rPr>
        <w:t>| GOEI-KPI-B3-REV-0001 Revisión científica B3 | D-018 | Documenta método y universo; no afirma exhaustividad | fuentes declaradas y baselines P1–P9/FX | KPI Candidate Catalog Baseline v0.1.0 | revisión científica | catálogo, matriz, Issues 055–058 y B4 | Congelada como evidencia |</w:t>
      </w:r>
    </w:p>
    <w:p>
      <w:pPr>
        <w:spacing w:after="20" w:line="240" w:lineRule="auto"/>
      </w:pPr>
      <w:r>
        <w:rPr>
          <w:rFonts w:ascii="Consolas" w:hAnsi="Consolas"/>
          <w:sz w:val="14"/>
        </w:rPr>
        <w:t>| GOEI-CAT-KPI-C-0001 Catálogo candidato B3 | D-018; GOEI-DIR-RES-0003 | 31 indicadores candidatos y C-032 contextual; sin KPI aprobado | fuentes por ficha, procesos, facetas y vacíos | KPI Candidate Catalog Baseline v0.1.0 | catálogo registral | matriz, B4, BOK, KG, tesis y publicaciones | Congelado; no normativo |</w:t>
      </w:r>
    </w:p>
    <w:p>
      <w:pPr>
        <w:spacing w:after="20" w:line="240" w:lineRule="auto"/>
      </w:pPr>
      <w:r>
        <w:rPr>
          <w:rFonts w:ascii="Consolas" w:hAnsi="Consolas"/>
          <w:sz w:val="14"/>
        </w:rPr>
        <w:t>| GOEI-MTZ-KPI-C-0001 Matriz de cobertura B3 | D-018; GOEI-DIR-RES-0003 | Cobertura no equivale a pertinencia o admisibilidad | catálogo, P1–P9, FX-1…FX-3 | KPI Candidate Catalog Baseline v0.1.0 | matriz registral | B4, Issues, BOK y KG | Congelada; no normativa |</w:t>
      </w:r>
    </w:p>
    <w:p>
      <w:pPr>
        <w:spacing w:after="20" w:line="240" w:lineRule="auto"/>
      </w:pPr>
      <w:r>
        <w:rPr>
          <w:rFonts w:ascii="Consolas" w:hAnsi="Consolas"/>
          <w:sz w:val="14"/>
        </w:rPr>
        <w:t>| GOEI-AUDIT-0006 Auditoría D-018/B3 | GOEI-DIR-0004; contrato B3 | Verifica suficiencia formal; no juzga ciencia | cuatro artefactos B3 y baselines previas | Gobernanza técnica v0.1 | dictamen técnico | resolución y promoción limitada | Emitida; aceptable para decisión |</w:t>
      </w:r>
    </w:p>
    <w:p>
      <w:pPr>
        <w:spacing w:after="20" w:line="240" w:lineRule="auto"/>
      </w:pPr>
      <w:r>
        <w:rPr>
          <w:rFonts w:ascii="Consolas" w:hAnsi="Consolas"/>
          <w:sz w:val="14"/>
        </w:rPr>
        <w:t>| GOEI-DIR-RES-0003 Resolución D-018/B3 | GOEI-DIR-0004; D-018 | Ratifica universo registral; excluye C-032 de cola KPI | GOEI-AUDIT-0006 y expediente científico | KPI Candidate Catalog Baseline v0.1.0 | acto directivo | ISS-055–058, baseline, B4, BOK, KG y roadmap | Aprobada y vigente |</w:t>
      </w:r>
    </w:p>
    <w:p>
      <w:pPr>
        <w:spacing w:after="20" w:line="240" w:lineRule="auto"/>
      </w:pPr>
      <w:r>
        <w:rPr>
          <w:rFonts w:ascii="Consolas" w:hAnsi="Consolas"/>
          <w:sz w:val="14"/>
        </w:rPr>
        <w:t>| GOEI-BSL-KPI-C-0001 KPI Candidate Catalog Baseline | D-018; GOEI-DIR-RES-0003 | Congela 31 candidatos; no aprueba KPI | revisión, catálogo, matriz, handoff y checksums | KPI Candidate Catalog Baseline v0.1.0 | configuración candidata | B4, B5 futuro, BOK, KG, tesis y publicaciones | Congelada; no normativa |</w:t>
      </w:r>
    </w:p>
    <w:p>
      <w:pPr>
        <w:spacing w:after="20" w:line="240" w:lineRule="auto"/>
      </w:pPr>
      <w:r>
        <w:rPr>
          <w:rFonts w:ascii="Consolas" w:hAnsi="Consolas"/>
          <w:sz w:val="14"/>
        </w:rPr>
        <w:t>| GOEI-HO-0003 Handoff B3 | D-018; GOEI-DIR-RES-0003 | Abre B4 con 31 candidatos; excluye C-032 contextual | baseline candidata e Issues 008/015/043/054/055–058 | KPI Candidate Catalog Baseline v0.1.0 | comprobante de compuerta | B4, roadmap, BOK y estado | Integrado; B4 habilitada |</w:t>
      </w:r>
    </w:p>
    <w:p>
      <w:pPr>
        <w:spacing w:after="40"/>
      </w:pPr>
    </w:p>
    <w:p>
      <w:pPr>
        <w:pStyle w:val="Heading3"/>
      </w:pPr>
      <w:r>
        <w:t>Regla de mantenimiento</w:t>
      </w:r>
    </w:p>
    <w:p>
      <w:pPr>
        <w:spacing w:after="40"/>
      </w:pPr>
    </w:p>
    <w:p>
      <w:r>
        <w:t>Cada nuevo componente agrega una fila antes de promoverse. Cuando una decisión cambie, se localizan sus filas y se revisan todos los dependientes antes de asignar una nueva versión GOEI.</w:t>
      </w:r>
    </w:p>
    <w:p>
      <w:r>
        <w:br w:type="page"/>
      </w:r>
    </w:p>
    <w:p>
      <w:pPr>
        <w:pStyle w:val="Heading1"/>
        <w:keepNext/>
      </w:pPr>
      <w:r>
        <w:t>Fuente 67: 00_Gobernanza/Oficina_Tecnica_GOEI.md</w:t>
      </w:r>
    </w:p>
    <w:p>
      <w:pPr>
        <w:spacing w:after="200"/>
      </w:pPr>
      <w:r>
        <w:rPr>
          <w:rFonts w:ascii="Consolas" w:hAnsi="Consolas"/>
          <w:color w:val="595959"/>
          <w:sz w:val="16"/>
        </w:rPr>
        <w:t>Ruta: 00_Gobernanza/Oficina_Tecnica_GOEI.md</w:t>
        <w:br/>
        <w:t>Tamaño: 7054 bytes</w:t>
        <w:br/>
        <w:t>SHA-256: 871bd5f3ae5140f686781793197e8eba9a80c28519569a7455cf713943272496</w:t>
      </w:r>
    </w:p>
    <w:p>
      <w:pPr>
        <w:pStyle w:val="Heading2"/>
      </w:pPr>
      <w:r>
        <w:t>GOEI Technical Office — Carta de Mandato</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GOEI-GOV-TO-0001 |</w:t>
      </w:r>
    </w:p>
    <w:p>
      <w:pPr>
        <w:spacing w:after="20" w:line="240" w:lineRule="auto"/>
      </w:pPr>
      <w:r>
        <w:rPr>
          <w:rFonts w:ascii="Consolas" w:hAnsi="Consolas"/>
          <w:sz w:val="14"/>
        </w:rPr>
        <w:t>| Nombre oficial | GOEI Technical Office / Oficina Técnica GOEI |</w:t>
      </w:r>
    </w:p>
    <w:p>
      <w:pPr>
        <w:spacing w:after="20" w:line="240" w:lineRule="auto"/>
      </w:pPr>
      <w:r>
        <w:rPr>
          <w:rFonts w:ascii="Consolas" w:hAnsi="Consolas"/>
          <w:sz w:val="14"/>
        </w:rPr>
        <w:t>| Responsable | Codex |</w:t>
      </w:r>
    </w:p>
    <w:p>
      <w:pPr>
        <w:spacing w:after="20" w:line="240" w:lineRule="auto"/>
      </w:pPr>
      <w:r>
        <w:rPr>
          <w:rFonts w:ascii="Consolas" w:hAnsi="Consolas"/>
          <w:sz w:val="14"/>
        </w:rPr>
        <w:t>| Estado | Vigente como mandato técnico |</w:t>
      </w:r>
    </w:p>
    <w:p>
      <w:pPr>
        <w:spacing w:after="20" w:line="240" w:lineRule="auto"/>
      </w:pPr>
      <w:r>
        <w:rPr>
          <w:rFonts w:ascii="Consolas" w:hAnsi="Consolas"/>
          <w:sz w:val="14"/>
        </w:rPr>
        <w:t>| Versión | 0.1.0 |</w:t>
      </w:r>
    </w:p>
    <w:p>
      <w:pPr>
        <w:spacing w:after="20" w:line="240" w:lineRule="auto"/>
      </w:pPr>
      <w:r>
        <w:rPr>
          <w:rFonts w:ascii="Consolas" w:hAnsi="Consolas"/>
          <w:sz w:val="14"/>
        </w:rPr>
        <w:t>| Autoridad de origen | GOEI-DIR-0001 |</w:t>
      </w:r>
    </w:p>
    <w:p>
      <w:pPr>
        <w:spacing w:after="20" w:line="240" w:lineRule="auto"/>
      </w:pPr>
      <w:r>
        <w:rPr>
          <w:rFonts w:ascii="Consolas" w:hAnsi="Consolas"/>
          <w:sz w:val="14"/>
        </w:rPr>
        <w:t>| Fuente institucional | GOEI Research Master Plan v1.0 e instrucción complementaria de Dirección General |</w:t>
      </w:r>
    </w:p>
    <w:p>
      <w:pPr>
        <w:spacing w:after="20" w:line="240" w:lineRule="auto"/>
      </w:pPr>
      <w:r>
        <w:rPr>
          <w:rFonts w:ascii="Consolas" w:hAnsi="Consolas"/>
          <w:sz w:val="14"/>
        </w:rPr>
        <w:t>| Naturaleza | Gobernanza técnica; no científica |</w:t>
      </w:r>
    </w:p>
    <w:p>
      <w:pPr>
        <w:spacing w:after="40"/>
      </w:pPr>
    </w:p>
    <w:p>
      <w:pPr>
        <w:pStyle w:val="Heading3"/>
      </w:pPr>
      <w:r>
        <w:t>1. Posición institucional</w:t>
      </w:r>
    </w:p>
    <w:p>
      <w:pPr>
        <w:spacing w:after="40"/>
      </w:pPr>
    </w:p>
    <w:p>
      <w:pPr>
        <w:spacing w:after="20" w:line="240" w:lineRule="auto"/>
        <w:ind w:left="259"/>
      </w:pPr>
      <w:r>
        <w:rPr>
          <w:rFonts w:ascii="Consolas" w:hAnsi="Consolas"/>
          <w:sz w:val="15"/>
        </w:rPr>
        <w:t>flowchart TB</w:t>
      </w:r>
    </w:p>
    <w:p>
      <w:pPr>
        <w:spacing w:after="20" w:line="240" w:lineRule="auto"/>
        <w:ind w:left="259"/>
      </w:pPr>
      <w:r>
        <w:rPr>
          <w:rFonts w:ascii="Consolas" w:hAnsi="Consolas"/>
          <w:sz w:val="15"/>
        </w:rPr>
        <w:t xml:space="preserve">    DG["Director General&lt;br/&gt;Pablo Toledo Salinas"] --&gt; CD["Comité Directivo GOEI&lt;br/&gt;mandato pendiente de definición"]</w:t>
      </w:r>
    </w:p>
    <w:p>
      <w:pPr>
        <w:spacing w:after="20" w:line="240" w:lineRule="auto"/>
        <w:ind w:left="259"/>
      </w:pPr>
      <w:r>
        <w:rPr>
          <w:rFonts w:ascii="Consolas" w:hAnsi="Consolas"/>
          <w:sz w:val="15"/>
        </w:rPr>
        <w:t xml:space="preserve">    CD --&gt; CC["Comité Científico&lt;br/&gt;Claude"]</w:t>
      </w:r>
    </w:p>
    <w:p>
      <w:pPr>
        <w:spacing w:after="20" w:line="240" w:lineRule="auto"/>
        <w:ind w:left="259"/>
      </w:pPr>
      <w:r>
        <w:rPr>
          <w:rFonts w:ascii="Consolas" w:hAnsi="Consolas"/>
          <w:sz w:val="15"/>
        </w:rPr>
        <w:t xml:space="preserve">    CD --&gt; OT["Oficina Técnica&lt;br/&gt;Codex"]</w:t>
      </w:r>
    </w:p>
    <w:p>
      <w:pPr>
        <w:spacing w:after="20" w:line="240" w:lineRule="auto"/>
        <w:ind w:left="259"/>
      </w:pPr>
      <w:r>
        <w:rPr>
          <w:rFonts w:ascii="Consolas" w:hAnsi="Consolas"/>
          <w:sz w:val="15"/>
        </w:rPr>
        <w:t xml:space="preserve">    CC --&gt;|conocimiento y decisiones científicas| GF["GOEI Framework"]</w:t>
      </w:r>
    </w:p>
    <w:p>
      <w:pPr>
        <w:spacing w:after="20" w:line="240" w:lineRule="auto"/>
        <w:ind w:left="259"/>
      </w:pPr>
      <w:r>
        <w:rPr>
          <w:rFonts w:ascii="Consolas" w:hAnsi="Consolas"/>
          <w:sz w:val="15"/>
        </w:rPr>
        <w:t xml:space="preserve">    OT --&gt;|implementación controlada| GF</w:t>
      </w:r>
    </w:p>
    <w:p>
      <w:pPr>
        <w:spacing w:after="40"/>
      </w:pPr>
    </w:p>
    <w:p>
      <w:r>
        <w:t>La posición y autoridad detallada del Comité Directivo permanece bloqueada por GOEI-ISS-027. La relación de la Dirección Metodológica del Master Plan v1.0 con este organigrama permanece bloqueada por GOEI-ISS-028.</w:t>
      </w:r>
    </w:p>
    <w:p>
      <w:pPr>
        <w:spacing w:after="40"/>
      </w:pPr>
    </w:p>
    <w:p>
      <w:pPr>
        <w:pStyle w:val="Heading3"/>
      </w:pPr>
      <w:r>
        <w:t>2. Misión</w:t>
      </w:r>
    </w:p>
    <w:p>
      <w:pPr>
        <w:spacing w:after="40"/>
      </w:pPr>
    </w:p>
    <w:p>
      <w:r>
        <w:t>Administrar técnicamente todo el ciclo de vida del conocimiento del GOEI, transformando decisiones científicas aprobadas en componentes controlados del estándar y preservando integridad documental, trazabilidad, configuración, versiones y arquitectura global.</w:t>
      </w:r>
    </w:p>
    <w:p>
      <w:pPr>
        <w:spacing w:after="40"/>
      </w:pPr>
    </w:p>
    <w:p>
      <w:pPr>
        <w:pStyle w:val="Heading3"/>
      </w:pPr>
      <w:r>
        <w:t>3. Principio de separación</w:t>
      </w:r>
    </w:p>
    <w:p>
      <w:pPr>
        <w:spacing w:after="40"/>
      </w:pPr>
    </w:p>
    <w:p>
      <w:pPr>
        <w:spacing w:after="20" w:line="240" w:lineRule="auto"/>
        <w:ind w:left="259"/>
      </w:pPr>
      <w:r>
        <w:rPr>
          <w:rFonts w:ascii="Consolas" w:hAnsi="Consolas"/>
          <w:sz w:val="15"/>
        </w:rPr>
        <w:t>Comité Científico  → produce conocimiento y decisiones científicas</w:t>
      </w:r>
    </w:p>
    <w:p>
      <w:pPr>
        <w:spacing w:after="20" w:line="240" w:lineRule="auto"/>
        <w:ind w:left="259"/>
      </w:pPr>
      <w:r>
        <w:rPr>
          <w:rFonts w:ascii="Consolas" w:hAnsi="Consolas"/>
          <w:sz w:val="15"/>
        </w:rPr>
        <w:t>Dirección General → aprueba estrategia, decisiones, versiones y publicaciones</w:t>
      </w:r>
    </w:p>
    <w:p>
      <w:pPr>
        <w:spacing w:after="20" w:line="240" w:lineRule="auto"/>
        <w:ind w:left="259"/>
      </w:pPr>
      <w:r>
        <w:rPr>
          <w:rFonts w:ascii="Consolas" w:hAnsi="Consolas"/>
          <w:sz w:val="15"/>
        </w:rPr>
        <w:t>Oficina Técnica   → registra, implementa, integra, verifica y publica técnicamente</w:t>
      </w:r>
    </w:p>
    <w:p>
      <w:pPr>
        <w:spacing w:after="40"/>
      </w:pPr>
    </w:p>
    <w:p>
      <w:r>
        <w:t>Registrar una decisión no significa tomarla. Congelar una versión no significa aprobar científicamente su contenido. Crear una release no significa autorizar su publicación estratégica.</w:t>
      </w:r>
    </w:p>
    <w:p>
      <w:pPr>
        <w:spacing w:after="40"/>
      </w:pPr>
    </w:p>
    <w:p>
      <w:pPr>
        <w:pStyle w:val="Heading3"/>
      </w:pPr>
      <w:r>
        <w:t>4. Responsabilidades</w:t>
      </w:r>
    </w:p>
    <w:p>
      <w:pPr>
        <w:spacing w:after="40"/>
      </w:pPr>
    </w:p>
    <w:p>
      <w:pPr>
        <w:pStyle w:val="Heading4"/>
      </w:pPr>
      <w:r>
        <w:t>4.1 Arquitectura y conocimiento</w:t>
      </w:r>
    </w:p>
    <w:p>
      <w:pPr>
        <w:spacing w:after="40"/>
      </w:pPr>
    </w:p>
    <w:p>
      <w:pPr>
        <w:pStyle w:val="ListBullet"/>
      </w:pPr>
      <w:r>
        <w:t>arquitectura documental y global;</w:t>
      </w:r>
    </w:p>
    <w:p>
      <w:pPr>
        <w:pStyle w:val="ListBullet"/>
      </w:pPr>
      <w:r>
        <w:t>Knowledge Graph y MetaModel;</w:t>
      </w:r>
    </w:p>
    <w:p>
      <w:pPr>
        <w:pStyle w:val="ListBullet"/>
      </w:pPr>
      <w:r>
        <w:t>ontología implementada, sin alterar la ontología científica;</w:t>
      </w:r>
    </w:p>
    <w:p>
      <w:pPr>
        <w:pStyle w:val="ListBullet"/>
      </w:pPr>
      <w:r>
        <w:t>UML, BPMN y diagramas;</w:t>
      </w:r>
    </w:p>
    <w:p>
      <w:pPr>
        <w:pStyle w:val="ListBullet"/>
      </w:pPr>
      <w:r>
        <w:t>GOEI Constitution, Framework y Body of Knowledge;</w:t>
      </w:r>
    </w:p>
    <w:p>
      <w:pPr>
        <w:pStyle w:val="ListBullet"/>
      </w:pPr>
      <w:r>
        <w:t>integración de componentes y gestión de dependencias.</w:t>
      </w:r>
    </w:p>
    <w:p>
      <w:pPr>
        <w:spacing w:after="40"/>
      </w:pPr>
    </w:p>
    <w:p>
      <w:pPr>
        <w:pStyle w:val="Heading4"/>
      </w:pPr>
      <w:r>
        <w:t>4.2 Configuración y ciclo de vida</w:t>
      </w:r>
    </w:p>
    <w:p>
      <w:pPr>
        <w:spacing w:after="40"/>
      </w:pPr>
    </w:p>
    <w:p>
      <w:pPr>
        <w:pStyle w:val="ListBullet"/>
      </w:pPr>
      <w:r>
        <w:t>gestión documental y de configuración;</w:t>
      </w:r>
    </w:p>
    <w:p>
      <w:pPr>
        <w:pStyle w:val="ListBullet"/>
      </w:pPr>
      <w:r>
        <w:t>control de versiones y cambios;</w:t>
      </w:r>
    </w:p>
    <w:p>
      <w:pPr>
        <w:pStyle w:val="ListBullet"/>
      </w:pPr>
      <w:r>
        <w:t>baselines, releases y CHANGELOG;</w:t>
      </w:r>
    </w:p>
    <w:p>
      <w:pPr>
        <w:pStyle w:val="ListBullet"/>
      </w:pPr>
      <w:r>
        <w:t>Git y repositorio oficial;</w:t>
      </w:r>
    </w:p>
    <w:p>
      <w:pPr>
        <w:pStyle w:val="ListBullet"/>
      </w:pPr>
      <w:r>
        <w:t>historial, compatibilidad y migraciones;</w:t>
      </w:r>
    </w:p>
    <w:p>
      <w:pPr>
        <w:pStyle w:val="ListBullet"/>
      </w:pPr>
      <w:r>
        <w:t>roadmap técnico y estado del proyecto.</w:t>
      </w:r>
    </w:p>
    <w:p>
      <w:pPr>
        <w:spacing w:after="40"/>
      </w:pPr>
    </w:p>
    <w:p>
      <w:pPr>
        <w:pStyle w:val="Heading4"/>
      </w:pPr>
      <w:r>
        <w:t>4.3 Registros maestros</w:t>
      </w:r>
    </w:p>
    <w:p>
      <w:pPr>
        <w:spacing w:after="40"/>
      </w:pPr>
    </w:p>
    <w:p>
      <w:pPr>
        <w:pStyle w:val="ListBullet"/>
      </w:pPr>
      <w:r>
        <w:t>componentes;</w:t>
      </w:r>
    </w:p>
    <w:p>
      <w:pPr>
        <w:pStyle w:val="ListBullet"/>
      </w:pPr>
      <w:r>
        <w:t>decisiones, únicamente como custodia y transcripción fiel;</w:t>
      </w:r>
    </w:p>
    <w:p>
      <w:pPr>
        <w:pStyle w:val="ListBullet"/>
      </w:pPr>
      <w:r>
        <w:t>Issues y preguntas abiertas;</w:t>
      </w:r>
    </w:p>
    <w:p>
      <w:pPr>
        <w:pStyle w:val="ListBullet"/>
      </w:pPr>
      <w:r>
        <w:t>cambios y releases;</w:t>
      </w:r>
    </w:p>
    <w:p>
      <w:pPr>
        <w:pStyle w:val="ListBullet"/>
      </w:pPr>
      <w:r>
        <w:t>trazabilidad y dependencias;</w:t>
      </w:r>
    </w:p>
    <w:p>
      <w:pPr>
        <w:pStyle w:val="ListBullet"/>
      </w:pPr>
      <w:r>
        <w:t>auditorías documentales y hallazgos técnicos.</w:t>
      </w:r>
    </w:p>
    <w:p>
      <w:pPr>
        <w:spacing w:after="40"/>
      </w:pPr>
    </w:p>
    <w:p>
      <w:pPr>
        <w:pStyle w:val="Heading4"/>
      </w:pPr>
      <w:r>
        <w:t>4.4 Productos técnicos</w:t>
      </w:r>
    </w:p>
    <w:p>
      <w:pPr>
        <w:spacing w:after="40"/>
      </w:pPr>
    </w:p>
    <w:p>
      <w:pPr>
        <w:pStyle w:val="ListBullet"/>
      </w:pPr>
      <w:r>
        <w:t>manuales y plantillas derivados de componentes aprobados;</w:t>
      </w:r>
    </w:p>
    <w:p>
      <w:pPr>
        <w:pStyle w:val="ListBullet"/>
      </w:pPr>
      <w:r>
        <w:t>documentación técnica;</w:t>
      </w:r>
    </w:p>
    <w:p>
      <w:pPr>
        <w:pStyle w:val="ListBullet"/>
      </w:pPr>
      <w:r>
        <w:t>modelos y diagramas técnicos;</w:t>
      </w:r>
    </w:p>
    <w:p>
      <w:pPr>
        <w:pStyle w:val="ListBullet"/>
      </w:pPr>
      <w:r>
        <w:t>formularios derivados, cuando exista contenido aprobado;</w:t>
      </w:r>
    </w:p>
    <w:p>
      <w:pPr>
        <w:pStyle w:val="ListBullet"/>
      </w:pPr>
      <w:r>
        <w:t>informes de consistencia, impacto y configuración.</w:t>
      </w:r>
    </w:p>
    <w:p>
      <w:pPr>
        <w:spacing w:after="40"/>
      </w:pPr>
    </w:p>
    <w:p>
      <w:pPr>
        <w:pStyle w:val="Heading3"/>
      </w:pPr>
      <w:r>
        <w:t>5. Facultades</w:t>
      </w:r>
    </w:p>
    <w:p>
      <w:pPr>
        <w:spacing w:after="40"/>
      </w:pPr>
    </w:p>
    <w:p>
      <w:r>
        <w:t>La Oficina Técnica puede:</w:t>
      </w:r>
    </w:p>
    <w:p>
      <w:pPr>
        <w:spacing w:after="40"/>
      </w:pPr>
    </w:p>
    <w:p>
      <w:pPr>
        <w:pStyle w:val="ListBullet"/>
      </w:pPr>
      <w:r>
        <w:t>organizar y reorganizar documentación preservando historial;</w:t>
      </w:r>
    </w:p>
    <w:p>
      <w:pPr>
        <w:pStyle w:val="ListBullet"/>
      </w:pPr>
      <w:r>
        <w:t>detectar inconsistencias técnicas;</w:t>
      </w:r>
    </w:p>
    <w:p>
      <w:pPr>
        <w:pStyle w:val="ListBullet"/>
      </w:pPr>
      <w:r>
        <w:t>proponer mejoras arquitectónicas, claramente no científicas;</w:t>
      </w:r>
    </w:p>
    <w:p>
      <w:pPr>
        <w:pStyle w:val="ListBullet"/>
      </w:pPr>
      <w:r>
        <w:t>mantener trazabilidad, repositorio y registros;</w:t>
      </w:r>
    </w:p>
    <w:p>
      <w:pPr>
        <w:pStyle w:val="ListBullet"/>
      </w:pPr>
      <w:r>
        <w:t>registrar decisiones emitidas por la autoridad competente;</w:t>
      </w:r>
    </w:p>
    <w:p>
      <w:pPr>
        <w:pStyle w:val="ListBullet"/>
      </w:pPr>
      <w:r>
        <w:t>congelar baselines técnicamente autorizadas;</w:t>
      </w:r>
    </w:p>
    <w:p>
      <w:pPr>
        <w:pStyle w:val="ListBullet"/>
      </w:pPr>
      <w:r>
        <w:t>preparar y crear releases después de la aprobación requerida;</w:t>
      </w:r>
    </w:p>
    <w:p>
      <w:pPr>
        <w:pStyle w:val="ListBullet"/>
      </w:pPr>
      <w:r>
        <w:t>construir modelos técnicos;</w:t>
      </w:r>
    </w:p>
    <w:p>
      <w:pPr>
        <w:pStyle w:val="ListBullet"/>
      </w:pPr>
      <w:r>
        <w:t>mantener Knowledge Graph, diagramas, manuales y estado del proyecto;</w:t>
      </w:r>
    </w:p>
    <w:p>
      <w:pPr>
        <w:pStyle w:val="ListBullet"/>
      </w:pPr>
      <w:r>
        <w:t>realizar análisis de impacto y auditoría documental;</w:t>
      </w:r>
    </w:p>
    <w:p>
      <w:pPr>
        <w:pStyle w:val="ListBullet"/>
      </w:pPr>
      <w:r>
        <w:t>abrir Issues y bloquear selectivamente componentes.</w:t>
      </w:r>
    </w:p>
    <w:p>
      <w:pPr>
        <w:spacing w:after="40"/>
      </w:pPr>
    </w:p>
    <w:p>
      <w:pPr>
        <w:pStyle w:val="Heading3"/>
      </w:pPr>
      <w:r>
        <w:t>6. Prohibiciones absolutas</w:t>
      </w:r>
    </w:p>
    <w:p>
      <w:pPr>
        <w:spacing w:after="40"/>
      </w:pPr>
    </w:p>
    <w:p>
      <w:r>
        <w:t>La Oficina Técnica no puede:</w:t>
      </w:r>
    </w:p>
    <w:p>
      <w:pPr>
        <w:spacing w:after="40"/>
      </w:pPr>
    </w:p>
    <w:p>
      <w:pPr>
        <w:pStyle w:val="ListBullet"/>
      </w:pPr>
      <w:r>
        <w:t>realizar investigación científica o interpretar literatura;</w:t>
      </w:r>
    </w:p>
    <w:p>
      <w:pPr>
        <w:pStyle w:val="ListBullet"/>
      </w:pPr>
      <w:r>
        <w:t>crear teoría, KPI, fórmulas o ponderaciones;</w:t>
      </w:r>
    </w:p>
    <w:p>
      <w:pPr>
        <w:pStyle w:val="ListBullet"/>
      </w:pPr>
      <w:r>
        <w:t>responder preguntas metodológicas;</w:t>
      </w:r>
    </w:p>
    <w:p>
      <w:pPr>
        <w:pStyle w:val="ListBullet"/>
      </w:pPr>
      <w:r>
        <w:t>modificar decisiones científicas;</w:t>
      </w:r>
    </w:p>
    <w:p>
      <w:pPr>
        <w:pStyle w:val="ListBullet"/>
      </w:pPr>
      <w:r>
        <w:t>cerrar investigaciones;</w:t>
      </w:r>
    </w:p>
    <w:p>
      <w:pPr>
        <w:pStyle w:val="ListBullet"/>
      </w:pPr>
      <w:r>
        <w:t>aprobar versiones científicas;</w:t>
      </w:r>
    </w:p>
    <w:p>
      <w:pPr>
        <w:pStyle w:val="ListBullet"/>
      </w:pPr>
      <w:r>
        <w:t>transformar una recomendación técnica en decisión científica;</w:t>
      </w:r>
    </w:p>
    <w:p>
      <w:pPr>
        <w:pStyle w:val="ListBullet"/>
      </w:pPr>
      <w:r>
        <w:t>completar vacíos científicos por inferencia.</w:t>
      </w:r>
    </w:p>
    <w:p>
      <w:pPr>
        <w:spacing w:after="40"/>
      </w:pPr>
    </w:p>
    <w:p>
      <w:pPr>
        <w:pStyle w:val="Heading3"/>
      </w:pPr>
      <w:r>
        <w:t>7. Flujo operativo obligatorio</w:t>
      </w:r>
    </w:p>
    <w:p>
      <w:pPr>
        <w:spacing w:after="40"/>
      </w:pPr>
    </w:p>
    <w:p>
      <w:pPr>
        <w:spacing w:after="20" w:line="240" w:lineRule="auto"/>
        <w:ind w:left="259"/>
      </w:pPr>
      <w:r>
        <w:rPr>
          <w:rFonts w:ascii="Consolas" w:hAnsi="Consolas"/>
          <w:sz w:val="15"/>
        </w:rPr>
        <w:t>Decisión científica aprobada</w:t>
      </w:r>
    </w:p>
    <w:p>
      <w:pPr>
        <w:spacing w:after="20" w:line="240" w:lineRule="auto"/>
        <w:ind w:left="259"/>
      </w:pPr>
      <w:r>
        <w:rPr>
          <w:rFonts w:ascii="Consolas" w:hAnsi="Consolas"/>
          <w:sz w:val="15"/>
        </w:rPr>
        <w:t xml:space="preserve">  → registro y verificación de autoridad</w:t>
      </w:r>
    </w:p>
    <w:p>
      <w:pPr>
        <w:spacing w:after="20" w:line="240" w:lineRule="auto"/>
        <w:ind w:left="259"/>
      </w:pPr>
      <w:r>
        <w:rPr>
          <w:rFonts w:ascii="Consolas" w:hAnsi="Consolas"/>
          <w:sz w:val="15"/>
        </w:rPr>
        <w:t xml:space="preserve">  → análisis de impacto</w:t>
      </w:r>
    </w:p>
    <w:p>
      <w:pPr>
        <w:spacing w:after="20" w:line="240" w:lineRule="auto"/>
        <w:ind w:left="259"/>
      </w:pPr>
      <w:r>
        <w:rPr>
          <w:rFonts w:ascii="Consolas" w:hAnsi="Consolas"/>
          <w:sz w:val="15"/>
        </w:rPr>
        <w:t xml:space="preserve">  → diseño técnico derivado</w:t>
      </w:r>
    </w:p>
    <w:p>
      <w:pPr>
        <w:spacing w:after="20" w:line="240" w:lineRule="auto"/>
        <w:ind w:left="259"/>
      </w:pPr>
      <w:r>
        <w:rPr>
          <w:rFonts w:ascii="Consolas" w:hAnsi="Consolas"/>
          <w:sz w:val="15"/>
        </w:rPr>
        <w:t xml:space="preserve">  → revisión de correspondencia</w:t>
      </w:r>
    </w:p>
    <w:p>
      <w:pPr>
        <w:spacing w:after="20" w:line="240" w:lineRule="auto"/>
        <w:ind w:left="259"/>
      </w:pPr>
      <w:r>
        <w:rPr>
          <w:rFonts w:ascii="Consolas" w:hAnsi="Consolas"/>
          <w:sz w:val="15"/>
        </w:rPr>
        <w:t xml:space="preserve">  → integración de componente</w:t>
      </w:r>
    </w:p>
    <w:p>
      <w:pPr>
        <w:spacing w:after="20" w:line="240" w:lineRule="auto"/>
        <w:ind w:left="259"/>
      </w:pPr>
      <w:r>
        <w:rPr>
          <w:rFonts w:ascii="Consolas" w:hAnsi="Consolas"/>
          <w:sz w:val="15"/>
        </w:rPr>
        <w:t xml:space="preserve">  → actualización del Knowledge Graph y trazabilidad</w:t>
      </w:r>
    </w:p>
    <w:p>
      <w:pPr>
        <w:spacing w:after="20" w:line="240" w:lineRule="auto"/>
        <w:ind w:left="259"/>
      </w:pPr>
      <w:r>
        <w:rPr>
          <w:rFonts w:ascii="Consolas" w:hAnsi="Consolas"/>
          <w:sz w:val="15"/>
        </w:rPr>
        <w:t xml:space="preserve">  → baseline técnica</w:t>
      </w:r>
    </w:p>
    <w:p>
      <w:pPr>
        <w:spacing w:after="20" w:line="240" w:lineRule="auto"/>
        <w:ind w:left="259"/>
      </w:pPr>
      <w:r>
        <w:rPr>
          <w:rFonts w:ascii="Consolas" w:hAnsi="Consolas"/>
          <w:sz w:val="15"/>
        </w:rPr>
        <w:t xml:space="preserve">  → aprobación de versión por autoridad</w:t>
      </w:r>
    </w:p>
    <w:p>
      <w:pPr>
        <w:spacing w:after="20" w:line="240" w:lineRule="auto"/>
        <w:ind w:left="259"/>
      </w:pPr>
      <w:r>
        <w:rPr>
          <w:rFonts w:ascii="Consolas" w:hAnsi="Consolas"/>
          <w:sz w:val="15"/>
        </w:rPr>
        <w:t xml:space="preserve">  → release y CHANGELOG</w:t>
      </w:r>
    </w:p>
    <w:p>
      <w:pPr>
        <w:spacing w:after="40"/>
      </w:pPr>
    </w:p>
    <w:p>
      <w:r>
        <w:t>Ninguna etapa técnica puede sustituir la aprobación científica o directiva que corresponda.</w:t>
      </w:r>
    </w:p>
    <w:p>
      <w:pPr>
        <w:spacing w:after="40"/>
      </w:pPr>
    </w:p>
    <w:p>
      <w:pPr>
        <w:pStyle w:val="Heading3"/>
      </w:pPr>
      <w:r>
        <w:t>8. Dependencia científica no resuelta</w:t>
      </w:r>
    </w:p>
    <w:p>
      <w:pPr>
        <w:spacing w:after="40"/>
      </w:pPr>
    </w:p>
    <w:p>
      <w:r>
        <w:t>Cuando se detecta un vacío:</w:t>
      </w:r>
    </w:p>
    <w:p>
      <w:pPr>
        <w:spacing w:after="40"/>
      </w:pPr>
    </w:p>
    <w:p>
      <w:pPr>
        <w:pStyle w:val="ListNumber"/>
      </w:pPr>
      <w:r>
        <w:t>crear GOEI-ISS-NNNN;</w:t>
      </w:r>
    </w:p>
    <w:p>
      <w:pPr>
        <w:pStyle w:val="ListNumber"/>
      </w:pPr>
      <w:r>
        <w:t>formular la dependencia exacta sin proponer respuesta científica;</w:t>
      </w:r>
    </w:p>
    <w:p>
      <w:pPr>
        <w:pStyle w:val="ListNumber"/>
      </w:pPr>
      <w:r>
        <w:t>identificar elementos y relaciones bloqueados;</w:t>
      </w:r>
    </w:p>
    <w:p>
      <w:pPr>
        <w:pStyle w:val="ListNumber"/>
      </w:pPr>
      <w:r>
        <w:t>documentar impacto y autoridad requerida;</w:t>
      </w:r>
    </w:p>
    <w:p>
      <w:pPr>
        <w:pStyle w:val="ListNumber"/>
      </w:pPr>
      <w:r>
        <w:t>detener solo el subgrafo dependiente;</w:t>
      </w:r>
    </w:p>
    <w:p>
      <w:pPr>
        <w:pStyle w:val="ListNumber"/>
      </w:pPr>
      <w:r>
        <w:t>continuar las ramas independientes;</w:t>
      </w:r>
    </w:p>
    <w:p>
      <w:pPr>
        <w:pStyle w:val="ListNumber"/>
      </w:pPr>
      <w:r>
        <w:t>reanudar únicamente tras resolución formal y verificable.</w:t>
      </w:r>
    </w:p>
    <w:p>
      <w:pPr>
        <w:spacing w:after="40"/>
      </w:pPr>
    </w:p>
    <w:p>
      <w:pPr>
        <w:pStyle w:val="Heading3"/>
      </w:pPr>
      <w:r>
        <w:t>9. Matriz de autoridad</w:t>
      </w:r>
    </w:p>
    <w:p>
      <w:pPr>
        <w:spacing w:after="40"/>
      </w:pPr>
    </w:p>
    <w:p>
      <w:pPr>
        <w:spacing w:after="20" w:line="240" w:lineRule="auto"/>
      </w:pPr>
      <w:r>
        <w:rPr>
          <w:rFonts w:ascii="Consolas" w:hAnsi="Consolas"/>
          <w:sz w:val="14"/>
        </w:rPr>
        <w:t>| Acción | Oficina Técnica | Comité Científico | Dirección General |</w:t>
      </w:r>
    </w:p>
    <w:p>
      <w:pPr>
        <w:spacing w:after="20" w:line="240" w:lineRule="auto"/>
      </w:pPr>
      <w:r>
        <w:rPr>
          <w:rFonts w:ascii="Consolas" w:hAnsi="Consolas"/>
          <w:sz w:val="14"/>
        </w:rPr>
        <w:t>|---|---|---|---|</w:t>
      </w:r>
    </w:p>
    <w:p>
      <w:pPr>
        <w:spacing w:after="20" w:line="240" w:lineRule="auto"/>
      </w:pPr>
      <w:r>
        <w:rPr>
          <w:rFonts w:ascii="Consolas" w:hAnsi="Consolas"/>
          <w:sz w:val="14"/>
        </w:rPr>
        <w:t>| Investigar y evaluar literatura | Prohibido | Responsable | Prioriza/encarga |</w:t>
      </w:r>
    </w:p>
    <w:p>
      <w:pPr>
        <w:spacing w:after="20" w:line="240" w:lineRule="auto"/>
      </w:pPr>
      <w:r>
        <w:rPr>
          <w:rFonts w:ascii="Consolas" w:hAnsi="Consolas"/>
          <w:sz w:val="14"/>
        </w:rPr>
        <w:t>| Emitir decisión científica | Registra | Formula/emite según proceso | Aprueba |</w:t>
      </w:r>
    </w:p>
    <w:p>
      <w:pPr>
        <w:spacing w:after="20" w:line="240" w:lineRule="auto"/>
      </w:pPr>
      <w:r>
        <w:rPr>
          <w:rFonts w:ascii="Consolas" w:hAnsi="Consolas"/>
          <w:sz w:val="14"/>
        </w:rPr>
        <w:t>| Diseñar componente técnico | Responsable | Consulta científica | Supervisa alcance |</w:t>
      </w:r>
    </w:p>
    <w:p>
      <w:pPr>
        <w:spacing w:after="20" w:line="240" w:lineRule="auto"/>
      </w:pPr>
      <w:r>
        <w:rPr>
          <w:rFonts w:ascii="Consolas" w:hAnsi="Consolas"/>
          <w:sz w:val="14"/>
        </w:rPr>
        <w:t>| Modificar contenido científico | Prohibido | Mediante nueva decisión | Aprueba |</w:t>
      </w:r>
    </w:p>
    <w:p>
      <w:pPr>
        <w:spacing w:after="20" w:line="240" w:lineRule="auto"/>
      </w:pPr>
      <w:r>
        <w:rPr>
          <w:rFonts w:ascii="Consolas" w:hAnsi="Consolas"/>
          <w:sz w:val="14"/>
        </w:rPr>
        <w:t>| Administrar repositorio | Responsable | Consulta | Supervisión estratégica |</w:t>
      </w:r>
    </w:p>
    <w:p>
      <w:pPr>
        <w:spacing w:after="20" w:line="240" w:lineRule="auto"/>
      </w:pPr>
      <w:r>
        <w:rPr>
          <w:rFonts w:ascii="Consolas" w:hAnsi="Consolas"/>
          <w:sz w:val="14"/>
        </w:rPr>
        <w:t>| Congelar baseline | Ejecuta técnicamente | Confirma contenido cuando aplique | Autoriza/aprueba versión |</w:t>
      </w:r>
    </w:p>
    <w:p>
      <w:pPr>
        <w:spacing w:after="20" w:line="240" w:lineRule="auto"/>
      </w:pPr>
      <w:r>
        <w:rPr>
          <w:rFonts w:ascii="Consolas" w:hAnsi="Consolas"/>
          <w:sz w:val="14"/>
        </w:rPr>
        <w:t>| Crear release | Ejecuta | No aplica salvo revisión científica | Autoriza publicación |</w:t>
      </w:r>
    </w:p>
    <w:p>
      <w:pPr>
        <w:spacing w:after="20" w:line="240" w:lineRule="auto"/>
      </w:pPr>
      <w:r>
        <w:rPr>
          <w:rFonts w:ascii="Consolas" w:hAnsi="Consolas"/>
          <w:sz w:val="14"/>
        </w:rPr>
        <w:t>| Cerrar investigación | Prohibido | Informa cierre | Decide cierre |</w:t>
      </w:r>
    </w:p>
    <w:p>
      <w:pPr>
        <w:spacing w:after="20" w:line="240" w:lineRule="auto"/>
      </w:pPr>
      <w:r>
        <w:rPr>
          <w:rFonts w:ascii="Consolas" w:hAnsi="Consolas"/>
          <w:sz w:val="14"/>
        </w:rPr>
        <w:t>| Abrir Issue | Responsable en ámbito técnico | Puede solicitar | Puede instruir |</w:t>
      </w:r>
    </w:p>
    <w:p>
      <w:pPr>
        <w:spacing w:after="20" w:line="240" w:lineRule="auto"/>
      </w:pPr>
      <w:r>
        <w:rPr>
          <w:rFonts w:ascii="Consolas" w:hAnsi="Consolas"/>
          <w:sz w:val="14"/>
        </w:rPr>
        <w:t>| Cerrar Issue técnico | Verifica criterio | Participa si afecta ciencia | Decide si es estratégico |</w:t>
      </w:r>
    </w:p>
    <w:p>
      <w:pPr>
        <w:spacing w:after="40"/>
      </w:pPr>
    </w:p>
    <w:p>
      <w:r>
        <w:t>Las atribuciones del Comité Directivo no se incluyen hasta resolver GOEI-ISS-027.</w:t>
      </w:r>
    </w:p>
    <w:p>
      <w:pPr>
        <w:spacing w:after="40"/>
      </w:pPr>
    </w:p>
    <w:p>
      <w:pPr>
        <w:pStyle w:val="Heading3"/>
      </w:pPr>
      <w:r>
        <w:t>10. Productos oficiales bajo custodia técnica</w:t>
      </w:r>
    </w:p>
    <w:p>
      <w:pPr>
        <w:spacing w:after="40"/>
      </w:pPr>
    </w:p>
    <w:p>
      <w:pPr>
        <w:pStyle w:val="ListBullet"/>
      </w:pPr>
      <w:r>
        <w:t>GOEI Framework y Standard;</w:t>
      </w:r>
    </w:p>
    <w:p>
      <w:pPr>
        <w:pStyle w:val="ListBullet"/>
      </w:pPr>
      <w:r>
        <w:t>GOEI Constitution y BOK;</w:t>
      </w:r>
    </w:p>
    <w:p>
      <w:pPr>
        <w:pStyle w:val="ListBullet"/>
      </w:pPr>
      <w:r>
        <w:t>Knowledge Graph y MetaModel;</w:t>
      </w:r>
    </w:p>
    <w:p>
      <w:pPr>
        <w:pStyle w:val="ListBullet"/>
      </w:pPr>
      <w:r>
        <w:t>arquitectura documental y repositorio;</w:t>
      </w:r>
    </w:p>
    <w:p>
      <w:pPr>
        <w:pStyle w:val="ListBullet"/>
      </w:pPr>
      <w:r>
        <w:t>plantillas, diagramas y documentación técnica;</w:t>
      </w:r>
    </w:p>
    <w:p>
      <w:pPr>
        <w:pStyle w:val="ListBullet"/>
      </w:pPr>
      <w:r>
        <w:t>versiones, releases y baselines;</w:t>
      </w:r>
    </w:p>
    <w:p>
      <w:pPr>
        <w:pStyle w:val="ListBullet"/>
      </w:pPr>
      <w:r>
        <w:t>registros de componentes, cambios, decisiones e Issues;</w:t>
      </w:r>
    </w:p>
    <w:p>
      <w:pPr>
        <w:pStyle w:val="ListBullet"/>
      </w:pPr>
      <w:r>
        <w:t>roadmap técnico, matrices de trazabilidad y dependencias;</w:t>
      </w:r>
    </w:p>
    <w:p>
      <w:pPr>
        <w:pStyle w:val="ListBullet"/>
      </w:pPr>
      <w:r>
        <w:t>manuales, formularios y software cuando sus prerrequisitos estén aprobados.</w:t>
      </w:r>
    </w:p>
    <w:p>
      <w:pPr>
        <w:spacing w:after="40"/>
      </w:pPr>
    </w:p>
    <w:p>
      <w:pPr>
        <w:pStyle w:val="Heading3"/>
      </w:pPr>
      <w:r>
        <w:t>11. Controles de cumplimiento</w:t>
      </w:r>
    </w:p>
    <w:p>
      <w:pPr>
        <w:spacing w:after="40"/>
      </w:pPr>
    </w:p>
    <w:p>
      <w:r>
        <w:t>Toda intervención de la Oficina Técnica debe demostrar:</w:t>
      </w:r>
    </w:p>
    <w:p>
      <w:pPr>
        <w:spacing w:after="40"/>
      </w:pPr>
    </w:p>
    <w:p>
      <w:pPr>
        <w:pStyle w:val="ListBullet"/>
      </w:pPr>
      <w:r>
        <w:t>decisión o mandato de origen;</w:t>
      </w:r>
    </w:p>
    <w:p>
      <w:pPr>
        <w:pStyle w:val="ListBullet"/>
      </w:pPr>
      <w:r>
        <w:t>alcance exacto;</w:t>
      </w:r>
    </w:p>
    <w:p>
      <w:pPr>
        <w:pStyle w:val="ListBullet"/>
      </w:pPr>
      <w:r>
        <w:t>ausencia de contenido científico nuevo;</w:t>
      </w:r>
    </w:p>
    <w:p>
      <w:pPr>
        <w:pStyle w:val="ListBullet"/>
      </w:pPr>
      <w:r>
        <w:t>dependencias e Issues;</w:t>
      </w:r>
    </w:p>
    <w:p>
      <w:pPr>
        <w:pStyle w:val="ListBullet"/>
      </w:pPr>
      <w:r>
        <w:t>archivos y componentes afectados;</w:t>
      </w:r>
    </w:p>
    <w:p>
      <w:pPr>
        <w:pStyle w:val="ListBullet"/>
      </w:pPr>
      <w:r>
        <w:t>versión y estado;</w:t>
      </w:r>
    </w:p>
    <w:p>
      <w:pPr>
        <w:pStyle w:val="ListBullet"/>
      </w:pPr>
      <w:r>
        <w:t>pruebas de integridad y consistencia;</w:t>
      </w:r>
    </w:p>
    <w:p>
      <w:pPr>
        <w:pStyle w:val="ListBullet"/>
      </w:pPr>
      <w:r>
        <w:t>actualización de registros maestros.</w:t>
      </w:r>
    </w:p>
    <w:p>
      <w:pPr>
        <w:spacing w:after="40"/>
      </w:pPr>
    </w:p>
    <w:p>
      <w:pPr>
        <w:pStyle w:val="Heading3"/>
      </w:pPr>
      <w:r>
        <w:t>12. Revisión de esta Carta</w:t>
      </w:r>
    </w:p>
    <w:p>
      <w:pPr>
        <w:spacing w:after="40"/>
      </w:pPr>
    </w:p>
    <w:p>
      <w:r>
        <w:t>Todo cambio requiere Issue formal, análisis de impacto, directiva o decisión de gobernanza competente, nueva versión y registro histórico. La Oficina Técnica no puede ampliar su propio mandato.</w:t>
      </w:r>
    </w:p>
    <w:p>
      <w:r>
        <w:br w:type="page"/>
      </w:r>
    </w:p>
    <w:p>
      <w:pPr>
        <w:pStyle w:val="Heading1"/>
        <w:keepNext/>
      </w:pPr>
      <w:r>
        <w:t>Fuente 68: 00_Gobernanza/Politica_de_versionado.md</w:t>
      </w:r>
    </w:p>
    <w:p>
      <w:pPr>
        <w:spacing w:after="200"/>
      </w:pPr>
      <w:r>
        <w:rPr>
          <w:rFonts w:ascii="Consolas" w:hAnsi="Consolas"/>
          <w:color w:val="595959"/>
          <w:sz w:val="16"/>
        </w:rPr>
        <w:t>Ruta: 00_Gobernanza/Politica_de_versionado.md</w:t>
        <w:br/>
        <w:t>Tamaño: 1386 bytes</w:t>
        <w:br/>
        <w:t>SHA-256: 800a619a47494060322782df68847d41056f033d6c5d940d8554340f1aeab9e7</w:t>
      </w:r>
    </w:p>
    <w:p>
      <w:pPr>
        <w:pStyle w:val="Heading2"/>
      </w:pPr>
      <w:r>
        <w:t>Política provisional de versionado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GOEI-CMP-004 |</w:t>
      </w:r>
    </w:p>
    <w:p>
      <w:pPr>
        <w:spacing w:after="20" w:line="240" w:lineRule="auto"/>
      </w:pPr>
      <w:r>
        <w:rPr>
          <w:rFonts w:ascii="Consolas" w:hAnsi="Consolas"/>
          <w:sz w:val="14"/>
        </w:rPr>
        <w:t>| Estado | Borrador |</w:t>
      </w:r>
    </w:p>
    <w:p>
      <w:pPr>
        <w:spacing w:after="20" w:line="240" w:lineRule="auto"/>
      </w:pPr>
      <w:r>
        <w:rPr>
          <w:rFonts w:ascii="Consolas" w:hAnsi="Consolas"/>
          <w:sz w:val="14"/>
        </w:rPr>
        <w:t>| Naturaleza | Técnica, no normativa |</w:t>
      </w:r>
    </w:p>
    <w:p>
      <w:pPr>
        <w:spacing w:after="20" w:line="240" w:lineRule="auto"/>
      </w:pPr>
      <w:r>
        <w:rPr>
          <w:rFonts w:ascii="Consolas" w:hAnsi="Consolas"/>
          <w:sz w:val="14"/>
        </w:rPr>
        <w:t>| Decisión de origen | D-005/T4, pendiente de ratificación |</w:t>
      </w:r>
    </w:p>
    <w:p>
      <w:pPr>
        <w:spacing w:after="20" w:line="240" w:lineRule="auto"/>
      </w:pPr>
      <w:r>
        <w:rPr>
          <w:rFonts w:ascii="Consolas" w:hAnsi="Consolas"/>
          <w:sz w:val="14"/>
        </w:rPr>
        <w:t>| Versión GOEI | No asignada |</w:t>
      </w:r>
    </w:p>
    <w:p>
      <w:pPr>
        <w:spacing w:after="40"/>
      </w:pPr>
    </w:p>
    <w:p>
      <w:pPr>
        <w:pStyle w:val="Heading3"/>
      </w:pPr>
      <w:r>
        <w:t>Principios</w:t>
      </w:r>
    </w:p>
    <w:p>
      <w:pPr>
        <w:spacing w:after="40"/>
      </w:pPr>
    </w:p>
    <w:p>
      <w:pPr>
        <w:pStyle w:val="ListNumber"/>
      </w:pPr>
      <w:r>
        <w:t>La historia se conserva: un artefacto sustituido no se borra ni reutiliza su identificador.</w:t>
      </w:r>
    </w:p>
    <w:p>
      <w:pPr>
        <w:pStyle w:val="ListNumber"/>
      </w:pPr>
      <w:r>
        <w:t>La versión de un documento no equivale a la versión integrada del estándar.</w:t>
      </w:r>
    </w:p>
    <w:p>
      <w:pPr>
        <w:pStyle w:val="ListNumber"/>
      </w:pPr>
      <w:r>
        <w:t>Ninguna versión GOEI se declara oficial sin autoridad de publicación y compuertas aprobadas.</w:t>
      </w:r>
    </w:p>
    <w:p>
      <w:pPr>
        <w:pStyle w:val="ListNumber"/>
      </w:pPr>
      <w:r>
        <w:t>Todo cambio semántico registra impacto sobre dependientes y comparabilidad.</w:t>
      </w:r>
    </w:p>
    <w:p>
      <w:pPr>
        <w:spacing w:after="40"/>
      </w:pPr>
    </w:p>
    <w:p>
      <w:pPr>
        <w:pStyle w:val="Heading3"/>
      </w:pPr>
      <w:r>
        <w:t>Convención provisional</w:t>
      </w:r>
    </w:p>
    <w:p>
      <w:pPr>
        <w:spacing w:after="40"/>
      </w:pPr>
    </w:p>
    <w:p>
      <w:r>
        <w:t>Para documentos se usa MAYOR.MENOR.PARCHE con sufijo de estado cuando corresponda, por ejemplo 0.2.0-draft.</w:t>
      </w:r>
    </w:p>
    <w:p>
      <w:pPr>
        <w:spacing w:after="40"/>
      </w:pPr>
    </w:p>
    <w:p>
      <w:pPr>
        <w:pStyle w:val="ListBullet"/>
      </w:pPr>
      <w:r>
        <w:t>MAYOR: cambio incompatible de significado, alcance o estructura.</w:t>
      </w:r>
    </w:p>
    <w:p>
      <w:pPr>
        <w:pStyle w:val="ListBullet"/>
      </w:pPr>
      <w:r>
        <w:t>MENOR: ampliación compatible aprobada.</w:t>
      </w:r>
    </w:p>
    <w:p>
      <w:pPr>
        <w:pStyle w:val="ListBullet"/>
      </w:pPr>
      <w:r>
        <w:t>PARCHE: corrección editorial o técnica sin cambio de significado.</w:t>
      </w:r>
    </w:p>
    <w:p>
      <w:pPr>
        <w:pStyle w:val="ListBullet"/>
      </w:pPr>
      <w:r>
        <w:t>draft, review o candidate: documento no vigente.</w:t>
      </w:r>
    </w:p>
    <w:p>
      <w:pPr>
        <w:spacing w:after="40"/>
      </w:pPr>
    </w:p>
    <w:p>
      <w:r>
        <w:t>Antes de la primera línea base aprobada, todos los componentes permanecen en serie 0.x. Esta convención es reversible y deberá ser ratificada por la futura gobernanza.</w:t>
      </w:r>
    </w:p>
    <w:p>
      <w:pPr>
        <w:spacing w:after="40"/>
      </w:pPr>
    </w:p>
    <w:p>
      <w:pPr>
        <w:pStyle w:val="Heading3"/>
      </w:pPr>
      <w:r>
        <w:t>Registro mínimo de cambio</w:t>
      </w:r>
    </w:p>
    <w:p>
      <w:pPr>
        <w:spacing w:after="40"/>
      </w:pPr>
    </w:p>
    <w:p>
      <w:r>
        <w:t>Cada cambio debe indicar identificador, fecha, autor, motivo, decisión habilitante, descripción, impacto, dependientes revisados, compatibilidad y aprobaciones.</w:t>
      </w:r>
    </w:p>
    <w:p>
      <w:r>
        <w:br w:type="page"/>
      </w:r>
    </w:p>
    <w:p>
      <w:pPr>
        <w:pStyle w:val="Heading1"/>
        <w:keepNext/>
      </w:pPr>
      <w:r>
        <w:t>Fuente 69: 00_Gobernanza/Politica_Git_y_contribucion.md</w:t>
      </w:r>
    </w:p>
    <w:p>
      <w:pPr>
        <w:spacing w:after="200"/>
      </w:pPr>
      <w:r>
        <w:rPr>
          <w:rFonts w:ascii="Consolas" w:hAnsi="Consolas"/>
          <w:color w:val="595959"/>
          <w:sz w:val="16"/>
        </w:rPr>
        <w:t>Ruta: 00_Gobernanza/Politica_Git_y_contribucion.md</w:t>
        <w:br/>
        <w:t>Tamaño: 2263 bytes</w:t>
        <w:br/>
        <w:t>SHA-256: 496ffd2e002ac3c93fec2eaccc8997dd1c954f4d96dfa247c6ce480018e5487c</w:t>
      </w:r>
    </w:p>
    <w:p>
      <w:pPr>
        <w:pStyle w:val="Heading2"/>
      </w:pPr>
      <w:r>
        <w:t>Política Git y contribución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GOEI-GIT-0001 |</w:t>
      </w:r>
    </w:p>
    <w:p>
      <w:pPr>
        <w:spacing w:after="20" w:line="240" w:lineRule="auto"/>
      </w:pPr>
      <w:r>
        <w:rPr>
          <w:rFonts w:ascii="Consolas" w:hAnsi="Consolas"/>
          <w:sz w:val="14"/>
        </w:rPr>
        <w:t>| Versión | 1.0.0 |</w:t>
      </w:r>
    </w:p>
    <w:p>
      <w:pPr>
        <w:spacing w:after="20" w:line="240" w:lineRule="auto"/>
      </w:pPr>
      <w:r>
        <w:rPr>
          <w:rFonts w:ascii="Consolas" w:hAnsi="Consolas"/>
          <w:sz w:val="14"/>
        </w:rPr>
        <w:t>| Estado | Control técnico activo |</w:t>
      </w:r>
    </w:p>
    <w:p>
      <w:pPr>
        <w:spacing w:after="20" w:line="240" w:lineRule="auto"/>
      </w:pPr>
      <w:r>
        <w:rPr>
          <w:rFonts w:ascii="Consolas" w:hAnsi="Consolas"/>
          <w:sz w:val="14"/>
        </w:rPr>
        <w:t>| Responsable | Oficina Técnica GOEI |</w:t>
      </w:r>
    </w:p>
    <w:p>
      <w:pPr>
        <w:spacing w:after="20" w:line="240" w:lineRule="auto"/>
      </w:pPr>
      <w:r>
        <w:rPr>
          <w:rFonts w:ascii="Consolas" w:hAnsi="Consolas"/>
          <w:sz w:val="14"/>
        </w:rPr>
        <w:t>| Repositorio remoto previsto | `https://github.com/PabloGoup/GOEI.git` |</w:t>
      </w:r>
    </w:p>
    <w:p>
      <w:pPr>
        <w:spacing w:after="40"/>
      </w:pPr>
    </w:p>
    <w:p>
      <w:pPr>
        <w:pStyle w:val="Heading3"/>
      </w:pPr>
      <w:r>
        <w:t>Modelo</w:t>
      </w:r>
    </w:p>
    <w:p>
      <w:pPr>
        <w:spacing w:after="40"/>
      </w:pPr>
    </w:p>
    <w:p>
      <w:r>
        <w:t>Se utiliza desarrollo basado en main con ramas cortas y pull requests. main representa la mejor configuración administrativa estable disponible, pero un merge no otorga aprobación científica.</w:t>
      </w:r>
    </w:p>
    <w:p>
      <w:pPr>
        <w:spacing w:after="40"/>
      </w:pPr>
    </w:p>
    <w:p>
      <w:pPr>
        <w:pStyle w:val="Heading3"/>
      </w:pPr>
      <w:r>
        <w:t>Protección requerida en GitHub</w:t>
      </w:r>
    </w:p>
    <w:p>
      <w:pPr>
        <w:spacing w:after="40"/>
      </w:pPr>
    </w:p>
    <w:p>
      <w:pPr>
        <w:pStyle w:val="ListBullet"/>
      </w:pPr>
      <w:r>
        <w:t>pull request obligatorio;</w:t>
      </w:r>
    </w:p>
    <w:p>
      <w:pPr>
        <w:pStyle w:val="ListBullet"/>
      </w:pPr>
      <w:r>
        <w:t>comprobación integrity obligatoria;</w:t>
      </w:r>
    </w:p>
    <w:p>
      <w:pPr>
        <w:pStyle w:val="ListBullet"/>
      </w:pPr>
      <w:r>
        <w:t>conversaciones resueltas antes de fusionar;</w:t>
      </w:r>
    </w:p>
    <w:p>
      <w:pPr>
        <w:pStyle w:val="ListBullet"/>
      </w:pPr>
      <w:r>
        <w:t>impedir force-push y eliminación de main;</w:t>
      </w:r>
    </w:p>
    <w:p>
      <w:pPr>
        <w:pStyle w:val="ListBullet"/>
      </w:pPr>
      <w:r>
        <w:t>historial lineal preferido;</w:t>
      </w:r>
    </w:p>
    <w:p>
      <w:pPr>
        <w:pStyle w:val="ListBullet"/>
      </w:pPr>
      <w:r>
        <w:t>revisión de CODEOWNERS en áreas controladas;</w:t>
      </w:r>
    </w:p>
    <w:p>
      <w:pPr>
        <w:pStyle w:val="ListBullet"/>
      </w:pPr>
      <w:r>
        <w:t>etiquetas de release protegidas y firmadas cuando la infraestructura lo permita.</w:t>
      </w:r>
    </w:p>
    <w:p>
      <w:pPr>
        <w:spacing w:after="40"/>
      </w:pPr>
    </w:p>
    <w:p>
      <w:r>
        <w:t>La aplicación remota de estas reglas requiere permisos administrativos y deberá verificarse separadamente.</w:t>
      </w:r>
    </w:p>
    <w:p>
      <w:pPr>
        <w:spacing w:after="40"/>
      </w:pPr>
    </w:p>
    <w:p>
      <w:pPr>
        <w:pStyle w:val="Heading4"/>
      </w:pPr>
      <w:r>
        <w:t>Restricción remota vigente</w:t>
      </w:r>
    </w:p>
    <w:p>
      <w:pPr>
        <w:spacing w:after="40"/>
      </w:pPr>
    </w:p>
    <w:p>
      <w:r>
        <w:t>GitHub informó que la protección de ramas no está disponible para este repositorio privado bajo el plan actual. GOEI-ISS-042 permanece bloqueado hasta contratar GitHub Pro o convertir el repositorio en público mediante decisión de la Dirección. Esta restricción no se resuelve reduciendo controles.</w:t>
      </w:r>
    </w:p>
    <w:p>
      <w:pPr>
        <w:spacing w:after="40"/>
      </w:pPr>
    </w:p>
    <w:p>
      <w:r>
        <w:t>Como defensa compensatoria se usan hooks versionados y validación continua. Los hooks se activan con sh 16_Herramientas/git/install_hooks.sh; la revisión mediante pull request permanece obligatoria por procedimiento.</w:t>
      </w:r>
    </w:p>
    <w:p>
      <w:pPr>
        <w:spacing w:after="40"/>
      </w:pPr>
    </w:p>
    <w:p>
      <w:pPr>
        <w:pStyle w:val="Heading3"/>
      </w:pPr>
      <w:r>
        <w:t>Estrategia de merge</w:t>
      </w:r>
    </w:p>
    <w:p>
      <w:pPr>
        <w:spacing w:after="40"/>
      </w:pPr>
    </w:p>
    <w:p>
      <w:r>
        <w:t>Se prefiere squash para cambios autocontenidos y merge preservado para ramas de release cuando la historia de integración resulte material. El mensaje final conserva el ID del Issue, cambio o decisión.</w:t>
      </w:r>
    </w:p>
    <w:p>
      <w:pPr>
        <w:spacing w:after="40"/>
      </w:pPr>
    </w:p>
    <w:p>
      <w:pPr>
        <w:pStyle w:val="Heading3"/>
      </w:pPr>
      <w:r>
        <w:t>Releases</w:t>
      </w:r>
    </w:p>
    <w:p>
      <w:pPr>
        <w:spacing w:after="40"/>
      </w:pPr>
    </w:p>
    <w:p>
      <w:r>
        <w:t>Una etiqueta Git solo se crea después de satisfacer GOEI-REL-POL-0001. Patrón: vMAJOR.MINOR.PATCH; candidatos: vMAJOR.MINOR.PATCH-rc.N. La etiqueta nunca sustituye el manifiesto ni el acto aprobatorio.</w:t>
      </w:r>
    </w:p>
    <w:p>
      <w:pPr>
        <w:spacing w:after="40"/>
      </w:pPr>
    </w:p>
    <w:p>
      <w:pPr>
        <w:pStyle w:val="Heading3"/>
      </w:pPr>
      <w:r>
        <w:t>Trazabilidad</w:t>
      </w:r>
    </w:p>
    <w:p>
      <w:pPr>
        <w:spacing w:after="40"/>
      </w:pPr>
    </w:p>
    <w:p>
      <w:r>
        <w:t>La relación mínima es:</w:t>
      </w:r>
    </w:p>
    <w:p>
      <w:pPr>
        <w:spacing w:after="40"/>
      </w:pPr>
    </w:p>
    <w:p>
      <w:pPr>
        <w:spacing w:after="20" w:line="240" w:lineRule="auto"/>
        <w:ind w:left="259"/>
      </w:pPr>
      <w:r>
        <w:rPr>
          <w:rFonts w:ascii="Consolas" w:hAnsi="Consolas"/>
          <w:sz w:val="15"/>
        </w:rPr>
        <w:t>Issue/Decisión → rama → commits → pull request → cambio → componente → release</w:t>
      </w:r>
    </w:p>
    <w:p>
      <w:pPr>
        <w:spacing w:after="40"/>
      </w:pPr>
    </w:p>
    <w:p>
      <w:r>
        <w:t>Los identificadores canónicos permanecen en documentos y metadatos; los hashes Git añaden identidad histórica, pero no reemplazan los IDs GOEI.</w:t>
      </w:r>
    </w:p>
    <w:p>
      <w:r>
        <w:br w:type="page"/>
      </w:r>
    </w:p>
    <w:p>
      <w:pPr>
        <w:pStyle w:val="Heading1"/>
        <w:keepNext/>
      </w:pPr>
      <w:r>
        <w:t>Fuente 70: 00_Gobernanza/Preguntas_abiertas.md</w:t>
      </w:r>
    </w:p>
    <w:p>
      <w:pPr>
        <w:spacing w:after="200"/>
      </w:pPr>
      <w:r>
        <w:rPr>
          <w:rFonts w:ascii="Consolas" w:hAnsi="Consolas"/>
          <w:color w:val="595959"/>
          <w:sz w:val="16"/>
        </w:rPr>
        <w:t>Ruta: 00_Gobernanza/Preguntas_abiertas.md</w:t>
        <w:br/>
        <w:t>Tamaño: 12064 bytes</w:t>
        <w:br/>
        <w:t>SHA-256: a041355453b7b272a0cc256a2977ea1c30fc1361cfd935d789b95a49428016ae</w:t>
      </w:r>
    </w:p>
    <w:p>
      <w:pPr>
        <w:pStyle w:val="Heading2"/>
      </w:pPr>
      <w:r>
        <w:t>Preguntas abiertas y bloqueos GOEI</w:t>
      </w:r>
    </w:p>
    <w:p>
      <w:pPr>
        <w:spacing w:after="40"/>
      </w:pPr>
    </w:p>
    <w:p>
      <w:r>
        <w:t>Este registro consolida decisiones faltantes. No propone respuestas.</w:t>
      </w:r>
    </w:p>
    <w:p>
      <w:pPr>
        <w:spacing w:after="40"/>
      </w:pPr>
    </w:p>
    <w:p>
      <w:pPr>
        <w:spacing w:after="20" w:line="240" w:lineRule="auto"/>
      </w:pPr>
      <w:r>
        <w:rPr>
          <w:rFonts w:ascii="Consolas" w:hAnsi="Consolas"/>
          <w:sz w:val="14"/>
        </w:rPr>
        <w:t>| ID | Pregunta de decisión | Origen | Bloquea | Autoridad requerida | Estado |</w:t>
      </w:r>
    </w:p>
    <w:p>
      <w:pPr>
        <w:spacing w:after="20" w:line="240" w:lineRule="auto"/>
      </w:pPr>
      <w:r>
        <w:rPr>
          <w:rFonts w:ascii="Consolas" w:hAnsi="Consolas"/>
          <w:sz w:val="14"/>
        </w:rPr>
        <w:t>|---|---|---|---|---|---|</w:t>
      </w:r>
    </w:p>
    <w:p>
      <w:pPr>
        <w:spacing w:after="20" w:line="240" w:lineRule="auto"/>
      </w:pPr>
      <w:r>
        <w:rPr>
          <w:rFonts w:ascii="Consolas" w:hAnsi="Consolas"/>
          <w:sz w:val="14"/>
        </w:rPr>
        <w:t>| GOEI-ISS-001 | ¿Se ratifica la arquitectura por eje N0–N9, planos T1–T4 y esquema K1–K4? | D-005 | arquitectura oficial | comité científico | Abierta |</w:t>
      </w:r>
    </w:p>
    <w:p>
      <w:pPr>
        <w:spacing w:after="20" w:line="240" w:lineRule="auto"/>
      </w:pPr>
      <w:r>
        <w:rPr>
          <w:rFonts w:ascii="Consolas" w:hAnsi="Consolas"/>
          <w:sz w:val="14"/>
        </w:rPr>
        <w:t>| GOEI-ISS-002 | ¿T3 será compuerta obligatoria y cuáles serán sus criterios verificables de salida? | D-005 | publicación/validación | comité científico | Abierta |</w:t>
      </w:r>
    </w:p>
    <w:p>
      <w:pPr>
        <w:spacing w:after="20" w:line="240" w:lineRule="auto"/>
      </w:pPr>
      <w:r>
        <w:rPr>
          <w:rFonts w:ascii="Consolas" w:hAnsi="Consolas"/>
          <w:sz w:val="14"/>
        </w:rPr>
        <w:t>| GOEI-ISS-003 | ¿Quién es propietario del estándar y qué órganos pueden aprobar, publicar, sustituir o retirar contenido? | D-005 | gobernanza/versiones | instancia promotora y comité | Abierta |</w:t>
      </w:r>
    </w:p>
    <w:p>
      <w:pPr>
        <w:spacing w:after="20" w:line="240" w:lineRule="auto"/>
      </w:pPr>
      <w:r>
        <w:rPr>
          <w:rFonts w:ascii="Consolas" w:hAnsi="Consolas"/>
          <w:sz w:val="14"/>
        </w:rPr>
        <w:t>| GOEI-ISS-004 | ¿El alcance será autoevaluación, evaluación por terceros o certificación? | D-005 | conformidad | comité e instancia promotora | Abierta |</w:t>
      </w:r>
    </w:p>
    <w:p>
      <w:pPr>
        <w:spacing w:after="20" w:line="240" w:lineRule="auto"/>
      </w:pPr>
      <w:r>
        <w:rPr>
          <w:rFonts w:ascii="Consolas" w:hAnsi="Consolas"/>
          <w:sz w:val="14"/>
        </w:rPr>
        <w:t>| GOEI-ISS-005 | ¿Qué familias serán normativas y cuáles informativas? | D-005 | redacción normativa | comité científico | Abierta |</w:t>
      </w:r>
    </w:p>
    <w:p>
      <w:pPr>
        <w:spacing w:after="20" w:line="240" w:lineRule="auto"/>
      </w:pPr>
      <w:r>
        <w:rPr>
          <w:rFonts w:ascii="Consolas" w:hAnsi="Consolas"/>
          <w:sz w:val="14"/>
        </w:rPr>
        <w:t>| GOEI-ISS-006 | ¿Se ratifican CO-1 y los demás compromisos ontológicos aplicables? | D-006 | ontología/modelos | comité científico | Abierta |</w:t>
      </w:r>
    </w:p>
    <w:p>
      <w:pPr>
        <w:spacing w:after="20" w:line="240" w:lineRule="auto"/>
      </w:pPr>
      <w:r>
        <w:rPr>
          <w:rFonts w:ascii="Consolas" w:hAnsi="Consolas"/>
          <w:sz w:val="14"/>
        </w:rPr>
        <w:t>| GOEI-ISS-007 | ¿Cuál es el nombre oficial del constructo? | D-003/D-004/D-006 | glosario/modelo | comité científico | Abierta |</w:t>
      </w:r>
    </w:p>
    <w:p>
      <w:pPr>
        <w:spacing w:after="20" w:line="240" w:lineRule="auto"/>
      </w:pPr>
      <w:r>
        <w:rPr>
          <w:rFonts w:ascii="Consolas" w:hAnsi="Consolas"/>
          <w:sz w:val="14"/>
        </w:rPr>
        <w:t>| GOEI-ISS-008 | ¿Cuál es la unidad de análisis y cómo se modelan configuraciones multiunidad? | D-006 | taxonomía/evaluación | comité científico | Abierta |</w:t>
      </w:r>
    </w:p>
    <w:p>
      <w:pPr>
        <w:spacing w:after="20" w:line="240" w:lineRule="auto"/>
      </w:pPr>
      <w:r>
        <w:rPr>
          <w:rFonts w:ascii="Consolas" w:hAnsi="Consolas"/>
          <w:sz w:val="14"/>
        </w:rPr>
        <w:t>| GOEI-ISS-009 | ¿El periodo es fijo, variable o definido por tipo de medición? | D-006 | datos/comparabilidad | comité científico | Abierta |</w:t>
      </w:r>
    </w:p>
    <w:p>
      <w:pPr>
        <w:spacing w:after="20" w:line="240" w:lineRule="auto"/>
      </w:pPr>
      <w:r>
        <w:rPr>
          <w:rFonts w:ascii="Consolas" w:hAnsi="Consolas"/>
          <w:sz w:val="14"/>
        </w:rPr>
        <w:t>| GOEI-ISS-010 | ¿Condiciones de referencia y ponderaciones son globales o específicas por categoría? | D-006 | normalización/cálculo | comité científico | Abierta |</w:t>
      </w:r>
    </w:p>
    <w:p>
      <w:pPr>
        <w:spacing w:after="20" w:line="240" w:lineRule="auto"/>
      </w:pPr>
      <w:r>
        <w:rPr>
          <w:rFonts w:ascii="Consolas" w:hAnsi="Consolas"/>
          <w:sz w:val="14"/>
        </w:rPr>
        <w:t>| GOEI-ISS-027 | ¿Cuál es la composición, mandato y autoridad exacta del Comité Directivo introducido en el organigrama? | GOEI-DIR-0001 | RACI completa y jerarquía institucional | Dirección General | Abierta |</w:t>
      </w:r>
    </w:p>
    <w:p>
      <w:pPr>
        <w:spacing w:after="20" w:line="240" w:lineRule="auto"/>
      </w:pPr>
      <w:r>
        <w:rPr>
          <w:rFonts w:ascii="Consolas" w:hAnsi="Consolas"/>
          <w:sz w:val="14"/>
        </w:rPr>
        <w:t>| GOEI-ISS-028 | ¿La Dirección Metodológica de ChatGPT permanece vigente y dónde se ubica respecto del Comité Directivo? | Master Plan v1.0 vs. organigrama complementario | coordinación institucional completa | Dirección General | Abierta |</w:t>
      </w:r>
    </w:p>
    <w:p>
      <w:pPr>
        <w:spacing w:after="20" w:line="240" w:lineRule="auto"/>
      </w:pPr>
      <w:r>
        <w:rPr>
          <w:rFonts w:ascii="Consolas" w:hAnsi="Consolas"/>
          <w:sz w:val="14"/>
        </w:rPr>
        <w:t>| GOEI-ISS-029 | ¿Dónde se custodiará la copia canónica íntegra del Research Master Plan v1.0? | manifiesto GOEI-GOV-SRC-0001 | preservación institucional de la fuente | Dirección General/Oficina Técnica | Abierta |</w:t>
      </w:r>
    </w:p>
    <w:p>
      <w:pPr>
        <w:spacing w:after="20" w:line="240" w:lineRule="auto"/>
      </w:pPr>
      <w:r>
        <w:rPr>
          <w:rFonts w:ascii="Consolas" w:hAnsi="Consolas"/>
          <w:sz w:val="14"/>
        </w:rPr>
        <w:t>| GOEI-ISS-030 | Ratificar, rechazar o devolver D-008 y declarar el cierre oficial de B1, considerando el dictamen favorable del Comité y las reservas de GOEI-AUDIT-0002. | expediente D-008 recibido y auditado | catálogo de procesos, inicio B2 y descendientes | Dirección General | **Cerrada 2026-08-04 por GOEI-DIR-RES-0001; D-008 ratificada, B1 cerrada en pregunta nuclear y B2 habilitada** |</w:t>
      </w:r>
    </w:p>
    <w:p>
      <w:pPr>
        <w:spacing w:after="20" w:line="240" w:lineRule="auto"/>
      </w:pPr>
      <w:r>
        <w:rPr>
          <w:rFonts w:ascii="Consolas" w:hAnsi="Consolas"/>
          <w:sz w:val="14"/>
        </w:rPr>
        <w:t>| GOEI-ISS-039 | Reconstruir la tesis exclusivamente desde decisiones aprobadas, baselines y validación ejecutada. | GOEI-AUDIT-0001 | tesis terminada | Oficina Técnica + autoridades científica/académica | Bloqueada por B1–B10, C y D |</w:t>
      </w:r>
    </w:p>
    <w:p>
      <w:pPr>
        <w:spacing w:after="20" w:line="240" w:lineRule="auto"/>
      </w:pPr>
      <w:r>
        <w:rPr>
          <w:rFonts w:ascii="Consolas" w:hAnsi="Consolas"/>
          <w:sz w:val="14"/>
        </w:rPr>
        <w:t>| GOEI-ISS-040 | Reconstruir el manuscrito científico desde resultados validados y referencias verificadas. | GOEI-AUDIT-0001 | publicación candidata | Comité/Oficina + Dirección | Bloqueada por validación y alcance editorial |</w:t>
      </w:r>
    </w:p>
    <w:p>
      <w:pPr>
        <w:spacing w:after="20" w:line="240" w:lineRule="auto"/>
      </w:pPr>
      <w:r>
        <w:rPr>
          <w:rFonts w:ascii="Consolas" w:hAnsi="Consolas"/>
          <w:sz w:val="14"/>
        </w:rPr>
        <w:t>| GOEI-ISS-011 | ¿Se adopta AX-11 (anclaje cuádruple) como compuerta de admisibilidad del dato? | D-006-REV | admisibilidad de datos | comité científico | Abierta |</w:t>
      </w:r>
    </w:p>
    <w:p>
      <w:pPr>
        <w:spacing w:after="20" w:line="240" w:lineRule="auto"/>
      </w:pPr>
      <w:r>
        <w:rPr>
          <w:rFonts w:ascii="Consolas" w:hAnsi="Consolas"/>
          <w:sz w:val="14"/>
        </w:rPr>
        <w:t>| GOEI-ISS-012 | ¿El alcance incluye foodservice no comercial/institucional? (define P6: venta vs. requisición) | D-007 | taxonomía/alcance | comité e instancia promotora | **Cerrada 2026-08-04 por D-008/GOEI-DIR-RES-0001: incluido; P6 = transacción/cierre** |</w:t>
      </w:r>
    </w:p>
    <w:p>
      <w:pPr>
        <w:spacing w:after="20" w:line="240" w:lineRule="auto"/>
      </w:pPr>
      <w:r>
        <w:rPr>
          <w:rFonts w:ascii="Consolas" w:hAnsi="Consolas"/>
          <w:sz w:val="14"/>
        </w:rPr>
        <w:t>| GOEI-ISS-013 | ¿La matriz de procesos se estructura en dos niveles (núcleo de subsistema + realización por categoría)? | D-007 | matriz de procesos | comité científico | **Cerrada 2026-08-04 por D-008/GOEI-DIR-RES-0001: dos niveles ratificados** |</w:t>
      </w:r>
    </w:p>
    <w:p>
      <w:pPr>
        <w:spacing w:after="20" w:line="240" w:lineRule="auto"/>
      </w:pPr>
      <w:r>
        <w:rPr>
          <w:rFonts w:ascii="Consolas" w:hAnsi="Consolas"/>
          <w:sz w:val="14"/>
        </w:rPr>
        <w:t>| GOEI-ISS-014 | ¿El tipo de sistema de producción es eje de la taxonomía? | D-007 / D-017 | taxonomía | Comité Científico + Dirección | **Cerrada 2026-08-04 por D-017/GOEI-DIR-RES-0002: FX-2 es faceta indispensable; sus valores concretos quedan bajo GOEI-ISS-054** |</w:t>
      </w:r>
    </w:p>
    <w:p>
      <w:pPr>
        <w:spacing w:after="20" w:line="240" w:lineRule="auto"/>
      </w:pPr>
      <w:r>
        <w:rPr>
          <w:rFonts w:ascii="Consolas" w:hAnsi="Consolas"/>
          <w:sz w:val="14"/>
        </w:rPr>
        <w:t>| GOEI-ISS-015 | ¿La inocuidad se modela con doble rol: proceso transversal y regla crítica no compensable (AX-4)? | D-007 | procesos/reglas críticas | comité científico | Abierta |</w:t>
      </w:r>
    </w:p>
    <w:p>
      <w:pPr>
        <w:spacing w:after="20" w:line="240" w:lineRule="auto"/>
      </w:pPr>
      <w:r>
        <w:rPr>
          <w:rFonts w:ascii="Consolas" w:hAnsi="Consolas"/>
          <w:sz w:val="14"/>
        </w:rPr>
        <w:t>| GOEI-ISS-016 | ¿Se adopta Vía A (validación concurrente) o Vía B (validación predictiva-longitudinal, habilita "salud" pleno)? | D-003 | validación/constructo | comité científico | Abierta |</w:t>
      </w:r>
    </w:p>
    <w:p>
      <w:pPr>
        <w:spacing w:after="20" w:line="240" w:lineRule="auto"/>
      </w:pPr>
      <w:r>
        <w:rPr>
          <w:rFonts w:ascii="Consolas" w:hAnsi="Consolas"/>
          <w:sz w:val="14"/>
        </w:rPr>
        <w:t>| GOEI-ISS-017 | ¿El acrónimo GOEI conserva la "E" de Efficiency pese a que el núcleo no es eficiencia? | D-003 | denominación oficial | comité científico | Abierta |</w:t>
      </w:r>
    </w:p>
    <w:p>
      <w:pPr>
        <w:spacing w:after="20" w:line="240" w:lineRule="auto"/>
      </w:pPr>
      <w:r>
        <w:rPr>
          <w:rFonts w:ascii="Consolas" w:hAnsi="Consolas"/>
          <w:sz w:val="14"/>
        </w:rPr>
        <w:t>| GOEI-ISS-041 | ¿Qué evidencias y técnicas de validez/confiabilidad son aplicables al constructo formativo GOEI, y cómo deben tratarse los requisitos directorales de validez convergente, discriminante y confiabilidad cuando una técnica clásica sea incompatible? | GOEI-DIR-0002 + D-003/D-004 | capítulo 13 y protocolo de validación | Comité Científico | Abierta |</w:t>
      </w:r>
    </w:p>
    <w:p>
      <w:pPr>
        <w:spacing w:after="20" w:line="240" w:lineRule="auto"/>
      </w:pPr>
      <w:r>
        <w:rPr>
          <w:rFonts w:ascii="Consolas" w:hAnsi="Consolas"/>
          <w:sz w:val="14"/>
        </w:rPr>
        <w:t>| GOEI-ISS-042 | Aplicar y verificar en GitHub la protección de `main`, revisión CODEOWNERS, comprobación `integrity` obligatoria y protección de etiquetas de release. GitHub respondió: “Upgrade to GitHub Pro or make this repository public to enable this feature”. | GOEI-GIT-0001 | control remoto del repositorio | Dirección General para plan/visibilidad + administrador GitHub | Bloqueada por plan del repositorio privado; hooks y CI son controles compensatorios |</w:t>
      </w:r>
    </w:p>
    <w:p>
      <w:pPr>
        <w:spacing w:after="20" w:line="240" w:lineRule="auto"/>
      </w:pPr>
      <w:r>
        <w:rPr>
          <w:rFonts w:ascii="Consolas" w:hAnsi="Consolas"/>
          <w:sz w:val="14"/>
        </w:rPr>
        <w:t>| GOEI-ISS-043 | Determinar si gestión de residuos/merma es macroproceso, proceso transversal o subproceso, y qué evidencia/consenso exige su clasificación. | expediente D-008 §8 | clasificación normativa de residuos/merma y dependencias de sostenibilidad | Comité Científico + ratificación directiva | Abierta; excluida de GOEI-BSL-PROC-0001 v0.1.0 hasta resolución científica; no bloquea B2 general |</w:t>
      </w:r>
    </w:p>
    <w:p>
      <w:pPr>
        <w:spacing w:after="20" w:line="240" w:lineRule="auto"/>
      </w:pPr>
      <w:r>
        <w:rPr>
          <w:rFonts w:ascii="Consolas" w:hAnsi="Consolas"/>
          <w:sz w:val="14"/>
        </w:rPr>
        <w:t>| GOEI-ISS-044 | Ratificar, devolver o rechazar el dictamen consultivo B sobre GTRM y, si se ratifica, ordenar las decisiones separadas sobre ontología, normalización, referencias, incertidumbre, autoridad y equivalencia papel–software. | GOEI-GTRM-AUD-0001 | destino del dictamen | Dirección General | Cerrada por GOEI-DIR-RES-GTRM-0001: Opción A, ratificación exclusiva como base de trabajo; 2026-08-04 |</w:t>
      </w:r>
    </w:p>
    <w:p>
      <w:pPr>
        <w:spacing w:after="20" w:line="240" w:lineRule="auto"/>
      </w:pPr>
      <w:r>
        <w:rPr>
          <w:rFonts w:ascii="Consolas" w:hAnsi="Consolas"/>
          <w:sz w:val="14"/>
        </w:rPr>
        <w:t>| GOEI-ISS-045 | DS-GTRM-01 — ¿La transformación recibe observaciones, mediciones registradas o valores KPI, y bajo qué requisitos de admisibilidad? | D-009 / GOEI-AUDIT-0004 | definición de entrada GTRM | Comité Científico | Cerrada en alcance de marco por D-009; admisibilidad concreta diferida a B4/B5 |</w:t>
      </w:r>
    </w:p>
    <w:p>
      <w:pPr>
        <w:spacing w:after="20" w:line="240" w:lineRule="auto"/>
      </w:pPr>
      <w:r>
        <w:rPr>
          <w:rFonts w:ascii="Consolas" w:hAnsi="Consolas"/>
          <w:sz w:val="14"/>
        </w:rPr>
        <w:t>| GOEI-ISS-046 | DS-GTRM-02 — ¿Cuál es la naturaleza y salida de la GTRM y cómo se relaciona con una única normalización sin doble transformación? | D-010 / GOEI-AUDIT-0004 | arquitectura científica B6 | Comité Científico | Cerrada en alcance de marco por D-010; funciones y parámetros diferidos a B6 |</w:t>
      </w:r>
    </w:p>
    <w:p>
      <w:pPr>
        <w:spacing w:after="20" w:line="240" w:lineRule="auto"/>
      </w:pPr>
      <w:r>
        <w:rPr>
          <w:rFonts w:ascii="Consolas" w:hAnsi="Consolas"/>
          <w:sz w:val="14"/>
        </w:rPr>
        <w:t>| GOEI-ISS-047 | DS-GTRM-03 — ¿Cómo se distinguen formalmente condición de referencia y benchmark y qué papel cumple cada entidad? | D-011 / GOEI-AUDIT-0004 | modelo de referencias | Comité Científico | Cerrada en alcance de marco por D-011; protocolo concreto diferido a B5 |</w:t>
      </w:r>
    </w:p>
    <w:p>
      <w:pPr>
        <w:spacing w:after="20" w:line="240" w:lineRule="auto"/>
      </w:pPr>
      <w:r>
        <w:rPr>
          <w:rFonts w:ascii="Consolas" w:hAnsi="Consolas"/>
          <w:sz w:val="14"/>
        </w:rPr>
        <w:t>| GOEI-ISS-048 | DS-GTRM-04 — ¿Qué dominios de referencia pueden coexistir y qué reglas científicas gobiernan aplicabilidad y precedencia? | D-012 / GOEI-AUDIT-0004 | selección de referencia | Comité Científico | Cerrada en alcance de marco por D-012; precedencia operativa no regulatoria diferida a B2/B4 |</w:t>
      </w:r>
    </w:p>
    <w:p>
      <w:pPr>
        <w:spacing w:after="20" w:line="240" w:lineRule="auto"/>
      </w:pPr>
      <w:r>
        <w:rPr>
          <w:rFonts w:ascii="Consolas" w:hAnsi="Consolas"/>
          <w:sz w:val="14"/>
        </w:rPr>
        <w:t>| GOEI-ISS-049 | DS-GTRM-05 — ¿Qué fuentes de incertidumbre se representarán y mediante qué método científicamente aprobado? | D-013 / GOEI-AUDIT-0004 | medición, puntuación y validación | Comité Científico | Cerrada en fuentes y requisito por D-013; método y suficiencia diferidos a B5 |</w:t>
      </w:r>
    </w:p>
    <w:p>
      <w:pPr>
        <w:spacing w:after="20" w:line="240" w:lineRule="auto"/>
      </w:pPr>
      <w:r>
        <w:rPr>
          <w:rFonts w:ascii="Consolas" w:hAnsi="Consolas"/>
          <w:sz w:val="14"/>
        </w:rPr>
        <w:t>| GOEI-ISS-050 | DS-GTRM-06 — ¿Dónde reside la autoridad científica y normativa y cuál es el ciclo de vida de una GTRM? | D-014 / GOEI-AUDIT-0004 | gobernanza GTRM | Comité Científico + Dirección General | Cerrada en marco por D-014; asignación institucional depende de GOEI-ISS-003 |</w:t>
      </w:r>
    </w:p>
    <w:p>
      <w:pPr>
        <w:spacing w:after="20" w:line="240" w:lineRule="auto"/>
      </w:pPr>
      <w:r>
        <w:rPr>
          <w:rFonts w:ascii="Consolas" w:hAnsi="Consolas"/>
          <w:sz w:val="14"/>
        </w:rPr>
        <w:t>| GOEI-ISS-051 | DS-GTRM-07 — ¿Qué estado y tratamiento corresponden ante ausencia, conflicto, suspensión o expiración de una referencia o función válida? | D-015 / GOEI-AUDIT-0004 | puntuabilidad y reglas críticas | Comité Científico | Cerrada en marco por D-015; estados operativos finales diferidos a B4/B7/B8 |</w:t>
      </w:r>
    </w:p>
    <w:p>
      <w:pPr>
        <w:spacing w:after="20" w:line="240" w:lineRule="auto"/>
      </w:pPr>
      <w:r>
        <w:rPr>
          <w:rFonts w:ascii="Consolas" w:hAnsi="Consolas"/>
          <w:sz w:val="14"/>
        </w:rPr>
        <w:t>| GOEI-ISS-052 | DS-GTRM-08 — ¿Cómo se fija la fuente normativa de verdad y se demuestra equivalencia papel–software y reproducibilidad histórica? | D-016 / GOEI-AUDIT-0004 | manuales, software y auditoría histórica | Comité Científico + Oficina Técnica | Cerrada en marco por D-016; tolerancias y casos por familia diferidos a B5/B6/B9 |</w:t>
      </w:r>
    </w:p>
    <w:p>
      <w:pPr>
        <w:spacing w:after="20" w:line="240" w:lineRule="auto"/>
      </w:pPr>
      <w:r>
        <w:rPr>
          <w:rFonts w:ascii="Consolas" w:hAnsi="Consolas"/>
          <w:sz w:val="14"/>
        </w:rPr>
        <w:t>| GOEI-ISS-053 | Preparar y evaluar el cambio de D-006 para separar observación, medición registrada y valor KPI e incorporar GTRM, benchmark, representaciones derivadas, incertidumbre, autoridad y sucesión. | D-009–D-016 / GOEI-ONT-CAND-0001 | Ontology Baseline v0.1 | Comité Científico + Oficina Técnica + autoridad normativa | Abierta; D-006 permanece intacta; candidata v0.2.0 sin vigencia |</w:t>
      </w:r>
    </w:p>
    <w:p>
      <w:pPr>
        <w:spacing w:after="20" w:line="240" w:lineRule="auto"/>
      </w:pPr>
      <w:r>
        <w:rPr>
          <w:rFonts w:ascii="Consolas" w:hAnsi="Consolas"/>
          <w:sz w:val="14"/>
        </w:rPr>
        <w:t>| GOEI-ISS-054 | Definir y validar el catálogo controlado de valores de FX-1, FX-2 y FX-3, sus identificadores, definiciones, cardinalidades, reglas para híbridos, casos canónicos y vigencia. | D-017 / GOEI-DIR-RES-0002 | Taxonomy Baseline y clasificadores manual/software | Comité Científico + validación Delphi/empírica + ratificación directiva | Abierta; bloquea valores y clasificaciones concretas, no B3 general |</w:t>
      </w:r>
    </w:p>
    <w:p>
      <w:pPr>
        <w:spacing w:after="20" w:line="240" w:lineRule="auto"/>
      </w:pPr>
      <w:r>
        <w:rPr>
          <w:rFonts w:ascii="Consolas" w:hAnsi="Consolas"/>
          <w:sz w:val="14"/>
        </w:rPr>
        <w:t>| GOEI-ISS-055 | Ejecutar y contrastar una revisión sistemática del universo de indicadores antes de declarar completitud o cerrar la selección B4. | D-018 / V-B3-02 | completitud del universo y afirmaciones de exhaustividad | Comité Científico | Abierta; no invalida la baseline candidata B3, pero impide afirmar exhaustividad |</w:t>
      </w:r>
    </w:p>
    <w:p>
      <w:pPr>
        <w:spacing w:after="20" w:line="240" w:lineRule="auto"/>
      </w:pPr>
      <w:r>
        <w:rPr>
          <w:rFonts w:ascii="Consolas" w:hAnsi="Consolas"/>
          <w:sz w:val="14"/>
        </w:rPr>
        <w:t>| GOEI-ISS-056 | Identificar evidencia citable de un indicador operacional cerrado de exactitud de pronóstico de demanda específico de foodservice o ratificar formalmente el vacío. | D-018 / V-B3-01 | rama P1 y evaluación de C-003 | Comité Científico | Abierta; bloqueo selectivo de C-003 cuando se evalúe exactitud de pronóstico |</w:t>
      </w:r>
    </w:p>
    <w:p>
      <w:pPr>
        <w:spacing w:after="20" w:line="240" w:lineRule="auto"/>
      </w:pPr>
      <w:r>
        <w:rPr>
          <w:rFonts w:ascii="Consolas" w:hAnsi="Consolas"/>
          <w:sz w:val="14"/>
        </w:rPr>
        <w:t>| GOEI-ISS-057 | Resolver la adaptación al dominio gastronómico de indicadores genéricos procedentes de SCOR e ISO 30414. | D-018 / V-B3-03 | evaluación B4/B5 de C-005, C-014, C-015 y C-030 | Comité Científico | Abierta; bloqueo selectivo de promoción de candidatos afectados |</w:t>
      </w:r>
    </w:p>
    <w:p>
      <w:pPr>
        <w:spacing w:after="20" w:line="240" w:lineRule="auto"/>
      </w:pPr>
      <w:r>
        <w:rPr>
          <w:rFonts w:ascii="Consolas" w:hAnsi="Consolas"/>
          <w:sz w:val="14"/>
        </w:rPr>
        <w:t>| GOEI-ISS-058 | Resolver la comparabilidad de puntajes de inspección sanitaria entre jurisdicciones antes de puntuarlos o compararlos. | D-018 / V-B3-04 | C-021 y futura normalización jurisdiccional | Comité Científico | Abierta; bloqueo selectivo de comparabilidad/puntuación de C-021 |</w:t>
      </w:r>
    </w:p>
    <w:p>
      <w:pPr>
        <w:spacing w:after="40"/>
      </w:pPr>
    </w:p>
    <w:p>
      <w:pPr>
        <w:pStyle w:val="Heading3"/>
      </w:pPr>
      <w:r>
        <w:t>Criterio de cierre</w:t>
      </w:r>
    </w:p>
    <w:p>
      <w:pPr>
        <w:spacing w:after="40"/>
      </w:pPr>
    </w:p>
    <w:p>
      <w:r>
        <w:t>Una pregunta solo se cierra indicando: decisión que la resuelve, fecha, autoridad, expediente de evidencia, componentes afectados y versión objetivo. Una respuesta conversacional no sustituye el registro oficial.</w:t>
      </w:r>
    </w:p>
    <w:p>
      <w:pPr>
        <w:spacing w:after="40"/>
      </w:pPr>
    </w:p>
    <w:p>
      <w:pPr>
        <w:pStyle w:val="Heading3"/>
      </w:pPr>
      <w:r>
        <w:t>Registros especializados</w:t>
      </w:r>
    </w:p>
    <w:p>
      <w:pPr>
        <w:spacing w:after="40"/>
      </w:pPr>
    </w:p>
    <w:p>
      <w:pPr>
        <w:pStyle w:val="ListBullet"/>
      </w:pPr>
      <w:r>
        <w:t>EPIC-001 mantiene GOEI-ISS-031 a GOEI-ISS-038 en 09_Manual_tecnico_general/EPIC-001_GOEI_Knowledge_Graph/11_Registro_de_issues.md. Los IDs 011–017 del registro maestro prevalecen; la renumeración quedó registrada en GOEI-CHG-0001.</w:t>
      </w:r>
    </w:p>
    <w:p>
      <w:pPr>
        <w:pStyle w:val="ListBullet"/>
      </w:pPr>
      <w:r>
        <w:t>EPIC-002 mantiene GOEI-ISS-019 a GOEI-ISS-026 en 04_Procesos_gastronomicos/EPIC-002_MetaModelo_Universal/08_Registro_de_issues.md.</w:t>
      </w:r>
    </w:p>
    <w:p>
      <w:pPr>
        <w:pStyle w:val="ListBullet"/>
      </w:pPr>
      <w:r>
        <w:t>Toda modificación de GOEI-BSL-ONT-0001 se rige por 15_Mantenimiento/lineas_base/GOEI_ONT_v0.1/POLITICA_ISSUE_ONLY.md.</w:t>
      </w:r>
    </w:p>
    <w:p>
      <w:pPr>
        <w:pStyle w:val="ListBullet"/>
      </w:pPr>
      <w:r>
        <w:t>La coordinación continua y GOEI-ISS-027–030 se administran desde 00_Gobernanza/coordinacion/.</w:t>
      </w:r>
    </w:p>
    <w:p>
      <w:r>
        <w:br w:type="page"/>
      </w:r>
    </w:p>
    <w:p>
      <w:pPr>
        <w:pStyle w:val="Heading1"/>
        <w:keepNext/>
      </w:pPr>
      <w:r>
        <w:t>Fuente 71: 00_Gobernanza/Registro_de_componentes.md</w:t>
      </w:r>
    </w:p>
    <w:p>
      <w:pPr>
        <w:spacing w:after="200"/>
      </w:pPr>
      <w:r>
        <w:rPr>
          <w:rFonts w:ascii="Consolas" w:hAnsi="Consolas"/>
          <w:color w:val="595959"/>
          <w:sz w:val="16"/>
        </w:rPr>
        <w:t>Ruta: 00_Gobernanza/Registro_de_componentes.md</w:t>
        <w:br/>
        <w:t>Tamaño: 19596 bytes</w:t>
        <w:br/>
        <w:t>SHA-256: 07980ba7e1d7cc4a9d502c07afbf5f1d97ba6c3ffd27cf004805868287458999</w:t>
      </w:r>
    </w:p>
    <w:p>
      <w:pPr>
        <w:pStyle w:val="Heading2"/>
      </w:pPr>
      <w:r>
        <w:t>Registro de componentes controlados GOEI</w:t>
      </w:r>
    </w:p>
    <w:p>
      <w:pPr>
        <w:spacing w:after="40"/>
      </w:pPr>
    </w:p>
    <w:p>
      <w:pPr>
        <w:spacing w:after="20" w:line="240" w:lineRule="auto"/>
      </w:pPr>
      <w:r>
        <w:rPr>
          <w:rFonts w:ascii="Consolas" w:hAnsi="Consolas"/>
          <w:sz w:val="14"/>
        </w:rPr>
        <w:t>| ID | Nombre | Clase | Responsable técnico | Aprobador científico | Estado | Versión documental | Versión GOEI | Ruta canónica |</w:t>
      </w:r>
    </w:p>
    <w:p>
      <w:pPr>
        <w:spacing w:after="20" w:line="240" w:lineRule="auto"/>
      </w:pPr>
      <w:r>
        <w:rPr>
          <w:rFonts w:ascii="Consolas" w:hAnsi="Consolas"/>
          <w:sz w:val="14"/>
        </w:rPr>
        <w:t>|---|---|---|---|---|---|---|---|---|</w:t>
      </w:r>
    </w:p>
    <w:p>
      <w:pPr>
        <w:spacing w:after="20" w:line="240" w:lineRule="auto"/>
      </w:pPr>
      <w:r>
        <w:rPr>
          <w:rFonts w:ascii="Consolas" w:hAnsi="Consolas"/>
          <w:sz w:val="14"/>
        </w:rPr>
        <w:t>| GOEI-CMP-001 | Arquitectura documental | ARCH | Arquitectura e Ingeniería de Conocimiento | PENDIENTE | Borrador bloqueado | 0.1.0-draft | No asignada | `00_Gobernanza/Arquitectura_documental_GOEI.md` |</w:t>
      </w:r>
    </w:p>
    <w:p>
      <w:pPr>
        <w:spacing w:after="20" w:line="240" w:lineRule="auto"/>
      </w:pPr>
      <w:r>
        <w:rPr>
          <w:rFonts w:ascii="Consolas" w:hAnsi="Consolas"/>
          <w:sz w:val="14"/>
        </w:rPr>
        <w:t>| GOEI-CMP-002 | Matriz maestra de trazabilidad | CMP | Arquitectura e Ingeniería de Conocimiento | PENDIENTE | Borrador operativo | 0.1.0-draft | No asignada | `00_Gobernanza/Matriz_de_trazabilidad.md` |</w:t>
      </w:r>
    </w:p>
    <w:p>
      <w:pPr>
        <w:spacing w:after="20" w:line="240" w:lineRule="auto"/>
      </w:pPr>
      <w:r>
        <w:rPr>
          <w:rFonts w:ascii="Consolas" w:hAnsi="Consolas"/>
          <w:sz w:val="14"/>
        </w:rPr>
        <w:t>| GOEI-CMP-003 | Ontología conceptual | CMP | No consta | Comité científico | Adoptada; no vigente | Sin metadato | No asignada | `09_Manual_tecnico_general/Fase4_D006_Ontologia_del_GOEI.md` |</w:t>
      </w:r>
    </w:p>
    <w:p>
      <w:pPr>
        <w:spacing w:after="20" w:line="240" w:lineRule="auto"/>
      </w:pPr>
      <w:r>
        <w:rPr>
          <w:rFonts w:ascii="Consolas" w:hAnsi="Consolas"/>
          <w:sz w:val="14"/>
        </w:rPr>
        <w:t>| GOEI-CMP-004 | Política de versionado | CMP | Arquitectura e Ingeniería de Conocimiento | PENDIENTE | Borrador | 0.1.0-draft | No asignada | `00_Gobernanza/Politica_de_versionado.md` |</w:t>
      </w:r>
    </w:p>
    <w:p>
      <w:pPr>
        <w:spacing w:after="20" w:line="240" w:lineRule="auto"/>
      </w:pPr>
      <w:r>
        <w:rPr>
          <w:rFonts w:ascii="Consolas" w:hAnsi="Consolas"/>
          <w:sz w:val="14"/>
        </w:rPr>
        <w:t>| GOEI-CMP-005 | Convenciones documentales | CMP | Arquitectura e Ingeniería de Conocimiento | PENDIENTE | Borrador operativo | 0.1.0-draft | No asignada | `00_Gobernanza/Convenciones_documentales.md` |</w:t>
      </w:r>
    </w:p>
    <w:p>
      <w:pPr>
        <w:spacing w:after="20" w:line="240" w:lineRule="auto"/>
      </w:pPr>
      <w:r>
        <w:rPr>
          <w:rFonts w:ascii="Consolas" w:hAnsi="Consolas"/>
          <w:sz w:val="14"/>
        </w:rPr>
        <w:t>| GOEI-ARCH-002 | Arquitectura del repositorio oficial | ARCH | Arquitectura e Ingeniería de Conocimiento | PENDIENTE | Propuesta para adopción | 0.1.0-draft | No asignada | `00_Gobernanza/Arquitectura_del_repositorio_oficial_GOEI.md` |</w:t>
      </w:r>
    </w:p>
    <w:p>
      <w:pPr>
        <w:spacing w:after="20" w:line="240" w:lineRule="auto"/>
      </w:pPr>
      <w:r>
        <w:rPr>
          <w:rFonts w:ascii="Consolas" w:hAnsi="Consolas"/>
          <w:sz w:val="14"/>
        </w:rPr>
        <w:t>| GOEI-CON-0001 | Constitución GOEI | CON | Arquitectura e Ingeniería de Conocimiento | PENDIENTE | Esqueleto estructural | 0.1.0-draft | No asignada | `00_Gobernanza/Constitucion_GOEI.md` |</w:t>
      </w:r>
    </w:p>
    <w:p>
      <w:pPr>
        <w:spacing w:after="20" w:line="240" w:lineRule="auto"/>
      </w:pPr>
      <w:r>
        <w:rPr>
          <w:rFonts w:ascii="Consolas" w:hAnsi="Consolas"/>
          <w:sz w:val="14"/>
        </w:rPr>
        <w:t>| GOEI-REV-ONT-0001 | Revisión técnica de la ontología D-006 | REV | Arquitectura e Ingeniería de Conocimiento | No aplica; informe consultivo | Emitido para decisión | 0.1.0 | No asignada | `09_Manual_tecnico_general/Revision_tecnica_arquitectonica_D006.md` |</w:t>
      </w:r>
    </w:p>
    <w:p>
      <w:pPr>
        <w:spacing w:after="20" w:line="240" w:lineRule="auto"/>
      </w:pPr>
      <w:r>
        <w:rPr>
          <w:rFonts w:ascii="Consolas" w:hAnsi="Consolas"/>
          <w:sz w:val="14"/>
        </w:rPr>
        <w:t>| GOEI-BSL-ONT-0001 | Ontology Baseline | BSL | Arquitectura e Ingeniería de Conocimiento | Instrucción expresa del proyecto | Congelada provisionalmente | 0.1 | Ontología v0.1 | `15_Mantenimiento/lineas_base/GOEI_ONT_v0.1/MANIFEST.md` |</w:t>
      </w:r>
    </w:p>
    <w:p>
      <w:pPr>
        <w:spacing w:after="20" w:line="240" w:lineRule="auto"/>
      </w:pPr>
      <w:r>
        <w:rPr>
          <w:rFonts w:ascii="Consolas" w:hAnsi="Consolas"/>
          <w:sz w:val="14"/>
        </w:rPr>
        <w:t>| GOEI-MM-0001 | GOEI MetaModel | MM | Arquitectura e Ingeniería de Conocimiento | PENDIENTE | Propuesta arquitectónica | 0.1.0-draft | No asignada | `09_Manual_tecnico_general/EPIC-001_GOEI_Knowledge_Graph/01_GOEI_MetaModel.md` |</w:t>
      </w:r>
    </w:p>
    <w:p>
      <w:pPr>
        <w:spacing w:after="20" w:line="240" w:lineRule="auto"/>
      </w:pPr>
      <w:r>
        <w:rPr>
          <w:rFonts w:ascii="Consolas" w:hAnsi="Consolas"/>
          <w:sz w:val="14"/>
        </w:rPr>
        <w:t>| GOEI-KG-0001 | GOEI Knowledge Graph | KG | Arquitectura e Ingeniería de Conocimiento | PENDIENTE | Diseño lógico | 0.1.0-draft | No asignada | `09_Manual_tecnico_general/EPIC-001_GOEI_Knowledge_Graph/02_GOEI_Knowledge_Graph.md` |</w:t>
      </w:r>
    </w:p>
    <w:p>
      <w:pPr>
        <w:spacing w:after="20" w:line="240" w:lineRule="auto"/>
      </w:pPr>
      <w:r>
        <w:rPr>
          <w:rFonts w:ascii="Consolas" w:hAnsi="Consolas"/>
          <w:sz w:val="14"/>
        </w:rPr>
        <w:t>| GOEI-PMM-0001 | Universal Process MetaModel | PMM | Arquitectura e Ingeniería de Conocimiento | PENDIENTE | Candidato técnico | 0.1.0-draft | No asignada | `04_Procesos_gastronomicos/EPIC-002_MetaModelo_Universal/01_MetaModelo_Universal_de_Procesos.md` |</w:t>
      </w:r>
    </w:p>
    <w:p>
      <w:pPr>
        <w:spacing w:after="20" w:line="240" w:lineRule="auto"/>
      </w:pPr>
      <w:r>
        <w:rPr>
          <w:rFonts w:ascii="Consolas" w:hAnsi="Consolas"/>
          <w:sz w:val="14"/>
        </w:rPr>
        <w:t>| GOEI-GOV-TO-0001 | GOEI Technical Office | GOV | Dirección General / Oficina Técnica | Dirección General | Vigente como mandato técnico | 0.1.0 | Gobernanza técnica v0.1 | `00_Gobernanza/Oficina_Tecnica_GOEI.md` |</w:t>
      </w:r>
    </w:p>
    <w:p>
      <w:pPr>
        <w:spacing w:after="20" w:line="240" w:lineRule="auto"/>
      </w:pPr>
      <w:r>
        <w:rPr>
          <w:rFonts w:ascii="Consolas" w:hAnsi="Consolas"/>
          <w:sz w:val="14"/>
        </w:rPr>
        <w:t>| GOEI-GOV-COORD-0001 | Coordinación automática científico-técnica | GOV | Oficina Técnica | Dirección General | Activa | 0.1.0 | Gobernanza técnica v0.1 | `00_Gobernanza/coordinacion/README.md` |</w:t>
      </w:r>
    </w:p>
    <w:p>
      <w:pPr>
        <w:spacing w:after="20" w:line="240" w:lineRule="auto"/>
      </w:pPr>
      <w:r>
        <w:rPr>
          <w:rFonts w:ascii="Consolas" w:hAnsi="Consolas"/>
          <w:sz w:val="14"/>
        </w:rPr>
        <w:t>| GOEI-THS-ARCH-0001 | Arquitectura de tesis derivada | THS | Oficina Técnica | Dirección General para alcance; aprobación académica pendiente | Arquitectura directoral vigente | 1.0.0 | Arquitectura de tesis v1.0 | `12_Tesis/estructura/Arquitectura_de_la_tesis_derivada.md` |</w:t>
      </w:r>
    </w:p>
    <w:p>
      <w:pPr>
        <w:spacing w:after="20" w:line="240" w:lineRule="auto"/>
      </w:pPr>
      <w:r>
        <w:rPr>
          <w:rFonts w:ascii="Consolas" w:hAnsi="Consolas"/>
          <w:sz w:val="14"/>
        </w:rPr>
        <w:t>| GOEI-PUB-ARCH-0001 | Arquitectura de manuscrito candidato | PUB | Oficina Técnica | PENDIENTE | Estructura editorial | 0.1.0-draft | No asignada | `13_Publicaciones/manuscritos/Arquitectura_manuscrito_candidato.md` |</w:t>
      </w:r>
    </w:p>
    <w:p>
      <w:pPr>
        <w:spacing w:after="20" w:line="240" w:lineRule="auto"/>
      </w:pPr>
      <w:r>
        <w:rPr>
          <w:rFonts w:ascii="Consolas" w:hAnsi="Consolas"/>
          <w:sz w:val="14"/>
        </w:rPr>
        <w:t>| GOEI-BOK-0001 | GOEI Body of Knowledge | BOK | Oficina Técnica | PENDIENTE | Estructura navegable | 0.1.0-draft | No asignada | `09_Manual_tecnico_general/GOEI_BOK/README.md` |</w:t>
      </w:r>
    </w:p>
    <w:p>
      <w:pPr>
        <w:spacing w:after="20" w:line="240" w:lineRule="auto"/>
      </w:pPr>
      <w:r>
        <w:rPr>
          <w:rFonts w:ascii="Consolas" w:hAnsi="Consolas"/>
          <w:sz w:val="14"/>
        </w:rPr>
        <w:t>| GOEI-VAL-TECH-0001 | Validador del repositorio | TOOL | Oficina Técnica | No aplica; control técnico | Activo | 1.0.0 | Gobernanza técnica v0.1 | `16_Herramientas/validadores/validate_repository.py` |</w:t>
      </w:r>
    </w:p>
    <w:p>
      <w:pPr>
        <w:spacing w:after="20" w:line="240" w:lineRule="auto"/>
      </w:pPr>
      <w:r>
        <w:rPr>
          <w:rFonts w:ascii="Consolas" w:hAnsi="Consolas"/>
          <w:sz w:val="14"/>
        </w:rPr>
        <w:t>| GOEI-HO-0001 | Handoff B1 Procesos Universales | HO | Oficina Técnica | Comité Científico + GOEI-DIR-RES-0001 | Integrado; B1 cerrada en pregunta nuclear | 1.0.0 | Process Baseline v0.1.0 | `00_Gobernanza/coordinacion/handoffs/GOEI_HANDOFF_0001_B1_Procesos_Universales.md` |</w:t>
      </w:r>
    </w:p>
    <w:p>
      <w:pPr>
        <w:spacing w:after="20" w:line="240" w:lineRule="auto"/>
      </w:pPr>
      <w:r>
        <w:rPr>
          <w:rFonts w:ascii="Consolas" w:hAnsi="Consolas"/>
          <w:sz w:val="14"/>
        </w:rPr>
        <w:t>| GOEI-AUDIT-0001 | Auditoría de manuscritos prematuros | AUDIT | Oficina Técnica | No aplica | Emitida | 1.0.0 | Gobernanza técnica v0.1 | `00_Gobernanza/coordinacion/reportes/GOEI_AUDIT_0001_Manuscritos_prematuros.md` |</w:t>
      </w:r>
    </w:p>
    <w:p>
      <w:pPr>
        <w:spacing w:after="20" w:line="240" w:lineRule="auto"/>
      </w:pPr>
      <w:r>
        <w:rPr>
          <w:rFonts w:ascii="Consolas" w:hAnsi="Consolas"/>
          <w:sz w:val="14"/>
        </w:rPr>
        <w:t>| GOEI-STATUS-0001 | Estado procesable del programa | STATUS | Oficina Técnica | No aplica | Activo | 1.0.0 | Gobernanza técnica v0.1 | `00_Gobernanza/coordinacion/program_state.json` |</w:t>
      </w:r>
    </w:p>
    <w:p>
      <w:pPr>
        <w:spacing w:after="20" w:line="240" w:lineRule="auto"/>
      </w:pPr>
      <w:r>
        <w:rPr>
          <w:rFonts w:ascii="Consolas" w:hAnsi="Consolas"/>
          <w:sz w:val="14"/>
        </w:rPr>
        <w:t>| GOEI-REL-POL-0001 | Política de releases y líneas base | POLICY | Oficina Técnica | No aplica a su operación técnica; aprobación institucional pendiente | Control técnico activo | 0.1.0 | Gobernanza técnica v0.1 | `15_Mantenimiento/Politica_de_releases_y_lineas_base.md` |</w:t>
      </w:r>
    </w:p>
    <w:p>
      <w:pPr>
        <w:spacing w:after="20" w:line="240" w:lineRule="auto"/>
      </w:pPr>
      <w:r>
        <w:rPr>
          <w:rFonts w:ascii="Consolas" w:hAnsi="Consolas"/>
          <w:sz w:val="14"/>
        </w:rPr>
        <w:t>| GOEI-TOOL-MAN-0001 | Generador reproducible de manifiestos | TOOL | Oficina Técnica | No aplica; control técnico | Activo | 1.0.0 | Gobernanza técnica v0.1 | `16_Herramientas/validadores/build_manifest.py` |</w:t>
      </w:r>
    </w:p>
    <w:p>
      <w:pPr>
        <w:spacing w:after="20" w:line="240" w:lineRule="auto"/>
      </w:pPr>
      <w:r>
        <w:rPr>
          <w:rFonts w:ascii="Consolas" w:hAnsi="Consolas"/>
          <w:sz w:val="14"/>
        </w:rPr>
        <w:t>| GOEI-TOOL-DIFF-0001 | Comparador de manifiestos | TOOL | Oficina Técnica | No aplica; control técnico | Activo | 1.0.0 | Gobernanza técnica v0.1 | `16_Herramientas/validadores/compare_manifests.py` |</w:t>
      </w:r>
    </w:p>
    <w:p>
      <w:pPr>
        <w:spacing w:after="20" w:line="240" w:lineRule="auto"/>
      </w:pPr>
      <w:r>
        <w:rPr>
          <w:rFonts w:ascii="Consolas" w:hAnsi="Consolas"/>
          <w:sz w:val="14"/>
        </w:rPr>
        <w:t>| GOEI-REL-SCHEMA-0001 | Contrato procesable de expediente de release | SCHEMA | Oficina Técnica | No aplica; control técnico | Activo | 1.0.0 | Gobernanza técnica v0.1 | `15_Mantenimiento/releases/RELEASE_DOSSIER_SCHEMA.md` |</w:t>
      </w:r>
    </w:p>
    <w:p>
      <w:pPr>
        <w:spacing w:after="20" w:line="240" w:lineRule="auto"/>
      </w:pPr>
      <w:r>
        <w:rPr>
          <w:rFonts w:ascii="Consolas" w:hAnsi="Consolas"/>
          <w:sz w:val="14"/>
        </w:rPr>
        <w:t>| GOEI-TOOL-GATE-0001 | Evaluador de compuertas G0–G5 | TOOL | Oficina Técnica | No aplica; no otorga aprobaciones | Activo | 1.0.0 | Gobernanza técnica v0.1 | `16_Herramientas/validadores/evaluate_release_gates.py` |</w:t>
      </w:r>
    </w:p>
    <w:p>
      <w:pPr>
        <w:spacing w:after="20" w:line="240" w:lineRule="auto"/>
      </w:pPr>
      <w:r>
        <w:rPr>
          <w:rFonts w:ascii="Consolas" w:hAnsi="Consolas"/>
          <w:sz w:val="14"/>
        </w:rPr>
        <w:t>| GOEI-THS-REQ-0001 | Plan Maestro Directoral de la Tesis | THS-REQ | Oficina Técnica | Dirección General | Requisito mínimo vigente | 1.0.0 | Arquitectura de tesis v1.0 | `12_Tesis/PLAN_MAESTRO_DIRECTORAL_GOEI.md` |</w:t>
      </w:r>
    </w:p>
    <w:p>
      <w:pPr>
        <w:spacing w:after="20" w:line="240" w:lineRule="auto"/>
      </w:pPr>
      <w:r>
        <w:rPr>
          <w:rFonts w:ascii="Consolas" w:hAnsi="Consolas"/>
          <w:sz w:val="14"/>
        </w:rPr>
        <w:t>| GOEI-THS-COV-0001 | Matriz de cumplimiento del Plan Maestro | THS-COV | Oficina Técnica | No aplica; control de cobertura | Activa | 1.0.0 | Arquitectura de tesis v1.0 | `12_Tesis/ensamblaje/Matriz_de_cumplimiento_plan_maestro.md` |</w:t>
      </w:r>
    </w:p>
    <w:p>
      <w:pPr>
        <w:spacing w:after="20" w:line="240" w:lineRule="auto"/>
      </w:pPr>
      <w:r>
        <w:rPr>
          <w:rFonts w:ascii="Consolas" w:hAnsi="Consolas"/>
          <w:sz w:val="14"/>
        </w:rPr>
        <w:t>| GOEI-TOOL-THS-0001 | Evaluador de cobertura de tesis | TOOL | Oficina Técnica | No aplica; no valida ciencia ni calidad académica | Activo | 1.0.0 | Arquitectura de tesis v1.0 | `16_Herramientas/validadores/assess_thesis_coverage.py` |</w:t>
      </w:r>
    </w:p>
    <w:p>
      <w:pPr>
        <w:spacing w:after="20" w:line="240" w:lineRule="auto"/>
      </w:pPr>
      <w:r>
        <w:rPr>
          <w:rFonts w:ascii="Consolas" w:hAnsi="Consolas"/>
          <w:sz w:val="14"/>
        </w:rPr>
        <w:t>| GOEI-RDM-0001 | Roadmap técnico maestro | RDM | Oficina Técnica | Dirección General para prioridades estratégicas; ciencia fuera de alcance | Activo | 1.0.0 | Gobernanza técnica v0.1 | `00_Gobernanza/Roadmap_tecnico_GOEI.md` |</w:t>
      </w:r>
    </w:p>
    <w:p>
      <w:pPr>
        <w:spacing w:after="20" w:line="240" w:lineRule="auto"/>
      </w:pPr>
      <w:r>
        <w:rPr>
          <w:rFonts w:ascii="Consolas" w:hAnsi="Consolas"/>
          <w:sz w:val="14"/>
        </w:rPr>
        <w:t>| GOEI-TOOL-RDM-0001 | Validador del roadmap técnico | TOOL | Oficina Técnica | No aplica; control técnico | Activo | 1.0.0 | Gobernanza técnica v0.1 | `16_Herramientas/validadores/validate_technical_roadmap.py` |</w:t>
      </w:r>
    </w:p>
    <w:p>
      <w:pPr>
        <w:spacing w:after="20" w:line="240" w:lineRule="auto"/>
      </w:pPr>
      <w:r>
        <w:rPr>
          <w:rFonts w:ascii="Consolas" w:hAnsi="Consolas"/>
          <w:sz w:val="14"/>
        </w:rPr>
        <w:t>| GOEI-GIT-0001 | Política Git y contribución | POLICY | Oficina Técnica | Dirección General para administración remota | Control técnico activo | 1.0.0 | Gobernanza técnica v0.1 | `00_Gobernanza/Politica_Git_y_contribucion.md` |</w:t>
      </w:r>
    </w:p>
    <w:p>
      <w:pPr>
        <w:spacing w:after="20" w:line="240" w:lineRule="auto"/>
      </w:pPr>
      <w:r>
        <w:rPr>
          <w:rFonts w:ascii="Consolas" w:hAnsi="Consolas"/>
          <w:sz w:val="14"/>
        </w:rPr>
        <w:t>| GOEI-CI-0001 | Validación continua del repositorio | CI | Oficina Técnica | No aplica; control técnico | Activa y verificada | 1.0.0 | Gobernanza técnica v0.1 | `.github/workflows/validate.yml` |</w:t>
      </w:r>
    </w:p>
    <w:p>
      <w:pPr>
        <w:spacing w:after="20" w:line="240" w:lineRule="auto"/>
      </w:pPr>
      <w:r>
        <w:rPr>
          <w:rFonts w:ascii="Consolas" w:hAnsi="Consolas"/>
          <w:sz w:val="14"/>
        </w:rPr>
        <w:t>| GOEI-GIT-HOOK-0001 | Hooks Git versionados | TOOL | Oficina Técnica | No aplica; control compensatorio local | Activo | 1.0.0 | Gobernanza técnica v0.1 | `16_Herramientas/git/README.md` |</w:t>
      </w:r>
    </w:p>
    <w:p>
      <w:pPr>
        <w:spacing w:after="20" w:line="240" w:lineRule="auto"/>
      </w:pPr>
      <w:r>
        <w:rPr>
          <w:rFonts w:ascii="Consolas" w:hAnsi="Consolas"/>
          <w:sz w:val="14"/>
        </w:rPr>
        <w:t>| GOEI-BIB-SCHEMA-0001 | Esquema del registro bibliográfico | SCHEMA | Oficina Técnica | Comité Científico para admisión de evidencia | Activo | 1.0.0 | Gobernanza técnica v0.1 | `02_Bibliografia/ESQUEMA_REGISTRO_BIBLIOGRAFICO.md` |</w:t>
      </w:r>
    </w:p>
    <w:p>
      <w:pPr>
        <w:spacing w:after="20" w:line="240" w:lineRule="auto"/>
      </w:pPr>
      <w:r>
        <w:rPr>
          <w:rFonts w:ascii="Consolas" w:hAnsi="Consolas"/>
          <w:sz w:val="14"/>
        </w:rPr>
        <w:t>| GOEI-BIB-0001 | Catálogo bibliográfico procesable | BIB | Oficina Técnica | Comité Científico para estados científicos | Activo; 3 fuentes con metadatos verificados y revisión científica pendiente | 1.0.0 | No asignada | `02_Bibliografia/catalogo_fuentes.json` |</w:t>
      </w:r>
    </w:p>
    <w:p>
      <w:pPr>
        <w:spacing w:after="20" w:line="240" w:lineRule="auto"/>
      </w:pPr>
      <w:r>
        <w:rPr>
          <w:rFonts w:ascii="Consolas" w:hAnsi="Consolas"/>
          <w:sz w:val="14"/>
        </w:rPr>
        <w:t>| GOEI-TOOL-BIB-0001 | Validador bibliográfico | TOOL | Oficina Técnica | No aplica; no evalúa evidencia | Activo | 1.0.0 | Gobernanza técnica v0.1 | `16_Herramientas/validadores/validate_bibliography.py` |</w:t>
      </w:r>
    </w:p>
    <w:p>
      <w:pPr>
        <w:spacing w:after="20" w:line="240" w:lineRule="auto"/>
      </w:pPr>
      <w:r>
        <w:rPr>
          <w:rFonts w:ascii="Consolas" w:hAnsi="Consolas"/>
          <w:sz w:val="14"/>
        </w:rPr>
        <w:t>| GOEI-KG-REGISTRY-0001 | Proyección registral del Knowledge Graph | KG-DATA | Oficina Técnica | No aplica; proyección sin inferencia | Activa; no normativa | 0.1.0 | Gobernanza técnica v0.1 | `09_Manual_tecnico_general/EPIC-001_GOEI_Knowledge_Graph/implementacion/knowledge_graph.registry.json` |</w:t>
      </w:r>
    </w:p>
    <w:p>
      <w:pPr>
        <w:spacing w:after="20" w:line="240" w:lineRule="auto"/>
      </w:pPr>
      <w:r>
        <w:rPr>
          <w:rFonts w:ascii="Consolas" w:hAnsi="Consolas"/>
          <w:sz w:val="14"/>
        </w:rPr>
        <w:t>| GOEI-TOOL-KG-0001 | Generador de la proyección registral | TOOL | Oficina Técnica | No aplica; transformación determinista | Activo | 1.0.0 | Gobernanza técnica v0.1 | `09_Manual_tecnico_general/EPIC-001_GOEI_Knowledge_Graph/implementacion/build_registry_knowledge_graph.py` |</w:t>
      </w:r>
    </w:p>
    <w:p>
      <w:pPr>
        <w:spacing w:after="20" w:line="240" w:lineRule="auto"/>
      </w:pPr>
      <w:r>
        <w:rPr>
          <w:rFonts w:ascii="Consolas" w:hAnsi="Consolas"/>
          <w:sz w:val="14"/>
        </w:rPr>
        <w:t>| GOEI-TOOL-KG-0002 | Consulta e impacto del Knowledge Graph | TOOL | Oficina Técnica | No aplica; navegación sin inferencia | Activo | 1.0.0 | Gobernanza técnica v0.1 | `09_Manual_tecnico_general/EPIC-001_GOEI_Knowledge_Graph/implementacion/query_registry_knowledge_graph.py` |</w:t>
      </w:r>
    </w:p>
    <w:p>
      <w:pPr>
        <w:spacing w:after="20" w:line="240" w:lineRule="auto"/>
      </w:pPr>
      <w:r>
        <w:rPr>
          <w:rFonts w:ascii="Consolas" w:hAnsi="Consolas"/>
          <w:sz w:val="14"/>
        </w:rPr>
        <w:t>| GOEI-GOV-OPS-0001 | Dirección operativa ampliada | GOV | Dirección General / Oficina Técnica | Dirección General | Vigente como mandato operativo | 0.1.0 | Gobernanza técnica v0.1 | `00_Gobernanza/Registro_de_directivas.md` |</w:t>
      </w:r>
    </w:p>
    <w:p>
      <w:pPr>
        <w:spacing w:after="20" w:line="240" w:lineRule="auto"/>
      </w:pPr>
      <w:r>
        <w:rPr>
          <w:rFonts w:ascii="Consolas" w:hAnsi="Consolas"/>
          <w:sz w:val="14"/>
        </w:rPr>
        <w:t>| GOEI-GOV-EXEC-0001 | Delegación ejecutiva de resolución | GOV | Dirección General / Oficina Técnica | Dirección General | Vigente como mandato ejecutivo | 1.0.0 | Gobernanza técnica v0.1 | `00_Gobernanza/Registro_de_directivas.md` |</w:t>
      </w:r>
    </w:p>
    <w:p>
      <w:pPr>
        <w:spacing w:after="20" w:line="240" w:lineRule="auto"/>
      </w:pPr>
      <w:r>
        <w:rPr>
          <w:rFonts w:ascii="Consolas" w:hAnsi="Consolas"/>
          <w:sz w:val="14"/>
        </w:rPr>
        <w:t>| GOEI-PIPE-B2-B10-0001 | Pipeline operativo B2–B10 | PIPE | Oficina Técnica | Dirección General para compuertas; Comité Científico para contenido | Activo; B4 habilitada | 0.1.0 | Gobernanza técnica v0.1 | `00_Gobernanza/coordinacion/PIPELINE_B2_B10.md` |</w:t>
      </w:r>
    </w:p>
    <w:p>
      <w:pPr>
        <w:spacing w:after="20" w:line="240" w:lineRule="auto"/>
      </w:pPr>
      <w:r>
        <w:rPr>
          <w:rFonts w:ascii="Consolas" w:hAnsi="Consolas"/>
          <w:sz w:val="14"/>
        </w:rPr>
        <w:t>| GOEI-THS-MAP-0001 | Matriz capítulo–evidencia aprobada | THS-MAP | Oficina Técnica | No aplica; control de ensamblaje | Activa | 1.0.0 | Arquitectura de tesis v1.0 | `12_Tesis/ensamblaje/Matriz_capitulo_evidencia_aprobada.md` |</w:t>
      </w:r>
    </w:p>
    <w:p>
      <w:pPr>
        <w:spacing w:after="20" w:line="240" w:lineRule="auto"/>
      </w:pPr>
      <w:r>
        <w:rPr>
          <w:rFonts w:ascii="Consolas" w:hAnsi="Consolas"/>
          <w:sz w:val="14"/>
        </w:rPr>
        <w:t>| GOEI-THS-ED-0001 | Especificación editorial UDLA–APA 7 | THS-ED | Oficina Técnica | Aprobación académica e institucional pendiente | Especificación de proyecto; cotejo UDLA pendiente | 0.1.0 | Arquitectura de tesis v1.0 | `12_Tesis/estructura/Especificacion_editorial_UDLA_APA7.md` |</w:t>
      </w:r>
    </w:p>
    <w:p>
      <w:pPr>
        <w:spacing w:after="20" w:line="240" w:lineRule="auto"/>
      </w:pPr>
      <w:r>
        <w:rPr>
          <w:rFonts w:ascii="Consolas" w:hAnsi="Consolas"/>
          <w:sz w:val="14"/>
        </w:rPr>
        <w:t>| GOEI-AUDIT-0002 | Auditoría técnica D-008 / cierre B1 | AUDIT | Oficina Técnica | No aplica; no aprueba ciencia | Emitida para resolución directiva | 1.0.0 | Gobernanza técnica v0.1 | `00_Gobernanza/coordinacion/reportes/GOEI_AUDIT_0002_D008_Cierre_B1.md` |</w:t>
      </w:r>
    </w:p>
    <w:p>
      <w:pPr>
        <w:spacing w:after="20" w:line="240" w:lineRule="auto"/>
      </w:pPr>
      <w:r>
        <w:rPr>
          <w:rFonts w:ascii="Consolas" w:hAnsi="Consolas"/>
          <w:sz w:val="14"/>
        </w:rPr>
        <w:t>| GOEI-DIR-RES-D008-DRAFT | Borrador de resolución D-008 / B1 | GOV-DRAFT | Oficina Técnica | Dirección General | Borrador sin efectos normativos | 0.1.0-draft | No asignada | `00_Gobernanza/coordinacion/resoluciones/GOEI_DIR_RES_D008_B1_BORRADOR.md` |</w:t>
      </w:r>
    </w:p>
    <w:p>
      <w:pPr>
        <w:spacing w:after="20" w:line="240" w:lineRule="auto"/>
      </w:pPr>
      <w:r>
        <w:rPr>
          <w:rFonts w:ascii="Consolas" w:hAnsi="Consolas"/>
          <w:sz w:val="14"/>
        </w:rPr>
        <w:t>| GOEI-SCI-QUEUE-0002 | Paquete científico B2 Taxonomía Universal | SCI-QUEUE | Oficina Técnica | GOEI-DIR-RES-0001 para activación; Comité Científico para contenido | Cerrado e integrado por GOEI-DIR-RES-0002 | 0.1.0 | Taxonomy Baseline v0.1.0 | `00_Gobernanza/coordinacion/cola_cientifica/GOEI_SCI_QUEUE_0002_B2_Taxonomia_Universal.md` |</w:t>
      </w:r>
    </w:p>
    <w:p>
      <w:pPr>
        <w:spacing w:after="20" w:line="240" w:lineRule="auto"/>
      </w:pPr>
      <w:r>
        <w:rPr>
          <w:rFonts w:ascii="Consolas" w:hAnsi="Consolas"/>
          <w:sz w:val="14"/>
        </w:rPr>
        <w:t>| GOEI-GTRM-SRC-0001 | Propuesta fuente GTRM | SRC | Dirección General / custodia Oficina Técnica | No aplica; fuente no normativa | Preservada para auditoría | 1.0.0 | No asignada | `00_Gobernanza/coordinacion/auditorias/GTRM/GTRM_PROPUESTA_FUENTE_NO_NORMATIVA.txt` |</w:t>
      </w:r>
    </w:p>
    <w:p>
      <w:pPr>
        <w:spacing w:after="20" w:line="240" w:lineRule="auto"/>
      </w:pPr>
      <w:r>
        <w:rPr>
          <w:rFonts w:ascii="Consolas" w:hAnsi="Consolas"/>
          <w:sz w:val="14"/>
        </w:rPr>
        <w:t>| GOEI-GTRM-AUD-SCI-0001 | Dictamen científico GTRM | AUDIT-SCI | Comité Científico | Dirección General para eventual adopción | Consultivo; dictamen B | 1.0.0 | No asignada | `00_Gobernanza/coordinacion/auditorias/GTRM/GOEI_GTRM_DICTAMEN_CIENTIFICO.md` |</w:t>
      </w:r>
    </w:p>
    <w:p>
      <w:pPr>
        <w:spacing w:after="20" w:line="240" w:lineRule="auto"/>
      </w:pPr>
      <w:r>
        <w:rPr>
          <w:rFonts w:ascii="Consolas" w:hAnsi="Consolas"/>
          <w:sz w:val="14"/>
        </w:rPr>
        <w:t>| GOEI-GTRM-AUD-ARCH-0001 | Auditoría arquitectónica GTRM | AUDIT-ARCH | Oficina Técnica | No aplica; informe técnico | Consultiva | 1.0.0 | Gobernanza técnica v0.1 | `00_Gobernanza/coordinacion/auditorias/GTRM/GOEI_GTRM_AUDITORIA_ARQUITECTONICA.md` |</w:t>
      </w:r>
    </w:p>
    <w:p>
      <w:pPr>
        <w:spacing w:after="20" w:line="240" w:lineRule="auto"/>
      </w:pPr>
      <w:r>
        <w:rPr>
          <w:rFonts w:ascii="Consolas" w:hAnsi="Consolas"/>
          <w:sz w:val="14"/>
        </w:rPr>
        <w:t>| GOEI-GTRM-AUD-CTRL-0001 | Matriz de preguntas y controles GTRM | AUDIT-CTRL | Oficina Técnica | No aplica; control de cobertura | Completa para dictamen | 1.0.0 | Gobernanza técnica v0.1 | `00_Gobernanza/coordinacion/auditorias/GTRM/GOEI_GTRM_MATRIZ_DE_PREGUNTAS_Y_CONTROLES.md` |</w:t>
      </w:r>
    </w:p>
    <w:p>
      <w:pPr>
        <w:spacing w:after="20" w:line="240" w:lineRule="auto"/>
      </w:pPr>
      <w:r>
        <w:rPr>
          <w:rFonts w:ascii="Consolas" w:hAnsi="Consolas"/>
          <w:sz w:val="14"/>
        </w:rPr>
        <w:t>| GOEI-GTRM-AUD-0001 | Auditoría consolidada GTRM | AUDIT | Comité Científico / Oficina Técnica | Dirección General para eventual adopción | Dictamen B consultivo; sin efecto normativo | 1.0.0 | No asignada | `00_Gobernanza/coordinacion/auditorias/GTRM/GOEI_GTRM_AUDITORIA_CONSOLIDADA.md` |</w:t>
      </w:r>
    </w:p>
    <w:p>
      <w:pPr>
        <w:spacing w:after="20" w:line="240" w:lineRule="auto"/>
      </w:pPr>
      <w:r>
        <w:rPr>
          <w:rFonts w:ascii="Consolas" w:hAnsi="Consolas"/>
          <w:sz w:val="14"/>
        </w:rPr>
        <w:t>| GOEI-AUDIT-0003 | Auditoría de preparación D-008/B1 | AUDIT | Oficina Técnica | Dirección General para resolución; no otorga aprobación | Emitida; expediente listo y rama normativa bloqueada | 1.0.0 | Gobernanza técnica v0.1 | `00_Gobernanza/coordinacion/reportes/GOEI_AUDIT_0003_D008_B1_Readiness.md` |</w:t>
      </w:r>
    </w:p>
    <w:p>
      <w:pPr>
        <w:spacing w:after="20" w:line="240" w:lineRule="auto"/>
      </w:pPr>
      <w:r>
        <w:rPr>
          <w:rFonts w:ascii="Consolas" w:hAnsi="Consolas"/>
          <w:sz w:val="14"/>
        </w:rPr>
        <w:t>| GOEI-EXP-GTRM-0001 | Expediente de resolución GOEI-ISS-044 | EXP | Oficina Técnica | Dirección General para destino del dictamen; Comité para materias científicas | Resuelto por Opción A; slots científicos abiertos | 1.0.0 | Gobernanza técnica v0.1 | `00_Gobernanza/coordinacion/expedientes/GTRM/GOEI_EXP_ISS_044_RESOLUCION_GTRM.md` |</w:t>
      </w:r>
    </w:p>
    <w:p>
      <w:pPr>
        <w:spacing w:after="20" w:line="240" w:lineRule="auto"/>
      </w:pPr>
      <w:r>
        <w:rPr>
          <w:rFonts w:ascii="Consolas" w:hAnsi="Consolas"/>
          <w:sz w:val="14"/>
        </w:rPr>
        <w:t>| GOEI-DIR-RES-GTRM-0001 | Resolución directiva GTRM | DIR-RES | Dirección General por delegación ejecutiva a Oficina Técnica | Dirección General | Vigente; Opción A resuelta | 1.0.0 | Gobernanza técnica v0.1 | `00_Gobernanza/coordinacion/expedientes/GTRM/GOEI_DIR_RES_ISS_044_GTRM.md` |</w:t>
      </w:r>
    </w:p>
    <w:p>
      <w:pPr>
        <w:spacing w:after="20" w:line="240" w:lineRule="auto"/>
      </w:pPr>
      <w:r>
        <w:rPr>
          <w:rFonts w:ascii="Consolas" w:hAnsi="Consolas"/>
          <w:sz w:val="14"/>
        </w:rPr>
        <w:t>| GOEI-TPL-GTRM-0001 | Plantilla de decisión científica GTRM | TEMPLATE | Oficina Técnica | Comité Científico para cada decisión | Plantilla activa; sin contenido científico | 0.1.0 | Gobernanza técnica v0.1 | `00_Gobernanza/coordinacion/expedientes/GTRM/GOEI_CC_DEC_GTRM_SLOT_PLANTILLA.md` |</w:t>
      </w:r>
    </w:p>
    <w:p>
      <w:pPr>
        <w:spacing w:after="20" w:line="240" w:lineRule="auto"/>
      </w:pPr>
      <w:r>
        <w:rPr>
          <w:rFonts w:ascii="Consolas" w:hAnsi="Consolas"/>
          <w:sz w:val="14"/>
        </w:rPr>
        <w:t>| GOEI-DIR-RES-0001 | Resolución D-008 / cierre B1 | DIR-RES | Dirección General delegada / Oficina Técnica | GOEI-DIR-0004 | Aprobada y vigente | 1.0.0 | Process Baseline v0.1.0 | `00_Gobernanza/coordinacion/resoluciones/GOEI_DIR_RES_0001_D008_B1.md` |</w:t>
      </w:r>
    </w:p>
    <w:p>
      <w:pPr>
        <w:spacing w:after="20" w:line="240" w:lineRule="auto"/>
      </w:pPr>
      <w:r>
        <w:rPr>
          <w:rFonts w:ascii="Consolas" w:hAnsi="Consolas"/>
          <w:sz w:val="14"/>
        </w:rPr>
        <w:t>| GOEI-BSL-PROC-0001 | Process Baseline | BSL | Oficina Técnica | Comité Científico D-008 + GOEI-DIR-RES-0001 | Congelada con reservas | 0.1.0 | Process Baseline v0.1.0 | `15_Mantenimiento/lineas_base/GOEI_PROC_v0.1.0/MANIFEST.md` |</w:t>
      </w:r>
    </w:p>
    <w:p>
      <w:pPr>
        <w:spacing w:after="20" w:line="240" w:lineRule="auto"/>
      </w:pPr>
      <w:r>
        <w:rPr>
          <w:rFonts w:ascii="Consolas" w:hAnsi="Consolas"/>
          <w:sz w:val="14"/>
        </w:rPr>
        <w:t>| GOEI-DS-GTRM-0001 | Paquete científico DS-GTRM-01…08 | SCI-DEC | Comité Científico | Dirección General bajo GOEI-DIR-0004 | Incorporado como D-009–D-016; marco sin instancias | 0.1.0 | Marco científico GTRM v0.1 | `00_Gobernanza/coordinacion/decisiones_cientificas/GTRM/GOEI_CC_DICTAMEN_GTRM_INTEGRACION.md` |</w:t>
      </w:r>
    </w:p>
    <w:p>
      <w:pPr>
        <w:spacing w:after="20" w:line="240" w:lineRule="auto"/>
      </w:pPr>
      <w:r>
        <w:rPr>
          <w:rFonts w:ascii="Consolas" w:hAnsi="Consolas"/>
          <w:sz w:val="14"/>
        </w:rPr>
        <w:t>| GOEI-AUDIT-0004 | Auditoría técnica DS-GTRM-01…08 | AUDIT | Oficina Técnica | No aplica; control técnico | Conforme con reserva interpretativa DS-GTRM-04 | 1.0.0 | Gobernanza técnica v0.1 | `00_Gobernanza/coordinacion/auditorias/GTRM/GOEI_AUDIT_0004_DS_GTRM_01_08.md` |</w:t>
      </w:r>
    </w:p>
    <w:p>
      <w:pPr>
        <w:spacing w:after="20" w:line="240" w:lineRule="auto"/>
      </w:pPr>
      <w:r>
        <w:rPr>
          <w:rFonts w:ascii="Consolas" w:hAnsi="Consolas"/>
          <w:sz w:val="14"/>
        </w:rPr>
        <w:t>| GOEI-ONT-CAND-0001 | Especificación candidata de cambio ontológico GTRM | ONT-CAND | Oficina Técnica | Comité Científico y autoridad normativa pendientes | Candidata no normativa | 0.2.0-candidate | No asignada | `09_Manual_tecnico_general/candidatos/GOEI_ONT_v0.2.0_candidate_GTRM.md` |</w:t>
      </w:r>
    </w:p>
    <w:p>
      <w:pPr>
        <w:spacing w:after="20" w:line="240" w:lineRule="auto"/>
      </w:pPr>
      <w:r>
        <w:rPr>
          <w:rFonts w:ascii="Consolas" w:hAnsi="Consolas"/>
          <w:sz w:val="14"/>
        </w:rPr>
        <w:t>| GOEI-ARQ-GTRM-0001 | Arquitectura candidata B5–B6 GTRM | ARCH | Oficina Técnica | Comité Científico para contenido B5/B6 | Candidata técnica; contratos solamente | 0.1.0-candidate | No asignada | `06_Normalizacion/arquitectura/GOEI_ARQ_B5_B6_GTRM_candidate.md` |</w:t>
      </w:r>
    </w:p>
    <w:p>
      <w:pPr>
        <w:spacing w:after="20" w:line="240" w:lineRule="auto"/>
      </w:pPr>
      <w:r>
        <w:rPr>
          <w:rFonts w:ascii="Consolas" w:hAnsi="Consolas"/>
          <w:sz w:val="14"/>
        </w:rPr>
        <w:t>| GOEI-SCI-D017-0001 | Expediente científico D-017 / B2 | SCI-DEC | Comité Científico | Dirección General bajo GOEI-DIR-0004 | Ratificado con alcance limitado | 0.1.0 | Taxonomy Baseline v0.1.0 | `00_Gobernanza/coordinacion/entradas_comite/GOEI_SCI_HANDOFF_D017_Cierre_B2.md` |</w:t>
      </w:r>
    </w:p>
    <w:p>
      <w:pPr>
        <w:spacing w:after="20" w:line="240" w:lineRule="auto"/>
      </w:pPr>
      <w:r>
        <w:rPr>
          <w:rFonts w:ascii="Consolas" w:hAnsi="Consolas"/>
          <w:sz w:val="14"/>
        </w:rPr>
        <w:t>| GOEI-AUDIT-0005 | Auditoría técnica D-017 / B2 | AUDIT | Oficina Técnica | No aplica; control técnico | Aceptable para decisión con promoción limitada | 1.0.0 | Gobernanza técnica v0.1 | `00_Gobernanza/coordinacion/auditorias/GOEI_AUDIT_0005_D017_Cierre_B2.md` |</w:t>
      </w:r>
    </w:p>
    <w:p>
      <w:pPr>
        <w:spacing w:after="20" w:line="240" w:lineRule="auto"/>
      </w:pPr>
      <w:r>
        <w:rPr>
          <w:rFonts w:ascii="Consolas" w:hAnsi="Consolas"/>
          <w:sz w:val="14"/>
        </w:rPr>
        <w:t>| GOEI-DIR-RES-0002 | Resolución D-017 / cierre B2 | DIR-RES | Dirección General delegada / Oficina Técnica | GOEI-DIR-0004 | Aprobada y vigente | 1.0.0 | Taxonomy Baseline v0.1.0 | `00_Gobernanza/coordinacion/resoluciones/GOEI_DIR_RES_0002_D017_B2.md` |</w:t>
      </w:r>
    </w:p>
    <w:p>
      <w:pPr>
        <w:spacing w:after="20" w:line="240" w:lineRule="auto"/>
      </w:pPr>
      <w:r>
        <w:rPr>
          <w:rFonts w:ascii="Consolas" w:hAnsi="Consolas"/>
          <w:sz w:val="14"/>
        </w:rPr>
        <w:t>| GOEI-BSL-TAX-0001 | Taxonomy Baseline | BSL | Oficina Técnica | Comité Científico D-017 + GOEI-DIR-RES-0002 | Congelada con reservas | 0.1.0 | Taxonomy Baseline v0.1.0 | `15_Mantenimiento/lineas_base/GOEI_TAX_v0.1.0/MANIFEST.md` |</w:t>
      </w:r>
    </w:p>
    <w:p>
      <w:pPr>
        <w:spacing w:after="20" w:line="240" w:lineRule="auto"/>
      </w:pPr>
      <w:r>
        <w:rPr>
          <w:rFonts w:ascii="Consolas" w:hAnsi="Consolas"/>
          <w:sz w:val="14"/>
        </w:rPr>
        <w:t>| GOEI-HO-0002 | Handoff B2 Taxonomía Universal | HO | Oficina Técnica | Comité Científico D-017 + GOEI-DIR-RES-0002 | Integrado; B3 habilitada | 1.0.0 | Taxonomy Baseline v0.1.0 | `00_Gobernanza/coordinacion/handoffs/GOEI_HANDOFF_0002_B2_Taxonomia_Universal.md` |</w:t>
      </w:r>
    </w:p>
    <w:p>
      <w:pPr>
        <w:spacing w:after="20" w:line="240" w:lineRule="auto"/>
      </w:pPr>
      <w:r>
        <w:rPr>
          <w:rFonts w:ascii="Consolas" w:hAnsi="Consolas"/>
          <w:sz w:val="14"/>
        </w:rPr>
        <w:t>| GOEI-SCI-D018-0001 | Expediente científico D-018 / B3 | SCI-DEC | Comité Científico | Dirección General bajo GOEI-DIR-0004 | Ratificado con alcance limitado | 0.1.0 | KPI Candidate Catalog Baseline v0.1.0 | `00_Gobernanza/coordinacion/entradas_comite/GOEI_SCI_HANDOFF_D018_Cierre_B3.md` |</w:t>
      </w:r>
    </w:p>
    <w:p>
      <w:pPr>
        <w:spacing w:after="20" w:line="240" w:lineRule="auto"/>
      </w:pPr>
      <w:r>
        <w:rPr>
          <w:rFonts w:ascii="Consolas" w:hAnsi="Consolas"/>
          <w:sz w:val="14"/>
        </w:rPr>
        <w:t>| GOEI-KPI-B3-REV-0001 | Revisión científica del universo candidato B3 | SCI-REV | Comité Científico | D-018 | Congelada como evidencia de B3 | 0.1.0 | KPI Candidate Catalog Baseline v0.1.0 | `01_Estado_del_arte/FaseB_B3_Revision_universo_KPI.md` |</w:t>
      </w:r>
    </w:p>
    <w:p>
      <w:pPr>
        <w:spacing w:after="20" w:line="240" w:lineRule="auto"/>
      </w:pPr>
      <w:r>
        <w:rPr>
          <w:rFonts w:ascii="Consolas" w:hAnsi="Consolas"/>
          <w:sz w:val="14"/>
        </w:rPr>
        <w:t>| GOEI-CAT-KPI-C-0001 | Catálogo controlado de indicadores candidatos B3 | CAT | Comité Científico / custodia Oficina Técnica | D-018 + GOEI-DIR-RES-0003 | Congelado; 31 indicadores candidatos + 1 marco contextual | 0.1.0 | KPI Candidate Catalog Baseline v0.1.0 | `05_Catalogo_KPI/GOEI_Catalogo_KPI_Candidatos_B3.md` |</w:t>
      </w:r>
    </w:p>
    <w:p>
      <w:pPr>
        <w:spacing w:after="20" w:line="240" w:lineRule="auto"/>
      </w:pPr>
      <w:r>
        <w:rPr>
          <w:rFonts w:ascii="Consolas" w:hAnsi="Consolas"/>
          <w:sz w:val="14"/>
        </w:rPr>
        <w:t>| GOEI-MTZ-KPI-C-0001 | Matriz de cobertura de candidatos B3 | MTZ | Comité Científico / custodia Oficina Técnica | D-018 + GOEI-DIR-RES-0003 | Congelada; no evalúa admisibilidad | 0.1.0 | KPI Candidate Catalog Baseline v0.1.0 | `05_Catalogo_KPI/GOEI_Matriz_Cobertura_KPI_Candidatos_B3.md` |</w:t>
      </w:r>
    </w:p>
    <w:p>
      <w:pPr>
        <w:spacing w:after="20" w:line="240" w:lineRule="auto"/>
      </w:pPr>
      <w:r>
        <w:rPr>
          <w:rFonts w:ascii="Consolas" w:hAnsi="Consolas"/>
          <w:sz w:val="14"/>
        </w:rPr>
        <w:t>| GOEI-AUDIT-0006 | Auditoría técnica D-018 / B3 | AUDIT | Oficina Técnica | No aplica; control técnico | Aceptable para decisión con promoción limitada | 1.0.0 | Gobernanza técnica v0.1 | `00_Gobernanza/coordinacion/auditorias/GOEI_AUDIT_0006_D018_Cierre_B3.md` |</w:t>
      </w:r>
    </w:p>
    <w:p>
      <w:pPr>
        <w:spacing w:after="20" w:line="240" w:lineRule="auto"/>
      </w:pPr>
      <w:r>
        <w:rPr>
          <w:rFonts w:ascii="Consolas" w:hAnsi="Consolas"/>
          <w:sz w:val="14"/>
        </w:rPr>
        <w:t>| GOEI-DIR-RES-0003 | Resolución D-018 / cierre B3 | DIR-RES | Dirección General delegada / Oficina Técnica | GOEI-DIR-0004 | Aprobada y vigente | 1.0.0 | KPI Candidate Catalog Baseline v0.1.0 | `00_Gobernanza/coordinacion/resoluciones/GOEI_DIR_RES_0003_D018_B3.md` |</w:t>
      </w:r>
    </w:p>
    <w:p>
      <w:pPr>
        <w:spacing w:after="20" w:line="240" w:lineRule="auto"/>
      </w:pPr>
      <w:r>
        <w:rPr>
          <w:rFonts w:ascii="Consolas" w:hAnsi="Consolas"/>
          <w:sz w:val="14"/>
        </w:rPr>
        <w:t>| GOEI-BSL-KPI-C-0001 | KPI Candidate Catalog Baseline | BSL | Oficina Técnica | Comité Científico D-018 + GOEI-DIR-RES-0003 | Congelada; candidata y no normativa | 0.1.0 | KPI Candidate Catalog Baseline v0.1.0 | `15_Mantenimiento/lineas_base/GOEI_KPI_CAND_v0.1.0/MANIFEST.md` |</w:t>
      </w:r>
    </w:p>
    <w:p>
      <w:pPr>
        <w:spacing w:after="20" w:line="240" w:lineRule="auto"/>
      </w:pPr>
      <w:r>
        <w:rPr>
          <w:rFonts w:ascii="Consolas" w:hAnsi="Consolas"/>
          <w:sz w:val="14"/>
        </w:rPr>
        <w:t>| GOEI-HO-0003 | Handoff B3 Universo candidato KPI | HO | Oficina Técnica | Comité Científico D-018 + GOEI-DIR-RES-0003 | Integrado; B4 habilitada | 1.0.0 | KPI Candidate Catalog Baseline v0.1.0 | `00_Gobernanza/coordinacion/handoffs/GOEI_HANDOFF_0003_B3_Universo_KPI.md` |</w:t>
      </w:r>
    </w:p>
    <w:p>
      <w:pPr>
        <w:spacing w:after="40"/>
      </w:pPr>
    </w:p>
    <w:p>
      <w:pPr>
        <w:pStyle w:val="Heading3"/>
      </w:pPr>
      <w:r>
        <w:t>Regla</w:t>
      </w:r>
    </w:p>
    <w:p>
      <w:pPr>
        <w:spacing w:after="40"/>
      </w:pPr>
    </w:p>
    <w:p>
      <w:r>
        <w:t>El registro asigna identidad y estado, no autoridad científica. No asignada, PENDIENTE y Sin metadato son valores explícitos; no deben completarse por deducción.</w:t>
      </w:r>
    </w:p>
    <w:p>
      <w:r>
        <w:br w:type="page"/>
      </w:r>
    </w:p>
    <w:p>
      <w:pPr>
        <w:pStyle w:val="Heading1"/>
        <w:keepNext/>
      </w:pPr>
      <w:r>
        <w:t>Fuente 72: 00_Gobernanza/Registro_de_decisiones.md</w:t>
      </w:r>
    </w:p>
    <w:p>
      <w:pPr>
        <w:spacing w:after="200"/>
      </w:pPr>
      <w:r>
        <w:rPr>
          <w:rFonts w:ascii="Consolas" w:hAnsi="Consolas"/>
          <w:color w:val="595959"/>
          <w:sz w:val="16"/>
        </w:rPr>
        <w:t>Ruta: 00_Gobernanza/Registro_de_decisiones.md</w:t>
        <w:br/>
        <w:t>Tamaño: 28805 bytes</w:t>
        <w:br/>
        <w:t>SHA-256: 9b06c0d4d961bb8baa578b1e4a17ddb65cd8dffb988843ad2655cff770288573</w:t>
      </w:r>
    </w:p>
    <w:p>
      <w:pPr>
        <w:pStyle w:val="Heading2"/>
      </w:pPr>
      <w:r>
        <w:t>Registro de Decisiones — GOEI</w:t>
      </w:r>
    </w:p>
    <w:p>
      <w:pPr>
        <w:spacing w:after="40"/>
      </w:pPr>
    </w:p>
    <w:p>
      <w:r>
        <w:t>---</w:t>
      </w:r>
    </w:p>
    <w:p>
      <w:pPr>
        <w:spacing w:after="40"/>
      </w:pPr>
    </w:p>
    <w:p>
      <w:r>
        <w:t>Decisión: D-001 — Evaluación crítica de justificación del GOEI (dictamen del comité)</w:t>
      </w:r>
    </w:p>
    <w:p>
      <w:r>
        <w:t>Fecha: 2026-08-04</w:t>
      </w:r>
    </w:p>
    <w:p>
      <w:r>
        <w:t>Problema analizado: ¿Existe un problema científico y práctico que justifique desarrollar el GOEI como nuevo estándar internacional, o el problema ya está resuelto por modelos existentes?</w:t>
      </w:r>
    </w:p>
    <w:p>
      <w:r>
        <w:t>Alternativas consideradas:</w:t>
      </w:r>
    </w:p>
    <w:p>
      <w:pPr>
        <w:pStyle w:val="ListNumber"/>
      </w:pPr>
      <w:r>
        <w:t>Aceptar el GOEI como estándar y pasar a diseñar KPIs.</w:t>
      </w:r>
    </w:p>
    <w:p>
      <w:pPr>
        <w:pStyle w:val="ListNumber"/>
      </w:pPr>
      <w:r>
        <w:t>Rechazar el proyecto por redundancia con DEA/BSC/OEE/KPIs.</w:t>
      </w:r>
    </w:p>
    <w:p>
      <w:pPr>
        <w:pStyle w:val="ListNumber"/>
      </w:pPr>
      <w:r>
        <w:t>Revisar y representar: continuar solo tras cerrar condiciones mínimas.</w:t>
      </w:r>
    </w:p>
    <w:p>
      <w:r>
        <w:t>Evidencia utilizada: OECD/JRC Handbook on Composite Indicators (2008); Kaplan &amp; Norton (1992) y aplicaciones BSC en hospitality; OEE (Nakajima); DEA aplicado a restaurantes; SERVQUAL/DINESERV (Stevens et al. 1995); RevPASH (Kimes); literatura de validez de inspección sanitaria; crítica de compensabilidad y robustez en índices compuestos.</w:t>
      </w:r>
    </w:p>
    <w:p>
      <w:r>
        <w:t>Decisión adoptada: Alternativa 3 (revise &amp; resubmit). El proyecto continúa condicionado a cerrar las Fases 0–3 antes de diseñar cualquier KPI.</w:t>
      </w:r>
    </w:p>
    <w:p>
      <w:r>
        <w:t>Justificación: Existe una intersección vacía real (multidimensional + comparable + auditable + manual) no cubierta por ningún instrumento único, pero la brecha es de integración, no de existencia de métricas. La brecha científica defendible es la validez de constructo: si "eficiencia operacional gastronómica" es indexable sin pérdida inaceptable.</w:t>
      </w:r>
    </w:p>
    <w:p>
      <w:r>
        <w:t>Limitaciones: No se ha definido el constructo, ni el criterio de validación (ground truth), ni la demanda real. La denominación "estándar internacional" es prematura.</w:t>
      </w:r>
    </w:p>
    <w:p>
      <w:r>
        <w:t>Pendiente de validación: H1 (definición de constructo), H2 (índice vs. tablero), H3 (ground truth), H4 (demanda), H5 (compromiso de robustez). Ver 01_Estado_del_arte/Informe_Comite_Evaluador_GOEI.md.</w:t>
      </w:r>
    </w:p>
    <w:p>
      <w:pPr>
        <w:spacing w:after="40"/>
      </w:pPr>
    </w:p>
    <w:p>
      <w:r>
        <w:t>---</w:t>
      </w:r>
    </w:p>
    <w:p>
      <w:pPr>
        <w:spacing w:after="40"/>
      </w:pPr>
    </w:p>
    <w:p>
      <w:r>
        <w:t>Decisión: D-002 — Cierre de investigación H1 (revisión de constructos equivalentes, 19 disciplinas)</w:t>
      </w:r>
    </w:p>
    <w:p>
      <w:r>
        <w:t>Fecha: 2026-08-04</w:t>
      </w:r>
    </w:p>
    <w:p>
      <w:r>
        <w:t>Problema analizado: ¿Existe en la literatura un constructo equivalente/parcial a "Salud Operacional Gastronómica" y hay un vacío conceptual que justifique uno nuevo?</w:t>
      </w:r>
    </w:p>
    <w:p>
      <w:r>
        <w:t>Alternativas consideradas:</w:t>
      </w:r>
    </w:p>
    <w:p>
      <w:pPr>
        <w:pStyle w:val="ListNumber"/>
      </w:pPr>
      <w:r>
        <w:t>Declarar vacío conceptual pleno → constructo nuevo justificado.</w:t>
      </w:r>
    </w:p>
    <w:p>
      <w:pPr>
        <w:pStyle w:val="ListNumber"/>
      </w:pPr>
      <w:r>
        <w:t>Declarar redundancia → adaptar EFQM/SCOR/OEE "gastronomizado".</w:t>
      </w:r>
    </w:p>
    <w:p>
      <w:pPr>
        <w:pStyle w:val="ListNumber"/>
      </w:pPr>
      <w:r>
        <w:t>Vacío hipotético (integración + especificidad), pendiente de resolver en Fase 2.</w:t>
      </w:r>
    </w:p>
    <w:p>
      <w:r>
        <w:t>Evidencia utilizada: 19 disciplinas revisadas; Miles (1969, Organizational Health); Richard et al. (2009); Shingo/OpEx; EFQM/Baldrige; Neely et al. (1995); Nakajima/OEE; Elkington/TBL (1994); Heskett et al. (Service-Profit Chain); SCOR; SERVQUAL/DINESERV; OECD/JRC (2008); KPIs foodservice. Ver 01_Estado_del_arte/Fase0_H1_Revision_Constructo_Salud_Operacional.md.</w:t>
      </w:r>
    </w:p>
    <w:p>
      <w:r>
        <w:t>Decisión adoptada: Alternativa 3. El vacío ("salud dinámica × operación gastronómica × inocuidad integrada") se sostiene como HIPÓTESIS, no como hecho.</w:t>
      </w:r>
    </w:p>
    <w:p>
      <w:r>
        <w:t>Justificación: Los conceptos primarios ya existen; el vacío es de integración y especificidad de dominio. La casilla "salud × operacional × gastronomía" está vacía como constructo validado, pero podría cubrirse con adaptación en vez de constructo nuevo.</w:t>
      </w:r>
    </w:p>
    <w:p>
      <w:r>
        <w:t>Limitaciones: Revisión amplia pero NO sistemática (PRISMA pendiente, Fase 1). Riesgos: constructo "Frankenstein", redundancia funcional con EFQM, colisión terminológica con "Operational Health" (TI).</w:t>
      </w:r>
    </w:p>
    <w:p>
      <w:r>
        <w:t>Pendiente de validación: Fase 1 (revisión sistemática); Fase 2 debe resolver 5 preguntas abiertas: (1) salud vs. desempeño vs. eficiencia; (2) constructo reflectivo vs. formativo; (3) inocuidad como dimensión vs. regla crítica; (4) término a adoptar; (5) índice vs. tablero.</w:t>
      </w:r>
    </w:p>
    <w:p>
      <w:pPr>
        <w:spacing w:after="40"/>
      </w:pPr>
    </w:p>
    <w:p>
      <w:r>
        <w:t>---</w:t>
      </w:r>
    </w:p>
    <w:p>
      <w:pPr>
        <w:spacing w:after="40"/>
      </w:pPr>
    </w:p>
    <w:p>
      <w:r>
        <w:t>Decisión: D-003 — Determinación del fenómeno y del núcleo conceptual (¿salud, desempeño o eficiencia?)</w:t>
      </w:r>
    </w:p>
    <w:p>
      <w:r>
        <w:t>Fecha: 2026-08-04</w:t>
      </w:r>
    </w:p>
    <w:p>
      <w:r>
        <w:t>Problema analizado: ¿Cuál de las tres familias de constructos (salud/desempeño/eficiencia) representa el fenómeno que el GOEI pretende medir, y cuál debe ser su núcleo?</w:t>
      </w:r>
    </w:p>
    <w:p>
      <w:r>
        <w:t>Alternativas consideradas: Eficiencia (núcleo); Desempeño (núcleo); Salud (núcleo); "otro constructo" (condición/estado operacional); términos alternativos (capacidad, madurez, excelencia, estado, vitalidad).</w:t>
      </w:r>
    </w:p>
    <w:p>
      <w:r>
        <w:t>Evidencia utilizada: DEA (Charnes/Cooper/Rhodes 1978), OEE/Nakajima; Richard et al. (2009), Neely et al. (1995), Kaplan &amp; Norton (1992); Miles (1969) y McKinsey OHI; Jarvis et al. (2003) y Diamantopoulos (constructos formativos vs. reflectivos); CMM (madurez); Shingo (excelencia). Ver 01_Estado_del_arte/Fase2_D003_Salud_vs_Desempeno_vs_Eficiencia.md.</w:t>
      </w:r>
    </w:p>
    <w:p>
      <w:r>
        <w:t>Decisión adoptada (provisional, a ratificar por el comité): El núcleo NO es eficiencia (unidimensional, ciega a lo no compensable) NI salud en sentido técnico (modelo reflectivo incompatible + carga predictiva no asumida + colisión con TI). Se adopta provisionalmente el núcleo neutro "condición/estado operacional": índice FORMATIVO, multidimensional, evaluado contra estándares, con restricciones críticas no compensables; familia de validación de referencia = desempeño (Richard et al.).</w:t>
      </w:r>
    </w:p>
    <w:p>
      <w:r>
        <w:t>Justificación: El nombre se deriva de dos propiedades técnicas: (a) estado vs. resultado vs. relación; (b) formativo vs. reflectivo. El fenómeno es un estado formativo → no es cociente (eficiencia) ni latente reflectivo (salud). "Salud/vitalidad" solo se legitima si se asume validación predictiva longitudinal (Vía B).</w:t>
      </w:r>
    </w:p>
    <w:p>
      <w:r>
        <w:t>Limitaciones: El acrónimo GOEI hereda "Efficiency", en tensión con el núcleo correcto. Decisión bifurcada: ascenso a "salud/vitalidad" condicionado a diseño longitudinal en Fase 6.</w:t>
      </w:r>
    </w:p>
    <w:p>
      <w:r>
        <w:t>Pendiente de validación: Ratificación del comité (Vía A vs. B); aceptar consecuencia metodológica de constructo formativo (sin α/validez convergente clásica); ratificar inocuidad como restricción crítica; resolver tensión del acrónimo.</w:t>
      </w:r>
    </w:p>
    <w:p>
      <w:pPr>
        <w:spacing w:after="40"/>
      </w:pPr>
    </w:p>
    <w:p>
      <w:r>
        <w:t>---</w:t>
      </w:r>
    </w:p>
    <w:p>
      <w:pPr>
        <w:spacing w:after="40"/>
      </w:pPr>
    </w:p>
    <w:p>
      <w:r>
        <w:t>Decisión: D-004 — Rectificación de D-003: ¿"salud" obliga a modelo reflectivo?</w:t>
      </w:r>
    </w:p>
    <w:p>
      <w:r>
        <w:t>Fecha: 2026-08-04</w:t>
      </w:r>
    </w:p>
    <w:p>
      <w:r>
        <w:t>Problema analizado: ¿El descarte de "salud" en D-003 fue por restricción metodológica universal o por convención disciplinar?</w:t>
      </w:r>
    </w:p>
    <w:p>
      <w:r>
        <w:t>Alternativas consideradas: (a) mantener D-003 (salud ⟹ reflectivo + longitudinal); (b) retractar por convención disciplinar.</w:t>
      </w:r>
    </w:p>
    <w:p>
      <w:r>
        <w:t>Evidencia utilizada: Ocean Health Index (Halpern et al. 2012, Nature) — composite formativo de "salud"; Index of Biotic Integrity (Karr 1981) — multimétrico validado contra condición de referencia; Healthy Eating Index (USDA/NCI) — composite formativo 0–100; teoría formativo/reflectivo (Bollen &amp; Lennox 1991; Bollen &amp; Bauldry 2011; Jarvis et al. 2003): la dirección de la flecha es conceptual, no léxica; OECD/JRC (2008). Ver 01_Estado_del_arte/Fase2_D004_Salud_como_indice_formativo.md.</w:t>
      </w:r>
    </w:p>
    <w:p>
      <w:r>
        <w:t>Decisión adoptada (RECTIFICA D-003): Se RETRACTA la afirmación "salud ⟹ reflectivo" (era convención disciplinar de la psicología organizacional, no ley universal). Se REFORMULA "salud ⟹ longitudinal": falso en forma fuerte; "salud" solo obliga a definir un ESTADO DE REFERENCIA normativo y, opcionalmente, un componente prospectivo. "Salud Operacional Gastronómica" ES admisible como índice compuesto formativo sin contradecir la teoría de constructos (precedentes OHI/IBI/HEI).</w:t>
      </w:r>
    </w:p>
    <w:p>
      <w:r>
        <w:t>Justificación: Existen múltiples constructos "salud/integridad/calidad" formativos, de estado, 0–100, anclados a referencia. La elección salud vs. condición/estado deja de ser metodológica y pasa a ser ESTRATÉGICA.</w:t>
      </w:r>
    </w:p>
    <w:p>
      <w:r>
        <w:t>Limitaciones: Persisten advertencias menores no prohibitivas: (i) en management "salud" evoca la tradición reflectiva de Miles/OHI → declarar explícitamente el sentido formativo-composite; (ii) colisión terminológica con "operational health" (TI). Sigue en pie: eficiencia descartada como núcleo; naturaleza formativa del GOEI confirmada.</w:t>
      </w:r>
    </w:p>
    <w:p>
      <w:r>
        <w:t>Pendiente de validación: Fase 3 debe decidir salud vs. condición/estado como elección estratégica; asumir obligación de estado de referencia; ratificar aparato de validación formativo (contenido/completitud, colinealidad, criterio/externa, MIMIC).</w:t>
      </w:r>
    </w:p>
    <w:p>
      <w:pPr>
        <w:spacing w:after="40"/>
      </w:pPr>
    </w:p>
    <w:p>
      <w:r>
        <w:t>---</w:t>
      </w:r>
    </w:p>
    <w:p>
      <w:pPr>
        <w:spacing w:after="40"/>
      </w:pPr>
    </w:p>
    <w:p>
      <w:r>
        <w:t>Decisión: D-005 — Arquitectura del GOEI Standard</w:t>
      </w:r>
    </w:p>
    <w:p>
      <w:r>
        <w:t>Fecha: 2026-08-04</w:t>
      </w:r>
    </w:p>
    <w:p>
      <w:r>
        <w:t>Problema analizado: ¿La arquitectura de 12 niveles propuesta es suficiente como estructura de todo el proyecto? ¿Falta/sobra algo? ¿El orden es correcto?</w:t>
      </w:r>
    </w:p>
    <w:p>
      <w:r>
        <w:t>Alternativas consideradas: (a) mantener el listado plano de 12 niveles; (b) arquitectura por capas (eje normativo + planos transversales + esquema paralelo de conformidad).</w:t>
      </w:r>
    </w:p>
    <w:p>
      <w:r>
        <w:t>Evidencia utilizada: ISO Annex SL / Estructura Armonizada; ISO/IEC 17065 y serie 17000 (evaluación de conformidad); CMMI v2.0 (product suite) y SCAMPI; SCOR; EFQM (RADAR); Shingo Prize; Codex/HACCP (límites críticos, validación); Ocean Health Index (estado de referencia, métodos reproducibles); PMBOK; ITIL. Ver 09_Manual_tecnico_general/Fase3_D005_Arquitectura_del_Estandar_GOEI.md.</w:t>
      </w:r>
    </w:p>
    <w:p>
      <w:r>
        <w:t>Decisión adoptada (provisional): Los 12 niveles son NECESARIOS pero NO SUFICIENTES. Se adopta arquitectura por capas: EJE NORMATIVO (N0 fundamento/alcance → N1 modelo → N2 taxonomía → N3 procesos → N4 indicadores+admisibilidad → N5 normalización → N6 modelo matemático → N7 reglas críticas → N8 interpretación → N9 aplicación [manual general+categoría+formularios]); PLANOS TRANSVERSALES (T1 gobernanza/IP/ética/datos, T2 glosario, T3 validación [COMPUERTA], T4 mejora continua/anti-gaming/formación); ESQUEMA PARALELO de conformidad (K1 protocolo auditoría, K2 competencia del evaluador, K3 certificación/imparcialidad, K4 acreditación).</w:t>
      </w:r>
    </w:p>
    <w:p>
      <w:r>
        <w:t>Justificación: Un estándar ≠ un índice; requiere gobernanza, validación y mantenimiento (omitidos en los 12 niveles). Reubicaciones: Manual Técnico General va al final (N9), Auditoría se promueve a esquema completo (K1–K4). Etiquetar cada capa normativa vs. informativa (regla ISO).</w:t>
      </w:r>
    </w:p>
    <w:p>
      <w:r>
        <w:t>Limitaciones: Faltan 7 componentes en la propuesta original (glosario, alcance/principios, validación, conformidad completa, gobernanza, mantenimiento, anti-gaming). Nada sobra, pero la capa de aplicación estaba dispersa en 3 niveles no contiguos.</w:t>
      </w:r>
    </w:p>
    <w:p>
      <w:r>
        <w:t>Pendiente de validación: Ratificar arquitectura por capas; aceptar validación (T3) como compuerta obligatoria; decidir certificación de terceros vs. autoevaluación; definir propietario/gobernanza (T1); etiquetar normativo/informativo.</w:t>
      </w:r>
    </w:p>
    <w:p>
      <w:pPr>
        <w:spacing w:after="40"/>
      </w:pPr>
    </w:p>
    <w:p>
      <w:r>
        <w:t>---</w:t>
      </w:r>
    </w:p>
    <w:p>
      <w:pPr>
        <w:spacing w:after="40"/>
      </w:pPr>
    </w:p>
    <w:p>
      <w:r>
        <w:t>Decisión: D-006 — Ontología conceptual del GOEI</w:t>
      </w:r>
    </w:p>
    <w:p>
      <w:r>
        <w:t>Fecha: 2026-08-04</w:t>
      </w:r>
    </w:p>
    <w:p>
      <w:r>
        <w:t>Problema analizado: Definir todas las entidades del universo GOEI (atributos, relaciones, jerarquías, restricciones, ciclos de vida) antes de diseñar dimensiones/KPI, para que el modelo matemático sea inequívoco.</w:t>
      </w:r>
    </w:p>
    <w:p>
      <w:r>
        <w:t>Alternativas consideradas: (a) pasar directo a dimensiones/KPI; (b) construir primero una ontología formal con planos type/token.</w:t>
      </w:r>
    </w:p>
    <w:p>
      <w:r>
        <w:t>Evidencia utilizada: Gruber (1993, componentes de ontología); BFO (Smith: continuante/ocurrente, cualidad/portador); Enterprise Ontology (Uschold &amp; King; Dietz DEMO); ArchiMate/TOGAF (estructura activa/comportamiento/pasiva); niveles type/token/metamodelo. Ver 09_Manual_tecnico_general/Fase4_D006_Ontologia_del_GOEI.md.</w:t>
      </w:r>
    </w:p>
    <w:p>
      <w:r>
        <w:t>Decisión adoptada: Se adopta ontología de dos planos con 5 compromisos: CO-1 plano DEFINICIONAL (types del Estándar) vs OPERACIONAL (tokens de la evaluación) — prohibido usar "KPI" sin decir type/token; CO-2 continuante vs ocurrente; CO-3 el GOEI mide una CUALIDAD que inhiere en el Establecimiento (Resultado = estimador de esa cualidad en un periodo); CO-4 activa/comportamiento/pasiva; CO-5 identidad y periodo (cadena = múltiples establecimientos). Catálogo de ~30 entidades, 4 jerarquías separadas (is-a, part-of, type→token, derivación), 10 axiomas de integridad (AX-1..AX-10, incl. no-compensación AX-4 y censo formativo AX-7), 6 ciclos de vida.</w:t>
      </w:r>
    </w:p>
    <w:p>
      <w:r>
        <w:t>Justificación: La ambigüedad type/token es lo que rompe un modelo matemático; separarla ex ante lo habilita. La no-compensación y la completitud formativa quedan como restricciones estructurales, no como trucos de fórmula.</w:t>
      </w:r>
    </w:p>
    <w:p>
      <w:r>
        <w:t>Limitaciones: No se define contenido (qué dimensiones/KPI/bandas). Ontología neutra al nombre del constructo (salud vs. condición).</w:t>
      </w:r>
    </w:p>
    <w:p>
      <w:r>
        <w:t>Pendiente de validación: Ratificar regla type/token; fijar unidad de análisis (local vs. cadena/franquicia/dark kitchen); Periodo fijo vs. variable; ponderación/condición de referencia global vs. por-categoría; nombre del constructo.</w:t>
      </w:r>
    </w:p>
    <w:p>
      <w:pPr>
        <w:spacing w:after="40"/>
      </w:pPr>
    </w:p>
    <w:p>
      <w:r>
        <w:t>---</w:t>
      </w:r>
    </w:p>
    <w:p>
      <w:pPr>
        <w:spacing w:after="40"/>
      </w:pPr>
    </w:p>
    <w:p>
      <w:r>
        <w:t>Decisión: D-006-REV — Revisión y cierre de la ontología (5 refinamientos del comité)</w:t>
      </w:r>
    </w:p>
    <w:p>
      <w:r>
        <w:t>Fecha: 2026-08-04</w:t>
      </w:r>
    </w:p>
    <w:p>
      <w:r>
        <w:t>Problema analizado: Cinco observaciones antes de cerrar D-006: (1) raíz del universo; (2) entidad Recurso; (3) Producto/Servicio/Pedido/Cliente; (4) ontología dinámica; (5) anclaje cuádruple de la observación.</w:t>
      </w:r>
    </w:p>
    <w:p>
      <w:r>
        <w:t>Evidencia utilizada: REA (McCarthy 1982: Resource-Event-Agent + commitments/value chains); PROV-O (W3C 2013: Entity/Activity/Agent/tiempo); realismo BFO / artefacto de información; ArchiMate (estructura+comportamiento en un metamodelo); DEMO. Ver 09_Manual_tecnico_general/Fase4_D006_REV_Ontologia_revision_y_cierre.md.</w:t>
      </w:r>
    </w:p>
    <w:p>
      <w:r>
        <w:t>Decisión adoptada (APROBADO CON REVISIONES):</w:t>
      </w:r>
    </w:p>
    <w:p>
      <w:r>
        <w:t>(1) CO-6 Realismo: la realidad es primaria; el Estándar NO es la raíz sino artefacto de información. TRES ESTRATOS: R (Realidad: Industria⊃Establecimiento⊃Operación…), N (Norma: types del estándar), D (Datos: observaciones/valores/resultados). Ancla ontológica = Establecimiento (portador de la cualidad); alcance = Industria; Operación = comportamiento.</w:t>
      </w:r>
    </w:p>
    <w:p>
      <w:r>
        <w:t>(2) Nueva entidad Recurso (8 subtipos: personas, equipamiento, tiempo, espacio, ingredientes, capital, información, tecnología); AX-13 doble tipado (Persona = Agente + Recurso).</w:t>
      </w:r>
    </w:p>
    <w:p>
      <w:r>
        <w:t>(3) Producto/Servicio = Recurso-output; Pedido = Compromiso (REA); Cliente = Agente. Backbone de intercambio económico; superclase Agente.</w:t>
      </w:r>
    </w:p>
    <w:p>
      <w:r>
        <w:t>(4) CO-7 UNA ontología con DOS VISTAS (estructural + dinámica), no dos ontologías. Nuevas entidades: Evento (pivote), Proceso, Flujo, Transición de estado. AX-12 conservación económica.</w:t>
      </w:r>
    </w:p>
    <w:p>
      <w:r>
        <w:t>(5) AX-11 anclaje cuádruple (entidad+proceso+evento+periodo, mapeo PROV-O) como COMPUERTA DE ADMISIBILIDAD DEL DATO: observación sin anclaje cuádruple = inadmisible.</w:t>
      </w:r>
    </w:p>
    <w:p>
      <w:r>
        <w:t>Justificación: Los puntos 1, 4 y 5 corregían errores estructurales (anti-realismo, ausencia de flujo, datos sin procedencia). La ontología queda con 3 estratos, 2 vistas, catálogo ampliado y 13 axiomas → habilita el modelo matemático sin ambigüedad.</w:t>
      </w:r>
    </w:p>
    <w:p>
      <w:r>
        <w:t>Limitaciones: Sin contenido (dimensiones/KPI/fórmulas). Neutra al nombre del constructo.</w:t>
      </w:r>
    </w:p>
    <w:p>
      <w:r>
        <w:t>Pendiente de validación: Ratificar CO-6/CO-7; adoptar AX-11 como compuerta de dato; unidad de análisis/cadenas (abierta); documentar la vista dinámica como parte de N1 o anexo normativo.</w:t>
      </w:r>
    </w:p>
    <w:p>
      <w:pPr>
        <w:spacing w:after="40"/>
      </w:pPr>
    </w:p>
    <w:p>
      <w:r>
        <w:t>---</w:t>
      </w:r>
    </w:p>
    <w:p>
      <w:pPr>
        <w:spacing w:after="40"/>
      </w:pPr>
    </w:p>
    <w:p>
      <w:r>
        <w:t>Decisión: D-007 — Núcleo universal de macroprocesos gastronómicos</w:t>
      </w:r>
    </w:p>
    <w:p>
      <w:r>
        <w:t>Fecha: 2026-08-04</w:t>
      </w:r>
    </w:p>
    <w:p>
      <w:r>
        <w:t>Problema analizado: ¿Existe un conjunto universal de macroprocesos común a todo establecimiento gastronómico, base posible del GOEI?</w:t>
      </w:r>
    </w:p>
    <w:p>
      <w:r>
        <w:t>Alternativas consideradas: (a) no hay núcleo común (procesos idiosincrásicos por categoría); (b) núcleo común a nivel de actividad concreta; (c) núcleo común a nivel de subsistema funcional + realizaciones específicas.</w:t>
      </w:r>
    </w:p>
    <w:p>
      <w:r>
        <w:t>Evidencia utilizada: Foodservice Systems Model (Spears &amp; Gregoire: subsistemas aprovisionamiento/producción/distribución-servicio/inocuidad-sanitización-mantenimiento + gestión); ciclo de control A&amp;B hotelero (8 pasos); cadena de valor de restaurante; operaciones de catering; dark kitchen; tipos de sistema de producción (convencional/cook-chill/commissary/assembly-serve). Ver 04_Procesos_gastronomicos/Fase4_Nucleo_universal_de_macroprocesos.md.</w:t>
      </w:r>
    </w:p>
    <w:p>
      <w:r>
        <w:t>Decisión adoptada (Alternativa c, provisional/hipótesis): SÍ existe un núcleo universal, condicionado al nivel de abstracción. Núcleo candidato: cadena primaria P1 planificación/menú → P2 aprovisionamiento → P3 recepción/almacenamiento → P4 producción → P5 distribución/servicio/cumplimiento → P6 transacción/cierre; planos transversales A inocuidad/higiene, B mantenimiento, C gestión (finanzas/RRHH/marketing/calidad). P1–P4, P7–P9 casi perfectamente invariantes; P5 (modo de entrega) y P6 (venta vs. requisición no comercial) universales solo bajo abstracción alta.</w:t>
      </w:r>
    </w:p>
    <w:p>
      <w:r>
        <w:t>Justificación: El núcleo coincide de forma independiente en fuentes académicas, hoteleras, de catering y delivery, y generaliza el modelo de Spears. Lo que varía es la REALIZACIÓN, no la existencia (determinada por el tipo de sistema de producción).</w:t>
      </w:r>
    </w:p>
    <w:p>
      <w:r>
        <w:t>Limitaciones: Revisión amplia, NO PRISMA-formal → núcleo es HIPÓTESIS. A nivel de actividad concreta NO hay universalidad (servicio de mesa vs. delivery vs. transporte son excluyentes). Foodservice no comercial tensiona P6/P9.</w:t>
      </w:r>
    </w:p>
    <w:p>
      <w:r>
        <w:t>Pendiente de validación: Alcance comercial vs. no comercial; matriz de procesos en dos niveles (universal+específico); tipo de sistema de producción como eje de taxonomía (N2); inocuidad con doble rol (proceso transversal + regla crítica AX-4); revisión sistemática PRISMA antes de fijar el núcleo como normativo.</w:t>
      </w:r>
    </w:p>
    <w:p>
      <w:pPr>
        <w:spacing w:after="40"/>
      </w:pPr>
    </w:p>
    <w:p>
      <w:r>
        <w:t>---</w:t>
      </w:r>
    </w:p>
    <w:p>
      <w:pPr>
        <w:spacing w:after="40"/>
      </w:pPr>
    </w:p>
    <w:p>
      <w:r>
        <w:t>Decisión: D-008 — Cierre limitado de B1 y núcleo universal de procesos</w:t>
      </w:r>
    </w:p>
    <w:p>
      <w:r>
        <w:t>Fecha: 2026-08-04</w:t>
      </w:r>
    </w:p>
    <w:p>
      <w:r>
        <w:t>Problema analizado: ¿Existe y con qué estructura un conjunto de procesos común a todo establecimiento gastronómico que permita cerrar la pregunta nuclear de B1?</w:t>
      </w:r>
    </w:p>
    <w:p>
      <w:r>
        <w:t>Alternativas consideradas: (a) no existe núcleo universal; (b) existe a nivel de actividades concretas; (c) existe a nivel de subsistema funcional, con realizaciones específicas por categoría o sistema.</w:t>
      </w:r>
    </w:p>
    <w:p>
      <w:r>
        <w:t>Evidencia utilizada: Expediente científico GOEI_SCI_HANDOFF_D008_Cierre_B1.md, revisión rápida estructurada B1, modelo de sistemas de foodservice y convergencia documental allí registrada; cotejo bibliográfico del Comité; auditorías técnicas GOEI-AUDIT-0002 y GOEI-AUDIT-0003.</w:t>
      </w:r>
    </w:p>
    <w:p>
      <w:r>
        <w:t>Decisión adoptada: Alternativa (c). Se ratifica un núcleo a nivel de subsistema funcional, estructurado en cadena primaria P1–P6 y planos transversales P7–P9, con realizaciones específicas futuras. El alcance incluye foodservice comercial y no comercial; P6 se generaliza como transacción/cierre.</w:t>
      </w:r>
    </w:p>
    <w:p>
      <w:r>
        <w:t>Autoridad científica: Comité Científico GOEI.</w:t>
      </w:r>
    </w:p>
    <w:p>
      <w:r>
        <w:t>Ratificación directiva: GOEI-DIR-RES-0001, bajo GOEI-DIR-0004.</w:t>
      </w:r>
    </w:p>
    <w:p>
      <w:r>
        <w:t>Justificación: La evidencia convergente respalda la existencia y la estructura nuclear al nivel de abstracción declarado; la variación corresponde a la realización y no niega el tipo universal.</w:t>
      </w:r>
    </w:p>
    <w:p>
      <w:r>
        <w:t>Limitaciones: Revisión PRISMA completa y Delphi quedan como validaciones posteriores. Residuos/merma no adquiere clasificación normativa y permanece bajo GOEI-ISS-043. No se decide taxonomía, actividades concretas, KPI, fórmulas ni ponderaciones.</w:t>
      </w:r>
    </w:p>
    <w:p>
      <w:r>
        <w:t>Versión incorporada: GOEI-BSL-PROC-0001 v0.1.0.</w:t>
      </w:r>
    </w:p>
    <w:p>
      <w:r>
        <w:t>Pendiente de validación: PRISMA completa; Delphi; GOEI-ISS-014, GOEI-ISS-015 y GOEI-ISS-043; realizaciones específicas en B2 y fases posteriores.</w:t>
      </w:r>
    </w:p>
    <w:p>
      <w:pPr>
        <w:spacing w:after="40"/>
      </w:pPr>
    </w:p>
    <w:p>
      <w:r>
        <w:t>---</w:t>
      </w:r>
    </w:p>
    <w:p>
      <w:pPr>
        <w:spacing w:after="40"/>
      </w:pPr>
    </w:p>
    <w:p>
      <w:r>
        <w:t>Decisión: D-009 — Naturaleza y entrada de la GTRM</w:t>
      </w:r>
    </w:p>
    <w:p>
      <w:r>
        <w:t>Fecha: 2026-08-04</w:t>
      </w:r>
    </w:p>
    <w:p>
      <w:r>
        <w:t>Problema analizado: Determinar si la transformación recibe observaciones, mediciones registradas o valores KPI.</w:t>
      </w:r>
    </w:p>
    <w:p>
      <w:r>
        <w:t>Evidencia utilizada: OECD/JRC (2008); Keeney y Raiffa (1976); D-006/D-006-REV. Expediente DS_GTRM_01_Entrada.md.</w:t>
      </w:r>
    </w:p>
    <w:p>
      <w:r>
        <w:t>Decisión adoptada: La GTRM actúa sobre el valor de KPI derivado mediante una definición y regla de cálculo versionadas; no sobre la observación cruda ni una medición aislada.</w:t>
      </w:r>
    </w:p>
    <w:p>
      <w:r>
        <w:t>Justificación: Preserva la cadena captura→registro→derivación→puntuación y separa datos de la evaluación normativa.</w:t>
      </w:r>
    </w:p>
    <w:p>
      <w:r>
        <w:t>Limitaciones: No define KPI, reglas de cálculo ni requisitos concretos de admisibilidad; dependen de B4/B5.</w:t>
      </w:r>
    </w:p>
    <w:p>
      <w:r>
        <w:t>Versión incorporada: Marco científico GTRM v0.1; sin baseline normativa.</w:t>
      </w:r>
    </w:p>
    <w:p>
      <w:pPr>
        <w:spacing w:after="40"/>
      </w:pPr>
    </w:p>
    <w:p>
      <w:r>
        <w:t>---</w:t>
      </w:r>
    </w:p>
    <w:p>
      <w:pPr>
        <w:spacing w:after="40"/>
      </w:pPr>
    </w:p>
    <w:p>
      <w:r>
        <w:t>Decisión: D-010 — Resultado GTRM y normalización única</w:t>
      </w:r>
    </w:p>
    <w:p>
      <w:r>
        <w:t>Fecha: 2026-08-04</w:t>
      </w:r>
    </w:p>
    <w:p>
      <w:r>
        <w:t>Problema analizado: Definir la naturaleza, salida y relación de GTRM con normalización.</w:t>
      </w:r>
    </w:p>
    <w:p>
      <w:r>
        <w:t>Evidencia utilizada: OECD/JRC (2008); von Winterfeldt y Edwards (1986); Keeney y Raiffa (1976). Expediente DS_GTRM_02_Normalizacion.md.</w:t>
      </w:r>
    </w:p>
    <w:p>
      <w:r>
        <w:t>Decisión adoptada: GTRM es la especificación de una función de valor normativa parametrizada; su aplicación única produce la puntuación normalizada del KPI. Tabla y software son representaciones derivadas. Se prohíbe la doble normalización.</w:t>
      </w:r>
    </w:p>
    <w:p>
      <w:r>
        <w:t>Justificación: Una única transformación versionada evita arbitrariedad y distorsión.</w:t>
      </w:r>
    </w:p>
    <w:p>
      <w:r>
        <w:t>Limitaciones: B6 debe determinar formas, parámetros y escala con evidencia; no se fijan aquí.</w:t>
      </w:r>
    </w:p>
    <w:p>
      <w:r>
        <w:t>Versión incorporada: Marco científico GTRM v0.1; sin baseline normativa.</w:t>
      </w:r>
    </w:p>
    <w:p>
      <w:pPr>
        <w:spacing w:after="40"/>
      </w:pPr>
    </w:p>
    <w:p>
      <w:r>
        <w:t>---</w:t>
      </w:r>
    </w:p>
    <w:p>
      <w:pPr>
        <w:spacing w:after="40"/>
      </w:pPr>
    </w:p>
    <w:p>
      <w:r>
        <w:t>Decisión: D-011 — Distinción condición de referencia y benchmark</w:t>
      </w:r>
    </w:p>
    <w:p>
      <w:r>
        <w:t>Fecha: 2026-08-04</w:t>
      </w:r>
    </w:p>
    <w:p>
      <w:r>
        <w:t>Problema analizado: Determinar si referencia y benchmark son entidades diferentes.</w:t>
      </w:r>
    </w:p>
    <w:p>
      <w:r>
        <w:t>Evidencia utilizada: Karr (1981); OECD/JRC (2008); Linstone y Turoff (1975). Expediente DS_GTRM_03_Referencia_Benchmark.md.</w:t>
      </w:r>
    </w:p>
    <w:p>
      <w:r>
        <w:t>Decisión adoptada: La condición de referencia es prescriptiva y el benchmark descriptivo. Un benchmark puede informar una referencia mediante una decisión explícita, pero no la sustituye automáticamente.</w:t>
      </w:r>
    </w:p>
    <w:p>
      <w:r>
        <w:t>Justificación: Evita convertir una distribución empírica en norma sin un acto científico trazable.</w:t>
      </w:r>
    </w:p>
    <w:p>
      <w:r>
        <w:t>Limitaciones: El protocolo benchmark→referencia depende de B5.</w:t>
      </w:r>
    </w:p>
    <w:p>
      <w:r>
        <w:t>Versión incorporada: Marco científico GTRM v0.1; cambio ontológico sujeto a GOEI-ISS-053.</w:t>
      </w:r>
    </w:p>
    <w:p>
      <w:pPr>
        <w:spacing w:after="40"/>
      </w:pPr>
    </w:p>
    <w:p>
      <w:r>
        <w:t>---</w:t>
      </w:r>
    </w:p>
    <w:p>
      <w:pPr>
        <w:spacing w:after="40"/>
      </w:pPr>
    </w:p>
    <w:p>
      <w:r>
        <w:t>Decisión: D-012 — Dominios, aplicabilidad y precedencia de referencias</w:t>
      </w:r>
    </w:p>
    <w:p>
      <w:r>
        <w:t>Fecha: 2026-08-04</w:t>
      </w:r>
    </w:p>
    <w:p>
      <w:r>
        <w:t>Problema analizado: Establecer qué dominios pueden coexistir y cómo se gobierna su selección.</w:t>
      </w:r>
    </w:p>
    <w:p>
      <w:r>
        <w:t>Evidencia utilizada: Codex CXC 1-1969; ISO/IEC 17065:2012; D-006-REV/AX-4. Expediente DS_GTRM_04_Aplicabilidad_Precedencia.md y reserva de GOEI-AUDIT-0004.</w:t>
      </w:r>
    </w:p>
    <w:p>
      <w:r>
        <w:t>Decisión adoptada: Pueden coexistir referencias universales, regulatorias, jurisdiccionales, sectoriales y categoriales. La selección es científico-normativa, explícita y trazable, nunca inferida por taxonomía o software. Los requisitos legales aplicables operan como obligaciones y, en inocuidad/legalidad, como compuertas no compensables.</w:t>
      </w:r>
    </w:p>
    <w:p>
      <w:r>
        <w:t>Justificación: Separa autoridad legal, comparación y puntuación y evita automatizar juicios normativos.</w:t>
      </w:r>
    </w:p>
    <w:p>
      <w:r>
        <w:t>Limitaciones: No establece una jerarquía total entre referencias no regulatorias ni una precedencia operativa concreta; dependen de B2/B4.</w:t>
      </w:r>
    </w:p>
    <w:p>
      <w:r>
        <w:t>Versión incorporada: Marco científico GTRM v0.1; sin referencias concretas.</w:t>
      </w:r>
    </w:p>
    <w:p>
      <w:pPr>
        <w:spacing w:after="40"/>
      </w:pPr>
    </w:p>
    <w:p>
      <w:r>
        <w:t>---</w:t>
      </w:r>
    </w:p>
    <w:p>
      <w:pPr>
        <w:spacing w:after="40"/>
      </w:pPr>
    </w:p>
    <w:p>
      <w:r>
        <w:t>Decisión: D-013 — Representación de incertidumbre GTRM</w:t>
      </w:r>
    </w:p>
    <w:p>
      <w:r>
        <w:t>Fecha: 2026-08-04</w:t>
      </w:r>
    </w:p>
    <w:p>
      <w:r>
        <w:t>Problema analizado: Determinar qué incertidumbres deben representarse.</w:t>
      </w:r>
    </w:p>
    <w:p>
      <w:r>
        <w:t>Evidencia utilizada: JCGM 100:2008; JCGM 106:2012; Thokala et al. (2016). Expediente DS_GTRM_05_Incertidumbre.md.</w:t>
      </w:r>
    </w:p>
    <w:p>
      <w:r>
        <w:t>Decisión adoptada: Se representan separadamente incertidumbres de medición, muestreo, benchmark, parámetros y puntuación propagada, con estado obligatorio de suficiencia. Una GTRM sin declaración de incertidumbre es inadmisible.</w:t>
      </w:r>
    </w:p>
    <w:p>
      <w:r>
        <w:t>Justificación: Evita falsa precisión y permite comunicar comparabilidad limitada.</w:t>
      </w:r>
    </w:p>
    <w:p>
      <w:r>
        <w:t>Limitaciones: Métodos, intervalos, clases y tolerancias se difieren a B5 y a cada familia.</w:t>
      </w:r>
    </w:p>
    <w:p>
      <w:r>
        <w:t>Versión incorporada: Marco científico GTRM v0.1.</w:t>
      </w:r>
    </w:p>
    <w:p>
      <w:pPr>
        <w:spacing w:after="40"/>
      </w:pPr>
    </w:p>
    <w:p>
      <w:r>
        <w:t>---</w:t>
      </w:r>
    </w:p>
    <w:p>
      <w:pPr>
        <w:spacing w:after="40"/>
      </w:pPr>
    </w:p>
    <w:p>
      <w:r>
        <w:t>Decisión: D-018 — Universo candidato de indicadores y cierre limitado de B3</w:t>
      </w:r>
    </w:p>
    <w:p>
      <w:r>
        <w:t>Fecha: 2026-08-04</w:t>
      </w:r>
    </w:p>
    <w:p>
      <w:r>
        <w:t>Problema analizado: ¿Qué indicadores documentados podrían representar P1–P9 y el alcance facetado aprobado como universo candidato no normativo del GOEI?</w:t>
      </w:r>
    </w:p>
    <w:p>
      <w:r>
        <w:t>Alternativas consideradas: pasar directo a KPI; adoptar un único conjunto; inventario multi-fuente trazable; esperar una revisión PRISMA completa.</w:t>
      </w:r>
    </w:p>
    <w:p>
      <w:r>
        <w:t>Evidencia utilizada: expediente GOEI_SCI_HANDOFF_D018_Cierre_B3.md, revisión B3, catálogo GOEI-CAT-KPI-C-0001, matriz GOEI-MTZ-KPI-C-0001 y fuentes allí declaradas; auditoría técnica GOEI-AUDIT-0006.</w:t>
      </w:r>
    </w:p>
    <w:p>
      <w:r>
        <w:t>Decisión adoptada: Inventario multi-fuente trazable y no normativo. Se congelan 31 indicadores documentados con estado CANDIDATO; C-032 se conserva como marco contextual y no integra la cola de evaluación KPI de B4.</w:t>
      </w:r>
    </w:p>
    <w:p>
      <w:r>
        <w:t>Autoridad científica: Comité Científico GOEI.</w:t>
      </w:r>
    </w:p>
    <w:p>
      <w:r>
        <w:t>Ratificación directiva: GOEI-DIR-RES-0003, bajo GOEI-DIR-0004.</w:t>
      </w:r>
    </w:p>
    <w:p>
      <w:r>
        <w:t>Justificación: Consta en D-018; la resolución directiva no amplía ni reinterpreta su fundamento científico.</w:t>
      </w:r>
    </w:p>
    <w:p>
      <w:r>
        <w:t>Limitaciones: Búsqueda no exhaustiva, vacío P1, fuentes genéricas, heterogeneidad jurisdiccional, solapamientos y reservas registradas. No se aprueba ningún KPI, fórmula, unidad GOEI, referencia, peso, puntuación o umbral.</w:t>
      </w:r>
    </w:p>
    <w:p>
      <w:r>
        <w:t>Versión incorporada: GOEI-BSL-KPI-C-0001 v0.1.0, baseline registral candidata.</w:t>
      </w:r>
    </w:p>
    <w:p>
      <w:r>
        <w:t>Pendiente de validación: GOEI-ISS-055–058 y reservas 008, 015, 043, 054; B4 debe decidir método, criterios y resultados de admisibilidad.</w:t>
      </w:r>
    </w:p>
    <w:p>
      <w:pPr>
        <w:spacing w:after="40"/>
      </w:pPr>
    </w:p>
    <w:p>
      <w:r>
        <w:t>---</w:t>
      </w:r>
    </w:p>
    <w:p>
      <w:pPr>
        <w:spacing w:after="40"/>
      </w:pPr>
    </w:p>
    <w:p>
      <w:r>
        <w:t>Decisión: D-017 — Taxonomía universal facetada y cierre limitado de B2</w:t>
      </w:r>
    </w:p>
    <w:p>
      <w:r>
        <w:t>Fecha: 2026-08-04</w:t>
      </w:r>
    </w:p>
    <w:p>
      <w:r>
        <w:t>Problema analizado: ¿Qué sistema de clasificación permite delimitar y comparar los establecimientos comprendidos por GOEI?</w:t>
      </w:r>
    </w:p>
    <w:p>
      <w:r>
        <w:t>Alternativas consideradas: clasificación estadística existente; jerarquía única propia; taxonomía operacional-analítica multieje; ausencia de taxonomía.</w:t>
      </w:r>
    </w:p>
    <w:p>
      <w:r>
        <w:t>Evidencia utilizada: expediente GOEI_SCI_HANDOFF_D017_Cierre_B2.md, revisión científica B2 y fuentes allí identificadas; auditoría técnica GOEI-AUDIT-0005.</w:t>
      </w:r>
    </w:p>
    <w:p>
      <w:r>
        <w:t>Decisión adoptada: Taxonomía universal operacional-analítica y facetada. Unidad ordinaria: Establecimiento. Categoría: tipo compuesto por valores de facetas. Facetas indispensables: FX-1 modalidad de servicio/entrega, FX-2 sistema de producción y FX-3 naturaleza económica.</w:t>
      </w:r>
    </w:p>
    <w:p>
      <w:r>
        <w:t>Autoridad científica: Comité Científico GOEI.</w:t>
      </w:r>
    </w:p>
    <w:p>
      <w:r>
        <w:t>Ratificación directiva: GOEI-DIR-RES-0002, bajo GOEI-DIR-0004.</w:t>
      </w:r>
    </w:p>
    <w:p>
      <w:r>
        <w:t>Justificación: Consta en D-017; la resolución directiva no amplía ni reinterpreta su fundamento científico.</w:t>
      </w:r>
    </w:p>
    <w:p>
      <w:r>
        <w:t>Limitaciones: No se aprueban valores, facetas opcionales, ejemplos, crosswalks, cardinalidades excepcionales ni tratamiento multiunidad/multi-marca. PRISMA completa, Delphi y validación empírica siguen pendientes.</w:t>
      </w:r>
    </w:p>
    <w:p>
      <w:r>
        <w:t>Versión incorporada: GOEI-BSL-TAX-0001 v0.1.0.</w:t>
      </w:r>
    </w:p>
    <w:p>
      <w:r>
        <w:t>Pendiente de validación: GOEI-ISS-008, GOEI-ISS-054 y validaciones declaradas en D-017.</w:t>
      </w:r>
    </w:p>
    <w:p>
      <w:pPr>
        <w:spacing w:after="40"/>
      </w:pPr>
    </w:p>
    <w:p>
      <w:r>
        <w:t>---</w:t>
      </w:r>
    </w:p>
    <w:p>
      <w:pPr>
        <w:spacing w:after="40"/>
      </w:pPr>
    </w:p>
    <w:p>
      <w:r>
        <w:t>Decisión: D-014 — Autoridad y ciclo de vida GTRM</w:t>
      </w:r>
    </w:p>
    <w:p>
      <w:r>
        <w:t>Fecha: 2026-08-04</w:t>
      </w:r>
    </w:p>
    <w:p>
      <w:r>
        <w:t>Problema analizado: Separar autoridad científica y normativa y definir ciclo de vida.</w:t>
      </w:r>
    </w:p>
    <w:p>
      <w:r>
        <w:t>Evidencia utilizada: ISO/IEC 17065; CMMI v2.0; D-005. Expediente DS_GTRM_06_Autoridad_Ciclo_Vida.md.</w:t>
      </w:r>
    </w:p>
    <w:p>
      <w:r>
        <w:t>Decisión adoptada: Toda GTRM distingue autoridad científica y normativa y sigue ciclo versionado e inmutable: borrador, revisión, recomendación, aprobación y vigencia, con devolución/rechazo, suspensión, sustitución y retiro controlados.</w:t>
      </w:r>
    </w:p>
    <w:p>
      <w:r>
        <w:t>Justificación: Separa fundamento científico de exigibilidad normativa y preserva reproducibilidad.</w:t>
      </w:r>
    </w:p>
    <w:p>
      <w:r>
        <w:t>Limitaciones: La asignación institucional definitiva depende de GOEI-ISS-003.</w:t>
      </w:r>
    </w:p>
    <w:p>
      <w:r>
        <w:t>Versión incorporada: Marco científico GTRM v0.1.</w:t>
      </w:r>
    </w:p>
    <w:p>
      <w:pPr>
        <w:spacing w:after="40"/>
      </w:pPr>
    </w:p>
    <w:p>
      <w:r>
        <w:t>---</w:t>
      </w:r>
    </w:p>
    <w:p>
      <w:pPr>
        <w:spacing w:after="40"/>
      </w:pPr>
    </w:p>
    <w:p>
      <w:r>
        <w:t>Decisión: D-015 — Ausencia, conflicto y puntuabilidad</w:t>
      </w:r>
    </w:p>
    <w:p>
      <w:r>
        <w:t>Fecha: 2026-08-04</w:t>
      </w:r>
    </w:p>
    <w:p>
      <w:r>
        <w:t>Problema analizado: Definir el tratamiento sin referencia válida, ante conflictos o sin función aprobada.</w:t>
      </w:r>
    </w:p>
    <w:p>
      <w:r>
        <w:t>Evidencia utilizada: JCGM 100:2008; OECD/JRC (2008); expediente rector GTRM. Expediente DS_GTRM_07_Ausencia_Conflicto.md.</w:t>
      </w:r>
    </w:p>
    <w:p>
      <w:r>
        <w:t>Decisión adoptada: La ausencia o conflicto no resoluble produce estado no calculable, bloqueo selectivo e Issue, sin fallback ni promedios silenciosos. Un KPI puede existir definido, pero no es puntuable o agregable sin transformación vigente.</w:t>
      </w:r>
    </w:p>
    <w:p>
      <w:r>
        <w:t>Justificación: Preserva integridad sin bloquear ramas independientes.</w:t>
      </w:r>
    </w:p>
    <w:p>
      <w:r>
        <w:t>Limitaciones: Los estados definitivos y el tratamiento de resultados parciales dependen de B4/B7/B8.</w:t>
      </w:r>
    </w:p>
    <w:p>
      <w:r>
        <w:t>Versión incorporada: Marco científico GTRM v0.1.</w:t>
      </w:r>
    </w:p>
    <w:p>
      <w:pPr>
        <w:spacing w:after="40"/>
      </w:pPr>
    </w:p>
    <w:p>
      <w:r>
        <w:t>---</w:t>
      </w:r>
    </w:p>
    <w:p>
      <w:pPr>
        <w:spacing w:after="40"/>
      </w:pPr>
    </w:p>
    <w:p>
      <w:r>
        <w:t>Decisión: D-016 — Equivalencia papel–software y reproducibilidad</w:t>
      </w:r>
    </w:p>
    <w:p>
      <w:r>
        <w:t>Fecha: 2026-08-04</w:t>
      </w:r>
    </w:p>
    <w:p>
      <w:r>
        <w:t>Problema analizado: Definir fuente de verdad y condiciones de equivalencia histórica y tecnológica.</w:t>
      </w:r>
    </w:p>
    <w:p>
      <w:r>
        <w:t>Evidencia utilizada: JCGM 100:2008; OECD/JRC (2008); D-006-REV/AX-9. Expediente DS_GTRM_08_Equivalencia_Reproducibilidad.md.</w:t>
      </w:r>
    </w:p>
    <w:p>
      <w:r>
        <w:t>Decisión adoptada: La especificación de la función es la fuente normativa única; tabla y software son derivados y deben superar casos canónicos. Cada evaluación conserva la versión aplicada; simulaciones con otra versión son contrafactuales.</w:t>
      </w:r>
    </w:p>
    <w:p>
      <w:r>
        <w:t>Justificación: Garantiza independencia tecnológica, auditabilidad y reproducción histórica.</w:t>
      </w:r>
    </w:p>
    <w:p>
      <w:r>
        <w:t>Limitaciones: Tolerancias y casos finales requieren aprobación científica por familia en B5/B6/B9.</w:t>
      </w:r>
    </w:p>
    <w:p>
      <w:r>
        <w:t>Versión incorporada: Marco científico GTRM v0.1.</w:t>
      </w:r>
    </w:p>
    <w:p>
      <w:pPr>
        <w:spacing w:after="40"/>
      </w:pPr>
    </w:p>
    <w:p>
      <w:r>
        <w:t>---</w:t>
      </w:r>
    </w:p>
    <w:p>
      <w:r>
        <w:br w:type="page"/>
      </w:r>
    </w:p>
    <w:p>
      <w:pPr>
        <w:pStyle w:val="Heading1"/>
        <w:keepNext/>
      </w:pPr>
      <w:r>
        <w:t>Fuente 73: 00_Gobernanza/Registro_de_directivas.md</w:t>
      </w:r>
    </w:p>
    <w:p>
      <w:pPr>
        <w:spacing w:after="200"/>
      </w:pPr>
      <w:r>
        <w:rPr>
          <w:rFonts w:ascii="Consolas" w:hAnsi="Consolas"/>
          <w:color w:val="595959"/>
          <w:sz w:val="16"/>
        </w:rPr>
        <w:t>Ruta: 00_Gobernanza/Registro_de_directivas.md</w:t>
        <w:br/>
        <w:t>Tamaño: 6895 bytes</w:t>
        <w:br/>
        <w:t>SHA-256: c43a3542dc97551956b1b5b978d608cce5d8c0b277e2671680bb37d9429bd948</w:t>
      </w:r>
    </w:p>
    <w:p>
      <w:pPr>
        <w:pStyle w:val="Heading2"/>
      </w:pPr>
      <w:r>
        <w:t>Registro de directivas de la Dirección General GOEI</w:t>
      </w:r>
    </w:p>
    <w:p>
      <w:pPr>
        <w:spacing w:after="40"/>
      </w:pPr>
    </w:p>
    <w:p>
      <w:pPr>
        <w:pStyle w:val="Heading3"/>
      </w:pPr>
      <w:r>
        <w:t>GOEI-DIR-0001 — Constitución de la Oficina Técnica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Vigente como mandato técnico |</w:t>
      </w:r>
    </w:p>
    <w:p>
      <w:pPr>
        <w:spacing w:after="20" w:line="240" w:lineRule="auto"/>
      </w:pPr>
      <w:r>
        <w:rPr>
          <w:rFonts w:ascii="Consolas" w:hAnsi="Consolas"/>
          <w:sz w:val="14"/>
        </w:rPr>
        <w:t>| Autoridad | Dirección General GOEI, según declaración expresa recibida |</w:t>
      </w:r>
    </w:p>
    <w:p>
      <w:pPr>
        <w:spacing w:after="20" w:line="240" w:lineRule="auto"/>
      </w:pPr>
      <w:r>
        <w:rPr>
          <w:rFonts w:ascii="Consolas" w:hAnsi="Consolas"/>
          <w:sz w:val="14"/>
        </w:rPr>
        <w:t>| Materia | Organización y competencias de la Oficina Técnica |</w:t>
      </w:r>
    </w:p>
    <w:p>
      <w:pPr>
        <w:spacing w:after="20" w:line="240" w:lineRule="auto"/>
      </w:pPr>
      <w:r>
        <w:rPr>
          <w:rFonts w:ascii="Consolas" w:hAnsi="Consolas"/>
          <w:sz w:val="14"/>
        </w:rPr>
        <w:t>| Fuente | GOEI Research Master Plan v1.0 + instrucción complementaria de la Dirección General |</w:t>
      </w:r>
    </w:p>
    <w:p>
      <w:pPr>
        <w:spacing w:after="20" w:line="240" w:lineRule="auto"/>
      </w:pPr>
      <w:r>
        <w:rPr>
          <w:rFonts w:ascii="Consolas" w:hAnsi="Consolas"/>
          <w:sz w:val="14"/>
        </w:rPr>
        <w:t>| Implementa | `00_Gobernanza/Oficina_Tecnica_GOEI.md` |</w:t>
      </w:r>
    </w:p>
    <w:p>
      <w:pPr>
        <w:spacing w:after="20" w:line="240" w:lineRule="auto"/>
      </w:pPr>
      <w:r>
        <w:rPr>
          <w:rFonts w:ascii="Consolas" w:hAnsi="Consolas"/>
          <w:sz w:val="14"/>
        </w:rPr>
        <w:t>| Versión de incorporación | Gobernanza técnica v0.1 |</w:t>
      </w:r>
    </w:p>
    <w:p>
      <w:pPr>
        <w:spacing w:after="40"/>
      </w:pPr>
    </w:p>
    <w:p>
      <w:pPr>
        <w:pStyle w:val="Heading4"/>
      </w:pPr>
      <w:r>
        <w:t>Directiva</w:t>
      </w:r>
    </w:p>
    <w:p>
      <w:pPr>
        <w:spacing w:after="40"/>
      </w:pPr>
    </w:p>
    <w:p>
      <w:r>
        <w:t>Se reconoce a Codex como Oficina Técnica Oficial del Proyecto GOEI, responsable de administrar técnicamente el ciclo de vida del conocimiento y transformar decisiones científicas aprobadas en componentes controlados del estándar.</w:t>
      </w:r>
    </w:p>
    <w:p>
      <w:pPr>
        <w:spacing w:after="40"/>
      </w:pPr>
    </w:p>
    <w:p>
      <w:r>
        <w:t>La Oficina Técnica no genera conocimiento científico, no decide metodología y no aprueba versiones científicas.</w:t>
      </w:r>
    </w:p>
    <w:p>
      <w:pPr>
        <w:spacing w:after="40"/>
      </w:pPr>
    </w:p>
    <w:p>
      <w:pPr>
        <w:pStyle w:val="Heading4"/>
      </w:pPr>
      <w:r>
        <w:t>Efectos</w:t>
      </w:r>
    </w:p>
    <w:p>
      <w:pPr>
        <w:spacing w:after="40"/>
      </w:pPr>
    </w:p>
    <w:p>
      <w:pPr>
        <w:pStyle w:val="ListBullet"/>
      </w:pPr>
      <w:r>
        <w:t>formaliza el órgano técnico y su misión;</w:t>
      </w:r>
    </w:p>
    <w:p>
      <w:pPr>
        <w:pStyle w:val="ListBullet"/>
      </w:pPr>
      <w:r>
        <w:t>autoriza las funciones técnicas enumeradas en su Carta de Mandato;</w:t>
      </w:r>
    </w:p>
    <w:p>
      <w:pPr>
        <w:pStyle w:val="ListBullet"/>
      </w:pPr>
      <w:r>
        <w:t>mantiene la aprobación científica y estratégica fuera de la Oficina Técnica;</w:t>
      </w:r>
    </w:p>
    <w:p>
      <w:pPr>
        <w:pStyle w:val="ListBullet"/>
      </w:pPr>
      <w:r>
        <w:t>obliga a abrir Issue ante dependencias científicas no resueltas;</w:t>
      </w:r>
    </w:p>
    <w:p>
      <w:pPr>
        <w:pStyle w:val="ListBullet"/>
      </w:pPr>
      <w:r>
        <w:t>no resuelve la composición ni competencias del Comité Directivo;</w:t>
      </w:r>
    </w:p>
    <w:p>
      <w:pPr>
        <w:pStyle w:val="ListBullet"/>
      </w:pPr>
      <w:r>
        <w:t>no resuelve el lugar institucional de la Dirección Metodológica del Master Plan v1.0.</w:t>
      </w:r>
    </w:p>
    <w:p>
      <w:pPr>
        <w:spacing w:after="40"/>
      </w:pPr>
    </w:p>
    <w:p>
      <w:pPr>
        <w:pStyle w:val="Heading4"/>
      </w:pPr>
      <w:r>
        <w:t>Documentos dependientes</w:t>
      </w:r>
    </w:p>
    <w:p>
      <w:pPr>
        <w:spacing w:after="40"/>
      </w:pPr>
    </w:p>
    <w:p>
      <w:r>
        <w:t>Constitución GOEI, arquitectura del repositorio, Knowledge Graph, MetaModel, registros maestros, baselines, releases, roadmap técnico, BOK y futura documentación técnica.</w:t>
      </w:r>
    </w:p>
    <w:p>
      <w:pPr>
        <w:spacing w:after="40"/>
      </w:pPr>
    </w:p>
    <w:p>
      <w:r>
        <w:t>---</w:t>
      </w:r>
    </w:p>
    <w:p>
      <w:pPr>
        <w:spacing w:after="40"/>
      </w:pPr>
    </w:p>
    <w:p>
      <w:pPr>
        <w:pStyle w:val="Heading3"/>
      </w:pPr>
      <w:r>
        <w:t>GOEI-DIR-0002 — Alcance mínimo de la tesis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Vigente como requisito directoral |</w:t>
      </w:r>
    </w:p>
    <w:p>
      <w:pPr>
        <w:spacing w:after="20" w:line="240" w:lineRule="auto"/>
      </w:pPr>
      <w:r>
        <w:rPr>
          <w:rFonts w:ascii="Consolas" w:hAnsi="Consolas"/>
          <w:sz w:val="14"/>
        </w:rPr>
        <w:t>| Autoridad | Dirección General GOEI, según instrucción expresa recibida |</w:t>
      </w:r>
    </w:p>
    <w:p>
      <w:pPr>
        <w:spacing w:after="20" w:line="240" w:lineRule="auto"/>
      </w:pPr>
      <w:r>
        <w:rPr>
          <w:rFonts w:ascii="Consolas" w:hAnsi="Consolas"/>
          <w:sz w:val="14"/>
        </w:rPr>
        <w:t>| Materia | Contenido mínimo y criterio final de aceptación de la tesis |</w:t>
      </w:r>
    </w:p>
    <w:p>
      <w:pPr>
        <w:spacing w:after="20" w:line="240" w:lineRule="auto"/>
      </w:pPr>
      <w:r>
        <w:rPr>
          <w:rFonts w:ascii="Consolas" w:hAnsi="Consolas"/>
          <w:sz w:val="14"/>
        </w:rPr>
        <w:t>| Fuente | `GOEI Gastronomic Operational Efficiency Index — PLAN MAESTRO DE LA TESIS — Versión Directoral` |</w:t>
      </w:r>
    </w:p>
    <w:p>
      <w:pPr>
        <w:spacing w:after="20" w:line="240" w:lineRule="auto"/>
      </w:pPr>
      <w:r>
        <w:rPr>
          <w:rFonts w:ascii="Consolas" w:hAnsi="Consolas"/>
          <w:sz w:val="14"/>
        </w:rPr>
        <w:t>| Huella de fuente | SHA-256 `e534c4e92302590b7fd4b5c6ea86c06f265e8e28e3f72e28487e9ee550bc9342` |</w:t>
      </w:r>
    </w:p>
    <w:p>
      <w:pPr>
        <w:spacing w:after="20" w:line="240" w:lineRule="auto"/>
      </w:pPr>
      <w:r>
        <w:rPr>
          <w:rFonts w:ascii="Consolas" w:hAnsi="Consolas"/>
          <w:sz w:val="14"/>
        </w:rPr>
        <w:t>| Implementa | `12_Tesis/PLAN_MAESTRO_DIRECTORAL_GOEI.md` |</w:t>
      </w:r>
    </w:p>
    <w:p>
      <w:pPr>
        <w:spacing w:after="20" w:line="240" w:lineRule="auto"/>
      </w:pPr>
      <w:r>
        <w:rPr>
          <w:rFonts w:ascii="Consolas" w:hAnsi="Consolas"/>
          <w:sz w:val="14"/>
        </w:rPr>
        <w:t>| Versión de incorporación | Arquitectura de tesis v1.0 |</w:t>
      </w:r>
    </w:p>
    <w:p>
      <w:pPr>
        <w:spacing w:after="40"/>
      </w:pPr>
    </w:p>
    <w:p>
      <w:pPr>
        <w:pStyle w:val="Heading4"/>
      </w:pPr>
      <w:r>
        <w:t>Directiva</w:t>
      </w:r>
    </w:p>
    <w:p>
      <w:pPr>
        <w:spacing w:after="40"/>
      </w:pPr>
    </w:p>
    <w:p>
      <w:r>
        <w:t>La tesis GOEI deberá cubrir, como mínimo, los cuatro tomos, 17 capítulos, anexos técnicos, documentación visual y productos derivados definidos en el Plan Maestro Directoral.</w:t>
      </w:r>
    </w:p>
    <w:p>
      <w:pPr>
        <w:spacing w:after="40"/>
      </w:pPr>
    </w:p>
    <w:p>
      <w:pPr>
        <w:pStyle w:val="Heading4"/>
      </w:pPr>
      <w:r>
        <w:t>Límites</w:t>
      </w:r>
    </w:p>
    <w:p>
      <w:pPr>
        <w:spacing w:after="40"/>
      </w:pPr>
    </w:p>
    <w:p>
      <w:pPr>
        <w:pStyle w:val="ListBullet"/>
      </w:pPr>
      <w:r>
        <w:t>la directiva fija estructura y cobertura, no aprueba contenido científico;</w:t>
      </w:r>
    </w:p>
    <w:p>
      <w:pPr>
        <w:pStyle w:val="ListBullet"/>
      </w:pPr>
      <w:r>
        <w:t>los ejemplos de categorías, procesos, KPI, técnicas, casos y visualizaciones no se convierten por esta vía en elementos normativos;</w:t>
      </w:r>
    </w:p>
    <w:p>
      <w:pPr>
        <w:pStyle w:val="ListBullet"/>
      </w:pPr>
      <w:r>
        <w:t>una exclusión o declaración de no aplicabilidad requiere decisión formal y trazable;</w:t>
      </w:r>
    </w:p>
    <w:p>
      <w:pPr>
        <w:pStyle w:val="ListBullet"/>
      </w:pPr>
      <w:r>
        <w:t>la tesis sigue siendo un producto derivado del estándar.</w:t>
      </w:r>
    </w:p>
    <w:p>
      <w:pPr>
        <w:spacing w:after="40"/>
      </w:pPr>
    </w:p>
    <w:p>
      <w:pPr>
        <w:pStyle w:val="Heading4"/>
      </w:pPr>
      <w:r>
        <w:t>Documentos dependientes</w:t>
      </w:r>
    </w:p>
    <w:p>
      <w:pPr>
        <w:spacing w:after="40"/>
      </w:pPr>
    </w:p>
    <w:p>
      <w:r>
        <w:t>Arquitectura de tesis, matriz de ensamblaje, matriz de cumplimiento, roadmap, arquitectura de publicaciones y criterios de readiness.</w:t>
      </w:r>
    </w:p>
    <w:p>
      <w:pPr>
        <w:spacing w:after="40"/>
      </w:pPr>
    </w:p>
    <w:p>
      <w:r>
        <w:t>---</w:t>
      </w:r>
    </w:p>
    <w:p>
      <w:pPr>
        <w:spacing w:after="40"/>
      </w:pPr>
    </w:p>
    <w:p>
      <w:pPr>
        <w:pStyle w:val="Heading3"/>
      </w:pPr>
      <w:r>
        <w:t>GOEI-DIR-0003 — Dirección operativa ampliada y coordinación asistida</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Vigente como mandato operativo |</w:t>
      </w:r>
    </w:p>
    <w:p>
      <w:pPr>
        <w:spacing w:after="20" w:line="240" w:lineRule="auto"/>
      </w:pPr>
      <w:r>
        <w:rPr>
          <w:rFonts w:ascii="Consolas" w:hAnsi="Consolas"/>
          <w:sz w:val="14"/>
        </w:rPr>
        <w:t>| Autoridad | Dirección General GOEI, según instrucción expresa recibida |</w:t>
      </w:r>
    </w:p>
    <w:p>
      <w:pPr>
        <w:spacing w:after="20" w:line="240" w:lineRule="auto"/>
      </w:pPr>
      <w:r>
        <w:rPr>
          <w:rFonts w:ascii="Consolas" w:hAnsi="Consolas"/>
          <w:sz w:val="14"/>
        </w:rPr>
        <w:t>| Materia | Dirección operativa, arquitectura, ingeniería, redacción, desarrollo y coordinación paralela |</w:t>
      </w:r>
    </w:p>
    <w:p>
      <w:pPr>
        <w:spacing w:after="20" w:line="240" w:lineRule="auto"/>
      </w:pPr>
      <w:r>
        <w:rPr>
          <w:rFonts w:ascii="Consolas" w:hAnsi="Consolas"/>
          <w:sz w:val="14"/>
        </w:rPr>
        <w:t>| Fuente | Instrucción directa de Pablo Toledo Salinas en la tarea oficial GOEI |</w:t>
      </w:r>
    </w:p>
    <w:p>
      <w:pPr>
        <w:spacing w:after="20" w:line="240" w:lineRule="auto"/>
      </w:pPr>
      <w:r>
        <w:rPr>
          <w:rFonts w:ascii="Consolas" w:hAnsi="Consolas"/>
          <w:sz w:val="14"/>
        </w:rPr>
        <w:t>| Implementa | Pipeline operativo, coordinación Comité Científico–Oficina Técnica y producción controlada de entregables |</w:t>
      </w:r>
    </w:p>
    <w:p>
      <w:pPr>
        <w:spacing w:after="20" w:line="240" w:lineRule="auto"/>
      </w:pPr>
      <w:r>
        <w:rPr>
          <w:rFonts w:ascii="Consolas" w:hAnsi="Consolas"/>
          <w:sz w:val="14"/>
        </w:rPr>
        <w:t>| Versión de incorporación | Gobernanza técnica v0.1 |</w:t>
      </w:r>
    </w:p>
    <w:p>
      <w:pPr>
        <w:spacing w:after="40"/>
      </w:pPr>
    </w:p>
    <w:p>
      <w:pPr>
        <w:pStyle w:val="Heading4"/>
      </w:pPr>
      <w:r>
        <w:t>Directiva</w:t>
      </w:r>
    </w:p>
    <w:p>
      <w:pPr>
        <w:spacing w:after="40"/>
      </w:pPr>
    </w:p>
    <w:p>
      <w:r>
        <w:t>Se autoriza a Codex a actuar como Director Operativo, Arquitecto, Ingeniero, Escritor y Desarrollador del proyecto GOEI; a organizar trabajo técnico paralelo mediante agentes especializados; y a formular encargos de investigación a Claude en su función de Comité Científico.</w:t>
      </w:r>
    </w:p>
    <w:p>
      <w:pPr>
        <w:spacing w:after="40"/>
      </w:pPr>
    </w:p>
    <w:p>
      <w:pPr>
        <w:pStyle w:val="Heading4"/>
      </w:pPr>
      <w:r>
        <w:t>Alcance operativo</w:t>
      </w:r>
    </w:p>
    <w:p>
      <w:pPr>
        <w:spacing w:after="40"/>
      </w:pPr>
    </w:p>
    <w:p>
      <w:pPr>
        <w:pStyle w:val="ListBullet"/>
      </w:pPr>
      <w:r>
        <w:t>dirigir el programa técnico y mantener su ruta crítica;</w:t>
      </w:r>
    </w:p>
    <w:p>
      <w:pPr>
        <w:pStyle w:val="ListBullet"/>
      </w:pPr>
      <w:r>
        <w:t>descomponer y coordinar trabajo paralelo que no vulnere dependencias;</w:t>
      </w:r>
    </w:p>
    <w:p>
      <w:pPr>
        <w:pStyle w:val="ListBullet"/>
      </w:pPr>
      <w:r>
        <w:t>solicitar al Comité Científico expedientes, revisiones y propuestas de decisión;</w:t>
      </w:r>
    </w:p>
    <w:p>
      <w:pPr>
        <w:pStyle w:val="ListBullet"/>
      </w:pPr>
      <w:r>
        <w:t>convertir conocimiento aprobado en modelos, documentos, software y entregables versionados;</w:t>
      </w:r>
    </w:p>
    <w:p>
      <w:pPr>
        <w:pStyle w:val="ListBullet"/>
      </w:pPr>
      <w:r>
        <w:t>redactar la tesis y publicaciones únicamente desde contenido aprobado o claramente identificado como pendiente;</w:t>
      </w:r>
    </w:p>
    <w:p>
      <w:pPr>
        <w:pStyle w:val="ListBullet"/>
      </w:pPr>
      <w:r>
        <w:t>detener selectivamente las ramas que carezcan de decisión científica y continuar el trabajo técnico independiente.</w:t>
      </w:r>
    </w:p>
    <w:p>
      <w:pPr>
        <w:spacing w:after="40"/>
      </w:pPr>
    </w:p>
    <w:p>
      <w:pPr>
        <w:pStyle w:val="Heading4"/>
      </w:pPr>
      <w:r>
        <w:t>Límites de autoridad</w:t>
      </w:r>
    </w:p>
    <w:p>
      <w:pPr>
        <w:spacing w:after="40"/>
      </w:pPr>
    </w:p>
    <w:p>
      <w:pPr>
        <w:pStyle w:val="ListBullet"/>
      </w:pPr>
      <w:r>
        <w:t>la directiva no autoriza a Codex a crear conocimiento científico, KPI, fórmulas, ponderaciones, umbrales ni resultados;</w:t>
      </w:r>
    </w:p>
    <w:p>
      <w:pPr>
        <w:pStyle w:val="ListBullet"/>
      </w:pPr>
      <w:r>
        <w:t>una respuesta de Claude constituye expediente o recomendación científica hasta completar la aprobación exigida por la gobernanza;</w:t>
      </w:r>
    </w:p>
    <w:p>
      <w:pPr>
        <w:pStyle w:val="ListBullet"/>
      </w:pPr>
      <w:r>
        <w:t>Codex no sustituye la aprobación final de la Dirección General en decisiones científicas, baselines científicas, releases ni publicaciones;</w:t>
      </w:r>
    </w:p>
    <w:p>
      <w:pPr>
        <w:pStyle w:val="ListBullet"/>
      </w:pPr>
      <w:r>
        <w:t>la producción editorial o de software no puede promover contenido provisional a normativo;</w:t>
      </w:r>
    </w:p>
    <w:p>
      <w:pPr>
        <w:pStyle w:val="ListBullet"/>
      </w:pPr>
      <w:r>
        <w:t>continúan vigentes las reglas de Issues, trazabilidad, auditoría, versionado y bloqueo selectivo.</w:t>
      </w:r>
    </w:p>
    <w:p>
      <w:pPr>
        <w:spacing w:after="40"/>
      </w:pPr>
    </w:p>
    <w:p>
      <w:pPr>
        <w:pStyle w:val="Heading4"/>
      </w:pPr>
      <w:r>
        <w:t>Documentos dependientes</w:t>
      </w:r>
    </w:p>
    <w:p>
      <w:pPr>
        <w:spacing w:after="40"/>
      </w:pPr>
    </w:p>
    <w:p>
      <w:r>
        <w:t>Estado Maestro, Pipeline B2–B10, colas científico–técnicas, roadmap, Knowledge Graph, BOK, tesis, publicaciones, software y registros de ciclo.</w:t>
      </w:r>
    </w:p>
    <w:p>
      <w:pPr>
        <w:spacing w:after="40"/>
      </w:pPr>
    </w:p>
    <w:p>
      <w:r>
        <w:t>---</w:t>
      </w:r>
    </w:p>
    <w:p>
      <w:pPr>
        <w:spacing w:after="40"/>
      </w:pPr>
    </w:p>
    <w:p>
      <w:pPr>
        <w:pStyle w:val="Heading3"/>
      </w:pPr>
      <w:r>
        <w:t>GOEI-DIR-0004 — Delegación ejecutiva de resolución y avance continuo</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Vigente como mandato ejecutivo |</w:t>
      </w:r>
    </w:p>
    <w:p>
      <w:pPr>
        <w:spacing w:after="20" w:line="240" w:lineRule="auto"/>
      </w:pPr>
      <w:r>
        <w:rPr>
          <w:rFonts w:ascii="Consolas" w:hAnsi="Consolas"/>
          <w:sz w:val="14"/>
        </w:rPr>
        <w:t>| Autoridad | Dirección General GOEI, según instrucción expresa recibida |</w:t>
      </w:r>
    </w:p>
    <w:p>
      <w:pPr>
        <w:spacing w:after="20" w:line="240" w:lineRule="auto"/>
      </w:pPr>
      <w:r>
        <w:rPr>
          <w:rFonts w:ascii="Consolas" w:hAnsi="Consolas"/>
          <w:sz w:val="14"/>
        </w:rPr>
        <w:t>| Materia | Adopción y ejecución de resoluciones finales sin nuevas validaciones del Director |</w:t>
      </w:r>
    </w:p>
    <w:p>
      <w:pPr>
        <w:spacing w:after="20" w:line="240" w:lineRule="auto"/>
      </w:pPr>
      <w:r>
        <w:rPr>
          <w:rFonts w:ascii="Consolas" w:hAnsi="Consolas"/>
          <w:sz w:val="14"/>
        </w:rPr>
        <w:t>| Fuente | Instrucción directa de Pablo Toledo Salinas en la tarea oficial GOEI |</w:t>
      </w:r>
    </w:p>
    <w:p>
      <w:pPr>
        <w:spacing w:after="20" w:line="240" w:lineRule="auto"/>
      </w:pPr>
      <w:r>
        <w:rPr>
          <w:rFonts w:ascii="Consolas" w:hAnsi="Consolas"/>
          <w:sz w:val="14"/>
        </w:rPr>
        <w:t>| Primera implementación | GOEI-DIR-RES-GTRM-0001 |</w:t>
      </w:r>
    </w:p>
    <w:p>
      <w:pPr>
        <w:spacing w:after="20" w:line="240" w:lineRule="auto"/>
      </w:pPr>
      <w:r>
        <w:rPr>
          <w:rFonts w:ascii="Consolas" w:hAnsi="Consolas"/>
          <w:sz w:val="14"/>
        </w:rPr>
        <w:t>| Versión de incorporación | Gobernanza técnica v0.1 |</w:t>
      </w:r>
    </w:p>
    <w:p>
      <w:pPr>
        <w:spacing w:after="40"/>
      </w:pPr>
    </w:p>
    <w:p>
      <w:pPr>
        <w:pStyle w:val="Heading4"/>
      </w:pPr>
      <w:r>
        <w:t>Directiva</w:t>
      </w:r>
    </w:p>
    <w:p>
      <w:pPr>
        <w:spacing w:after="40"/>
      </w:pPr>
    </w:p>
    <w:p>
      <w:r>
        <w:t>Se delega en Codex la autoridad operativa de la Dirección General para seleccionar y ejecutar resoluciones finales del proyecto sin detenerse a solicitar nuevas validaciones del Director, avanzando hasta una resolución verificable y sometiendo posteriormente el resultado a reevaluación si fuese necesario.</w:t>
      </w:r>
    </w:p>
    <w:p>
      <w:pPr>
        <w:spacing w:after="40"/>
      </w:pPr>
    </w:p>
    <w:p>
      <w:pPr>
        <w:pStyle w:val="Heading4"/>
      </w:pPr>
      <w:r>
        <w:t>Límites preservados</w:t>
      </w:r>
    </w:p>
    <w:p>
      <w:pPr>
        <w:spacing w:after="40"/>
      </w:pPr>
    </w:p>
    <w:p>
      <w:pPr>
        <w:pStyle w:val="ListBullet"/>
      </w:pPr>
      <w:r>
        <w:t>la delegación no convierte a Codex en Comité Científico ni autoriza inventar conocimiento científico;</w:t>
      </w:r>
    </w:p>
    <w:p>
      <w:pPr>
        <w:pStyle w:val="ListBullet"/>
      </w:pPr>
      <w:r>
        <w:t>Codex puede resolver compuertas directivas a partir de expedientes existentes y activar trabajo científico pendiente;</w:t>
      </w:r>
    </w:p>
    <w:p>
      <w:pPr>
        <w:pStyle w:val="ListBullet"/>
      </w:pPr>
      <w:r>
        <w:t>una resolución directiva no puede presentar como aprobada una respuesta científica inexistente;</w:t>
      </w:r>
    </w:p>
    <w:p>
      <w:pPr>
        <w:pStyle w:val="ListBullet"/>
      </w:pPr>
      <w:r>
        <w:t>permanecen vigentes trazabilidad, Issues, control de versiones, análisis de impacto y protección de baselines;</w:t>
      </w:r>
    </w:p>
    <w:p>
      <w:pPr>
        <w:pStyle w:val="ListBullet"/>
      </w:pPr>
      <w:r>
        <w:t>cuando una rama requiera ciencia no resuelta, se abrirá un Issue y se continuará el trabajo independiente.</w:t>
      </w:r>
    </w:p>
    <w:p>
      <w:pPr>
        <w:spacing w:after="40"/>
      </w:pPr>
    </w:p>
    <w:p>
      <w:pPr>
        <w:pStyle w:val="Heading4"/>
      </w:pPr>
      <w:r>
        <w:t>Documentos dependientes</w:t>
      </w:r>
    </w:p>
    <w:p>
      <w:pPr>
        <w:spacing w:after="40"/>
      </w:pPr>
    </w:p>
    <w:p>
      <w:r>
        <w:t>Resoluciones directivas, Estado Maestro, roadmap, expedientes, registros de decisiones, Issues, baselines y releases.</w:t>
      </w:r>
    </w:p>
    <w:p>
      <w:r>
        <w:br w:type="page"/>
      </w:r>
    </w:p>
    <w:p>
      <w:pPr>
        <w:pStyle w:val="Heading1"/>
        <w:keepNext/>
      </w:pPr>
      <w:r>
        <w:t>Fuente 74: 00_Gobernanza/Roadmap_tecnico_GOEI.md</w:t>
      </w:r>
    </w:p>
    <w:p>
      <w:pPr>
        <w:spacing w:after="200"/>
      </w:pPr>
      <w:r>
        <w:rPr>
          <w:rFonts w:ascii="Consolas" w:hAnsi="Consolas"/>
          <w:color w:val="595959"/>
          <w:sz w:val="16"/>
        </w:rPr>
        <w:t>Ruta: 00_Gobernanza/Roadmap_tecnico_GOEI.md</w:t>
        <w:br/>
        <w:t>Tamaño: 4890 bytes</w:t>
        <w:br/>
        <w:t>SHA-256: 5809a2f3f003f9ca6c446f22183ec329072c103b8b2dda1125551fd76986d7e7</w:t>
      </w:r>
    </w:p>
    <w:p>
      <w:pPr>
        <w:pStyle w:val="Heading2"/>
      </w:pPr>
      <w:r>
        <w:t>Roadmap técnico maestro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GOEI-RDM-0001 |</w:t>
      </w:r>
    </w:p>
    <w:p>
      <w:pPr>
        <w:spacing w:after="20" w:line="240" w:lineRule="auto"/>
      </w:pPr>
      <w:r>
        <w:rPr>
          <w:rFonts w:ascii="Consolas" w:hAnsi="Consolas"/>
          <w:sz w:val="14"/>
        </w:rPr>
        <w:t>| Versión | 1.0.0 |</w:t>
      </w:r>
    </w:p>
    <w:p>
      <w:pPr>
        <w:spacing w:after="20" w:line="240" w:lineRule="auto"/>
      </w:pPr>
      <w:r>
        <w:rPr>
          <w:rFonts w:ascii="Consolas" w:hAnsi="Consolas"/>
          <w:sz w:val="14"/>
        </w:rPr>
        <w:t>| Estado | Activo |</w:t>
      </w:r>
    </w:p>
    <w:p>
      <w:pPr>
        <w:spacing w:after="20" w:line="240" w:lineRule="auto"/>
      </w:pPr>
      <w:r>
        <w:rPr>
          <w:rFonts w:ascii="Consolas" w:hAnsi="Consolas"/>
          <w:sz w:val="14"/>
        </w:rPr>
        <w:t>| Responsable | Oficina Técnica GOEI |</w:t>
      </w:r>
    </w:p>
    <w:p>
      <w:pPr>
        <w:spacing w:after="20" w:line="240" w:lineRule="auto"/>
      </w:pPr>
      <w:r>
        <w:rPr>
          <w:rFonts w:ascii="Consolas" w:hAnsi="Consolas"/>
          <w:sz w:val="14"/>
        </w:rPr>
        <w:t>| Fuente | Master Plan, GOEI-DIR-0001, GOEI-DIR-0002 y estado procesable |</w:t>
      </w:r>
    </w:p>
    <w:p>
      <w:pPr>
        <w:spacing w:after="20" w:line="240" w:lineRule="auto"/>
      </w:pPr>
      <w:r>
        <w:rPr>
          <w:rFonts w:ascii="Consolas" w:hAnsi="Consolas"/>
          <w:sz w:val="14"/>
        </w:rPr>
        <w:t>| Naturaleza | Plan de integración; no decide ciencia ni sustituye aprobaciones |</w:t>
      </w:r>
    </w:p>
    <w:p>
      <w:pPr>
        <w:spacing w:after="40"/>
      </w:pPr>
    </w:p>
    <w:p>
      <w:pPr>
        <w:pStyle w:val="Heading3"/>
      </w:pPr>
      <w:r>
        <w:t>1. Propósito</w:t>
      </w:r>
    </w:p>
    <w:p>
      <w:pPr>
        <w:spacing w:after="40"/>
      </w:pPr>
    </w:p>
    <w:p>
      <w:r>
        <w:t>Ordenar el trabajo técnico desde el conocimiento aprobado hasta la release del estándar, su validación, la tesis y la publicación. El roadmap no autoriza saltar compuertas: una rama bloqueada conserva su estado mientras otras ramas técnicas independientes avanzan.</w:t>
      </w:r>
    </w:p>
    <w:p>
      <w:pPr>
        <w:spacing w:after="40"/>
      </w:pPr>
    </w:p>
    <w:p>
      <w:r>
        <w:t>La representación canónica procesable está en 00_Gobernanza/coordinacion/technical_roadmap.json.</w:t>
      </w:r>
    </w:p>
    <w:p>
      <w:pPr>
        <w:spacing w:after="40"/>
      </w:pPr>
    </w:p>
    <w:p>
      <w:pPr>
        <w:pStyle w:val="Heading3"/>
      </w:pPr>
      <w:r>
        <w:t>2. Cadena de entrega</w:t>
      </w:r>
    </w:p>
    <w:p>
      <w:pPr>
        <w:spacing w:after="40"/>
      </w:pPr>
    </w:p>
    <w:p>
      <w:pPr>
        <w:spacing w:after="20" w:line="240" w:lineRule="auto"/>
        <w:ind w:left="259"/>
      </w:pPr>
      <w:r>
        <w:rPr>
          <w:rFonts w:ascii="Consolas" w:hAnsi="Consolas"/>
          <w:sz w:val="15"/>
        </w:rPr>
        <w:t>flowchart LR</w:t>
      </w:r>
    </w:p>
    <w:p>
      <w:pPr>
        <w:spacing w:after="20" w:line="240" w:lineRule="auto"/>
        <w:ind w:left="259"/>
      </w:pPr>
      <w:r>
        <w:rPr>
          <w:rFonts w:ascii="Consolas" w:hAnsi="Consolas"/>
          <w:sz w:val="15"/>
        </w:rPr>
        <w:t xml:space="preserve">    A["A · Fundamentos aprobados"] --&gt; B["B · Conocimiento construido"]</w:t>
      </w:r>
    </w:p>
    <w:p>
      <w:pPr>
        <w:spacing w:after="20" w:line="240" w:lineRule="auto"/>
        <w:ind w:left="259"/>
      </w:pPr>
      <w:r>
        <w:rPr>
          <w:rFonts w:ascii="Consolas" w:hAnsi="Consolas"/>
          <w:sz w:val="15"/>
        </w:rPr>
        <w:t xml:space="preserve">    B --&gt; C["C · Estándar ensamblado"]</w:t>
      </w:r>
    </w:p>
    <w:p>
      <w:pPr>
        <w:spacing w:after="20" w:line="240" w:lineRule="auto"/>
        <w:ind w:left="259"/>
      </w:pPr>
      <w:r>
        <w:rPr>
          <w:rFonts w:ascii="Consolas" w:hAnsi="Consolas"/>
          <w:sz w:val="15"/>
        </w:rPr>
        <w:t xml:space="preserve">    C --&gt; D["D · Validación ejecutada"]</w:t>
      </w:r>
    </w:p>
    <w:p>
      <w:pPr>
        <w:spacing w:after="20" w:line="240" w:lineRule="auto"/>
        <w:ind w:left="259"/>
      </w:pPr>
      <w:r>
        <w:rPr>
          <w:rFonts w:ascii="Consolas" w:hAnsi="Consolas"/>
          <w:sz w:val="15"/>
        </w:rPr>
        <w:t xml:space="preserve">    D --&gt; R["Release GOEI validada"]</w:t>
      </w:r>
    </w:p>
    <w:p>
      <w:pPr>
        <w:spacing w:after="20" w:line="240" w:lineRule="auto"/>
        <w:ind w:left="259"/>
      </w:pPr>
      <w:r>
        <w:rPr>
          <w:rFonts w:ascii="Consolas" w:hAnsi="Consolas"/>
          <w:sz w:val="15"/>
        </w:rPr>
        <w:t xml:space="preserve">    R --&gt; T["Tesis completa"]</w:t>
      </w:r>
    </w:p>
    <w:p>
      <w:pPr>
        <w:spacing w:after="20" w:line="240" w:lineRule="auto"/>
        <w:ind w:left="259"/>
      </w:pPr>
      <w:r>
        <w:rPr>
          <w:rFonts w:ascii="Consolas" w:hAnsi="Consolas"/>
          <w:sz w:val="15"/>
        </w:rPr>
        <w:t xml:space="preserve">    R --&gt; P["Manuscrito candidato"]</w:t>
      </w:r>
    </w:p>
    <w:p>
      <w:pPr>
        <w:spacing w:after="20" w:line="240" w:lineRule="auto"/>
        <w:ind w:left="259"/>
      </w:pPr>
      <w:r>
        <w:rPr>
          <w:rFonts w:ascii="Consolas" w:hAnsi="Consolas"/>
          <w:sz w:val="15"/>
        </w:rPr>
        <w:t xml:space="preserve">    D --&gt; P</w:t>
      </w:r>
    </w:p>
    <w:p>
      <w:pPr>
        <w:spacing w:after="40"/>
      </w:pPr>
    </w:p>
    <w:p>
      <w:pPr>
        <w:pStyle w:val="Heading3"/>
      </w:pPr>
      <w:r>
        <w:t>3. Paquetes de trabajo técnicos</w:t>
      </w:r>
    </w:p>
    <w:p>
      <w:pPr>
        <w:spacing w:after="40"/>
      </w:pPr>
    </w:p>
    <w:p>
      <w:pPr>
        <w:spacing w:after="20" w:line="240" w:lineRule="auto"/>
      </w:pPr>
      <w:r>
        <w:rPr>
          <w:rFonts w:ascii="Consolas" w:hAnsi="Consolas"/>
          <w:sz w:val="14"/>
        </w:rPr>
        <w:t>| ID | Paquete | Estado | Entrada obligatoria | Producto técnico | Bloqueo vigente |</w:t>
      </w:r>
    </w:p>
    <w:p>
      <w:pPr>
        <w:spacing w:after="20" w:line="240" w:lineRule="auto"/>
      </w:pPr>
      <w:r>
        <w:rPr>
          <w:rFonts w:ascii="Consolas" w:hAnsi="Consolas"/>
          <w:sz w:val="14"/>
        </w:rPr>
        <w:t>|---|---|---|---|---|---|</w:t>
      </w:r>
    </w:p>
    <w:p>
      <w:pPr>
        <w:spacing w:after="20" w:line="240" w:lineRule="auto"/>
      </w:pPr>
      <w:r>
        <w:rPr>
          <w:rFonts w:ascii="Consolas" w:hAnsi="Consolas"/>
          <w:sz w:val="14"/>
        </w:rPr>
        <w:t>| WP-00 | Gobernanza y autoridad | En curso | directivas y decisiones | Constitución, RACI y registros vigentes | GOEI-ISS-001–005, 027–029 |</w:t>
      </w:r>
    </w:p>
    <w:p>
      <w:pPr>
        <w:spacing w:after="20" w:line="240" w:lineRule="auto"/>
      </w:pPr>
      <w:r>
        <w:rPr>
          <w:rFonts w:ascii="Consolas" w:hAnsi="Consolas"/>
          <w:sz w:val="14"/>
        </w:rPr>
        <w:t>| WP-01 | Gestión de configuración | Completado | mandato Oficina Técnica | baselines, política de releases, manifiestos y compuertas | ninguno para operación técnica |</w:t>
      </w:r>
    </w:p>
    <w:p>
      <w:pPr>
        <w:spacing w:after="20" w:line="240" w:lineRule="auto"/>
      </w:pPr>
      <w:r>
        <w:rPr>
          <w:rFonts w:ascii="Consolas" w:hAnsi="Consolas"/>
          <w:sz w:val="14"/>
        </w:rPr>
        <w:t>| WP-02 | Arquitectura del conocimiento | En curso | D-006/D-006-REV | MetaModel, Knowledge Graph, diccionarios y BOK | adopción de candidatos e Issues 031–038 |</w:t>
      </w:r>
    </w:p>
    <w:p>
      <w:pPr>
        <w:spacing w:after="20" w:line="240" w:lineRule="auto"/>
      </w:pPr>
      <w:r>
        <w:rPr>
          <w:rFonts w:ascii="Consolas" w:hAnsi="Consolas"/>
          <w:sz w:val="14"/>
        </w:rPr>
        <w:t>| WP-03 | Arquitectura universal de procesos | En curso | Ontology Baseline v0.1 | MetaModelo Universal EPIC-002 | Issues 019–026 para futura oficialización |</w:t>
      </w:r>
    </w:p>
    <w:p>
      <w:pPr>
        <w:spacing w:after="20" w:line="240" w:lineRule="auto"/>
      </w:pPr>
      <w:r>
        <w:rPr>
          <w:rFonts w:ascii="Consolas" w:hAnsi="Consolas"/>
          <w:sz w:val="14"/>
        </w:rPr>
        <w:t>| WP-04 | Integración de procesos científicos | Completado | D-008 + GOEI-DIR-RES-0001 | GOEI-BSL-PROC-0001 v0.1.0 y trazabilidad | GOEI-ISS-043 solo para residuos/merma |</w:t>
      </w:r>
    </w:p>
    <w:p>
      <w:pPr>
        <w:spacing w:after="20" w:line="240" w:lineRule="auto"/>
      </w:pPr>
      <w:r>
        <w:rPr>
          <w:rFonts w:ascii="Consolas" w:hAnsi="Consolas"/>
          <w:sz w:val="14"/>
        </w:rPr>
        <w:t>| WP-05 | Taxonomía | Completado en núcleo | D-017 + GOEI-DIR-RES-0002 | GOEI-BSL-TAX-0001 v0.1.0 | ISS-008/054 solo para ramas concretas |</w:t>
      </w:r>
    </w:p>
    <w:p>
      <w:pPr>
        <w:spacing w:after="20" w:line="240" w:lineRule="auto"/>
      </w:pPr>
      <w:r>
        <w:rPr>
          <w:rFonts w:ascii="Consolas" w:hAnsi="Consolas"/>
          <w:sz w:val="14"/>
        </w:rPr>
        <w:t>| WP-06 | KPI y admisibilidad | B3 completada; B4 habilitada | GOEI-BSL-KPI-C-0001 v0.1.0 y decisión B4 | catálogo candidato congelado y futura selección admisible | método/criterios B4 pendientes; no existen KPI aprobados |</w:t>
      </w:r>
    </w:p>
    <w:p>
      <w:pPr>
        <w:spacing w:after="20" w:line="240" w:lineRule="auto"/>
      </w:pPr>
      <w:r>
        <w:rPr>
          <w:rFonts w:ascii="Consolas" w:hAnsi="Consolas"/>
          <w:sz w:val="14"/>
        </w:rPr>
        <w:t>| WP-07 | Normalización y modelo matemático | Bloqueado | B5–B8 aprobadas | especificación calculable y reproducible | ciencia no iniciada |</w:t>
      </w:r>
    </w:p>
    <w:p>
      <w:pPr>
        <w:spacing w:after="20" w:line="240" w:lineRule="auto"/>
      </w:pPr>
      <w:r>
        <w:rPr>
          <w:rFonts w:ascii="Consolas" w:hAnsi="Consolas"/>
          <w:sz w:val="14"/>
        </w:rPr>
        <w:t>| WP-08 | Ensamblaje del estándar | Bloqueado | Fase B cerrada | candidato GOEI Standard | Fase B incompleta |</w:t>
      </w:r>
    </w:p>
    <w:p>
      <w:pPr>
        <w:spacing w:after="20" w:line="240" w:lineRule="auto"/>
      </w:pPr>
      <w:r>
        <w:rPr>
          <w:rFonts w:ascii="Consolas" w:hAnsi="Consolas"/>
          <w:sz w:val="14"/>
        </w:rPr>
        <w:t>| WP-09 | Validación piloto | Bloqueado | candidato y protocolo aprobados | expedientes, datos y resultados validados | GOEI-ISS-041/Fase D |</w:t>
      </w:r>
    </w:p>
    <w:p>
      <w:pPr>
        <w:spacing w:after="20" w:line="240" w:lineRule="auto"/>
      </w:pPr>
      <w:r>
        <w:rPr>
          <w:rFonts w:ascii="Consolas" w:hAnsi="Consolas"/>
          <w:sz w:val="14"/>
        </w:rPr>
        <w:t>| WP-10 | Release validada | Bloqueado | WP-08/WP-09 + G0–G5 | release publicada e inmutable | estándar y validación pendientes |</w:t>
      </w:r>
    </w:p>
    <w:p>
      <w:pPr>
        <w:spacing w:after="20" w:line="240" w:lineRule="auto"/>
      </w:pPr>
      <w:r>
        <w:rPr>
          <w:rFonts w:ascii="Consolas" w:hAnsi="Consolas"/>
          <w:sz w:val="14"/>
        </w:rPr>
        <w:t>| WP-11 | Ensamblaje de tesis | Bloqueado | release validada y 64 requisitos satisfechos | tesis completa reproducible | GOEI-ISS-039 |</w:t>
      </w:r>
    </w:p>
    <w:p>
      <w:pPr>
        <w:spacing w:after="20" w:line="240" w:lineRule="auto"/>
      </w:pPr>
      <w:r>
        <w:rPr>
          <w:rFonts w:ascii="Consolas" w:hAnsi="Consolas"/>
          <w:sz w:val="14"/>
        </w:rPr>
        <w:t>| WP-12 | Preparación de publicación | Bloqueado | contribución, resultados y autoría aprobados | manuscrito potencialmente publicable | GOEI-ISS-040 |</w:t>
      </w:r>
    </w:p>
    <w:p>
      <w:pPr>
        <w:spacing w:after="20" w:line="240" w:lineRule="auto"/>
      </w:pPr>
      <w:r>
        <w:rPr>
          <w:rFonts w:ascii="Consolas" w:hAnsi="Consolas"/>
          <w:sz w:val="14"/>
        </w:rPr>
        <w:t>| WP-13 | Repositorio Open Science | En curso parcial | políticas de acceso, licencias, ética y datos | paquete reproducible | decisiones institucionales/datos pendientes |</w:t>
      </w:r>
    </w:p>
    <w:p>
      <w:pPr>
        <w:spacing w:after="20" w:line="240" w:lineRule="auto"/>
      </w:pPr>
      <w:r>
        <w:rPr>
          <w:rFonts w:ascii="Consolas" w:hAnsi="Consolas"/>
          <w:sz w:val="14"/>
        </w:rPr>
        <w:t>| WP-14 | Software futuro | Bloqueado | estándar estable | implementación conforme | Fase F |</w:t>
      </w:r>
    </w:p>
    <w:p>
      <w:pPr>
        <w:spacing w:after="40"/>
      </w:pPr>
    </w:p>
    <w:p>
      <w:pPr>
        <w:pStyle w:val="Heading3"/>
      </w:pPr>
      <w:r>
        <w:t>4. Prioridad operacional vigente</w:t>
      </w:r>
    </w:p>
    <w:p>
      <w:pPr>
        <w:spacing w:after="40"/>
      </w:pPr>
    </w:p>
    <w:p>
      <w:pPr>
        <w:pStyle w:val="ListNumber"/>
      </w:pPr>
      <w:r>
        <w:t>Mantener integridad de baselines, registros e identificadores.</w:t>
      </w:r>
    </w:p>
    <w:p>
      <w:pPr>
        <w:pStyle w:val="ListNumber"/>
      </w:pPr>
      <w:r>
        <w:t>Detectar decisiones y handoffs nuevos; integrar solo los aprobados.</w:t>
      </w:r>
    </w:p>
    <w:p>
      <w:pPr>
        <w:pStyle w:val="ListNumber"/>
      </w:pPr>
      <w:r>
        <w:t>Mantener listas las plantillas y herramientas de promoción.</w:t>
      </w:r>
    </w:p>
    <w:p>
      <w:pPr>
        <w:pStyle w:val="ListNumber"/>
      </w:pPr>
      <w:r>
        <w:t>Preservar GOEI-BSL-PROC-0001 v0.1.0 y su exclusión controlada de residuos/merma.</w:t>
      </w:r>
    </w:p>
    <w:p>
      <w:pPr>
        <w:pStyle w:val="ListNumber"/>
      </w:pPr>
      <w:r>
        <w:t>Ejecutar B4 desde su contrato científico: decidir primero método y criterios, evaluar después los 31 candidatos congelados y excluir C-032 de la cola KPI.</w:t>
      </w:r>
    </w:p>
    <w:p>
      <w:pPr>
        <w:pStyle w:val="ListNumber"/>
      </w:pPr>
      <w:r>
        <w:t>Mantener tesis y publicaciones como ensamblajes derivados, nunca como fuentes del estándar.</w:t>
      </w:r>
    </w:p>
    <w:p>
      <w:pPr>
        <w:spacing w:after="40"/>
      </w:pPr>
    </w:p>
    <w:p>
      <w:pPr>
        <w:pStyle w:val="Heading3"/>
      </w:pPr>
      <w:r>
        <w:t>5. Criterios de cierre de paquete</w:t>
      </w:r>
    </w:p>
    <w:p>
      <w:pPr>
        <w:spacing w:after="40"/>
      </w:pPr>
    </w:p>
    <w:p>
      <w:r>
        <w:t>Un paquete solo puede marcarse complete cuando:</w:t>
      </w:r>
    </w:p>
    <w:p>
      <w:pPr>
        <w:spacing w:after="40"/>
      </w:pPr>
    </w:p>
    <w:p>
      <w:pPr>
        <w:pStyle w:val="ListBullet"/>
      </w:pPr>
      <w:r>
        <w:t>todas sus dependencias están completas;</w:t>
      </w:r>
    </w:p>
    <w:p>
      <w:pPr>
        <w:pStyle w:val="ListBullet"/>
      </w:pPr>
      <w:r>
        <w:t>posee evidencia canónica existente;</w:t>
      </w:r>
    </w:p>
    <w:p>
      <w:pPr>
        <w:pStyle w:val="ListBullet"/>
      </w:pPr>
      <w:r>
        <w:t>no conserva blockers incompatibles con su alcance;</w:t>
      </w:r>
    </w:p>
    <w:p>
      <w:pPr>
        <w:pStyle w:val="ListBullet"/>
      </w:pPr>
      <w:r>
        <w:t>su autoridad aprobadora está registrada cuando corresponda;</w:t>
      </w:r>
    </w:p>
    <w:p>
      <w:pPr>
        <w:pStyle w:val="ListBullet"/>
      </w:pPr>
      <w:r>
        <w:t>los registros de componentes, trazabilidad y cambios están actualizados;</w:t>
      </w:r>
    </w:p>
    <w:p>
      <w:pPr>
        <w:pStyle w:val="ListBullet"/>
      </w:pPr>
      <w:r>
        <w:t>las validaciones técnicas aplicables resultan conformes.</w:t>
      </w:r>
    </w:p>
    <w:p>
      <w:pPr>
        <w:spacing w:after="40"/>
      </w:pPr>
    </w:p>
    <w:p>
      <w:pPr>
        <w:pStyle w:val="Heading3"/>
      </w:pPr>
      <w:r>
        <w:t>6. Ruta crítica actual</w:t>
      </w:r>
    </w:p>
    <w:p>
      <w:pPr>
        <w:spacing w:after="40"/>
      </w:pPr>
    </w:p>
    <w:p>
      <w:r>
        <w:t>La ruta crítica científica es: B4–B10 → candidato C → validación D → release validada → tesis/publicación. B3 quedó resuelta en su pregunta nuclear por GOEI-DIR-RES-0003.</w:t>
      </w:r>
    </w:p>
    <w:p>
      <w:pPr>
        <w:spacing w:after="40"/>
      </w:pPr>
    </w:p>
    <w:p>
      <w:r>
        <w:t>El trabajo técnico fuera de esa ruta continúa en configuración, Knowledge Graph, BOK, controles, plantillas, reproducibilidad y preparación editorial estructural.</w:t>
      </w:r>
    </w:p>
    <w:p>
      <w:r>
        <w:br w:type="page"/>
      </w:r>
    </w:p>
    <w:p>
      <w:pPr>
        <w:pStyle w:val="Heading1"/>
        <w:keepNext/>
      </w:pPr>
      <w:r>
        <w:t>Fuente 75: 01_Estado_del_arte/Fase0_H1_Revision_Constructo_Salud_Operacional.md</w:t>
      </w:r>
    </w:p>
    <w:p>
      <w:pPr>
        <w:spacing w:after="200"/>
      </w:pPr>
      <w:r>
        <w:rPr>
          <w:rFonts w:ascii="Consolas" w:hAnsi="Consolas"/>
          <w:color w:val="595959"/>
          <w:sz w:val="16"/>
        </w:rPr>
        <w:t>Ruta: 01_Estado_del_arte/Fase0_H1_Revision_Constructo_Salud_Operacional.md</w:t>
        <w:br/>
        <w:t>Tamaño: 32467 bytes</w:t>
        <w:br/>
        <w:t>SHA-256: 37f051ad4cefbb1bb68028bb0d2ab815b78deb19460991d7a8d92e2daa1dac26</w:t>
      </w:r>
    </w:p>
    <w:p>
      <w:pPr>
        <w:pStyle w:val="Heading2"/>
      </w:pPr>
      <w:r>
        <w:t>FASE 0 — H1</w:t>
      </w:r>
    </w:p>
    <w:p>
      <w:pPr>
        <w:pStyle w:val="Heading3"/>
      </w:pPr>
      <w:r>
        <w:t>Revisión bibliográfica del constructo "Salud Operacional (Gastronómica)"</w:t>
      </w:r>
    </w:p>
    <w:p>
      <w:pPr>
        <w:pStyle w:val="Heading4"/>
      </w:pPr>
      <w:r>
        <w:t>¿Existe en la literatura un constructo equivalente o parcialmente equivalente?</w:t>
      </w:r>
    </w:p>
    <w:p>
      <w:pPr>
        <w:spacing w:after="40"/>
      </w:pPr>
    </w:p>
    <w:p>
      <w:r>
        <w:t>Tipo de documento: revisión crítica de la literatura, previa a toda definición.</w:t>
      </w:r>
    </w:p>
    <w:p>
      <w:r>
        <w:t>Regla de la fase: NO se propone una definición propia, NO se diseñan KPI, NO se proponen fórmulas, NO se sintetiza prematuramente. El objetivo es exclusivamente mapear el estado del conocimiento y responder si hay vacío conceptual.</w:t>
      </w:r>
    </w:p>
    <w:p>
      <w:r>
        <w:t>Fecha: 2026-08-04.</w:t>
      </w:r>
    </w:p>
    <w:p>
      <w:pPr>
        <w:spacing w:after="40"/>
      </w:pPr>
    </w:p>
    <w:p>
      <w:pPr>
        <w:spacing w:after="100"/>
        <w:ind w:left="360" w:right="216"/>
      </w:pPr>
      <w:r>
        <w:rPr>
          <w:i/>
          <w:color w:val="595959"/>
        </w:rPr>
        <w:t>Etiquetas de estatus epistémico: [EVIDENCIA] (constructo/instrumento documentado en literatura revisada o norma), [CONSENSO] (uso profesional consolidado sin teoría formal única), [ANÁLISIS] (juicio comparativo del comité, no un hecho externo), [PROPUESTA/PENDIENTE] (afirmación provisional que requiere validación).</w:t>
      </w:r>
    </w:p>
    <w:p>
      <w:pPr>
        <w:spacing w:after="100"/>
        <w:ind w:left="360" w:right="216"/>
      </w:pPr>
    </w:p>
    <w:p>
      <w:pPr>
        <w:spacing w:after="100"/>
        <w:ind w:left="360" w:right="216"/>
      </w:pPr>
      <w:r>
        <w:rPr>
          <w:i/>
          <w:color w:val="595959"/>
        </w:rPr>
        <w:t>Advertencia de alcance: esta revisión es exhaustiva en amplitud pero no sistemática en el sentido PRISMA. Se apoya en fuentes seminales y de síntesis localizadas; una revisión sistemática formal es tarea explícita de la Fase 1. Ninguna conclusión de este documento debe tratarse como cerrada hasta esa fase.</w:t>
      </w:r>
    </w:p>
    <w:p>
      <w:pPr>
        <w:spacing w:after="40"/>
      </w:pPr>
    </w:p>
    <w:p>
      <w:r>
        <w:t>---</w:t>
      </w:r>
    </w:p>
    <w:p>
      <w:pPr>
        <w:spacing w:after="40"/>
      </w:pPr>
    </w:p>
    <w:p>
      <w:pPr>
        <w:pStyle w:val="Heading3"/>
      </w:pPr>
      <w:r>
        <w:t>0. Aclaración conceptual previa: tres familias de "estado" organizacional</w:t>
      </w:r>
    </w:p>
    <w:p>
      <w:pPr>
        <w:spacing w:after="40"/>
      </w:pPr>
    </w:p>
    <w:p>
      <w:r>
        <w:t>Antes de recorrer las disciplinas conviene fijar que en la literatura conviven tres nociones distintas que el proyecto GOEI tiende a fusionar bajo "salud operacional". Distinguirlas es la primera contribución de esta revisión ([ANÁLISIS]):</w:t>
      </w:r>
    </w:p>
    <w:p>
      <w:pPr>
        <w:spacing w:after="40"/>
      </w:pPr>
    </w:p>
    <w:p>
      <w:pPr>
        <w:pStyle w:val="ListNumber"/>
      </w:pPr>
      <w:r>
        <w:t>Desempeño / Performance — cuán bien se obtienen resultados (financieros, cliente, procesos). Es un constructo de resultado.</w:t>
      </w:r>
    </w:p>
    <w:p>
      <w:pPr>
        <w:pStyle w:val="ListNumber"/>
      </w:pPr>
      <w:r>
        <w:t>Eficiencia / Efficiency — relación output/input; requiere frontera y comparación. Es un constructo relacional.</w:t>
      </w:r>
    </w:p>
    <w:p>
      <w:pPr>
        <w:pStyle w:val="ListNumber"/>
      </w:pPr>
      <w:r>
        <w:t>Salud / Health — capacidad de sostenerse, adaptarse y sobrevivir en el tiempo; es un constructo dinámico y prospectivo, no un resultado puntual.</w:t>
      </w:r>
    </w:p>
    <w:p>
      <w:pPr>
        <w:spacing w:after="40"/>
      </w:pPr>
    </w:p>
    <w:p>
      <w:r>
        <w:t>La palabra "salud" no es decorativa: en su origen académico (Miles, 1969) designa capacidad de supervivencia y desarrollo a largo plazo, no rendimiento instantáneo ([EVIDENCIA]). Esto tiene una consecuencia dura para el GOEI: si adopta "salud", hereda la exigencia de validez predictiva/longitudinal (¿el índice anticipa supervivencia?), no solo de validez concurrente. El proyecto aún no ha decidido si quiere medir desempeño, eficiencia o salud —y son tres cosas distintas.</w:t>
      </w:r>
    </w:p>
    <w:p>
      <w:pPr>
        <w:spacing w:after="40"/>
      </w:pPr>
    </w:p>
    <w:p>
      <w:r>
        <w:t>---</w:t>
      </w:r>
    </w:p>
    <w:p>
      <w:pPr>
        <w:spacing w:after="40"/>
      </w:pPr>
    </w:p>
    <w:p>
      <w:pPr>
        <w:pStyle w:val="Heading3"/>
      </w:pPr>
      <w:r>
        <w:t>1. Recorrido por disciplina</w:t>
      </w:r>
    </w:p>
    <w:p>
      <w:pPr>
        <w:spacing w:after="40"/>
      </w:pPr>
    </w:p>
    <w:p>
      <w:r>
        <w:t>Cada bloque responde las 7 preguntas: (1) ¿existe concepto equivalente? (2) definición; (3) dimensiones; (4) medición; (5) fortalezas; (6) limitaciones; (7) adaptabilidad al GOEI.</w:t>
      </w:r>
    </w:p>
    <w:p>
      <w:pPr>
        <w:spacing w:after="40"/>
      </w:pPr>
    </w:p>
    <w:p>
      <w:pPr>
        <w:pStyle w:val="Heading4"/>
      </w:pPr>
      <w:r>
        <w:t>1.1 Hospitality Management</w:t>
      </w:r>
    </w:p>
    <w:p>
      <w:pPr>
        <w:pStyle w:val="ListNumber"/>
      </w:pPr>
      <w:r>
        <w:t>Parcial. No existe "salud operacional"; existe performance measurement en hospitality. [EVIDENCIA]</w:t>
      </w:r>
    </w:p>
    <w:p>
      <w:pPr>
        <w:pStyle w:val="ListNumber"/>
      </w:pPr>
      <w:r>
        <w:t>Aplicación de sistemas de medición multidimensional (a menudo BSC adaptado) al desempeño de hoteles/servicios.</w:t>
      </w:r>
    </w:p>
    <w:p>
      <w:pPr>
        <w:pStyle w:val="ListNumber"/>
      </w:pPr>
      <w:r>
        <w:t>Financiera, cliente, procesos internos, aprendizaje; evidencia de que las no-financieras predicen las financieras.</w:t>
      </w:r>
    </w:p>
    <w:p>
      <w:pPr>
        <w:pStyle w:val="ListNumber"/>
      </w:pPr>
      <w:r>
        <w:t>Encuestas, indicadores operativos, BSC hotelero, estudios de validación de constructo de desempeño hotelero.</w:t>
      </w:r>
    </w:p>
    <w:p>
      <w:pPr>
        <w:pStyle w:val="ListNumber"/>
      </w:pPr>
      <w:r>
        <w:t>Reconoce multidimensionalidad y el peso de lo no-financiero; sensible al sector servicios.</w:t>
      </w:r>
    </w:p>
    <w:p>
      <w:pPr>
        <w:pStyle w:val="ListNumber"/>
      </w:pPr>
      <w:r>
        <w:t>No produce un número único comparable entre establecimientos; fuerte en hoteles, débil y fragmentario en foodservice; poca estandarización.</w:t>
      </w:r>
    </w:p>
    <w:p>
      <w:pPr>
        <w:pStyle w:val="ListNumber"/>
      </w:pPr>
      <w:r>
        <w:t>Media. Aporta la lógica multidimensional y la primacía de lo no-financiero, pero no un constructo cerrado. [ANÁLISIS]</w:t>
      </w:r>
    </w:p>
    <w:p>
      <w:pPr>
        <w:spacing w:after="40"/>
      </w:pPr>
    </w:p>
    <w:p>
      <w:pPr>
        <w:pStyle w:val="Heading4"/>
      </w:pPr>
      <w:r>
        <w:t>1.2 Restaurant Management</w:t>
      </w:r>
    </w:p>
    <w:p>
      <w:pPr>
        <w:pStyle w:val="ListNumber"/>
      </w:pPr>
      <w:r>
        <w:t>Parcial. Existen índices de productividad de restaurantes e HPMS (High Performance Management Systems), no "salud operacional". [EVIDENCIA]</w:t>
      </w:r>
    </w:p>
    <w:p>
      <w:pPr>
        <w:pStyle w:val="ListNumber"/>
      </w:pPr>
      <w:r>
        <w:t>Medición de productividad/desempeño del restaurante incorporando variables tradicionales (ingreso, food cost, labor cost) y no tradicionales (satisfacción de cliente y empleado, retención).</w:t>
      </w:r>
    </w:p>
    <w:p>
      <w:pPr>
        <w:pStyle w:val="ListNumber"/>
      </w:pPr>
      <w:r>
        <w:t>Costo, productividad laboral, satisfacción cliente/empleado, retención; los HPMS añaden ~13 dimensiones de gestión de personas.</w:t>
      </w:r>
    </w:p>
    <w:p>
      <w:pPr>
        <w:pStyle w:val="ListNumber"/>
      </w:pPr>
      <w:r>
        <w:t>DEA, índices de productividad, análisis ratio intra-unidad, Delphi para HPMS.</w:t>
      </w:r>
    </w:p>
    <w:p>
      <w:pPr>
        <w:pStyle w:val="ListNumber"/>
      </w:pPr>
      <w:r>
        <w:t>Ya intenta la integración productividad+satisfacción; propio del dominio.</w:t>
      </w:r>
    </w:p>
    <w:p>
      <w:pPr>
        <w:pStyle w:val="ListNumber"/>
      </w:pPr>
      <w:r>
        <w:t>Disperso, sin estándar aceptado; muchos modelos ad hoc y de cadenas (poco válidos para PYME independiente).</w:t>
      </w:r>
    </w:p>
    <w:p>
      <w:pPr>
        <w:pStyle w:val="ListNumber"/>
      </w:pPr>
      <w:r>
        <w:t>Alta relevancia de dominio, pero sin constructo consolidado que "tomar prestado". [ANÁLISIS]</w:t>
      </w:r>
    </w:p>
    <w:p>
      <w:pPr>
        <w:spacing w:after="40"/>
      </w:pPr>
    </w:p>
    <w:p>
      <w:pPr>
        <w:pStyle w:val="Heading4"/>
      </w:pPr>
      <w:r>
        <w:t>1.3 Operations Management</w:t>
      </w:r>
    </w:p>
    <w:p>
      <w:pPr>
        <w:pStyle w:val="ListNumber"/>
      </w:pPr>
      <w:r>
        <w:t>*Sí, como operational performance. [EVIDENCIA]*</w:t>
      </w:r>
    </w:p>
    <w:p>
      <w:pPr>
        <w:pStyle w:val="ListNumber"/>
      </w:pPr>
      <w:r>
        <w:t>Capacidad del sistema de operaciones de convertir insumos en productos/servicios cumpliendo objetivos.</w:t>
      </w:r>
    </w:p>
    <w:p>
      <w:pPr>
        <w:pStyle w:val="ListNumber"/>
      </w:pPr>
      <w:r>
        <w:t>Dimensiones clásicas (Neely): calidad, velocidad de entrega, fiabilidad de entrega, costo, flexibilidad.</w:t>
      </w:r>
    </w:p>
    <w:p>
      <w:pPr>
        <w:pStyle w:val="ListNumber"/>
      </w:pPr>
      <w:r>
        <w:t>Sistemas de medición del desempeño (PMS); indicadores de proceso; balance leading/lagging.</w:t>
      </w:r>
    </w:p>
    <w:p>
      <w:pPr>
        <w:pStyle w:val="ListNumber"/>
      </w:pPr>
      <w:r>
        <w:t>Base teórica sólida y transferible; vocabulario maduro (Neely, Gregory &amp; Platts, 1995).</w:t>
      </w:r>
    </w:p>
    <w:p>
      <w:pPr>
        <w:pStyle w:val="ListNumber"/>
      </w:pPr>
      <w:r>
        <w:t>Genérico; no resuelve agregación en índice único ni especificidad gastronómica.</w:t>
      </w:r>
    </w:p>
    <w:p>
      <w:pPr>
        <w:pStyle w:val="ListNumber"/>
      </w:pPr>
      <w:r>
        <w:t>Alta. Provee el andamiaje "prioridades competitivas" (calidad, costo, entrega, flexibilidad). [ANÁLISIS]</w:t>
      </w:r>
    </w:p>
    <w:p>
      <w:pPr>
        <w:spacing w:after="40"/>
      </w:pPr>
    </w:p>
    <w:p>
      <w:pPr>
        <w:pStyle w:val="Heading4"/>
      </w:pPr>
      <w:r>
        <w:t>1.4 Industrial Engineering</w:t>
      </w:r>
    </w:p>
    <w:p>
      <w:pPr>
        <w:pStyle w:val="ListNumber"/>
      </w:pPr>
      <w:r>
        <w:t>Sí, vía OEE y eficiencia de sistemas. [EVIDENCIA]</w:t>
      </w:r>
    </w:p>
    <w:p>
      <w:pPr>
        <w:pStyle w:val="ListNumber"/>
      </w:pPr>
      <w:r>
        <w:t>OEE: efectividad de un activo = Disponibilidad × Rendimiento × Calidad (Nakajima, TPM, años 1980).</w:t>
      </w:r>
    </w:p>
    <w:p>
      <w:pPr>
        <w:pStyle w:val="ListNumber"/>
      </w:pPr>
      <w:r>
        <w:t>Disponibilidad, rendimiento, calidad; en IE también productividad, utilización, rendimiento de proceso.</w:t>
      </w:r>
    </w:p>
    <w:p>
      <w:pPr>
        <w:pStyle w:val="ListNumber"/>
      </w:pPr>
      <w:r>
        <w:t>OEE como producto de tres tasas; estudios de tiempos y métodos; referencia "world-class" ~85%.</w:t>
      </w:r>
    </w:p>
    <w:p>
      <w:pPr>
        <w:pStyle w:val="ListNumber"/>
      </w:pPr>
      <w:r>
        <w:t>Modelo multiplicativo no compensatorio (un factor bajo hunde el total) — antídoto directo contra la compensabilidad que preocupa al GOEI.</w:t>
      </w:r>
    </w:p>
    <w:p>
      <w:pPr>
        <w:pStyle w:val="ListNumber"/>
      </w:pPr>
      <w:r>
        <w:t>Diseñado para equipos, no para un negocio de servicio con cliente humano; trasladarlo a un restaurante es analógico, no literal.</w:t>
      </w:r>
    </w:p>
    <w:p>
      <w:pPr>
        <w:pStyle w:val="ListNumber"/>
      </w:pPr>
      <w:r>
        <w:t>Alta en lógica de agregación (multiplicativa/no compensatoria), baja en contenido. [ANÁLISIS]</w:t>
      </w:r>
    </w:p>
    <w:p>
      <w:pPr>
        <w:spacing w:after="40"/>
      </w:pPr>
    </w:p>
    <w:p>
      <w:pPr>
        <w:pStyle w:val="Heading4"/>
      </w:pPr>
      <w:r>
        <w:t>1.5 Quality Management (ISO 9001, EFQM, Baldrige)</w:t>
      </w:r>
    </w:p>
    <w:p>
      <w:pPr>
        <w:pStyle w:val="ListNumber"/>
      </w:pPr>
      <w:r>
        <w:t>Sí, vía modelos de excelencia. [EVIDENCIA]</w:t>
      </w:r>
    </w:p>
    <w:p>
      <w:pPr>
        <w:pStyle w:val="ListNumber"/>
      </w:pPr>
      <w:r>
        <w:t>EFQM: marco de gestión de calidad total con enablers y results. Baldrige (MBNQA): marco de excelencia en 7 categorías.</w:t>
      </w:r>
    </w:p>
    <w:p>
      <w:pPr>
        <w:pStyle w:val="ListNumber"/>
      </w:pPr>
      <w:r>
        <w:t>EFQM: liderazgo, personas, estrategia, alianzas/recursos, procesos (enablers) → resultados en personas, clientes, sociedad, negocio. Baldrige: liderazgo, estrategia, clientes, medición/análisis, personal, operaciones, resultados.</w:t>
      </w:r>
    </w:p>
    <w:p>
      <w:pPr>
        <w:pStyle w:val="ListNumber"/>
      </w:pPr>
      <w:r>
        <w:t>Autoevaluación puntuada (lógica RADAR en EFQM); premios de calidad.</w:t>
      </w:r>
    </w:p>
    <w:p>
      <w:pPr>
        <w:pStyle w:val="ListNumber"/>
      </w:pPr>
      <w:r>
        <w:t>Modelos maduros, consensuados, causa→efecto (enablers→results) y con puntaje agregado ya existente y auditado.</w:t>
      </w:r>
    </w:p>
    <w:p>
      <w:pPr>
        <w:pStyle w:val="ListNumber"/>
      </w:pPr>
      <w:r>
        <w:t>Pesados, costosos, orientados a grandes organizaciones; no aptos para cálculo manual por una PYME; foco en gestión, no en "salud" operativa cotidiana.</w:t>
      </w:r>
    </w:p>
    <w:p>
      <w:pPr>
        <w:pStyle w:val="ListNumber"/>
      </w:pPr>
      <w:r>
        <w:t>Muy alta conceptualmente: son el precedente más cercano a "un puntaje integral auditable". El GOEI compite con ellos y debe justificar por qué no basta un EFQM simplificado. [ANÁLISIS]</w:t>
      </w:r>
    </w:p>
    <w:p>
      <w:pPr>
        <w:spacing w:after="40"/>
      </w:pPr>
    </w:p>
    <w:p>
      <w:pPr>
        <w:pStyle w:val="Heading4"/>
      </w:pPr>
      <w:r>
        <w:t>1.6 Lean</w:t>
      </w:r>
    </w:p>
    <w:p>
      <w:pPr>
        <w:pStyle w:val="ListNumber"/>
      </w:pPr>
      <w:r>
        <w:t>Parcial (filosofía + métricas de flujo). [EVIDENCIA]</w:t>
      </w:r>
    </w:p>
    <w:p>
      <w:pPr>
        <w:pStyle w:val="ListNumber"/>
      </w:pPr>
      <w:r>
        <w:t>Maximizar valor al cliente eliminando desperdicio (muda).</w:t>
      </w:r>
    </w:p>
    <w:p>
      <w:pPr>
        <w:pStyle w:val="ListNumber"/>
      </w:pPr>
      <w:r>
        <w:t>Flujo, lead time, inventario, valor/desperdicio; métricas de proceso.</w:t>
      </w:r>
    </w:p>
    <w:p>
      <w:pPr>
        <w:pStyle w:val="ListNumber"/>
      </w:pPr>
      <w:r>
        <w:t>Value Stream Mapping, lead time, WIP, takt time.</w:t>
      </w:r>
    </w:p>
    <w:p>
      <w:pPr>
        <w:pStyle w:val="ListNumber"/>
      </w:pPr>
      <w:r>
        <w:t>Excelente para procesos de cocina/servicio; enfoque en desperdicio (muy pertinente a food cost).</w:t>
      </w:r>
    </w:p>
    <w:p>
      <w:pPr>
        <w:pStyle w:val="ListNumber"/>
      </w:pPr>
      <w:r>
        <w:t>No es un índice ni un constructo de "estado"; es un método de mejora.</w:t>
      </w:r>
    </w:p>
    <w:p>
      <w:pPr>
        <w:pStyle w:val="ListNumber"/>
      </w:pPr>
      <w:r>
        <w:t>Media: aporta la dimensión de eficiencia de flujo/desperdicio, no un constructo agregable. [ANÁLISIS]</w:t>
      </w:r>
    </w:p>
    <w:p>
      <w:pPr>
        <w:spacing w:after="40"/>
      </w:pPr>
    </w:p>
    <w:p>
      <w:pPr>
        <w:pStyle w:val="Heading4"/>
      </w:pPr>
      <w:r>
        <w:t>1.7 Six Sigma</w:t>
      </w:r>
    </w:p>
    <w:p>
      <w:pPr>
        <w:pStyle w:val="ListNumber"/>
      </w:pPr>
      <w:r>
        <w:t>Parcial (métricas de variación/calidad). [EVIDENCIA]</w:t>
      </w:r>
    </w:p>
    <w:p>
      <w:pPr>
        <w:pStyle w:val="ListNumber"/>
      </w:pPr>
      <w:r>
        <w:t>Reducción de la variación y de defectos hacia capacidad de proceso.</w:t>
      </w:r>
    </w:p>
    <w:p>
      <w:pPr>
        <w:pStyle w:val="ListNumber"/>
      </w:pPr>
      <w:r>
        <w:t>Calidad (DPMO, FPY, Cp/Cpk), y junto a Lean: calidad, entrega, costo, seguridad.</w:t>
      </w:r>
    </w:p>
    <w:p>
      <w:pPr>
        <w:pStyle w:val="ListNumber"/>
      </w:pPr>
      <w:r>
        <w:t>DMAIC; índices de capacidad; DPMO.</w:t>
      </w:r>
    </w:p>
    <w:p>
      <w:pPr>
        <w:pStyle w:val="ListNumber"/>
      </w:pPr>
      <w:r>
        <w:t>Rigor estadístico; noción de capacidad y primer pase correcto (aplicable a errores de servicio/pedidos).</w:t>
      </w:r>
    </w:p>
    <w:p>
      <w:pPr>
        <w:pStyle w:val="ListNumber"/>
      </w:pPr>
      <w:r>
        <w:t>Requiere datos abundantes y estabilidad de proceso; difícil en microempresa gastronómica; no es constructo de estado.</w:t>
      </w:r>
    </w:p>
    <w:p>
      <w:pPr>
        <w:pStyle w:val="ListNumber"/>
      </w:pPr>
      <w:r>
        <w:t>Media-baja como constructo; alta como disciplina de medición (variación, defectos). [ANÁLISIS]</w:t>
      </w:r>
    </w:p>
    <w:p>
      <w:pPr>
        <w:spacing w:after="40"/>
      </w:pPr>
    </w:p>
    <w:p>
      <w:pPr>
        <w:pStyle w:val="Heading4"/>
      </w:pPr>
      <w:r>
        <w:t>1.8 Business Performance</w:t>
      </w:r>
    </w:p>
    <w:p>
      <w:pPr>
        <w:pStyle w:val="ListNumber"/>
      </w:pPr>
      <w:r>
        <w:t>Sí. [EVIDENCIA]</w:t>
      </w:r>
    </w:p>
    <w:p>
      <w:pPr>
        <w:pStyle w:val="ListNumber"/>
      </w:pPr>
      <w:r>
        <w:t>Grado en que la empresa alcanza resultados de mercado y financieros.</w:t>
      </w:r>
    </w:p>
    <w:p>
      <w:pPr>
        <w:pStyle w:val="ListNumber"/>
      </w:pPr>
      <w:r>
        <w:t>Frecuentemente reducido a financiero + mercado; en visiones amplias, multidimensional.</w:t>
      </w:r>
    </w:p>
    <w:p>
      <w:pPr>
        <w:pStyle w:val="ListNumber"/>
      </w:pPr>
      <w:r>
        <w:t>Ratios financieros, cuota de mercado, crecimiento.</w:t>
      </w:r>
    </w:p>
    <w:p>
      <w:pPr>
        <w:pStyle w:val="ListNumber"/>
      </w:pPr>
      <w:r>
        <w:t>Objetivo, comparable, con datos duros.</w:t>
      </w:r>
    </w:p>
    <w:p>
      <w:pPr>
        <w:pStyle w:val="ListNumber"/>
      </w:pPr>
      <w:r>
        <w:t>Estrecho: mira resultado, no proceso ni sostenibilidad; retrospectivo (lagging).</w:t>
      </w:r>
    </w:p>
    <w:p>
      <w:pPr>
        <w:pStyle w:val="ListNumber"/>
      </w:pPr>
      <w:r>
        <w:t>Media: el GOEI necesita lo financiero como una dimensión, no como el todo. [ANÁLISIS]</w:t>
      </w:r>
    </w:p>
    <w:p>
      <w:pPr>
        <w:spacing w:after="40"/>
      </w:pPr>
    </w:p>
    <w:p>
      <w:pPr>
        <w:pStyle w:val="Heading4"/>
      </w:pPr>
      <w:r>
        <w:t>1.9 Organizational Performance</w:t>
      </w:r>
    </w:p>
    <w:p>
      <w:pPr>
        <w:pStyle w:val="ListNumber"/>
      </w:pPr>
      <w:r>
        <w:t>Sí, constructo central y explícitamente multidimensional. [EVIDENCIA] (Richard, Devinney, Yip &amp; Johnson, 2009, Journal of Management).</w:t>
      </w:r>
    </w:p>
    <w:p>
      <w:pPr>
        <w:pStyle w:val="ListNumber"/>
      </w:pPr>
      <w:r>
        <w:t>Constructo multidimensional que abarca desempeño financiero, de mercado y de retorno al accionista, con extensiones a efectividad operativa, reputación y supervivencia organizacional.</w:t>
      </w:r>
    </w:p>
    <w:p>
      <w:pPr>
        <w:pStyle w:val="ListNumber"/>
      </w:pPr>
      <w:r>
        <w:t>Modelado frecuentemente como rentabilidad, liquidez, crecimiento, desempeño bursátil; otras líneas: financiero, cliente, innovación, procesos internos.</w:t>
      </w:r>
    </w:p>
    <w:p>
      <w:pPr>
        <w:pStyle w:val="ListNumber"/>
      </w:pPr>
      <w:r>
        <w:t>Medidas objetivas y subjetivas; advertencia metodológica: las prácticas comunes captan mal la multidimensionalidad.</w:t>
      </w:r>
    </w:p>
    <w:p>
      <w:pPr>
        <w:pStyle w:val="ListNumber"/>
      </w:pPr>
      <w:r>
        <w:t>Reflexión metodológica más avanzada sobre cómo medir un constructo multidimensional (Richard et al.); introduce explícitamente "supervivencia".</w:t>
      </w:r>
    </w:p>
    <w:p>
      <w:pPr>
        <w:pStyle w:val="ListNumber"/>
      </w:pPr>
      <w:r>
        <w:t>Pensado para la firma/corporación (bolsa, accionistas), no para la microempresa de servicio.</w:t>
      </w:r>
    </w:p>
    <w:p>
      <w:pPr>
        <w:pStyle w:val="ListNumber"/>
      </w:pPr>
      <w:r>
        <w:t>Alta: ofrece la disciplina de validez de constructo que la Fase 2 necesitará. [ANÁLISIS]</w:t>
      </w:r>
    </w:p>
    <w:p>
      <w:pPr>
        <w:spacing w:after="40"/>
      </w:pPr>
    </w:p>
    <w:p>
      <w:pPr>
        <w:pStyle w:val="Heading4"/>
      </w:pPr>
      <w:r>
        <w:t>1.10 Operational Excellence</w:t>
      </w:r>
    </w:p>
    <w:p>
      <w:pPr>
        <w:pStyle w:val="ListNumber"/>
      </w:pPr>
      <w:r>
        <w:t>Sí, constructo con nombre propio. [EVIDENCIA] (Modelo Shingo, Shingo Institute, Utah State University).</w:t>
      </w:r>
    </w:p>
    <w:p>
      <w:pPr>
        <w:pStyle w:val="ListNumber"/>
      </w:pPr>
      <w:r>
        <w:t>Consecuencia de prácticas de toda la empresa basadas en principios correctos.</w:t>
      </w:r>
    </w:p>
    <w:p>
      <w:pPr>
        <w:pStyle w:val="ListNumber"/>
      </w:pPr>
      <w:r>
        <w:t>Cuatro dimensiones: cultural enablers, continuous improvement, enterprise alignment, results.</w:t>
      </w:r>
    </w:p>
    <w:p>
      <w:pPr>
        <w:pStyle w:val="ListNumber"/>
      </w:pPr>
      <w:r>
        <w:t>Evaluación por principios/comportamientos (premio Shingo); no un número manual sencillo.</w:t>
      </w:r>
    </w:p>
    <w:p>
      <w:pPr>
        <w:pStyle w:val="ListNumber"/>
      </w:pPr>
      <w:r>
        <w:t>Vincula cultura→comportamiento→resultados; visión sistémica.</w:t>
      </w:r>
    </w:p>
    <w:p>
      <w:pPr>
        <w:pStyle w:val="ListNumber"/>
      </w:pPr>
      <w:r>
        <w:t>Filosófico y cualitativo; difícil de operacionalizar en índice manual; sesgo a manufactura.</w:t>
      </w:r>
    </w:p>
    <w:p>
      <w:pPr>
        <w:pStyle w:val="ListNumber"/>
      </w:pPr>
      <w:r>
        <w:t>Media-alta conceptual, baja operativa. Aporta la idea de que resultados sin cultura/proceso son frágiles. [ANÁLISIS]</w:t>
      </w:r>
    </w:p>
    <w:p>
      <w:pPr>
        <w:spacing w:after="40"/>
      </w:pPr>
    </w:p>
    <w:p>
      <w:pPr>
        <w:pStyle w:val="Heading4"/>
      </w:pPr>
      <w:r>
        <w:t>1.11 Business Health</w:t>
      </w:r>
    </w:p>
    <w:p>
      <w:pPr>
        <w:pStyle w:val="ListNumber"/>
      </w:pPr>
      <w:r>
        <w:t>Débil / práctico, no académico. [CONSENSO] más que [EVIDENCIA].</w:t>
      </w:r>
    </w:p>
    <w:p>
      <w:pPr>
        <w:pStyle w:val="ListNumber"/>
      </w:pPr>
      <w:r>
        <w:t>Uso profesional: "estado general" del negocio (liquidez, solvencia, viabilidad). Sin teoría unificada.</w:t>
      </w:r>
    </w:p>
    <w:p>
      <w:pPr>
        <w:pStyle w:val="ListNumber"/>
      </w:pPr>
      <w:r>
        <w:t>Financiera (flujo de caja, solvencia), a veces operativa y de mercado.</w:t>
      </w:r>
    </w:p>
    <w:p>
      <w:pPr>
        <w:pStyle w:val="ListNumber"/>
      </w:pPr>
      <w:r>
        <w:t>Ratios financieros, scorings de crédito/viabilidad de PYME.</w:t>
      </w:r>
    </w:p>
    <w:p>
      <w:pPr>
        <w:pStyle w:val="ListNumber"/>
      </w:pPr>
      <w:r>
        <w:t>Intuitivo; cercano a la metáfora "salud"; usado por bancos/analistas.</w:t>
      </w:r>
    </w:p>
    <w:p>
      <w:pPr>
        <w:pStyle w:val="ListNumber"/>
      </w:pPr>
      <w:r>
        <w:t>Constructo laxo, sin validación psicométrica; a menudo = salud financiera disfrazada.</w:t>
      </w:r>
    </w:p>
    <w:p>
      <w:pPr>
        <w:pStyle w:val="ListNumber"/>
      </w:pPr>
      <w:r>
        <w:t>Baja como base teórica, alta como analogía (la metáfora "salud" ya circula). Riesgo: importar su vaguedad. [ANÁLISIS]</w:t>
      </w:r>
    </w:p>
    <w:p>
      <w:pPr>
        <w:spacing w:after="40"/>
      </w:pPr>
    </w:p>
    <w:p>
      <w:pPr>
        <w:pStyle w:val="Heading4"/>
      </w:pPr>
      <w:r>
        <w:t>1.12 Organizational Health</w:t>
      </w:r>
    </w:p>
    <w:p>
      <w:pPr>
        <w:pStyle w:val="ListNumber"/>
      </w:pPr>
      <w:r>
        <w:t>Sí, constructo académico maduro — el equivalente teórico más fuerte de "salud". [EVIDENCIA] (Miles, 1969; revisiones posteriores).</w:t>
      </w:r>
    </w:p>
    <w:p>
      <w:pPr>
        <w:pStyle w:val="ListNumber"/>
      </w:pPr>
      <w:r>
        <w:t>Miles (1969): organización que no solo sobrevive en su entorno sino que se desarrolla y mejora su capacidad de afrontamiento y supervivencia a largo plazo.</w:t>
      </w:r>
    </w:p>
    <w:p>
      <w:pPr>
        <w:pStyle w:val="ListNumber"/>
      </w:pPr>
      <w:r>
        <w:t>Miles: 10 dimensiones (foco en metas, comunicación, equilibrio de poder, uso de recursos, cohesión, moral, innovación, autonomía, adaptación, resolución de problemas), agrupadas en tarea/mantenimiento/crecimiento. Modelos modernos: cultura y capacidad de cambio, alineación de metas, competencia; o compromiso directivo, cultura positiva, calidad del empleo, prácticas de RRHH.</w:t>
      </w:r>
    </w:p>
    <w:p>
      <w:pPr>
        <w:pStyle w:val="ListNumber"/>
      </w:pPr>
      <w:r>
        <w:t>Escalas psicométricas (desarrollo y validación de escala); diagnósticos.</w:t>
      </w:r>
    </w:p>
    <w:p>
      <w:pPr>
        <w:pStyle w:val="ListNumber"/>
      </w:pPr>
      <w:r>
        <w:t>Define "salud" con rigor: dinámica, prospectiva, de supervivencia y adaptación — exactamente el matiz que "salud operacional" invoca.</w:t>
      </w:r>
    </w:p>
    <w:p>
      <w:pPr>
        <w:pStyle w:val="ListNumber"/>
      </w:pPr>
      <w:r>
        <w:t>Centrado en clima/cultura/comportamiento organizacional, no en operaciones (costo, calidad de producto, inocuidad). Es "salud" pero no "operacional" en el sentido productivo.</w:t>
      </w:r>
    </w:p>
    <w:p>
      <w:pPr>
        <w:pStyle w:val="ListNumber"/>
      </w:pPr>
      <w:r>
        <w:t>Muy alta para el marco "salud", baja para el contenido "operacional". Es la fuente obligada para definir el sufijo health. [ANÁLISIS]</w:t>
      </w:r>
    </w:p>
    <w:p>
      <w:pPr>
        <w:spacing w:after="40"/>
      </w:pPr>
    </w:p>
    <w:p>
      <w:pPr>
        <w:pStyle w:val="Heading4"/>
      </w:pPr>
      <w:r>
        <w:t>1.13 Operational Health</w:t>
      </w:r>
    </w:p>
    <w:p>
      <w:pPr>
        <w:pStyle w:val="ListNumber"/>
      </w:pPr>
      <w:r>
        <w:t>NO como constructo académico. Existe solo como término práctico/técnico (TI, operaciones, cloud): "salud de las operaciones" medida por métricas como MTTD/MTTR. [CONSENSO / uso industrial]</w:t>
      </w:r>
    </w:p>
    <w:p>
      <w:pPr>
        <w:pStyle w:val="ListNumber"/>
      </w:pPr>
      <w:r>
        <w:t>Bienestar y desempeño de las operaciones cotidianas monitoreado con métricas operativas.</w:t>
      </w:r>
    </w:p>
    <w:p>
      <w:pPr>
        <w:pStyle w:val="ListNumber"/>
      </w:pPr>
      <w:r>
        <w:t>Sin dimensionalidad teórica establecida; conjunto abierto de métricas operativas (incidentes, tiempos de detección/recuperación, disponibilidad).</w:t>
      </w:r>
    </w:p>
    <w:p>
      <w:pPr>
        <w:pStyle w:val="ListNumber"/>
      </w:pPr>
      <w:r>
        <w:t>Dashboards operativos, KPIs de incidentes (marcos AWS Well-Architected, Microsoft, etc.).</w:t>
      </w:r>
    </w:p>
    <w:p>
      <w:pPr>
        <w:pStyle w:val="ListNumber"/>
      </w:pPr>
      <w:r>
        <w:t>Intuitivo, orientado a monitoreo continuo y detección temprana.</w:t>
      </w:r>
    </w:p>
    <w:p>
      <w:pPr>
        <w:pStyle w:val="ListNumber"/>
      </w:pPr>
      <w:r>
        <w:t>No hay constructo formal, ni dimensiones validadas, ni escala, ni definición consensuada; es una etiqueta pragmática, dominada por TI/software.</w:t>
      </w:r>
    </w:p>
    <w:p>
      <w:pPr>
        <w:pStyle w:val="ListNumber"/>
      </w:pPr>
      <w:r>
        <w:t>Doble filo: confirma que el nombre "operational health" está ocupado en TI pero vacío como constructo científico transversal — lo que abre espacio, pero también advierte de confusión terminológica. [ANÁLISIS clave]</w:t>
      </w:r>
    </w:p>
    <w:p>
      <w:pPr>
        <w:spacing w:after="40"/>
      </w:pPr>
    </w:p>
    <w:p>
      <w:pPr>
        <w:pStyle w:val="Heading4"/>
      </w:pPr>
      <w:r>
        <w:t>1.14 Business Sustainability</w:t>
      </w:r>
    </w:p>
    <w:p>
      <w:pPr>
        <w:pStyle w:val="ListNumber"/>
      </w:pPr>
      <w:r>
        <w:t>Sí, vía Triple Bottom Line. [EVIDENCIA] (Elkington, 1994).</w:t>
      </w:r>
    </w:p>
    <w:p>
      <w:pPr>
        <w:pStyle w:val="ListNumber"/>
      </w:pPr>
      <w:r>
        <w:t>Éxito no reducible al beneficio: la empresa debe rendir cuentas en lo económico, social y ambiental.</w:t>
      </w:r>
    </w:p>
    <w:p>
      <w:pPr>
        <w:pStyle w:val="ListNumber"/>
      </w:pPr>
      <w:r>
        <w:t>Tres dimensiones: económica (profit), social (people), ambiental (planet).</w:t>
      </w:r>
    </w:p>
    <w:p>
      <w:pPr>
        <w:pStyle w:val="ListNumber"/>
      </w:pPr>
      <w:r>
        <w:t>Reporte TBL, indicadores ESG, benchmarking.</w:t>
      </w:r>
    </w:p>
    <w:p>
      <w:pPr>
        <w:pStyle w:val="ListNumber"/>
      </w:pPr>
      <w:r>
        <w:t>Precedente directo de "no compensación": un buen resultado financiero no compensa daño social/ambiental — misma lógica que el principio crítico del GOEI (inocuidad/legalidad no compensables).</w:t>
      </w:r>
    </w:p>
    <w:p>
      <w:pPr>
        <w:pStyle w:val="ListNumber"/>
      </w:pPr>
      <w:r>
        <w:t>El propio Elkington (2018) reconoció límites del TBL; agregación y comparabilidad difíciles; foco corporativo/ESG, no operativo diario.</w:t>
      </w:r>
    </w:p>
    <w:p>
      <w:pPr>
        <w:pStyle w:val="ListNumber"/>
      </w:pPr>
      <w:r>
        <w:t>Media-alta conceptual: legitima la regla de no compensación y la inclusión de lo no-financiero. [ANÁLISIS]</w:t>
      </w:r>
    </w:p>
    <w:p>
      <w:pPr>
        <w:spacing w:after="40"/>
      </w:pPr>
    </w:p>
    <w:p>
      <w:pPr>
        <w:pStyle w:val="Heading4"/>
      </w:pPr>
      <w:r>
        <w:t>1.15 Performance Measurement (sistemas de medición)</w:t>
      </w:r>
    </w:p>
    <w:p>
      <w:pPr>
        <w:pStyle w:val="ListNumber"/>
      </w:pPr>
      <w:r>
        <w:t>Sí, campo propio. [EVIDENCIA] (Neely, Gregory &amp; Platts, 1995).</w:t>
      </w:r>
    </w:p>
    <w:p>
      <w:pPr>
        <w:pStyle w:val="ListNumber"/>
      </w:pPr>
      <w:r>
        <w:t>Un PMS cuantifica eficiencia y/o efectividad de acciones; debe dar una imagen "balanceada", multidimensional, integrada, con leading y lagging.</w:t>
      </w:r>
    </w:p>
    <w:p>
      <w:pPr>
        <w:pStyle w:val="ListNumber"/>
      </w:pPr>
      <w:r>
        <w:t>Calidad, velocidad, fiabilidad, costo, flexibilidad; balance interno/externo, resultado/driver.</w:t>
      </w:r>
    </w:p>
    <w:p>
      <w:pPr>
        <w:pStyle w:val="ListNumber"/>
      </w:pPr>
      <w:r>
        <w:t>Marcos (BSC, prisma de desempeño), diseño de indicadores, cascada estratégica.</w:t>
      </w:r>
    </w:p>
    <w:p>
      <w:pPr>
        <w:pStyle w:val="ListNumber"/>
      </w:pPr>
      <w:r>
        <w:t>Provee las reglas de diseño de cualquier sistema de indicadores; advierte sobre conflictos entre medidas.</w:t>
      </w:r>
    </w:p>
    <w:p>
      <w:pPr>
        <w:pStyle w:val="ListNumber"/>
      </w:pPr>
      <w:r>
        <w:t>Es meta-nivel: dice cómo medir, no qué es la salud operacional gastronómica.</w:t>
      </w:r>
    </w:p>
    <w:p>
      <w:pPr>
        <w:pStyle w:val="ListNumber"/>
      </w:pPr>
      <w:r>
        <w:t>Alta como metodología, nula como contenido de dominio. [ANÁLISIS]</w:t>
      </w:r>
    </w:p>
    <w:p>
      <w:pPr>
        <w:spacing w:after="40"/>
      </w:pPr>
    </w:p>
    <w:p>
      <w:pPr>
        <w:pStyle w:val="Heading4"/>
      </w:pPr>
      <w:r>
        <w:t>1.16 Composite Indicators</w:t>
      </w:r>
    </w:p>
    <w:p>
      <w:pPr>
        <w:pStyle w:val="ListNumber"/>
      </w:pPr>
      <w:r>
        <w:t>Sí — la disciplina de "convertir muchos indicadores en un número". [EVIDENCIA] (OECD/JRC Handbook, Nardo, Saisana, Saltelli &amp; Tarantola, 2008).</w:t>
      </w:r>
    </w:p>
    <w:p>
      <w:pPr>
        <w:pStyle w:val="ListNumber"/>
      </w:pPr>
      <w:r>
        <w:t>Un índice compuesto agrega indicadores individuales según un marco teórico subyacente.</w:t>
      </w:r>
    </w:p>
    <w:p>
      <w:pPr>
        <w:pStyle w:val="ListNumber"/>
      </w:pPr>
      <w:r>
        <w:t>Pasos-dimensiones metodológicas: marco teórico, selección, imputación, análisis multivariante, normalización, ponderación, agregación, robustez, visualización.</w:t>
      </w:r>
    </w:p>
    <w:p>
      <w:pPr>
        <w:pStyle w:val="ListNumber"/>
      </w:pPr>
      <w:r>
        <w:t>Normalización + ponderación + agregación + análisis de incertidumbre y sensibilidad.</w:t>
      </w:r>
    </w:p>
    <w:p>
      <w:pPr>
        <w:pStyle w:val="ListNumber"/>
      </w:pPr>
      <w:r>
        <w:t>Es literalmente el "cómo" del GOEI, con advertencias explícitas (compensabilidad, "un índice sin sensibilidad puede contar cualquier historia").</w:t>
      </w:r>
    </w:p>
    <w:p>
      <w:pPr>
        <w:pStyle w:val="ListNumber"/>
      </w:pPr>
      <w:r>
        <w:t>No aporta contenido; y su propia literatura es la principal fuente de objeciones al GOEI.</w:t>
      </w:r>
    </w:p>
    <w:p>
      <w:pPr>
        <w:pStyle w:val="ListNumber"/>
      </w:pPr>
      <w:r>
        <w:t>Máxima como método/gobernanza metodológica; obliga al GOEI a estándares altos. [ANÁLISIS]</w:t>
      </w:r>
    </w:p>
    <w:p>
      <w:pPr>
        <w:spacing w:after="40"/>
      </w:pPr>
    </w:p>
    <w:p>
      <w:pPr>
        <w:pStyle w:val="Heading4"/>
      </w:pPr>
      <w:r>
        <w:t>1.17 Service Management</w:t>
      </w:r>
    </w:p>
    <w:p>
      <w:pPr>
        <w:pStyle w:val="ListNumber"/>
      </w:pPr>
      <w:r>
        <w:t>Sí, doble vía: calidad de servicio y cadena servicio-beneficio. [EVIDENCIA]</w:t>
      </w:r>
    </w:p>
    <w:p>
      <w:pPr>
        <w:pStyle w:val="ListNumber"/>
      </w:pPr>
      <w:r>
        <w:t>SERVQUAL (Parasuraman, Zeithaml &amp; Berry, 1988) y su adaptación restaurantera DINESERV (Stevens, Knutson &amp; Patton, 1995): brecha expectativa–percepción. Service-Profit Chain (Heskett, Sasser &amp; Schlesinger, 1994): satisfacción del empleado → valor → lealtad del cliente → beneficio.</w:t>
      </w:r>
    </w:p>
    <w:p>
      <w:pPr>
        <w:pStyle w:val="ListNumber"/>
      </w:pPr>
      <w:r>
        <w:t>SERVQUAL/DINESERV: fiabilidad, aseguramiento, tangibles, empatía, capacidad de respuesta. SPC: cadena causal empleado→cliente→resultado.</w:t>
      </w:r>
    </w:p>
    <w:p>
      <w:pPr>
        <w:pStyle w:val="ListNumber"/>
      </w:pPr>
      <w:r>
        <w:t>Instrumentos psicométricos validados (DINESERV); modelos de ecuaciones estructurales (SPC).</w:t>
      </w:r>
    </w:p>
    <w:p>
      <w:pPr>
        <w:pStyle w:val="ListNumber"/>
      </w:pPr>
      <w:r>
        <w:t>Instrumentos validados y específicos de restaurantes; SPC aporta el vínculo causal personas→cliente→dinero.</w:t>
      </w:r>
    </w:p>
    <w:p>
      <w:pPr>
        <w:pStyle w:val="ListNumber"/>
      </w:pPr>
      <w:r>
        <w:t>Miden percepción (subjetiva), no operación física; SERVQUAL tiene críticas psicométricas conocidas.</w:t>
      </w:r>
    </w:p>
    <w:p>
      <w:pPr>
        <w:pStyle w:val="ListNumber"/>
      </w:pPr>
      <w:r>
        <w:t>Alta: dimensión "servicio/experiencia" y "personas" con instrumentos ya validados y del dominio. [ANÁLISIS]</w:t>
      </w:r>
    </w:p>
    <w:p>
      <w:pPr>
        <w:spacing w:after="40"/>
      </w:pPr>
    </w:p>
    <w:p>
      <w:pPr>
        <w:pStyle w:val="Heading4"/>
      </w:pPr>
      <w:r>
        <w:t>1.18 Supply Chain</w:t>
      </w:r>
    </w:p>
    <w:p>
      <w:pPr>
        <w:pStyle w:val="ListNumber"/>
      </w:pPr>
      <w:r>
        <w:t>Sí, vía SCOR. [EVIDENCIA] (SCOR, APICS/ASCM).</w:t>
      </w:r>
    </w:p>
    <w:p>
      <w:pPr>
        <w:pStyle w:val="ListNumber"/>
      </w:pPr>
      <w:r>
        <w:t>Modelo de referencia de operaciones de cadena de suministro con procesos y métricas estandarizadas.</w:t>
      </w:r>
    </w:p>
    <w:p>
      <w:pPr>
        <w:pStyle w:val="ListNumber"/>
      </w:pPr>
      <w:r>
        <w:t>Cinco atributos de desempeño: fiabilidad, capacidad de respuesta, agilidad, costos, gestión de activos.</w:t>
      </w:r>
    </w:p>
    <w:p>
      <w:pPr>
        <w:pStyle w:val="ListNumber"/>
      </w:pPr>
      <w:r>
        <w:t>&gt;250 métricas jerarquizadas; benchmarking estandarizado.</w:t>
      </w:r>
    </w:p>
    <w:p>
      <w:pPr>
        <w:pStyle w:val="ListNumber"/>
      </w:pPr>
      <w:r>
        <w:t>Ejemplo maduro de estándar de referencia con métricas jerárquicas y comparables — modelo aspiracional de gobernanza para el GOEI; aporta "aprovisionamiento/inventario" (crítico en gastronomía).</w:t>
      </w:r>
    </w:p>
    <w:p>
      <w:pPr>
        <w:pStyle w:val="ListNumber"/>
      </w:pPr>
      <w:r>
        <w:t>Complejo, pensado para redes industriales; no manual; poco de cliente/experiencia.</w:t>
      </w:r>
    </w:p>
    <w:p>
      <w:pPr>
        <w:pStyle w:val="ListNumber"/>
      </w:pPr>
      <w:r>
        <w:t>*Alta como modelo de estándar (cómo se estructura una referencia internacional) y para la dimensión de abastecimiento/inventario. [ANÁLISIS]*</w:t>
      </w:r>
    </w:p>
    <w:p>
      <w:pPr>
        <w:spacing w:after="40"/>
      </w:pPr>
    </w:p>
    <w:p>
      <w:pPr>
        <w:pStyle w:val="Heading4"/>
      </w:pPr>
      <w:r>
        <w:t>1.19 Foodservice Management</w:t>
      </w:r>
    </w:p>
    <w:p>
      <w:pPr>
        <w:pStyle w:val="ListNumber"/>
      </w:pPr>
      <w:r>
        <w:t>Parcial: conjunto de KPIs de dominio, sin constructo integrador. [CONSENSO/EVIDENCIA mixta]</w:t>
      </w:r>
    </w:p>
    <w:p>
      <w:pPr>
        <w:pStyle w:val="ListNumber"/>
      </w:pPr>
      <w:r>
        <w:t>Gestión de costos y operación de servicio de alimentos; métricas de eficiencia de ingreso y costo.</w:t>
      </w:r>
    </w:p>
    <w:p>
      <w:pPr>
        <w:pStyle w:val="ListNumber"/>
      </w:pPr>
      <w:r>
        <w:t>Prime cost, food cost %, labor %, RevPASH (Kimes, Cornell), rotación de mesas, ticket medio; control de inventario y merma.</w:t>
      </w:r>
    </w:p>
    <w:p>
      <w:pPr>
        <w:pStyle w:val="ListNumber"/>
      </w:pPr>
      <w:r>
        <w:t>KPIs contables/operativos; RevPASH combina tiempo y capacidad.</w:t>
      </w:r>
    </w:p>
    <w:p>
      <w:pPr>
        <w:pStyle w:val="ListNumber"/>
      </w:pPr>
      <w:r>
        <w:t>Máxima especificidad de dominio; indicadores accionables y usados en la práctica.</w:t>
      </w:r>
    </w:p>
    <w:p>
      <w:pPr>
        <w:pStyle w:val="ListNumber"/>
      </w:pPr>
      <w:r>
        <w:t>Fragmentado, sin normalización a escala común, sin agregación estandarizada, sin comparabilidad entre categorías.</w:t>
      </w:r>
    </w:p>
    <w:p>
      <w:pPr>
        <w:pStyle w:val="ListNumber"/>
      </w:pPr>
      <w:r>
        <w:t>Máxima como cantera de indicadores, nula como constructo agregado. Es justo el material que el GOEI querría integrar. [ANÁLISIS]</w:t>
      </w:r>
    </w:p>
    <w:p>
      <w:pPr>
        <w:spacing w:after="40"/>
      </w:pPr>
    </w:p>
    <w:p>
      <w:r>
        <w:t>---</w:t>
      </w:r>
    </w:p>
    <w:p>
      <w:pPr>
        <w:spacing w:after="40"/>
      </w:pPr>
    </w:p>
    <w:p>
      <w:pPr>
        <w:pStyle w:val="Heading3"/>
      </w:pPr>
      <w:r>
        <w:t>2. Matriz comparativa</w:t>
      </w:r>
    </w:p>
    <w:p>
      <w:pPr>
        <w:spacing w:after="40"/>
      </w:pPr>
    </w:p>
    <w:p>
      <w:pPr>
        <w:spacing w:after="20" w:line="240" w:lineRule="auto"/>
      </w:pPr>
      <w:r>
        <w:rPr>
          <w:rFonts w:ascii="Consolas" w:hAnsi="Consolas"/>
          <w:sz w:val="14"/>
        </w:rPr>
        <w:t>| # | Disciplina / modelo | Constructo equivalente | Dimensiones núcleo | Naturaleza | Agregación en nº único | No-compensación | Manual/PYME | Específico gastronomía | Valida "salud" (prospectivo) |</w:t>
      </w:r>
    </w:p>
    <w:p>
      <w:pPr>
        <w:spacing w:after="20" w:line="240" w:lineRule="auto"/>
      </w:pPr>
      <w:r>
        <w:rPr>
          <w:rFonts w:ascii="Consolas" w:hAnsi="Consolas"/>
          <w:sz w:val="14"/>
        </w:rPr>
        <w:t>|---|---|---|---|---|---|---|---|---|---|</w:t>
      </w:r>
    </w:p>
    <w:p>
      <w:pPr>
        <w:spacing w:after="20" w:line="240" w:lineRule="auto"/>
      </w:pPr>
      <w:r>
        <w:rPr>
          <w:rFonts w:ascii="Consolas" w:hAnsi="Consolas"/>
          <w:sz w:val="14"/>
        </w:rPr>
        <w:t>| 1 | Hospitality PMS / BSC hotelero | Desempeño | Fin., cliente, procesos, aprendizaje | Resultado multidim. | No | No | No | Medio | No |</w:t>
      </w:r>
    </w:p>
    <w:p>
      <w:pPr>
        <w:spacing w:after="20" w:line="240" w:lineRule="auto"/>
      </w:pPr>
      <w:r>
        <w:rPr>
          <w:rFonts w:ascii="Consolas" w:hAnsi="Consolas"/>
          <w:sz w:val="14"/>
        </w:rPr>
        <w:t>| 2 | Restaurant Mgmt (índice productividad, HPMS) | Productividad ampliada | Costo, prod., satisf. cliente/empleado | Eficiencia/result. | A veces (índices) | No | Parcial | Alto | No |</w:t>
      </w:r>
    </w:p>
    <w:p>
      <w:pPr>
        <w:spacing w:after="20" w:line="240" w:lineRule="auto"/>
      </w:pPr>
      <w:r>
        <w:rPr>
          <w:rFonts w:ascii="Consolas" w:hAnsi="Consolas"/>
          <w:sz w:val="14"/>
        </w:rPr>
        <w:t>| 3 | Operations Mgmt (Neely) | Operational performance | Calidad, velocidad, fiabilidad, costo, flexibilidad | Desempeño de proceso | No (marco) | No | No | Bajo | No |</w:t>
      </w:r>
    </w:p>
    <w:p>
      <w:pPr>
        <w:spacing w:after="20" w:line="240" w:lineRule="auto"/>
      </w:pPr>
      <w:r>
        <w:rPr>
          <w:rFonts w:ascii="Consolas" w:hAnsi="Consolas"/>
          <w:sz w:val="14"/>
        </w:rPr>
        <w:t>| 4 | Ind. Engineering (OEE) | Efectividad de activo | Disponibilidad, rendimiento, calidad | Eficiencia | **Sí (multiplicativa)** | **Sí (multiplicativa)** | **Sí** | Bajo | No |</w:t>
      </w:r>
    </w:p>
    <w:p>
      <w:pPr>
        <w:spacing w:after="20" w:line="240" w:lineRule="auto"/>
      </w:pPr>
      <w:r>
        <w:rPr>
          <w:rFonts w:ascii="Consolas" w:hAnsi="Consolas"/>
          <w:sz w:val="14"/>
        </w:rPr>
        <w:t>| 5 | Quality Mgmt (EFQM/Baldrige) | Excelencia/calidad total | Enablers→results | Madurez de gestión | **Sí (puntaje)** | Parcial | No | Bajo | Parcial |</w:t>
      </w:r>
    </w:p>
    <w:p>
      <w:pPr>
        <w:spacing w:after="20" w:line="240" w:lineRule="auto"/>
      </w:pPr>
      <w:r>
        <w:rPr>
          <w:rFonts w:ascii="Consolas" w:hAnsi="Consolas"/>
          <w:sz w:val="14"/>
        </w:rPr>
        <w:t>| 6 | Lean | Eficiencia de flujo | Valor/desperdicio, lead time | Método | No | No | Parcial | Medio | No |</w:t>
      </w:r>
    </w:p>
    <w:p>
      <w:pPr>
        <w:spacing w:after="20" w:line="240" w:lineRule="auto"/>
      </w:pPr>
      <w:r>
        <w:rPr>
          <w:rFonts w:ascii="Consolas" w:hAnsi="Consolas"/>
          <w:sz w:val="14"/>
        </w:rPr>
        <w:t>| 7 | Six Sigma | Capacidad/variación | Calidad, defectos | Método | No | No | No | Bajo | No |</w:t>
      </w:r>
    </w:p>
    <w:p>
      <w:pPr>
        <w:spacing w:after="20" w:line="240" w:lineRule="auto"/>
      </w:pPr>
      <w:r>
        <w:rPr>
          <w:rFonts w:ascii="Consolas" w:hAnsi="Consolas"/>
          <w:sz w:val="14"/>
        </w:rPr>
        <w:t>| 8 | Business Performance | Resultado de negocio | Financiero, mercado | Resultado | Parcial | No | Parcial | Bajo | No |</w:t>
      </w:r>
    </w:p>
    <w:p>
      <w:pPr>
        <w:spacing w:after="20" w:line="240" w:lineRule="auto"/>
      </w:pPr>
      <w:r>
        <w:rPr>
          <w:rFonts w:ascii="Consolas" w:hAnsi="Consolas"/>
          <w:sz w:val="14"/>
        </w:rPr>
        <w:t>| 9 | Organizational Performance (Richard 2009) | Desempeño organizacional | Rentab., liquidez, crecim., mercado; +supervivencia | Resultado multidim. | Debatido | No | No | Bajo | **Parcial (supervivencia)** |</w:t>
      </w:r>
    </w:p>
    <w:p>
      <w:pPr>
        <w:spacing w:after="20" w:line="240" w:lineRule="auto"/>
      </w:pPr>
      <w:r>
        <w:rPr>
          <w:rFonts w:ascii="Consolas" w:hAnsi="Consolas"/>
          <w:sz w:val="14"/>
        </w:rPr>
        <w:t>| 10 | Operational Excellence (Shingo) | Excelencia operativa | Cultura, mejora, alineación, resultados | Madurez/principios | Parcial | Parcial | No | Bajo | Parcial |</w:t>
      </w:r>
    </w:p>
    <w:p>
      <w:pPr>
        <w:spacing w:after="20" w:line="240" w:lineRule="auto"/>
      </w:pPr>
      <w:r>
        <w:rPr>
          <w:rFonts w:ascii="Consolas" w:hAnsi="Consolas"/>
          <w:sz w:val="14"/>
        </w:rPr>
        <w:t>| 11 | Business Health | Salud del negocio (laxo) | Financiera, viabilidad | Estado (informal) | Parcial | No | Sí | Bajo | Parcial |</w:t>
      </w:r>
    </w:p>
    <w:p>
      <w:pPr>
        <w:spacing w:after="20" w:line="240" w:lineRule="auto"/>
      </w:pPr>
      <w:r>
        <w:rPr>
          <w:rFonts w:ascii="Consolas" w:hAnsi="Consolas"/>
          <w:sz w:val="14"/>
        </w:rPr>
        <w:t>| 12 | Organizational Health (Miles 1969) | **Salud organizacional** | 10 dim.: metas, comunic., adaptación, innovación… | **Estado dinámico/prospectivo** | Escala | No | No | Bajo | **Sí** |</w:t>
      </w:r>
    </w:p>
    <w:p>
      <w:pPr>
        <w:spacing w:after="20" w:line="240" w:lineRule="auto"/>
      </w:pPr>
      <w:r>
        <w:rPr>
          <w:rFonts w:ascii="Consolas" w:hAnsi="Consolas"/>
          <w:sz w:val="14"/>
        </w:rPr>
        <w:t>| 13 | Operational Health (TI) | "Salud operativa" (informal) | Incidentes, MTTD/MTTR, disponibilidad | Monitoreo | Dashboard | No | Parcial | Bajo | Parcial |</w:t>
      </w:r>
    </w:p>
    <w:p>
      <w:pPr>
        <w:spacing w:after="20" w:line="240" w:lineRule="auto"/>
      </w:pPr>
      <w:r>
        <w:rPr>
          <w:rFonts w:ascii="Consolas" w:hAnsi="Consolas"/>
          <w:sz w:val="14"/>
        </w:rPr>
        <w:t>| 14 | Business Sustainability (TBL) | Sostenibilidad | Económica, social, ambiental | Estado/impacto | Difícil | **Sí (principio)** | No | Bajo | Parcial |</w:t>
      </w:r>
    </w:p>
    <w:p>
      <w:pPr>
        <w:spacing w:after="20" w:line="240" w:lineRule="auto"/>
      </w:pPr>
      <w:r>
        <w:rPr>
          <w:rFonts w:ascii="Consolas" w:hAnsi="Consolas"/>
          <w:sz w:val="14"/>
        </w:rPr>
        <w:t>| 15 | Performance Measurement (Neely) | Sistema de medición | Multidim., leading/lagging | Metodología | Marco | No | Parcial | Bajo | No |</w:t>
      </w:r>
    </w:p>
    <w:p>
      <w:pPr>
        <w:spacing w:after="20" w:line="240" w:lineRule="auto"/>
      </w:pPr>
      <w:r>
        <w:rPr>
          <w:rFonts w:ascii="Consolas" w:hAnsi="Consolas"/>
          <w:sz w:val="14"/>
        </w:rPr>
        <w:t>| 16 | Composite Indicators (OECD/JRC) | Índice compuesto | 10 pasos metodológicos | Metodología de agregación | **Sí (su objeto)** | Configurable | Configurable | No | No |</w:t>
      </w:r>
    </w:p>
    <w:p>
      <w:pPr>
        <w:spacing w:after="20" w:line="240" w:lineRule="auto"/>
      </w:pPr>
      <w:r>
        <w:rPr>
          <w:rFonts w:ascii="Consolas" w:hAnsi="Consolas"/>
          <w:sz w:val="14"/>
        </w:rPr>
        <w:t>| 17 | Service Mgmt (SERVQUAL/DINESERV, SPC) | Calidad de servicio / cadena servicio-beneficio | Fiabilidad, empatía…; empleado→cliente→\$ | Percepción/causal | Escala | No | Parcial | **Alto (DINESERV)** | Parcial (SPC) |</w:t>
      </w:r>
    </w:p>
    <w:p>
      <w:pPr>
        <w:spacing w:after="20" w:line="240" w:lineRule="auto"/>
      </w:pPr>
      <w:r>
        <w:rPr>
          <w:rFonts w:ascii="Consolas" w:hAnsi="Consolas"/>
          <w:sz w:val="14"/>
        </w:rPr>
        <w:t>| 18 | Supply Chain (SCOR) | Referencia de operaciones | Fiabilidad, respuesta, agilidad, costo, activos | Estándar de referencia | Jerárquica | No | No | Bajo | No |</w:t>
      </w:r>
    </w:p>
    <w:p>
      <w:pPr>
        <w:spacing w:after="20" w:line="240" w:lineRule="auto"/>
      </w:pPr>
      <w:r>
        <w:rPr>
          <w:rFonts w:ascii="Consolas" w:hAnsi="Consolas"/>
          <w:sz w:val="14"/>
        </w:rPr>
        <w:t>| 19 | Foodservice Mgmt (KPIs) | (sin constructo) | Prime cost, food %, labor %, RevPASH, rotación | KPIs sueltos | No | No | **Sí** | **Máximo** | No |</w:t>
      </w:r>
    </w:p>
    <w:p>
      <w:pPr>
        <w:spacing w:after="40"/>
      </w:pPr>
    </w:p>
    <w:p>
      <w:r>
        <w:t>Lectura de la matriz ([ANÁLISIS]): ninguna fila cumple simultáneamente las cuatro últimas columnas críticas. El OEE y el TBL resuelven no-compensación; el EFQM y los índices compuestos resuelven agregación en número; el foodservice resuelve especificidad + manual; la Organizational Health resuelve el sentido "salud" (prospectivo); DINESERV resuelve servicio específico. Cada propiedad existe por separado; ninguna las reúne.</w:t>
      </w:r>
    </w:p>
    <w:p>
      <w:pPr>
        <w:spacing w:after="40"/>
      </w:pPr>
    </w:p>
    <w:p>
      <w:r>
        <w:t>---</w:t>
      </w:r>
    </w:p>
    <w:p>
      <w:pPr>
        <w:spacing w:after="40"/>
      </w:pPr>
    </w:p>
    <w:p>
      <w:pPr>
        <w:pStyle w:val="Heading3"/>
      </w:pPr>
      <w:r>
        <w:t>3. Análisis de elementos</w:t>
      </w:r>
    </w:p>
    <w:p>
      <w:pPr>
        <w:spacing w:after="40"/>
      </w:pPr>
    </w:p>
    <w:p>
      <w:pPr>
        <w:pStyle w:val="Heading4"/>
      </w:pPr>
      <w:r>
        <w:t>3.1 Elementos recurrentes (aparecen en la mayoría de disciplinas)</w:t>
      </w:r>
    </w:p>
    <w:p>
      <w:pPr>
        <w:pStyle w:val="ListBullet"/>
      </w:pPr>
      <w:r>
        <w:t>Dimensión de costo/eficiencia económica (OM, IE, foodservice, business performance, SCOR). [EVIDENCIA transversal]</w:t>
      </w:r>
    </w:p>
    <w:p>
      <w:pPr>
        <w:pStyle w:val="ListBullet"/>
      </w:pPr>
      <w:r>
        <w:t>Dimensión de calidad (QM, Six Sigma, OEE, service).</w:t>
      </w:r>
    </w:p>
    <w:p>
      <w:pPr>
        <w:pStyle w:val="ListBullet"/>
      </w:pPr>
      <w:r>
        <w:t>Dimensión de cliente/servicio/satisfacción (hospitality, service mgmt, restaurant, BSC).</w:t>
      </w:r>
    </w:p>
    <w:p>
      <w:pPr>
        <w:pStyle w:val="ListBullet"/>
      </w:pPr>
      <w:r>
        <w:t>Dimensión de procesos/operación interna (Lean, OM, EFQM, OEE).</w:t>
      </w:r>
    </w:p>
    <w:p>
      <w:pPr>
        <w:pStyle w:val="ListBullet"/>
      </w:pPr>
      <w:r>
        <w:t>Multidimensionalidad + balance leading/lagging como principio (Neely, BSC, PMS).</w:t>
      </w:r>
    </w:p>
    <w:p>
      <w:pPr>
        <w:pStyle w:val="ListBullet"/>
      </w:pPr>
      <w:r>
        <w:t>Advertencia contra la compensación entre dimensiones (TBL, OEE multiplicativo, principio crítico GOEI).</w:t>
      </w:r>
    </w:p>
    <w:p>
      <w:pPr>
        <w:spacing w:after="40"/>
      </w:pPr>
    </w:p>
    <w:p>
      <w:pPr>
        <w:pStyle w:val="Heading4"/>
      </w:pPr>
      <w:r>
        <w:t>3.2 Elementos exclusivos (aparecen en pocas disciplinas)</w:t>
      </w:r>
    </w:p>
    <w:p>
      <w:pPr>
        <w:pStyle w:val="ListBullet"/>
      </w:pPr>
      <w:r>
        <w:t>Personas / capital humano y su cadena causal al resultado: fuerte solo en Service-Profit Chain, Organizational Health y HPMS restaurantero.</w:t>
      </w:r>
    </w:p>
    <w:p>
      <w:pPr>
        <w:pStyle w:val="ListBullet"/>
      </w:pPr>
      <w:r>
        <w:t>Adaptación / supervivencia / prospectiva ("salud" real): exclusivo de Organizational Health (Miles) y, tangencialmente, Richard et al. (supervivencia).</w:t>
      </w:r>
    </w:p>
    <w:p>
      <w:pPr>
        <w:pStyle w:val="ListBullet"/>
      </w:pPr>
      <w:r>
        <w:t>Inocuidad / seguridad alimentaria: NO aparece en ninguno de los constructos generales; es propia de HACCP/Codex/ISO 22000 y ausente de los índices de desempeño. [ANÁLISIS crítico]</w:t>
      </w:r>
    </w:p>
    <w:p>
      <w:pPr>
        <w:pStyle w:val="ListBullet"/>
      </w:pPr>
      <w:r>
        <w:t>Abastecimiento/inventario como dimensión estructurada: solo SCOR y foodservice.</w:t>
      </w:r>
    </w:p>
    <w:p>
      <w:pPr>
        <w:pStyle w:val="ListBullet"/>
      </w:pPr>
      <w:r>
        <w:t>*Cultura como enabler de resultados*: Shingo/Operational Excellence, Organizational Health.</w:t>
      </w:r>
    </w:p>
    <w:p>
      <w:pPr>
        <w:spacing w:after="40"/>
      </w:pPr>
    </w:p>
    <w:p>
      <w:pPr>
        <w:pStyle w:val="Heading4"/>
      </w:pPr>
      <w:r>
        <w:t>3.3 Elementos que parecen indispensables (candidatos, PENDIENTE de validación)</w:t>
      </w:r>
    </w:p>
    <w:p>
      <w:pPr>
        <w:spacing w:after="100"/>
        <w:ind w:left="360" w:right="216"/>
      </w:pPr>
      <w:r>
        <w:rPr>
          <w:i/>
          <w:color w:val="595959"/>
        </w:rPr>
        <w:t>No se decide aquí su inclusión; solo se registra su recurrencia y su justificación disciplinar.</w:t>
      </w:r>
    </w:p>
    <w:p>
      <w:pPr>
        <w:pStyle w:val="ListBullet"/>
      </w:pPr>
      <w:r>
        <w:t>Costo/eficiencia económica; Calidad de producto; Servicio/experiencia del cliente; Procesos/operación; Personas; y —por la especificidad gastronómica y por ser NO compensable— Inocuidad/seguridad. [PROPUESTA/PENDIENTE]</w:t>
      </w:r>
    </w:p>
    <w:p>
      <w:pPr>
        <w:spacing w:after="40"/>
      </w:pPr>
    </w:p>
    <w:p>
      <w:pPr>
        <w:pStyle w:val="Heading4"/>
      </w:pPr>
      <w:r>
        <w:t>3.4 Elementos que probablemente deberían descartarse o reubicarse (candidatos)</w:t>
      </w:r>
    </w:p>
    <w:p>
      <w:pPr>
        <w:pStyle w:val="ListBullet"/>
      </w:pPr>
      <w:r>
        <w:t>Desempeño bursátil/accionista (Richard et al.): irrelevante para la PYME gastronómica independiente. [ANÁLISIS]</w:t>
      </w:r>
    </w:p>
    <w:p>
      <w:pPr>
        <w:pStyle w:val="ListBullet"/>
      </w:pPr>
      <w:r>
        <w:t>Métricas de TI (MTTD/MTTR) del "operational health" informático: no transferibles literalmente.</w:t>
      </w:r>
    </w:p>
    <w:p>
      <w:pPr>
        <w:pStyle w:val="ListBullet"/>
      </w:pPr>
      <w:r>
        <w:t>Aparato pesado de excelencia (EFQM/Baldrige completo): incompatible con cálculo manual.</w:t>
      </w:r>
    </w:p>
    <w:p>
      <w:pPr>
        <w:pStyle w:val="ListBullet"/>
      </w:pPr>
      <w:r>
        <w:t>Constructo laxo de "business health" financiero: aporta metáfora, no contenido; su vaguedad es un riesgo a evitar, no a copiar.</w:t>
      </w:r>
    </w:p>
    <w:p>
      <w:pPr>
        <w:spacing w:after="40"/>
      </w:pPr>
    </w:p>
    <w:p>
      <w:r>
        <w:t>---</w:t>
      </w:r>
    </w:p>
    <w:p>
      <w:pPr>
        <w:spacing w:after="40"/>
      </w:pPr>
    </w:p>
    <w:p>
      <w:pPr>
        <w:pStyle w:val="Heading3"/>
      </w:pPr>
      <w:r>
        <w:t>4. Dictamen: ¿existe un vacío conceptual que justifique "Salud Operacional Gastronómica"?</w:t>
      </w:r>
    </w:p>
    <w:p>
      <w:pPr>
        <w:spacing w:after="40"/>
      </w:pPr>
    </w:p>
    <w:p>
      <w:r>
        <w:t>*Respuesta corta: existe un vacío, pero es un vacío de integración y de especificidad de dominio, no un vacío de conceptos primarios. ([ANÁLISIS]*, con base en las 19 disciplinas revisadas.)</w:t>
      </w:r>
    </w:p>
    <w:p>
      <w:pPr>
        <w:spacing w:after="40"/>
      </w:pPr>
    </w:p>
    <w:p>
      <w:r>
        <w:t>Desglose honesto:</w:t>
      </w:r>
    </w:p>
    <w:p>
      <w:pPr>
        <w:spacing w:after="40"/>
      </w:pPr>
    </w:p>
    <w:p>
      <w:r>
        <w:t>Lo que NO es vacío (y sería un error reclamar como novedad):</w:t>
      </w:r>
    </w:p>
    <w:p>
      <w:pPr>
        <w:pStyle w:val="ListBullet"/>
      </w:pPr>
      <w:r>
        <w:t>El sufijo "salud" ya tiene un constructo académico riguroso: Organizational Health (Miles, 1969) — dinámico, prospectivo, de supervivencia. El GOEI no inventa la idea de "salud organizacional".</w:t>
      </w:r>
    </w:p>
    <w:p>
      <w:pPr>
        <w:pStyle w:val="ListBullet"/>
      </w:pPr>
      <w:r>
        <w:t>La agregación en un número ya es una disciplina entera (índices compuestos, OECD/JRC) y ya existe en gestión (EFQM, OEE, SCOR).</w:t>
      </w:r>
    </w:p>
    <w:p>
      <w:pPr>
        <w:pStyle w:val="ListBullet"/>
      </w:pPr>
      <w:r>
        <w:t>Las dimensiones primarias (costo, calidad, servicio, procesos, personas) están todas documentadas y medidas.</w:t>
      </w:r>
    </w:p>
    <w:p>
      <w:pPr>
        <w:pStyle w:val="ListBullet"/>
      </w:pPr>
      <w:r>
        <w:t>La no-compensación ya está teorizada (TBL, OEE).</w:t>
      </w:r>
    </w:p>
    <w:p>
      <w:pPr>
        <w:spacing w:after="40"/>
      </w:pPr>
    </w:p>
    <w:p>
      <w:r>
        <w:t>Lo que SÍ parece vacío (candidato a justificar el constructo):</w:t>
      </w:r>
    </w:p>
    <w:p>
      <w:pPr>
        <w:pStyle w:val="ListNumber"/>
      </w:pPr>
      <w:r>
        <w:t>*Ausencia de un constructo que combine "salud" (prospectivo/supervivencia) con "operacional" (producción/servicio físico) en el dominio gastronómico. "Organizational Health" es salud pero no operacional; "Operational Health" (TI) es operacional pero no es un constructo científico ni gastronómico; "operational performance" es operacional pero no es "salud". La casilla "salud × operacional × gastronomía" está literalmente vacía como constructo validado. ([ANÁLISIS clave]*)</w:t>
      </w:r>
    </w:p>
    <w:p>
      <w:pPr>
        <w:pStyle w:val="ListNumber"/>
      </w:pPr>
      <w:r>
        <w:t>Ausencia de integración de inocuidad/seguridad dentro de un constructo de desempeño. Ningún modelo general (BSC, EFQM, SCOR, OEE, Richard) incorpora inocuidad; y ningún modelo de inocuidad (HACCP/Codex) se integra con desempeño. Esa desconexión es real y específica de la gastronomía. ([EVIDENCIA] por ausencia observada.)</w:t>
      </w:r>
    </w:p>
    <w:p>
      <w:pPr>
        <w:pStyle w:val="ListNumber"/>
      </w:pPr>
      <w:r>
        <w:t>Ausencia de un instrumento con la conjunción de propiedades: multidimensional + comparable entre categorías + auditable + manual, para gastronomía. Confirmado por la matriz.</w:t>
      </w:r>
    </w:p>
    <w:p>
      <w:pPr>
        <w:spacing w:after="40"/>
      </w:pPr>
    </w:p>
    <w:p>
      <w:r>
        <w:t>Pero el vacío conlleva tres amenazas que impiden declararlo cerrado hoy ([PROPUESTA/PENDIENTE]):</w:t>
      </w:r>
    </w:p>
    <w:p>
      <w:pPr>
        <w:pStyle w:val="ListBullet"/>
      </w:pPr>
      <w:r>
        <w:t>Amenaza de constructo Frankenstein: unir "salud" (marco psicométrico/dinámico) con "operacional" (marco de eficiencia input/output) puede producir un constructo incoherente, porque provienen de tradiciones de medición distintas (escalas actitudinales vs. ratios físicos). Esto debe resolverse teóricamente en Fase 2, no asumirse.</w:t>
      </w:r>
    </w:p>
    <w:p>
      <w:pPr>
        <w:pStyle w:val="ListBullet"/>
      </w:pPr>
      <w:r>
        <w:t>Amenaza de redundancia funcional: un EFQM/SCOR simplificado y "gastronomizado" podría cubrir el hueco sin necesidad de un constructo nuevo. El GOEI debe demostrar que no es un EFQM de restaurantes con otro nombre.</w:t>
      </w:r>
    </w:p>
    <w:p>
      <w:pPr>
        <w:pStyle w:val="ListBullet"/>
      </w:pPr>
      <w:r>
        <w:t>Amenaza terminológica: "Operational Health" ya está ocupado por TI. Adoptarlo arriesga colisión conceptual; el proyecto debe decidir conscientemente su término.</w:t>
      </w:r>
    </w:p>
    <w:p>
      <w:pPr>
        <w:spacing w:after="40"/>
      </w:pPr>
    </w:p>
    <w:p>
      <w:pPr>
        <w:pStyle w:val="Heading4"/>
      </w:pPr>
      <w:r>
        <w:t>Veredicto de la Fase 0 / H1</w:t>
      </w:r>
    </w:p>
    <w:p>
      <w:r>
        <w:t>*Hay base suficiente para hipotetizar un vacío conceptual —la intersección "salud dinámica × operación gastronómica × inocuidad integrada"— pero NO hay base para afirmar que ese vacío exige un constructo nuevo en lugar de una adaptación de constructos existentes.* La decisión entre "constructo nuevo" y "adaptación integradora" es exactamente lo que debe resolver la Fase 2, y depende de dos pruebas todavía no hechas: (a) que las dimensiones formen un constructo coherente y no un mero collage; (b) que "salud" (prospectiva) sea el marco elegido conscientemente frente a "desempeño" o "eficiencia".</w:t>
      </w:r>
    </w:p>
    <w:p>
      <w:pPr>
        <w:spacing w:after="40"/>
      </w:pPr>
    </w:p>
    <w:p>
      <w:r>
        <w:t>Recomendación para cerrar la fase: aceptar como resultado de H1 que el constructo candidato se sostiene como hipótesis de investigación, no como hecho, y pasar a Fase 1 (revisión sistemática PRISMA) para blindar bibliográficamente esta conclusión antes de definir nada.</w:t>
      </w:r>
    </w:p>
    <w:p>
      <w:pPr>
        <w:spacing w:after="40"/>
      </w:pPr>
    </w:p>
    <w:p>
      <w:r>
        <w:t>---</w:t>
      </w:r>
    </w:p>
    <w:p>
      <w:pPr>
        <w:spacing w:after="40"/>
      </w:pPr>
    </w:p>
    <w:p>
      <w:pPr>
        <w:pStyle w:val="Heading3"/>
      </w:pPr>
      <w:r>
        <w:t>5. Preguntas abiertas que hereda la Fase 2</w:t>
      </w:r>
    </w:p>
    <w:p>
      <w:pPr>
        <w:spacing w:after="40"/>
      </w:pPr>
    </w:p>
    <w:p>
      <w:pPr>
        <w:pStyle w:val="ListNumber"/>
      </w:pPr>
      <w:r>
        <w:t>¿El GOEI mide salud (prospectiva/supervivencia), desempeño (resultado) o eficiencia (input/output)? Son incompatibles como núcleo único.</w:t>
      </w:r>
    </w:p>
    <w:p>
      <w:pPr>
        <w:pStyle w:val="ListNumber"/>
      </w:pPr>
      <w:r>
        <w:t>¿"Salud operacional" es un constructo reflectivo (las dimensiones son manifestaciones de un latente) o formativo (las dimensiones constituyen el índice)? Decide todo el aparato de validación.</w:t>
      </w:r>
    </w:p>
    <w:p>
      <w:pPr>
        <w:pStyle w:val="ListNumber"/>
      </w:pPr>
      <w:r>
        <w:t>¿La inocuidad entra como dimensión o como restricción/regla crítica (gatekeeper no compensable)?</w:t>
      </w:r>
    </w:p>
    <w:p>
      <w:pPr>
        <w:pStyle w:val="ListNumber"/>
      </w:pPr>
      <w:r>
        <w:t>¿Se adopta el término "Operational Health" pese a su uso en TI, o uno propio?</w:t>
      </w:r>
    </w:p>
    <w:p>
      <w:pPr>
        <w:pStyle w:val="ListNumber"/>
      </w:pPr>
      <w:r>
        <w:t>¿El producto es índice o tablero? (heredada del dictamen previo D-001).</w:t>
      </w:r>
    </w:p>
    <w:p>
      <w:pPr>
        <w:spacing w:after="40"/>
      </w:pPr>
    </w:p>
    <w:p>
      <w:r>
        <w:t>---</w:t>
      </w:r>
    </w:p>
    <w:p>
      <w:pPr>
        <w:spacing w:after="40"/>
      </w:pPr>
    </w:p>
    <w:p>
      <w:pPr>
        <w:pStyle w:val="Heading4"/>
      </w:pPr>
      <w:r>
        <w:t>Fuentes</w:t>
      </w:r>
    </w:p>
    <w:p>
      <w:pPr>
        <w:spacing w:after="40"/>
      </w:pPr>
    </w:p>
    <w:p>
      <w:pPr>
        <w:pStyle w:val="ListBullet"/>
      </w:pPr>
      <w:r>
        <w:t>Miles, M.B. (1969). Planned Change and Organizational Health. Revisión del constructo: PMC, The healthy organization construct: A review and research agenda. https://pmc.ncbi.nlm.nih.gov/articles/PMC4035611/ ; desarrollo de escala: https://www.researchgate.net/publication/320572978_Scale_Development_of_Organizational_Health_Construct</w:t>
      </w:r>
    </w:p>
    <w:p>
      <w:pPr>
        <w:pStyle w:val="ListBullet"/>
      </w:pPr>
      <w:r>
        <w:t>McKinsey — Organizational Health Index (OHI). https://www.mckinsey.com/~/media/mckinsey/business%20functions/organization/our%20insights/organizational%20health%20a%20fast%20track%20to%20performance%20improvement/organizational-health_a-fast-track-to-performance-improvement.pdf</w:t>
      </w:r>
    </w:p>
    <w:p>
      <w:pPr>
        <w:pStyle w:val="ListBullet"/>
      </w:pPr>
      <w:r>
        <w:t>Richard, P., Devinney, T., Yip, G. &amp; Johnson, G. (2009). Measuring Organizational Performance: Towards Methodological Best Practice. Journal of Management, 35(3). https://journals.sagepub.com/doi/10.1177/0149206308330560</w:t>
      </w:r>
    </w:p>
    <w:p>
      <w:pPr>
        <w:pStyle w:val="ListBullet"/>
      </w:pPr>
      <w:r>
        <w:t>Shingo Institute (Utah State University). The Shingo Model for Operational Excellence. https://uen.pressbooks.pub/opexintro/chapter/intro-to-shingo/</w:t>
      </w:r>
    </w:p>
    <w:p>
      <w:pPr>
        <w:pStyle w:val="ListBullet"/>
      </w:pPr>
      <w:r>
        <w:t>EFQM Excellence Model / Baldrige (MBNQA). https://umbrex.com/resources/frameworks/organization-frameworks/efqm-excellence-model/</w:t>
      </w:r>
    </w:p>
    <w:p>
      <w:pPr>
        <w:pStyle w:val="ListBullet"/>
      </w:pPr>
      <w:r>
        <w:t>Neely, A., Gregory, M. &amp; Platts, K. (1995). Performance Measurement System Design: A Literature Review and Research Agenda. IJOPM, 15(4). https://courses.ie.bilkent.edu.tr/ie102/wp-content/uploads/sites/11/2017/02/Neely-et-al-2005.pdf</w:t>
      </w:r>
    </w:p>
    <w:p>
      <w:pPr>
        <w:pStyle w:val="ListBullet"/>
      </w:pPr>
      <w:r>
        <w:t>Nakajima, S. — OEE / TPM. Revisión: https://jcasc.com/index.php/jcasc/article/download/4578/1850/9554</w:t>
      </w:r>
    </w:p>
    <w:p>
      <w:pPr>
        <w:pStyle w:val="ListBullet"/>
      </w:pPr>
      <w:r>
        <w:t>Elkington, J. (1994/2018). Triple Bottom Line. https://www.johnelkington.com/archive/TBL-elkington-chapter.pdf ; crítica del autor: https://hbr.org/2018/06/25-years-ago-i-coined-the-phrase-triple-bottom-line-heres-why-im-giving-up-on-it</w:t>
      </w:r>
    </w:p>
    <w:p>
      <w:pPr>
        <w:pStyle w:val="ListBullet"/>
      </w:pPr>
      <w:r>
        <w:t>Heskett, J., Sasser, W.E. &amp; Schlesinger, L. (1994/1997). The Service-Profit Chain. https://en.wikipedia.org/wiki/Service%E2%80%93profit_chain ; empírico: https://www.sciencedirect.com/science/article/abs/pii/S0925527311000168</w:t>
      </w:r>
    </w:p>
    <w:p>
      <w:pPr>
        <w:pStyle w:val="ListBullet"/>
      </w:pPr>
      <w:r>
        <w:t>SCOR — Supply Chain Operations Reference (APICS/ASCM). https://en.wikipedia.org/wiki/Supply_chain_operations_reference</w:t>
      </w:r>
    </w:p>
    <w:p>
      <w:pPr>
        <w:pStyle w:val="ListBullet"/>
      </w:pPr>
      <w:r>
        <w:t>Stevens, P., Knutson, B. &amp; Patton, M. (1995). DINESERV: A tool for measuring service quality in restaurants. Cornell HRA Quarterly. https://journals.sagepub.com/doi/10.1177/001088049503600226 ; SERVQUAL: Parasuraman, Zeithaml &amp; Berry (1988).</w:t>
      </w:r>
    </w:p>
    <w:p>
      <w:pPr>
        <w:pStyle w:val="ListBullet"/>
      </w:pPr>
      <w:r>
        <w:t>Kimes, S. — RevPASH (Cornell). https://pos.toasttab.com/blog/on-the-line/restaurant-kpis</w:t>
      </w:r>
    </w:p>
    <w:p>
      <w:pPr>
        <w:pStyle w:val="ListBullet"/>
      </w:pPr>
      <w:r>
        <w:t>OECD/JRC (Nardo, Saisana, Saltelli &amp; Tarantola, 2008). Handbook on Constructing Composite Indicators. https://www.oecd.org/content/dam/oecd/en/publications/reports/2008/08/handbook-on-constructing-composite-indicators-methodology-and-user-guide_g1gh9301/9789264043466-en.pdf</w:t>
      </w:r>
    </w:p>
    <w:p>
      <w:pPr>
        <w:pStyle w:val="ListBullet"/>
      </w:pPr>
      <w:r>
        <w:t>Incorporating satisfaction measures into a restaurant productivity index. https://www.sciencedirect.com/science/article/abs/pii/S027843190600017X</w:t>
      </w:r>
    </w:p>
    <w:p>
      <w:pPr>
        <w:pStyle w:val="ListBullet"/>
      </w:pPr>
      <w:r>
        <w:t>Operational Health (uso técnico): Microsoft Learn / AWS Well-Architected. https://learn.microsoft.com/en-us/power-platform/release-plan/2024wave2/power-apps/monitor-improve-operational-health</w:t>
      </w:r>
    </w:p>
    <w:p>
      <w:pPr>
        <w:spacing w:after="40"/>
      </w:pPr>
    </w:p>
    <w:p>
      <w:r>
        <w:t>Verificación pendiente (Fase 1): confirmar acceso a texto completo y datos de edición exactos (Miles 1969; SERVQUAL 1988; Charnes, Cooper &amp; Rhodes 1978 para DEA) antes de citarlos en la tesis. Archivar copias legales en 02_Bibliografia/.</w:t>
      </w:r>
    </w:p>
    <w:p>
      <w:r>
        <w:br w:type="page"/>
      </w:r>
    </w:p>
    <w:p>
      <w:pPr>
        <w:pStyle w:val="Heading1"/>
        <w:keepNext/>
      </w:pPr>
      <w:r>
        <w:t>Fuente 76: 01_Estado_del_arte/Fase2_D003_Salud_vs_Desempeno_vs_Eficiencia.md</w:t>
      </w:r>
    </w:p>
    <w:p>
      <w:pPr>
        <w:spacing w:after="200"/>
      </w:pPr>
      <w:r>
        <w:rPr>
          <w:rFonts w:ascii="Consolas" w:hAnsi="Consolas"/>
          <w:color w:val="595959"/>
          <w:sz w:val="16"/>
        </w:rPr>
        <w:t>Ruta: 01_Estado_del_arte/Fase2_D003_Salud_vs_Desempeno_vs_Eficiencia.md</w:t>
        <w:br/>
        <w:t>Tamaño: 20904 bytes</w:t>
        <w:br/>
        <w:t>SHA-256: 31149e3d34eb11be3762bb95bcef650b0e388ebc227736c8fcdcd822039ea677</w:t>
      </w:r>
    </w:p>
    <w:p>
      <w:pPr>
        <w:pStyle w:val="Heading2"/>
      </w:pPr>
      <w:r>
        <w:t>FASE 2 — Decisión metodológica D-003</w:t>
      </w:r>
    </w:p>
    <w:p>
      <w:pPr>
        <w:pStyle w:val="Heading3"/>
      </w:pPr>
      <w:r>
        <w:t>¿Salud, Desempeño o Eficiencia? Determinación del fenómeno que el GOEI pretende medir</w:t>
      </w:r>
    </w:p>
    <w:p>
      <w:pPr>
        <w:spacing w:after="40"/>
      </w:pPr>
    </w:p>
    <w:p>
      <w:r>
        <w:t>Tipo de documento: análisis conceptual comparativo, previo al diseño del índice.</w:t>
      </w:r>
    </w:p>
    <w:p>
      <w:r>
        <w:t>Regla de la fase: NO se diseña el GOEI, NO se inventa una definición formal. Se determina qué clase de fenómeno es el objeto de medición y cuál debe ser su núcleo conceptual.</w:t>
      </w:r>
    </w:p>
    <w:p>
      <w:r>
        <w:t>Fecha: 2026-08-04.</w:t>
      </w:r>
    </w:p>
    <w:p>
      <w:r>
        <w:t>Dependencias: hereda H1 (D-002) y la pregunta abierta nº1 (salud vs. desempeño vs. eficiencia).</w:t>
      </w:r>
    </w:p>
    <w:p>
      <w:pPr>
        <w:spacing w:after="40"/>
      </w:pPr>
    </w:p>
    <w:p>
      <w:pPr>
        <w:spacing w:after="100"/>
        <w:ind w:left="360" w:right="216"/>
      </w:pPr>
      <w:r>
        <w:rPr>
          <w:i/>
          <w:color w:val="595959"/>
        </w:rPr>
        <w:t>Etiquetas: [EVIDENCIA] (literatura/norma), [ANÁLISIS] (razonamiento del comité), [PROPUESTA/PENDIENTE] (provisional, requiere validación).</w:t>
      </w:r>
    </w:p>
    <w:p>
      <w:pPr>
        <w:spacing w:after="40"/>
      </w:pPr>
    </w:p>
    <w:p>
      <w:r>
        <w:t>---</w:t>
      </w:r>
    </w:p>
    <w:p>
      <w:pPr>
        <w:spacing w:after="40"/>
      </w:pPr>
    </w:p>
    <w:p>
      <w:pPr>
        <w:pStyle w:val="Heading3"/>
      </w:pPr>
      <w:r>
        <w:t>0. Por qué esta decisión precede al diseño</w:t>
      </w:r>
    </w:p>
    <w:p>
      <w:pPr>
        <w:spacing w:after="40"/>
      </w:pPr>
    </w:p>
    <w:p>
      <w:r>
        <w:t>Elegir entre salud, desempeño y eficiencia no es una cuestión semántica: cada palabra impone un modelo de medición, un aparato de validación y una carga de prueba distintos ([ANÁLISIS]). Un revisor Q1 rechazará el GOEI si el nombre que elige y el método que usa pertenecen a familias incompatibles (p. ej., llamarlo "salud" —tradición reflectiva, actitudinal, prospectiva— y luego medirlo como un índice de ratios físicos). La tesis central de este documento es que el nombre correcto se deduce de dos propiedades técnicas del fenómeno: (a) si es un estado, un resultado o una relación; y (b) si su estructura de medición es reflectiva o formativa.</w:t>
      </w:r>
    </w:p>
    <w:p>
      <w:pPr>
        <w:spacing w:after="40"/>
      </w:pPr>
    </w:p>
    <w:p>
      <w:r>
        <w:t>---</w:t>
      </w:r>
    </w:p>
    <w:p>
      <w:pPr>
        <w:spacing w:after="40"/>
      </w:pPr>
    </w:p>
    <w:p>
      <w:pPr>
        <w:pStyle w:val="Heading3"/>
      </w:pPr>
      <w:r>
        <w:t>1. Las tres familias de constructos</w:t>
      </w:r>
    </w:p>
    <w:p>
      <w:pPr>
        <w:spacing w:after="40"/>
      </w:pPr>
    </w:p>
    <w:p>
      <w:pPr>
        <w:pStyle w:val="Heading4"/>
      </w:pPr>
      <w:r>
        <w:t>1.1 EFICIENCIA (Efficiency)</w:t>
      </w:r>
    </w:p>
    <w:p>
      <w:pPr>
        <w:spacing w:after="40"/>
      </w:pPr>
    </w:p>
    <w:p>
      <w:r>
        <w:t>Definición. Relación entre productos obtenidos y recursos empleados; "hacer más con menos" ([EVIDENCIA], operations management). Formalmente, output/input frente a una frontera de lo alcanzable.</w:t>
      </w:r>
    </w:p>
    <w:p>
      <w:pPr>
        <w:spacing w:after="40"/>
      </w:pPr>
    </w:p>
    <w:p>
      <w:r>
        <w:t>Origen. Economía de la producción e ingeniería; formalizada en investigación operativa. Referente canónico de medición relativa: DEA (Charnes, Cooper &amp; Rhodes, 1978); en ingeniería industrial, OEE (Nakajima). [EVIDENCIA]</w:t>
      </w:r>
    </w:p>
    <w:p>
      <w:pPr>
        <w:spacing w:after="40"/>
      </w:pPr>
    </w:p>
    <w:p>
      <w:r>
        <w:t>Fundamentos teóricos. Teoría de la producción (frontera de producción, isocuantas); optimización. La eficiencia es intrínsecamente relacional y comparativa: no existe "eficiencia" sin una referencia (frontera, ideal, par).</w:t>
      </w:r>
    </w:p>
    <w:p>
      <w:pPr>
        <w:spacing w:after="40"/>
      </w:pPr>
    </w:p>
    <w:p>
      <w:r>
        <w:t>Qué mide realmente. El aprovechamiento de recursos: cuánto output por unidad de input. Es un cociente.</w:t>
      </w:r>
    </w:p>
    <w:p>
      <w:pPr>
        <w:spacing w:after="40"/>
      </w:pPr>
    </w:p>
    <w:p>
      <w:r>
        <w:t>Qué NO mide. No mide si el output es el correcto o deseado (eso es efectividad); no mide calidad intrínseca, legalidad, inocuidad, ni sostenibilidad futura. Un restaurante puede ser altísimamente eficiente produciendo comida insegura: la eficiencia lo aprobaría. [ANÁLISIS crítico]</w:t>
      </w:r>
    </w:p>
    <w:p>
      <w:pPr>
        <w:spacing w:after="40"/>
      </w:pPr>
    </w:p>
    <w:p>
      <w:r>
        <w:t>Ejemplos. OEE (disponibilidad×rendimiento×calidad de un equipo); DEA de cadenas de restaurantes; food cost %, labor productivity, RevPASH (uso eficiente de asientos-hora).</w:t>
      </w:r>
    </w:p>
    <w:p>
      <w:pPr>
        <w:spacing w:after="40"/>
      </w:pPr>
    </w:p>
    <w:p>
      <w:r>
        <w:t>Métodos de validación. Frontera (DEA/SFA), benchmarking; validación por consistencia con la teoría de producción y por poder discriminante entre unidades.</w:t>
      </w:r>
    </w:p>
    <w:p>
      <w:pPr>
        <w:spacing w:after="40"/>
      </w:pPr>
    </w:p>
    <w:p>
      <w:r>
        <w:t>Ventajas. Objetiva, cuantitativa, comparable, con base matemática fuerte; ya existe para restaurantes.</w:t>
      </w:r>
    </w:p>
    <w:p>
      <w:pPr>
        <w:spacing w:after="40"/>
      </w:pPr>
    </w:p>
    <w:p>
      <w:r>
        <w:t>Limitaciones (para el GOEI). (i) Es unidimensional en esencia (un cociente), y forzarla a multidimensión exige agregación arbitraria; (ii) exige definir sin ambigüedad inputs y outputs —tarea no resuelta en el proyecto—; (iii) es ciega a lo no-instrumental (inocuidad, legalidad, ética), justo lo que el GOEI declara innegociable; (iv) requiere frontera/par, difícil de construir para PYMES heterogéneas manualmente.</w:t>
      </w:r>
    </w:p>
    <w:p>
      <w:pPr>
        <w:spacing w:after="40"/>
      </w:pPr>
    </w:p>
    <w:p>
      <w:r>
        <w:t>Dictamen parcial. La eficiencia no puede ser el núcleo del GOEI: es demasiado estrecha y estructuralmente incapaz de albergar restricciones no compensables. Es, a lo sumo, una dimensión componente. [ANÁLISIS]</w:t>
      </w:r>
    </w:p>
    <w:p>
      <w:pPr>
        <w:spacing w:after="40"/>
      </w:pPr>
    </w:p>
    <w:p>
      <w:r>
        <w:t>---</w:t>
      </w:r>
    </w:p>
    <w:p>
      <w:pPr>
        <w:spacing w:after="40"/>
      </w:pPr>
    </w:p>
    <w:p>
      <w:pPr>
        <w:pStyle w:val="Heading4"/>
      </w:pPr>
      <w:r>
        <w:t>1.2 DESEMPEÑO (Performance)</w:t>
      </w:r>
    </w:p>
    <w:p>
      <w:pPr>
        <w:spacing w:after="40"/>
      </w:pPr>
    </w:p>
    <w:p>
      <w:r>
        <w:t>Definición. Grado en que una organización alcanza sus resultados previstos; constructo multidimensional que abarca lo financiero, de mercado, de cliente, de procesos y —en su acepción amplia— la supervivencia (Richard, Devinney, Yip &amp; Johnson, 2009). [EVIDENCIA]</w:t>
      </w:r>
    </w:p>
    <w:p>
      <w:pPr>
        <w:spacing w:after="40"/>
      </w:pPr>
    </w:p>
    <w:p>
      <w:r>
        <w:t>Origen. Management estratégico y contabilidad de gestión; sistematizado por la crítica a las métricas puramente financieras (Kaplan &amp; Norton, 1992) y por la teoría de sistemas de medición del desempeño (Neely, Gregory &amp; Platts, 1995). [EVIDENCIA]</w:t>
      </w:r>
    </w:p>
    <w:p>
      <w:pPr>
        <w:spacing w:after="40"/>
      </w:pPr>
    </w:p>
    <w:p>
      <w:r>
        <w:t>Fundamentos teóricos. Teoría de la organización orientada a objetivos y a stakeholders; el desempeño es dependiente de objetivos y de partes interesadas (lo que es "buen desempeño" depende de para quién y respecto de qué meta).</w:t>
      </w:r>
    </w:p>
    <w:p>
      <w:pPr>
        <w:spacing w:after="40"/>
      </w:pPr>
    </w:p>
    <w:p>
      <w:r>
        <w:t>Qué mide realmente. El logro de resultados en múltiples dimensiones, típicamente retrospectivo (lagging): lo ya alcanzado.</w:t>
      </w:r>
    </w:p>
    <w:p>
      <w:pPr>
        <w:spacing w:after="40"/>
      </w:pPr>
    </w:p>
    <w:p>
      <w:r>
        <w:t>Qué NO mide. No mide, por sí mismo, la capacidad de sostener esos resultados ni la adaptación futura; tampoco garantiza la eficiencia (se puede desempeñar bien quemando recursos). El desempeño es una foto de resultados, no una predicción.</w:t>
      </w:r>
    </w:p>
    <w:p>
      <w:pPr>
        <w:spacing w:after="40"/>
      </w:pPr>
    </w:p>
    <w:p>
      <w:r>
        <w:t>Ejemplos. Balanced Scorecard; los cuatro factores de Richard et al. (rentabilidad, liquidez, crecimiento, mercado); "operational performance" de Neely (calidad, velocidad, fiabilidad, costo, flexibilidad).</w:t>
      </w:r>
    </w:p>
    <w:p>
      <w:pPr>
        <w:spacing w:after="40"/>
      </w:pPr>
    </w:p>
    <w:p>
      <w:r>
        <w:t>Métodos de validación. Validez de constructo (convergente/discriminante), validez de criterio contra resultados objetivos; Richard et al. (2009) es precisamente la referencia sobre cómo validar un constructo de desempeño multidimensional.</w:t>
      </w:r>
    </w:p>
    <w:p>
      <w:pPr>
        <w:spacing w:after="40"/>
      </w:pPr>
    </w:p>
    <w:p>
      <w:r>
        <w:t>Ventajas. Multidimensional por diseño; tradición de validación madura; vocabulario aceptado; admite lo no-financiero.</w:t>
      </w:r>
    </w:p>
    <w:p>
      <w:pPr>
        <w:spacing w:after="40"/>
      </w:pPr>
    </w:p>
    <w:p>
      <w:r>
        <w:t>Limitaciones (para el GOEI). (i) Retrospectivo: no captura sostenibilidad/adaptación (el matiz "salud"); (ii) "operational performance" ya existe como constructo —adoptarlo tal cual expone al GOEI a la acusación de redundancia (D-001, riesgo R-redundancia); (iii) el desempeño tolera compensación entre dimensiones por defecto, contra el principio crítico del GOEI.</w:t>
      </w:r>
    </w:p>
    <w:p>
      <w:pPr>
        <w:spacing w:after="40"/>
      </w:pPr>
    </w:p>
    <w:p>
      <w:r>
        <w:t>Dictamen parcial. El desempeño es un candidato serio y defendible, pero como núcleo dejaría fuera dos rasgos que el proyecto considera esenciales: la prospectiva/sostenibilidad y la no-compensación. Sería correcto pero no distintivo. [ANÁLISIS]</w:t>
      </w:r>
    </w:p>
    <w:p>
      <w:pPr>
        <w:spacing w:after="40"/>
      </w:pPr>
    </w:p>
    <w:p>
      <w:r>
        <w:t>---</w:t>
      </w:r>
    </w:p>
    <w:p>
      <w:pPr>
        <w:spacing w:after="40"/>
      </w:pPr>
    </w:p>
    <w:p>
      <w:pPr>
        <w:pStyle w:val="Heading4"/>
      </w:pPr>
      <w:r>
        <w:t>1.3 SALUD (Health)</w:t>
      </w:r>
    </w:p>
    <w:p>
      <w:pPr>
        <w:spacing w:after="40"/>
      </w:pPr>
    </w:p>
    <w:p>
      <w:r>
        <w:t>Definición. Capacidad de un sistema para sostenerse, adaptarse, afrontar y desarrollarse a largo plazo, más allá de su resultado puntual. En organizaciones: Miles (1969) definió la organización sana como la que no solo sobrevive en su entorno sino que mejora su capacidad de afrontamiento y supervivencia. [EVIDENCIA]</w:t>
      </w:r>
    </w:p>
    <w:p>
      <w:pPr>
        <w:spacing w:after="40"/>
      </w:pPr>
    </w:p>
    <w:p>
      <w:r>
        <w:t>Origen. Analogía biomédica → salud organizacional (Miles, 1969); popularización práctica (McKinsey OHI, 9 outcomes). Tradición ligada a clima, cultura y comportamiento organizacional. [EVIDENCIA]</w:t>
      </w:r>
    </w:p>
    <w:p>
      <w:pPr>
        <w:spacing w:after="40"/>
      </w:pPr>
    </w:p>
    <w:p>
      <w:r>
        <w:t>Fundamentos teóricos. Teoría de sistemas y de la adaptación; enfoque en capacidad y resiliencia, no en resultado. La salud es prospectiva y dinámica: un estado presente que predice la trayectoria futura.</w:t>
      </w:r>
    </w:p>
    <w:p>
      <w:pPr>
        <w:spacing w:after="40"/>
      </w:pPr>
    </w:p>
    <w:p>
      <w:r>
        <w:t>Qué mide realmente. La condición subyacente que sostiene el desempeño en el tiempo: alineación, cohesión, adaptación, innovación, capacidad de afrontar tensiones. Es un antecedente del desempeño, no el desempeño mismo (McKinsey lo posiciona como "fast track to performance").</w:t>
      </w:r>
    </w:p>
    <w:p>
      <w:pPr>
        <w:spacing w:after="40"/>
      </w:pPr>
    </w:p>
    <w:p>
      <w:r>
        <w:t>Qué NO mide. No mide directamente el resultado operativo concreto de hoy (costo, merma, velocidad de servicio); mide la capacidad de seguir produciéndolos.</w:t>
      </w:r>
    </w:p>
    <w:p>
      <w:pPr>
        <w:spacing w:after="40"/>
      </w:pPr>
    </w:p>
    <w:p>
      <w:r>
        <w:t>Ejemplos. Miles (10 dimensiones: metas, comunicación, adaptación, innovación, cohesión…); McKinsey OHI; modelos de "healthy organization".</w:t>
      </w:r>
    </w:p>
    <w:p>
      <w:pPr>
        <w:spacing w:after="40"/>
      </w:pPr>
    </w:p>
    <w:p>
      <w:r>
        <w:t>Métodos de validación. Escalas psicométricas reflectivas (un latente "salud" que se manifiesta en ítems correlacionados), con fiabilidad interna (α de Cronbach) y validez convergente/discriminante; y —crucialmente— validez predictiva/longitudinal: la salud debe anticipar supervivencia o desempeño futuro. [EVIDENCIA]</w:t>
      </w:r>
    </w:p>
    <w:p>
      <w:pPr>
        <w:spacing w:after="40"/>
      </w:pPr>
    </w:p>
    <w:p>
      <w:r>
        <w:t>Ventajas. Captura sostenibilidad, adaptación y prospectiva; metáfora potente y comunicable; es el único de los tres que "mira al futuro".</w:t>
      </w:r>
    </w:p>
    <w:p>
      <w:pPr>
        <w:spacing w:after="40"/>
      </w:pPr>
    </w:p>
    <w:p>
      <w:r>
        <w:t>Limitaciones (para el GOEI) — decisivas.</w:t>
      </w:r>
    </w:p>
    <w:p>
      <w:pPr>
        <w:pStyle w:val="ListNumber"/>
      </w:pPr>
      <w:r>
        <w:t>Modelo de medición reflectivo, no formativo. La salud organizacional se mide como reflejo de un latente (indicadores intercambiables, correlacionados). El GOEI, en cambio, agrega dimensiones heterogéneas, no intercambiables y no necesariamente correlacionadas (costo, inocuidad, servicio, personas) que constituyen el índice: eso es un constructo formativo (Jarvis et al., 2003; Diamantopoulos &amp; Winklhofer, 2001). Salud y GOEI pertenecen a modelos de medición opuestos. ([ANÁLISIS clave])</w:t>
      </w:r>
    </w:p>
    <w:p>
      <w:pPr>
        <w:pStyle w:val="ListNumber"/>
      </w:pPr>
      <w:r>
        <w:t>Carga de prueba prospectiva. Adoptar "salud" obliga a demostrar validez predictiva longitudinal (¿el índice predice la continuidad/supervivencia del negocio?). Es una barra altísima que el proyecto no ha comprometido.</w:t>
      </w:r>
    </w:p>
    <w:p>
      <w:pPr>
        <w:pStyle w:val="ListNumber"/>
      </w:pPr>
      <w:r>
        <w:t>Colisión terminológica. "Operational health" ya está ocupado por TI (MTTD/MTTR). [EVIDENCIA]</w:t>
      </w:r>
    </w:p>
    <w:p>
      <w:pPr>
        <w:pStyle w:val="ListNumber"/>
      </w:pPr>
      <w:r>
        <w:t>Contenido desalineado. La salud organizacional trata de cultura/clima; el GOEI trata de operación física (merma, tiempos, inocuidad). Compartir la etiqueta no implica compartir el objeto.</w:t>
      </w:r>
    </w:p>
    <w:p>
      <w:pPr>
        <w:spacing w:after="40"/>
      </w:pPr>
    </w:p>
    <w:p>
      <w:r>
        <w:t>Dictamen parcial. "Salud" es conceptualmente atractiva pero técnicamente peligrosa como núcleo: importa un modelo de medición (reflectivo) incompatible con la naturaleza formativa del GOEI, y una carga de validación (predictiva) que el proyecto no ha asumido. Solo sería legítima si el GOEI se rediseñara como constructo reflectivo predictivo —lo que contradice su propia lógica de dimensiones no compensables. [ANÁLISIS]</w:t>
      </w:r>
    </w:p>
    <w:p>
      <w:pPr>
        <w:spacing w:after="40"/>
      </w:pPr>
    </w:p>
    <w:p>
      <w:r>
        <w:t>---</w:t>
      </w:r>
    </w:p>
    <w:p>
      <w:pPr>
        <w:spacing w:after="40"/>
      </w:pPr>
    </w:p>
    <w:p>
      <w:pPr>
        <w:pStyle w:val="Heading3"/>
      </w:pPr>
      <w:r>
        <w:t>2. Análisis del fenómeno que el GOEI pretende medir</w:t>
      </w:r>
    </w:p>
    <w:p>
      <w:pPr>
        <w:spacing w:after="40"/>
      </w:pPr>
    </w:p>
    <w:p>
      <w:r>
        <w:t>Antes de elegir palabra, hay que caracterizar el fenómeno por sus propiedades observadas en H1 (sin definirlo) ([ANÁLISIS]):</w:t>
      </w:r>
    </w:p>
    <w:p>
      <w:pPr>
        <w:spacing w:after="40"/>
      </w:pPr>
    </w:p>
    <w:p>
      <w:pPr>
        <w:spacing w:after="20" w:line="240" w:lineRule="auto"/>
      </w:pPr>
      <w:r>
        <w:rPr>
          <w:rFonts w:ascii="Consolas" w:hAnsi="Consolas"/>
          <w:sz w:val="14"/>
        </w:rPr>
        <w:t>| Propiedad del fenómeno GOEI | Implicación |</w:t>
      </w:r>
    </w:p>
    <w:p>
      <w:pPr>
        <w:spacing w:after="20" w:line="240" w:lineRule="auto"/>
      </w:pPr>
      <w:r>
        <w:rPr>
          <w:rFonts w:ascii="Consolas" w:hAnsi="Consolas"/>
          <w:sz w:val="14"/>
        </w:rPr>
        <w:t>|---|---|</w:t>
      </w:r>
    </w:p>
    <w:p>
      <w:pPr>
        <w:spacing w:after="20" w:line="240" w:lineRule="auto"/>
      </w:pPr>
      <w:r>
        <w:rPr>
          <w:rFonts w:ascii="Consolas" w:hAnsi="Consolas"/>
          <w:sz w:val="14"/>
        </w:rPr>
        <w:t>| **Multidimensional** (costo, calidad, servicio, procesos, personas, inocuidad) | Descarta eficiencia pura (unidimensional) |</w:t>
      </w:r>
    </w:p>
    <w:p>
      <w:pPr>
        <w:spacing w:after="20" w:line="240" w:lineRule="auto"/>
      </w:pPr>
      <w:r>
        <w:rPr>
          <w:rFonts w:ascii="Consolas" w:hAnsi="Consolas"/>
          <w:sz w:val="14"/>
        </w:rPr>
        <w:t>| **Dimensiones heterogéneas y NO intercambiables** | Constructo **formativo**, no reflectivo → descarta "salud" en sentido Miles/OHI |</w:t>
      </w:r>
    </w:p>
    <w:p>
      <w:pPr>
        <w:spacing w:after="20" w:line="240" w:lineRule="auto"/>
      </w:pPr>
      <w:r>
        <w:rPr>
          <w:rFonts w:ascii="Consolas" w:hAnsi="Consolas"/>
          <w:sz w:val="14"/>
        </w:rPr>
        <w:t>| **Contiene restricciones NO compensables** (inocuidad, legalidad) | Incompatible con desempeño aditivo estándar y con eficiencia |</w:t>
      </w:r>
    </w:p>
    <w:p>
      <w:pPr>
        <w:spacing w:after="20" w:line="240" w:lineRule="auto"/>
      </w:pPr>
      <w:r>
        <w:rPr>
          <w:rFonts w:ascii="Consolas" w:hAnsi="Consolas"/>
          <w:sz w:val="14"/>
        </w:rPr>
        <w:t>| **Evaluado contra estándares/umbrales**, no solo contra una frontera de pares | Más cercano a "condición/estado evaluado" que a "eficiencia relativa" |</w:t>
      </w:r>
    </w:p>
    <w:p>
      <w:pPr>
        <w:spacing w:after="20" w:line="240" w:lineRule="auto"/>
      </w:pPr>
      <w:r>
        <w:rPr>
          <w:rFonts w:ascii="Consolas" w:hAnsi="Consolas"/>
          <w:sz w:val="14"/>
        </w:rPr>
        <w:t>| **Ambición prospectiva** (¿el negocio está "sano" para seguir operando?) | Tienta hacia "salud", pero sin compromiso de validación longitudinal |</w:t>
      </w:r>
    </w:p>
    <w:p>
      <w:pPr>
        <w:spacing w:after="20" w:line="240" w:lineRule="auto"/>
      </w:pPr>
      <w:r>
        <w:rPr>
          <w:rFonts w:ascii="Consolas" w:hAnsi="Consolas"/>
          <w:sz w:val="14"/>
        </w:rPr>
        <w:t>| **Calculable manualmente por una PYME** | Excluye aparatos reflectivos psicométricos pesados |</w:t>
      </w:r>
    </w:p>
    <w:p>
      <w:pPr>
        <w:spacing w:after="40"/>
      </w:pPr>
    </w:p>
    <w:p>
      <w:r>
        <w:t>Conclusión del perfil ([ANÁLISIS]): el fenómeno es un estado/condición multidimensional del sistema operativo, de estructura formativa, evaluado contra estándares, con puertas críticas no compensables. No es un cociente (≠ eficiencia). No es solo un resultado retrospectivo (≠ desempeño en sentido estricto). No es un latente reflectivo de cultura (≠ salud en sentido Miles).</w:t>
      </w:r>
    </w:p>
    <w:p>
      <w:pPr>
        <w:spacing w:after="40"/>
      </w:pPr>
    </w:p>
    <w:p>
      <w:r>
        <w:t>---</w:t>
      </w:r>
    </w:p>
    <w:p>
      <w:pPr>
        <w:spacing w:after="40"/>
      </w:pPr>
    </w:p>
    <w:p>
      <w:pPr>
        <w:pStyle w:val="Heading3"/>
      </w:pPr>
      <w:r>
        <w:t>3. ¿Es salud, desempeño, eficiencia u otro constructo?</w:t>
      </w:r>
    </w:p>
    <w:p>
      <w:pPr>
        <w:spacing w:after="40"/>
      </w:pPr>
    </w:p>
    <w:p>
      <w:r>
        <w:t>No es eficiencia. La eficiencia es un cociente unidimensional ciego a lo no-instrumental; sería un error categorial usarla como núcleo. Queda como dimensión. [ANÁLISIS, alta confianza]</w:t>
      </w:r>
    </w:p>
    <w:p>
      <w:pPr>
        <w:spacing w:after="40"/>
      </w:pPr>
    </w:p>
    <w:p>
      <w:r>
        <w:t>No es (solo) desempeño. El desempeño es el pariente más cercano y respetable, pero (a) es retrospectivo y (b) tolera compensación; el GOEI exige prospectiva y no-compensación. Adoptarlo sin más produce redundancia con "operational performance". [ANÁLISIS]</w:t>
      </w:r>
    </w:p>
    <w:p>
      <w:pPr>
        <w:spacing w:after="40"/>
      </w:pPr>
    </w:p>
    <w:p>
      <w:r>
        <w:t>No es "salud" en sentido técnico. Comparte el espíritu (prospectivo, integral) pero no el modelo de medición: la salud organizacional es reflectiva; el GOEI es formativo. Usar "salud" sin asumir validación predictiva longitudinal sería incorrecto y vulnerable ante un revisor. [ANÁLISIS clave]</w:t>
      </w:r>
    </w:p>
    <w:p>
      <w:pPr>
        <w:spacing w:after="40"/>
      </w:pPr>
    </w:p>
    <w:p>
      <w:r>
        <w:t>Es, más bien, otro constructo: un índice formativo de condición operacional multidimensional con restricciones críticas. Este tipo tiene precedentes claros (SCOR, TBL, índices compuestos OECD/JRC): son composites formativos, no escalas reflectivas de salud. [ANÁLISIS]</w:t>
      </w:r>
    </w:p>
    <w:p>
      <w:pPr>
        <w:spacing w:after="40"/>
      </w:pPr>
    </w:p>
    <w:p>
      <w:pPr>
        <w:pStyle w:val="Heading4"/>
      </w:pPr>
      <w:r>
        <w:t>¿Sería incorrecto usar "salud"?</w:t>
      </w:r>
    </w:p>
    <w:p>
      <w:r>
        <w:t>Sí, sería incorrecto usarla como núcleo técnico, por tres razones acumulativas: modelo de medición opuesto (formativo vs. reflectivo), carga de validación predictiva no asumida, y colisión terminológica con TI. "Salud" es admisible únicamente como metáfora comunicacional externa, nunca como el constructo científico que se define y valida. Un comité distinguirá inmediatamente entre el marketing del nombre y la ontología del constructo. [ANÁLISIS]</w:t>
      </w:r>
    </w:p>
    <w:p>
      <w:pPr>
        <w:spacing w:after="40"/>
      </w:pPr>
    </w:p>
    <w:p>
      <w:r>
        <w:t>---</w:t>
      </w:r>
    </w:p>
    <w:p>
      <w:pPr>
        <w:spacing w:after="40"/>
      </w:pPr>
    </w:p>
    <w:p>
      <w:pPr>
        <w:pStyle w:val="Heading3"/>
      </w:pPr>
      <w:r>
        <w:t>4. Evaluación de los términos alternativos</w:t>
      </w:r>
    </w:p>
    <w:p>
      <w:pPr>
        <w:spacing w:after="40"/>
      </w:pPr>
    </w:p>
    <w:p>
      <w:pPr>
        <w:spacing w:after="20" w:line="240" w:lineRule="auto"/>
      </w:pPr>
      <w:r>
        <w:rPr>
          <w:rFonts w:ascii="Consolas" w:hAnsi="Consolas"/>
          <w:sz w:val="14"/>
        </w:rPr>
        <w:t>| Término | Qué connota | Tradición académica | Ajuste al fenómeno | Riesgo principal | Veredicto |</w:t>
      </w:r>
    </w:p>
    <w:p>
      <w:pPr>
        <w:spacing w:after="20" w:line="240" w:lineRule="auto"/>
      </w:pPr>
      <w:r>
        <w:rPr>
          <w:rFonts w:ascii="Consolas" w:hAnsi="Consolas"/>
          <w:sz w:val="14"/>
        </w:rPr>
        <w:t>|---|---|---|---|---|---|</w:t>
      </w:r>
    </w:p>
    <w:p>
      <w:pPr>
        <w:spacing w:after="20" w:line="240" w:lineRule="auto"/>
      </w:pPr>
      <w:r>
        <w:rPr>
          <w:rFonts w:ascii="Consolas" w:hAnsi="Consolas"/>
          <w:sz w:val="14"/>
        </w:rPr>
        <w:t>| **Eficiencia operacional** | Cociente output/input | Fuerte (DEA, OEE) | Bajo (unidimensional) | Error categorial | **Rechazar como núcleo** (usar como dimensión) |</w:t>
      </w:r>
    </w:p>
    <w:p>
      <w:pPr>
        <w:spacing w:after="20" w:line="240" w:lineRule="auto"/>
      </w:pPr>
      <w:r>
        <w:rPr>
          <w:rFonts w:ascii="Consolas" w:hAnsi="Consolas"/>
          <w:sz w:val="14"/>
        </w:rPr>
        <w:t>| **Desempeño operacional** | Logro de resultados operativos | Fuerte (Neely, Richard) | Medio-alto | Redundancia + retrospectivo + compensación | Aceptable pero no distintivo |</w:t>
      </w:r>
    </w:p>
    <w:p>
      <w:pPr>
        <w:spacing w:after="20" w:line="240" w:lineRule="auto"/>
      </w:pPr>
      <w:r>
        <w:rPr>
          <w:rFonts w:ascii="Consolas" w:hAnsi="Consolas"/>
          <w:sz w:val="14"/>
        </w:rPr>
        <w:t>| **Salud operacional** | Capacidad de sostenerse/adaptarse | Fuerte pero **reflectiva** (Miles) | Espíritu sí, medición no | Modelo opuesto + carga predictiva + colisión TI | **Rechazar como núcleo técnico** |</w:t>
      </w:r>
    </w:p>
    <w:p>
      <w:pPr>
        <w:spacing w:after="20" w:line="240" w:lineRule="auto"/>
      </w:pPr>
      <w:r>
        <w:rPr>
          <w:rFonts w:ascii="Consolas" w:hAnsi="Consolas"/>
          <w:sz w:val="14"/>
        </w:rPr>
        <w:t>| **Capacidad operacional** | Potencial / lo que *podría* hacer | Media (capabilities, RBV) | Parcial | Capacidad ≠ realización; mide potencial, no estado actual | Complementario, no núcleo |</w:t>
      </w:r>
    </w:p>
    <w:p>
      <w:pPr>
        <w:spacing w:after="20" w:line="240" w:lineRule="auto"/>
      </w:pPr>
      <w:r>
        <w:rPr>
          <w:rFonts w:ascii="Consolas" w:hAnsi="Consolas"/>
          <w:sz w:val="14"/>
        </w:rPr>
        <w:t>| **Madurez operacional** | Nivel evolutivo por etapas | Fuerte (CMM, 5 niveles) | Parcial | Impone escalera de etapas y foco en disciplina de procesos; no es continuo ni orientado a resultado actual | Lente complementaria si se adopta estructura por niveles |</w:t>
      </w:r>
    </w:p>
    <w:p>
      <w:pPr>
        <w:spacing w:after="20" w:line="240" w:lineRule="auto"/>
      </w:pPr>
      <w:r>
        <w:rPr>
          <w:rFonts w:ascii="Consolas" w:hAnsi="Consolas"/>
          <w:sz w:val="14"/>
        </w:rPr>
        <w:t>| **Excelencia operacional** | Cima aspiracional | Fuerte (Shingo, EFQM) | Bajo como escala | Ya ocupado; normativamente cargado (¿un local en crisis tiene "poca excelencia"?); mide el extremo, no todo el rango | **Rechazar como núcleo** |</w:t>
      </w:r>
    </w:p>
    <w:p>
      <w:pPr>
        <w:spacing w:after="20" w:line="240" w:lineRule="auto"/>
      </w:pPr>
      <w:r>
        <w:rPr>
          <w:rFonts w:ascii="Consolas" w:hAnsi="Consolas"/>
          <w:sz w:val="14"/>
        </w:rPr>
        <w:t>| **Estado operacional** | Condición presente, neutral | Débil (descriptivo) | Alto en neutralidad | Plano; pierde la ambición prospectiva y de sostenibilidad | Candidato neutro honesto |</w:t>
      </w:r>
    </w:p>
    <w:p>
      <w:pPr>
        <w:spacing w:after="20" w:line="240" w:lineRule="auto"/>
      </w:pPr>
      <w:r>
        <w:rPr>
          <w:rFonts w:ascii="Consolas" w:hAnsi="Consolas"/>
          <w:sz w:val="14"/>
        </w:rPr>
        <w:t>| **Vitalidad operacional** | Vigor / capacidad de sostenerse con vida | Casi nula (no estandarizado) | Alto en espíritu | Suena a marketing; sin tradición ni instrumentos | Candidato solo si se valida como término propio |</w:t>
      </w:r>
    </w:p>
    <w:p>
      <w:pPr>
        <w:spacing w:after="20" w:line="240" w:lineRule="auto"/>
      </w:pPr>
      <w:r>
        <w:rPr>
          <w:rFonts w:ascii="Consolas" w:hAnsi="Consolas"/>
          <w:sz w:val="14"/>
        </w:rPr>
        <w:t>| **Condición operacional** | Estado evaluado contra estándares | Media (clínica/ingeniería: "condition monitoring") | **Alto** | Menos evocador | **Candidato fuerte y honesto** |</w:t>
      </w:r>
    </w:p>
    <w:p>
      <w:pPr>
        <w:spacing w:after="40"/>
      </w:pPr>
    </w:p>
    <w:p>
      <w:r>
        <w:t>Observación clave ([ANÁLISIS]): los términos se ordenan en un eje descriptivo↔prospectivo. "Estado/condición operacional" son honestos y describen lo que hay ahora; "salud/vitalidad" prometen lo que vendrá y por tanto exigen prueba predictiva. La elección no es de gusto: es un compromiso sobre qué se está dispuesto a validar.</w:t>
      </w:r>
    </w:p>
    <w:p>
      <w:pPr>
        <w:spacing w:after="40"/>
      </w:pPr>
    </w:p>
    <w:p>
      <w:r>
        <w:t>---</w:t>
      </w:r>
    </w:p>
    <w:p>
      <w:pPr>
        <w:spacing w:after="40"/>
      </w:pPr>
    </w:p>
    <w:p>
      <w:pPr>
        <w:pStyle w:val="Heading3"/>
      </w:pPr>
      <w:r>
        <w:t>5. Recomendación del comité: núcleo conceptual del GOEI</w:t>
      </w:r>
    </w:p>
    <w:p>
      <w:pPr>
        <w:spacing w:after="40"/>
      </w:pPr>
    </w:p>
    <w:p>
      <w:r>
        <w:t>Recomendación principal ([PROPUESTA/PENDIENTE de aprobación del comité]):</w:t>
      </w:r>
    </w:p>
    <w:p>
      <w:pPr>
        <w:spacing w:after="40"/>
      </w:pPr>
    </w:p>
    <w:p>
      <w:pPr>
        <w:spacing w:after="100"/>
        <w:ind w:left="360" w:right="216"/>
      </w:pPr>
      <w:r>
        <w:rPr>
          <w:i/>
          <w:color w:val="595959"/>
        </w:rPr>
        <w:t>El núcleo conceptual del GOEI no debe ser la eficiencia (demasiado estrecha, ciega a lo no compensable) ni la salud en sentido técnico (modelo reflectivo incompatible y carga predictiva no asumida). El fenómeno se caracteriza mejor como un constructo de CONDICIÓN / ESTADO OPERACIONAL: un índice formativo, multidimensional, evaluado contra estándares, con restricciones críticas no compensables. El desempeño operacional es su familia teórica de referencia para la validación (Richard et al., 2009), pero el GOEI se distingue de él por dos rasgos definitorios: no-compensación y estructura formativa explícita.</w:t>
      </w:r>
    </w:p>
    <w:p>
      <w:pPr>
        <w:spacing w:after="40"/>
      </w:pPr>
    </w:p>
    <w:p>
      <w:r>
        <w:t>Regla de decisión que se somete al comité (para no cerrar prematuramente el nombre):</w:t>
      </w:r>
    </w:p>
    <w:p>
      <w:pPr>
        <w:spacing w:after="40"/>
      </w:pPr>
    </w:p>
    <w:p>
      <w:pPr>
        <w:pStyle w:val="ListBullet"/>
      </w:pPr>
      <w:r>
        <w:t>Vía A — Constructo de estado (recomendada). Si el proyecto se compromete solo a validación concurrente y de contenido (el índice refleja fielmente la condición operativa presente, evaluada por expertos y estándares), el núcleo y el nombre deben ser "condición/estado operacional". Es defendible, honesto y alcanzable. "Salud" queda como metáfora externa, no como constructo.</w:t>
      </w:r>
    </w:p>
    <w:p>
      <w:pPr>
        <w:spacing w:after="40"/>
      </w:pPr>
    </w:p>
    <w:p>
      <w:pPr>
        <w:pStyle w:val="ListBullet"/>
      </w:pPr>
      <w:r>
        <w:t>Vía B — Constructo de salud (solo si hay ambición y datos). Si el proyecto se compromete a validación predictiva longitudinal —demostrar empíricamente que el índice anticipa la continuidad/supervivencia o el desempeño futuro del establecimiento— entonces, y solo entonces, "salud/vitalidad operacional" se vuelve científicamente legítimo, porque habría asumido la carga de prueba que la palabra "salud" impone.</w:t>
      </w:r>
    </w:p>
    <w:p>
      <w:pPr>
        <w:spacing w:after="40"/>
      </w:pPr>
    </w:p>
    <w:p>
      <w:r>
        <w:t>Recomendación operativa inmediata: adoptar provisionalmente el núcleo neutro "condición/estado operacional" para trabajar la Fase 3 (modelo conceptual) sin comprometerse aún al término público, y registrar como decisión bifurcada que el ascenso a "salud/vitalidad" está condicionado a que Fase 6 (Validación) incorpore un diseño longitudinal predictivo. Así el proyecto no se ata a una promesa (salud) que quizá no pueda cumplir, ni renuncia a ella si más adelante puede demostrarla.</w:t>
      </w:r>
    </w:p>
    <w:p>
      <w:pPr>
        <w:spacing w:after="40"/>
      </w:pPr>
    </w:p>
    <w:p>
      <w:r>
        <w:t>Por qué esto convence a un comité ([ANÁLISIS]): (i) deriva el nombre de dos propiedades técnicas verificables (estado vs. resultado; formativo vs. reflectivo), no de preferencia estética; (ii) explicita la carga de prueba de cada opción; (iii) evita el error categorial (eficiencia) y el error de modelo de medición (salud reflectiva sobre un objeto formativo); (iv) mantiene la trazabilidad con una familia validada (desempeño, Richard et al.); (v) convierte la elección terminológica en una decisión de diseño de validación, que es exactamente como un comité de normalización espera que se argumente.</w:t>
      </w:r>
    </w:p>
    <w:p>
      <w:pPr>
        <w:spacing w:after="40"/>
      </w:pPr>
    </w:p>
    <w:p>
      <w:r>
        <w:t>---</w:t>
      </w:r>
    </w:p>
    <w:p>
      <w:pPr>
        <w:spacing w:after="40"/>
      </w:pPr>
    </w:p>
    <w:p>
      <w:pPr>
        <w:pStyle w:val="Heading3"/>
      </w:pPr>
      <w:r>
        <w:t>6. Preguntas que hereda la Fase 3 (Modelo conceptual)</w:t>
      </w:r>
    </w:p>
    <w:p>
      <w:pPr>
        <w:spacing w:after="40"/>
      </w:pPr>
    </w:p>
    <w:p>
      <w:pPr>
        <w:pStyle w:val="ListNumber"/>
      </w:pPr>
      <w:r>
        <w:t>¿El comité aprueba la Vía A (condición/estado) como núcleo de trabajo, con la Vía B (salud/vitalidad) condicionada a validación predictiva?</w:t>
      </w:r>
    </w:p>
    <w:p>
      <w:pPr>
        <w:pStyle w:val="ListNumber"/>
      </w:pPr>
      <w:r>
        <w:t>Confirmado que el constructo es formativo: implica que NO se le aplicarán fiabilidad interna (α) ni validez convergente clásicas, sino validación de contenido, de criterio y de robustez. ¿Se acepta esta consecuencia metodológica?</w:t>
      </w:r>
    </w:p>
    <w:p>
      <w:pPr>
        <w:pStyle w:val="ListNumber"/>
      </w:pPr>
      <w:r>
        <w:t>La inocuidad/legalidad queda perfilada como restricción crítica no compensable (puerta), no como dimensión promediable: ¿se ratifica para Fase 3?</w:t>
      </w:r>
    </w:p>
    <w:p>
      <w:pPr>
        <w:pStyle w:val="ListNumber"/>
      </w:pPr>
      <w:r>
        <w:t>¿Se mantiene "GOEI" como acrónimo aunque el núcleo deje de ser "eficiencia" (la E de Efficiency)? Posible tensión entre el nombre heredado y el constructo correcto.</w:t>
      </w:r>
    </w:p>
    <w:p>
      <w:pPr>
        <w:spacing w:after="40"/>
      </w:pPr>
    </w:p>
    <w:p>
      <w:r>
        <w:t>---</w:t>
      </w:r>
    </w:p>
    <w:p>
      <w:pPr>
        <w:spacing w:after="40"/>
      </w:pPr>
    </w:p>
    <w:p>
      <w:pPr>
        <w:pStyle w:val="Heading4"/>
      </w:pPr>
      <w:r>
        <w:t>Fuentes</w:t>
      </w:r>
    </w:p>
    <w:p>
      <w:pPr>
        <w:spacing w:after="40"/>
      </w:pPr>
    </w:p>
    <w:p>
      <w:pPr>
        <w:pStyle w:val="ListBullet"/>
      </w:pPr>
      <w:r>
        <w:t>Miles, M.B. (1969), Planned Change and Organizational Health; revisión: https://pmc.ncbi.nlm.nih.gov/articles/PMC4035611/</w:t>
      </w:r>
    </w:p>
    <w:p>
      <w:pPr>
        <w:pStyle w:val="ListBullet"/>
      </w:pPr>
      <w:r>
        <w:t>McKinsey, Organizational Health Index. https://www.mckinsey.com/~/media/mckinsey/business%20functions/organization/our%20insights/organizational%20health%20a%20fast%20track%20to%20performance%20improvement/organizational-health_a-fast-track-to-performance-improvement.pdf</w:t>
      </w:r>
    </w:p>
    <w:p>
      <w:pPr>
        <w:pStyle w:val="ListBullet"/>
      </w:pPr>
      <w:r>
        <w:t>Richard, P., Devinney, T., Yip, G. &amp; Johnson, G. (2009), Measuring Organizational Performance: Towards Methodological Best Practice, Journal of Management 35(3). https://journals.sagepub.com/doi/10.1177/0149206308330560</w:t>
      </w:r>
    </w:p>
    <w:p>
      <w:pPr>
        <w:pStyle w:val="ListBullet"/>
      </w:pPr>
      <w:r>
        <w:t>Neely, A., Gregory, M. &amp; Platts, K. (1995), Performance Measurement System Design, IJOPM 15(4). https://courses.ie.bilkent.edu.tr/ie102/wp-content/uploads/sites/11/2017/02/Neely-et-al-2005.pdf</w:t>
      </w:r>
    </w:p>
    <w:p>
      <w:pPr>
        <w:pStyle w:val="ListBullet"/>
      </w:pPr>
      <w:r>
        <w:t>Kaplan, R. &amp; Norton, D. (1992), The Balanced Scorecard. https://www.researchgate.net/publication/298043780_The_Balanced_Scorecard_measures_that_drive_performance</w:t>
      </w:r>
    </w:p>
    <w:p>
      <w:pPr>
        <w:pStyle w:val="ListBullet"/>
      </w:pPr>
      <w:r>
        <w:t>Nakajima, S. — OEE/TPM; revisión: https://jcasc.com/index.php/jcasc/article/download/4578/1850/9554</w:t>
      </w:r>
    </w:p>
    <w:p>
      <w:pPr>
        <w:pStyle w:val="ListBullet"/>
      </w:pPr>
      <w:r>
        <w:t>Charnes, A., Cooper, W. &amp; Rhodes, E. (1978), Measuring the efficiency of decision making units (DEA) — referencia canónica a verificar en Fase 1.</w:t>
      </w:r>
    </w:p>
    <w:p>
      <w:pPr>
        <w:pStyle w:val="ListBullet"/>
      </w:pPr>
      <w:r>
        <w:t>Jarvis, C., MacKenzie, S. &amp; Podsakoff, P. (2003) y Diamantopoulos &amp; Winklhofer (2001) — constructos formativos vs. reflectivos. https://onlinelibrary.wiley.com/doi/abs/10.1111/j.1467-8551.2006.00500.x</w:t>
      </w:r>
    </w:p>
    <w:p>
      <w:pPr>
        <w:pStyle w:val="ListBullet"/>
      </w:pPr>
      <w:r>
        <w:t>Shingo Institute — Operational Excellence. https://uen.pressbooks.pub/opexintro/chapter/intro-to-shingo/</w:t>
      </w:r>
    </w:p>
    <w:p>
      <w:pPr>
        <w:pStyle w:val="ListBullet"/>
      </w:pPr>
      <w:r>
        <w:t>Capability Maturity Model (CMM) — niveles de madurez de procesos. https://en.wikipedia.org/wiki/Implementation_maturity_model_assessment</w:t>
      </w:r>
    </w:p>
    <w:p>
      <w:pPr>
        <w:pStyle w:val="ListBullet"/>
      </w:pPr>
      <w:r>
        <w:t>Distinción eficiencia/efectividad/productividad/desempeño (operations management). https://en.wikipedia.org/wiki/Operational_efficiency</w:t>
      </w:r>
    </w:p>
    <w:p>
      <w:pPr>
        <w:spacing w:after="40"/>
      </w:pPr>
    </w:p>
    <w:p>
      <w:r>
        <w:t>Verificación pendiente (Fase 1): confirmar ediciones exactas de Miles (1969), Charnes/Cooper/Rhodes (1978), Jarvis et al. (2003) antes de citar en la tesis.</w:t>
      </w:r>
    </w:p>
    <w:p>
      <w:r>
        <w:br w:type="page"/>
      </w:r>
    </w:p>
    <w:p>
      <w:pPr>
        <w:pStyle w:val="Heading1"/>
        <w:keepNext/>
      </w:pPr>
      <w:r>
        <w:t>Fuente 77: 01_Estado_del_arte/Fase2_D004_Salud_como_indice_formativo.md</w:t>
      </w:r>
    </w:p>
    <w:p>
      <w:pPr>
        <w:spacing w:after="200"/>
      </w:pPr>
      <w:r>
        <w:rPr>
          <w:rFonts w:ascii="Consolas" w:hAnsi="Consolas"/>
          <w:color w:val="595959"/>
          <w:sz w:val="16"/>
        </w:rPr>
        <w:t>Ruta: 01_Estado_del_arte/Fase2_D004_Salud_como_indice_formativo.md</w:t>
        <w:br/>
        <w:t>Tamaño: 13174 bytes</w:t>
        <w:br/>
        <w:t>SHA-256: 93035ec69e6e8130bc2b644612c769f5a0e703b17e8bec6bc4e993e6e01e4352</w:t>
      </w:r>
    </w:p>
    <w:p>
      <w:pPr>
        <w:pStyle w:val="Heading2"/>
      </w:pPr>
      <w:r>
        <w:t>FASE 2 — Decisión metodológica D-004</w:t>
      </w:r>
    </w:p>
    <w:p>
      <w:pPr>
        <w:pStyle w:val="Heading3"/>
      </w:pPr>
      <w:r>
        <w:t>¿"Salud" obliga al modelo reflectivo? Revisión del argumento de D-003</w:t>
      </w:r>
    </w:p>
    <w:p>
      <w:pPr>
        <w:spacing w:after="40"/>
      </w:pPr>
    </w:p>
    <w:p>
      <w:r>
        <w:t>Tipo de documento: dictamen focalizado, en respuesta a la objeción del comité a D-003.</w:t>
      </w:r>
    </w:p>
    <w:p>
      <w:r>
        <w:t>Alcance: exclusivamente los cuatro puntos planteados. No se rediseña el GOEI ni se define aún el constructo.</w:t>
      </w:r>
    </w:p>
    <w:p>
      <w:r>
        <w:t>Fecha: 2026-08-04.</w:t>
      </w:r>
    </w:p>
    <w:p>
      <w:r>
        <w:t>Postura: autocrítica. Si D-003 contiene una sobregeneralización, el comité debe retractarla explícitamente.</w:t>
      </w:r>
    </w:p>
    <w:p>
      <w:pPr>
        <w:spacing w:after="40"/>
      </w:pPr>
    </w:p>
    <w:p>
      <w:pPr>
        <w:spacing w:after="100"/>
        <w:ind w:left="360" w:right="216"/>
      </w:pPr>
      <w:r>
        <w:rPr>
          <w:i/>
          <w:color w:val="595959"/>
        </w:rPr>
        <w:t>Etiquetas: [EVIDENCIA], [ANÁLISIS], [RETRACTACIÓN] (corrección de una afirmación previa), [PROPUESTA/PENDIENTE].</w:t>
      </w:r>
    </w:p>
    <w:p>
      <w:pPr>
        <w:spacing w:after="40"/>
      </w:pPr>
    </w:p>
    <w:p>
      <w:r>
        <w:t>---</w:t>
      </w:r>
    </w:p>
    <w:p>
      <w:pPr>
        <w:spacing w:after="40"/>
      </w:pPr>
    </w:p>
    <w:p>
      <w:pPr>
        <w:pStyle w:val="Heading3"/>
      </w:pPr>
      <w:r>
        <w:t>0. Separación de dos afirmaciones que D-003 mezcló</w:t>
      </w:r>
    </w:p>
    <w:p>
      <w:pPr>
        <w:spacing w:after="40"/>
      </w:pPr>
    </w:p>
    <w:p>
      <w:r>
        <w:t>D-003 hizo, de hecho, dos afirmaciones distintas bajo una sola frase ("usar 'salud' implica reflectivo + validación longitudinal"). Hay que separarlas, porque tienen suerte distinta ([ANÁLISIS]):</w:t>
      </w:r>
    </w:p>
    <w:p>
      <w:pPr>
        <w:spacing w:after="40"/>
      </w:pPr>
    </w:p>
    <w:p>
      <w:pPr>
        <w:pStyle w:val="ListBullet"/>
      </w:pPr>
      <w:r>
        <w:t>Afirmación (a): "salud ⟹ modelo de medición reflectivo".</w:t>
      </w:r>
    </w:p>
    <w:p>
      <w:pPr>
        <w:pStyle w:val="ListBullet"/>
      </w:pPr>
      <w:r>
        <w:t>Afirmación (b): "salud ⟹ validación longitudinal (predecir supervivencia en el tiempo)".</w:t>
      </w:r>
    </w:p>
    <w:p>
      <w:pPr>
        <w:spacing w:after="40"/>
      </w:pPr>
    </w:p>
    <w:p>
      <w:r>
        <w:t>Adelanto del veredicto: (a) es falsa y debe retractarse; (b) es una sobregeneralización que debe reformularse en una versión más débil y correcta. La objeción del comité es, por tanto, fundada.</w:t>
      </w:r>
    </w:p>
    <w:p>
      <w:pPr>
        <w:spacing w:after="40"/>
      </w:pPr>
    </w:p>
    <w:p>
      <w:r>
        <w:t>---</w:t>
      </w:r>
    </w:p>
    <w:p>
      <w:pPr>
        <w:spacing w:after="40"/>
      </w:pPr>
    </w:p>
    <w:p>
      <w:pPr>
        <w:pStyle w:val="Heading3"/>
      </w:pPr>
      <w:r>
        <w:t>1. ¿Existen constructos denominados "salud" modelados mediante índices formativos?</w:t>
      </w:r>
    </w:p>
    <w:p>
      <w:pPr>
        <w:spacing w:after="40"/>
      </w:pPr>
    </w:p>
    <w:p>
      <w:r>
        <w:t>Sí, de forma abundante y en literatura de primer nivel. ([EVIDENCIA]) La tradición reflectiva de "salud organizacional" (Miles, McKinsey OHI) es una familia, no la única. En ecología, salud pública y ciencia ambiental, "salud" se operacionaliza rutinariamente como índice compuesto formativo:</w:t>
      </w:r>
    </w:p>
    <w:p>
      <w:pPr>
        <w:spacing w:after="40"/>
      </w:pPr>
    </w:p>
    <w:p>
      <w:pPr>
        <w:spacing w:after="20" w:line="240" w:lineRule="auto"/>
      </w:pPr>
      <w:r>
        <w:rPr>
          <w:rFonts w:ascii="Consolas" w:hAnsi="Consolas"/>
          <w:sz w:val="14"/>
        </w:rPr>
        <w:t>| Constructo "salud" | Estructura | ¿Formativo? | Escala | Anclaje / validación | Referencia |</w:t>
      </w:r>
    </w:p>
    <w:p>
      <w:pPr>
        <w:spacing w:after="20" w:line="240" w:lineRule="auto"/>
      </w:pPr>
      <w:r>
        <w:rPr>
          <w:rFonts w:ascii="Consolas" w:hAnsi="Consolas"/>
          <w:sz w:val="14"/>
        </w:rPr>
        <w:t>|---|---|---|---|---|---|</w:t>
      </w:r>
    </w:p>
    <w:p>
      <w:pPr>
        <w:spacing w:after="20" w:line="240" w:lineRule="auto"/>
      </w:pPr>
      <w:r>
        <w:rPr>
          <w:rFonts w:ascii="Consolas" w:hAnsi="Consolas"/>
          <w:sz w:val="14"/>
        </w:rPr>
        <w:t>| **Ocean Health Index (OHI)** | 10 metas heterogéneas (biodiversidad, aguas limpias, alimentos, economías costeras…) promediadas | **Sí** — las metas *constituyen* la salud del océano; no son manifestaciones intercambiables de un latente | 0–100 | Marco *Goal–Pressure–State–Response*; combina **estado actual y estado futuro probable** | Halpern et al. (2012), *Nature* |</w:t>
      </w:r>
    </w:p>
    <w:p>
      <w:pPr>
        <w:spacing w:after="20" w:line="240" w:lineRule="auto"/>
      </w:pPr>
      <w:r>
        <w:rPr>
          <w:rFonts w:ascii="Consolas" w:hAnsi="Consolas"/>
          <w:sz w:val="14"/>
        </w:rPr>
        <w:t>| **Index of Biotic Integrity (IBI)** | 12 métricas (riqueza, composición, organización trófica…) sumadas | **Sí** — multimétrico formativo | Puntaje | Validado contra una **condición de referencia** (sitio no perturbado), no longitudinal | Karr (1981) |</w:t>
      </w:r>
    </w:p>
    <w:p>
      <w:pPr>
        <w:spacing w:after="20" w:line="240" w:lineRule="auto"/>
      </w:pPr>
      <w:r>
        <w:rPr>
          <w:rFonts w:ascii="Consolas" w:hAnsi="Consolas"/>
          <w:sz w:val="14"/>
        </w:rPr>
        <w:t>| **Healthy Eating Index (HEI)** | 13 componentes (frutas, granos, sodio, azúcares…) que suman 100 | **Sí** — los componentes *definen* la calidad dietética; adecuación + moderación no son intercambiables | 0–100 | Validez de contenido, de criterio y de constructo; anclado a guías dietéticas | HEI-2015/2020, USDA/NCI |</w:t>
      </w:r>
    </w:p>
    <w:p>
      <w:pPr>
        <w:spacing w:after="40"/>
      </w:pPr>
    </w:p>
    <w:p>
      <w:r>
        <w:t>Rasgos comunes decisivos para el GOEI ([ANÁLISIS]): componentes heterogéneos y no sustituibles, agregados en un puntaje 0–100, con umbrales interpretativos ("bueno/necesita mejora/pobre" en HEI), anclados a un estándar de referencia. Es, estructuralmente, el mismo patrón que el GOEI pretende. La palabra "salud" convive sin problema con la estructura formativa en estos tres casos canónicos.</w:t>
      </w:r>
    </w:p>
    <w:p>
      <w:pPr>
        <w:spacing w:after="40"/>
      </w:pPr>
    </w:p>
    <w:p>
      <w:r>
        <w:t>---</w:t>
      </w:r>
    </w:p>
    <w:p>
      <w:pPr>
        <w:spacing w:after="40"/>
      </w:pPr>
    </w:p>
    <w:p>
      <w:pPr>
        <w:pStyle w:val="Heading3"/>
      </w:pPr>
      <w:r>
        <w:t>2. ¿Existen índices compuestos que representen estados/condiciones y no sean reflectivos?</w:t>
      </w:r>
    </w:p>
    <w:p>
      <w:pPr>
        <w:spacing w:after="40"/>
      </w:pPr>
    </w:p>
    <w:p>
      <w:r>
        <w:t>Sí; de hecho, es el caso mayoritario en los índices de política pública. ([EVIDENCIA]) El Handbook OECD/JRC (2008) trata los índices compuestos precisamente como agregaciones de indicadores que constituyen el fenómeno según un marco teórico —lógica formativa—, no como reflejos de un latente. Ejemplos de índices de estado/condición no reflectivos:</w:t>
      </w:r>
    </w:p>
    <w:p>
      <w:pPr>
        <w:spacing w:after="40"/>
      </w:pPr>
    </w:p>
    <w:p>
      <w:pPr>
        <w:pStyle w:val="ListBullet"/>
      </w:pPr>
      <w:r>
        <w:t>Índice de Desarrollo Humano (HDI): salud+educación+ingreso constituyen el desarrollo; nadie sostiene que un latente "desarrollo" cause el PIB per cápita. Formativo por diseño.</w:t>
      </w:r>
    </w:p>
    <w:p>
      <w:pPr>
        <w:pStyle w:val="ListBullet"/>
      </w:pPr>
      <w:r>
        <w:t>Ocean Health Index, IBI (ya citados): estado del ecosistema.</w:t>
      </w:r>
    </w:p>
    <w:p>
      <w:pPr>
        <w:pStyle w:val="ListBullet"/>
      </w:pPr>
      <w:r>
        <w:t>Índices ambientales tipo Environmental Performance Index: estado ambiental agregado.</w:t>
      </w:r>
    </w:p>
    <w:p>
      <w:pPr>
        <w:spacing w:after="40"/>
      </w:pPr>
    </w:p>
    <w:p>
      <w:r>
        <w:t>Consecuencia ([ANÁLISIS]): representar un estado/condición mediante un índice no reflectivo no solo es posible, es la práctica estándar de la disciplina de índices compuestos. La reflectividad no es un requisito de los constructos de estado.</w:t>
      </w:r>
    </w:p>
    <w:p>
      <w:pPr>
        <w:spacing w:after="40"/>
      </w:pPr>
    </w:p>
    <w:p>
      <w:r>
        <w:t>---</w:t>
      </w:r>
    </w:p>
    <w:p>
      <w:pPr>
        <w:spacing w:after="40"/>
      </w:pPr>
    </w:p>
    <w:p>
      <w:pPr>
        <w:pStyle w:val="Heading3"/>
      </w:pPr>
      <w:r>
        <w:t>3. ¿"Salud" obliga metodológicamente al modelo reflectivo, o es convención disciplinar?</w:t>
      </w:r>
    </w:p>
    <w:p>
      <w:pPr>
        <w:spacing w:after="40"/>
      </w:pPr>
    </w:p>
    <w:p>
      <w:r>
        <w:t>Es convención disciplinar, no obligación metodológica. ([RETRACTACIÓN de D-003, punto (a)])</w:t>
      </w:r>
    </w:p>
    <w:p>
      <w:pPr>
        <w:spacing w:after="40"/>
      </w:pPr>
    </w:p>
    <w:p>
      <w:r>
        <w:t>La teoría de la medición es explícita: la elección entre formativo y reflectivo depende de la dirección de causalidad entre constructo e indicadores, no de la etiqueta del constructo (Bollen &amp; Lennox, 1991; Jarvis et al., 2003; Bollen &amp; Bauldry, 2011). La pregunta operativa es: ¿la flecha va del constructo al indicador (reflectivo) o del indicador al constructo (formativo)? Esa decisión es conceptual, no léxica. Ninguna teoría de constructos dice que la palabra "salud" fije la dirección de la flecha. ([EVIDENCIA])</w:t>
      </w:r>
    </w:p>
    <w:p>
      <w:pPr>
        <w:spacing w:after="40"/>
      </w:pPr>
    </w:p>
    <w:p>
      <w:r>
        <w:t>Por qué "salud" parece obligar a reflectivo: porque en psicología organizacional (Miles, OHI-McKinsey) la salud se ha modelado históricamente como latente que se manifiesta en clima/cultura —tradición de la classical test theory—. Pero esa es la costumbre de una disciplina. En ecología, nutrición y ciencia ambiental, "salud" se modela como composite formativo (§1). La asociación "salud=reflectivo" es, pues, un artefacto del campo del que D-003 tomó su ejemplo (management/psicología organizacional), no una ley de la medición. El comité retira la afirmación (a).</w:t>
      </w:r>
    </w:p>
    <w:p>
      <w:pPr>
        <w:spacing w:after="40"/>
      </w:pPr>
    </w:p>
    <w:p>
      <w:pPr>
        <w:pStyle w:val="Heading4"/>
      </w:pPr>
      <w:r>
        <w:t>¿Y la afirmación (b), sobre validación longitudinal?</w:t>
      </w:r>
    </w:p>
    <w:p>
      <w:r>
        <w:t>Se reformula, no se sostiene en su forma fuerte. ([RETRACTACIÓN parcial de D-003, punto (b)])</w:t>
      </w:r>
    </w:p>
    <w:p>
      <w:pPr>
        <w:spacing w:after="40"/>
      </w:pPr>
    </w:p>
    <w:p>
      <w:r>
        <w:t>Lo que la evidencia muestra: los índices de salud formativos no exigen paneles longitudinales que predigan supervivencia. El IBI se valida contra una condición de referencia (transversal); el HEI contra guías y criterios; el OHI incorpora estado futuro por proyección/modelado, no por seguimiento longitudinal del índice. Por tanto:</w:t>
      </w:r>
    </w:p>
    <w:p>
      <w:pPr>
        <w:spacing w:after="40"/>
      </w:pPr>
    </w:p>
    <w:p>
      <w:pPr>
        <w:pStyle w:val="ListBullet"/>
      </w:pPr>
      <w:r>
        <w:t>Falso que "salud" obligue a validación longitudinal predictiva.</w:t>
      </w:r>
    </w:p>
    <w:p>
      <w:pPr>
        <w:pStyle w:val="ListBullet"/>
      </w:pPr>
      <w:r>
        <w:t>Cierto, en cambio, que la semántica de "salud" impone un compromiso más débil pero real: la existencia de un estado de referencia normativo ("¿qué es operar sanamente?") frente al cual se puntúa, y habitualmente algún componente de sostenibilidad/prospectiva (aunque sea por umbrales o proyección, no por panel). "Sano" presupone un patrón de buen funcionamiento; sin ese patrón, la palabra pierde sentido. ([ANÁLISIS])</w:t>
      </w:r>
    </w:p>
    <w:p>
      <w:pPr>
        <w:spacing w:after="40"/>
      </w:pPr>
    </w:p>
    <w:p>
      <w:r>
        <w:t>En síntesis: "salud" no obliga a reflectivo ni a longitudinal; obliga a definir una condición de referencia. Esa es la carga real —y es asumible.</w:t>
      </w:r>
    </w:p>
    <w:p>
      <w:pPr>
        <w:spacing w:after="40"/>
      </w:pPr>
    </w:p>
    <w:p>
      <w:r>
        <w:t>---</w:t>
      </w:r>
    </w:p>
    <w:p>
      <w:pPr>
        <w:spacing w:after="40"/>
      </w:pPr>
    </w:p>
    <w:p>
      <w:pPr>
        <w:pStyle w:val="Heading3"/>
      </w:pPr>
      <w:r>
        <w:t>4. ¿Se puede definir "Salud Operacional Gastronómica" como índice compuesto formativo sin contradecir la teoría de constructos?</w:t>
      </w:r>
    </w:p>
    <w:p>
      <w:pPr>
        <w:spacing w:after="40"/>
      </w:pPr>
    </w:p>
    <w:p>
      <w:r>
        <w:t>Sí, sin contradicción, siempre que se cumplan las condiciones que la teoría formativa exige (no las reflectivas). ([ANÁLISIS; PROPUESTA/PENDIENTE de ratificación]) Existe precedente directo (OHI, IBI, HEI): constructos llamados "salud/integridad/calidad", formativos, de estado, con escala 0–100 y umbrales. Definir "Salud Operacional Gastronómica" como composite formativo es isomorfo a esos casos.</w:t>
      </w:r>
    </w:p>
    <w:p>
      <w:pPr>
        <w:spacing w:after="40"/>
      </w:pPr>
    </w:p>
    <w:p>
      <w:r>
        <w:t>Condiciones que impone el modelo formativo (y que sustituyen a α/validez convergente):</w:t>
      </w:r>
    </w:p>
    <w:p>
      <w:pPr>
        <w:pStyle w:val="ListNumber"/>
      </w:pPr>
      <w:r>
        <w:t>Especificar la dirección causal: las dimensiones (costo, inocuidad, servicio, personas…) constituyen la salud operacional; no son sus efectos. Debe declararse explícitamente.</w:t>
      </w:r>
    </w:p>
    <w:p>
      <w:pPr>
        <w:pStyle w:val="ListNumber"/>
      </w:pPr>
      <w:r>
        <w:t>Censo de contenido (completitud): en un formativo, omitir una faceta cambia el constructo. Exige justificar que el conjunto de dimensiones cubre el dominio (validez de contenido rigurosa).</w:t>
      </w:r>
    </w:p>
    <w:p>
      <w:pPr>
        <w:pStyle w:val="ListNumber"/>
      </w:pPr>
      <w:r>
        <w:t>No exigir intercorrelación entre dimensiones (pueden no correlacionar) y vigilar colinealidad entre indicadores formativos.</w:t>
      </w:r>
    </w:p>
    <w:p>
      <w:pPr>
        <w:pStyle w:val="ListNumber"/>
      </w:pPr>
      <w:r>
        <w:t>Validación de criterio/externa (p. ej., contra juicio experto, contra una condición de referencia de "operación sana", y —si se ambiciona— contra continuidad futura); posibles modelos MIMIC.</w:t>
      </w:r>
    </w:p>
    <w:p>
      <w:pPr>
        <w:pStyle w:val="ListNumber"/>
      </w:pPr>
      <w:r>
        <w:t>Definir el estado de referencia normativo (§3): qué representa 0 y 100, análogo a "condición no perturbada" del IBI.</w:t>
      </w:r>
    </w:p>
    <w:p>
      <w:pPr>
        <w:spacing w:after="40"/>
      </w:pPr>
    </w:p>
    <w:p>
      <w:r>
        <w:t>Contradicción que sí habría que evitar ([ANÁLISIS]): mezclar aparatos —declarar el constructo formativo y luego "validarlo" con α de Cronbach o con validez convergente/discriminante (propias de reflectivo). Ese error de coherencia, no la palabra "salud", es lo que un revisor castigaría.</w:t>
      </w:r>
    </w:p>
    <w:p>
      <w:pPr>
        <w:spacing w:after="40"/>
      </w:pPr>
    </w:p>
    <w:p>
      <w:r>
        <w:t>---</w:t>
      </w:r>
    </w:p>
    <w:p>
      <w:pPr>
        <w:spacing w:after="40"/>
      </w:pPr>
    </w:p>
    <w:p>
      <w:pPr>
        <w:pStyle w:val="Heading3"/>
      </w:pPr>
      <w:r>
        <w:t>5. Veredicto y corrección de D-003</w:t>
      </w:r>
    </w:p>
    <w:p>
      <w:pPr>
        <w:spacing w:after="40"/>
      </w:pPr>
    </w:p>
    <w:p>
      <w:r>
        <w:t>El comité rectifica. ([RETRACTACIÓN])</w:t>
      </w:r>
    </w:p>
    <w:p>
      <w:pPr>
        <w:spacing w:after="40"/>
      </w:pPr>
    </w:p>
    <w:p>
      <w:pPr>
        <w:pStyle w:val="ListNumber"/>
      </w:pPr>
      <w:r>
        <w:t>D-003 descartó "salud" principalmente por una convención disciplinar (la de la salud organizacional reflectiva), presentándola indebidamente como restricción metodológica universal. Eso fue un error de sobregeneralización.</w:t>
      </w:r>
    </w:p>
    <w:p>
      <w:pPr>
        <w:pStyle w:val="ListNumber"/>
      </w:pPr>
      <w:r>
        <w:t>No existe restricción universal que impida un constructo "salud" formativo de estado. Los precedentes OHI (Halpern et al., 2012), IBI (Karr, 1981) y HEI son prueba directa.</w:t>
      </w:r>
    </w:p>
    <w:p>
      <w:pPr>
        <w:pStyle w:val="ListNumber"/>
      </w:pPr>
      <w:r>
        <w:t>Por tanto, "Salud Operacional Gastronómica" es admisible como índice compuesto formativo sin contradecir la teoría de constructos, con las condiciones del §4.</w:t>
      </w:r>
    </w:p>
    <w:p>
      <w:pPr>
        <w:spacing w:after="40"/>
      </w:pPr>
    </w:p>
    <w:p>
      <w:r>
        <w:t>Qué de D-003 sigue en pie (versión corregida):</w:t>
      </w:r>
    </w:p>
    <w:p>
      <w:pPr>
        <w:pStyle w:val="ListBullet"/>
      </w:pPr>
      <w:r>
        <w:t>La eficiencia sigue descartada como núcleo (unidimensional, ciega a lo no compensable). Sin cambios.</w:t>
      </w:r>
    </w:p>
    <w:p>
      <w:pPr>
        <w:pStyle w:val="ListBullet"/>
      </w:pPr>
      <w:r>
        <w:t>La naturaleza formativa del GOEI se confirma (y ahora se muestra compatible con "salud").</w:t>
      </w:r>
    </w:p>
    <w:p>
      <w:pPr>
        <w:pStyle w:val="ListBullet"/>
      </w:pPr>
      <w:r>
        <w:t>La barrera para "salud" no es reflectividad ni panel longitudinal; es la obligación de definir un estado de referencia y (opcionalmente) un componente prospectivo. Barrera más baja de lo que D-003 afirmó.</w:t>
      </w:r>
    </w:p>
    <w:p>
      <w:pPr>
        <w:pStyle w:val="ListBullet"/>
      </w:pPr>
      <w:r>
        <w:t>Persisten dos advertencias menores y no prohibitivas: (i) dentro del campo management, "salud" evoca la tradición reflectiva de Miles/OHI, por lo que habrá que declarar explícitamente que el GOEI toma "salud" en el sentido formativo-composite de la ecología/nutrición, no en el organizacional-reflectivo; (ii) colisión terminológica con "operational health" de TI (cosmética).</w:t>
      </w:r>
    </w:p>
    <w:p>
      <w:pPr>
        <w:spacing w:after="40"/>
      </w:pPr>
    </w:p>
    <w:p>
      <w:r>
        <w:t>Implicación para la recomendación de núcleo (actualiza D-003): "Salud/vitalidad operacional" vuelve a ser una opción de núcleo legítima, en pie de igualdad con "condición/estado operacional", y no subordinada a una validación longitudinal. La elección entre ambas deja de ser metodológica y pasa a ser estratégica: ¿el proyecto quiere el marco normativo-prospectivo que "salud" aporta (con su obligación de estado de referencia), o prefiere la neutralidad descriptiva de "condición/estado"? Ambas son defendibles ante un comité si se acompañan del aparato de validación formativo correcto.</w:t>
      </w:r>
    </w:p>
    <w:p>
      <w:pPr>
        <w:spacing w:after="40"/>
      </w:pPr>
    </w:p>
    <w:p>
      <w:r>
        <w:t>---</w:t>
      </w:r>
    </w:p>
    <w:p>
      <w:pPr>
        <w:spacing w:after="40"/>
      </w:pPr>
    </w:p>
    <w:p>
      <w:pPr>
        <w:pStyle w:val="Heading3"/>
      </w:pPr>
      <w:r>
        <w:t>6. Preguntas que hereda la Fase 3</w:t>
      </w:r>
    </w:p>
    <w:p>
      <w:pPr>
        <w:spacing w:after="40"/>
      </w:pPr>
    </w:p>
    <w:p>
      <w:pPr>
        <w:pStyle w:val="ListNumber"/>
      </w:pPr>
      <w:r>
        <w:t>¿El comité adopta "salud" en sentido formativo-composite (tradición OHI/IBI/HEI) y lo declara explícitamente para deslindarse de la tradición reflectiva de Miles/OHI-McKinsey?</w:t>
      </w:r>
    </w:p>
    <w:p>
      <w:pPr>
        <w:pStyle w:val="ListNumber"/>
      </w:pPr>
      <w:r>
        <w:t>¿Está el proyecto dispuesto a asumir la obligación que "salud" impone: definir un estado de referencia de "operación sana" (qué es 0 y qué es 100)?</w:t>
      </w:r>
    </w:p>
    <w:p>
      <w:pPr>
        <w:pStyle w:val="ListNumber"/>
      </w:pPr>
      <w:r>
        <w:t>¿Se incorpora un componente prospectivo/sostenibilidad (por umbrales o proyección, no necesariamente panel), como en OHI?</w:t>
      </w:r>
    </w:p>
    <w:p>
      <w:pPr>
        <w:pStyle w:val="ListNumber"/>
      </w:pPr>
      <w:r>
        <w:t>Ratificar el aparato de validación formativo (contenido/completitud, colinealidad, criterio/externa, MIMIC) y descartar α/convergente-discriminante.</w:t>
      </w:r>
    </w:p>
    <w:p>
      <w:pPr>
        <w:spacing w:after="40"/>
      </w:pPr>
    </w:p>
    <w:p>
      <w:r>
        <w:t>---</w:t>
      </w:r>
    </w:p>
    <w:p>
      <w:pPr>
        <w:spacing w:after="40"/>
      </w:pPr>
    </w:p>
    <w:p>
      <w:pPr>
        <w:pStyle w:val="Heading4"/>
      </w:pPr>
      <w:r>
        <w:t>Fuentes</w:t>
      </w:r>
    </w:p>
    <w:p>
      <w:pPr>
        <w:spacing w:after="40"/>
      </w:pPr>
    </w:p>
    <w:p>
      <w:pPr>
        <w:pStyle w:val="ListBullet"/>
      </w:pPr>
      <w:r>
        <w:t>Halpern, B. et al. (2012), An index to assess the health and benefits of the global ocean, Nature 488. https://www.nature.com/articles/nature11397 · métodos: https://oceanhealthindex.org/images/htmls/Supplement.html</w:t>
      </w:r>
    </w:p>
    <w:p>
      <w:pPr>
        <w:pStyle w:val="ListBullet"/>
      </w:pPr>
      <w:r>
        <w:t>Karr, J.R. (1981), Assessment of biotic integrity using fish communities (Index of Biotic Integrity). Overview: https://www.sciencedirect.com/topics/earth-and-planetary-sciences/index-of-biotic-integrity · reevaluación: https://esajournals.onlinelibrary.wiley.com/doi/full/10.1002/ecs2.2168</w:t>
      </w:r>
    </w:p>
    <w:p>
      <w:pPr>
        <w:pStyle w:val="ListBullet"/>
      </w:pPr>
      <w:r>
        <w:t>Healthy Eating Index (HEI-2015/2020), USDA/NCI. https://www.fna.usda.gov/cnpp/healthy-eating-index · https://www.nccor.org/projects/hei/</w:t>
      </w:r>
    </w:p>
    <w:p>
      <w:pPr>
        <w:pStyle w:val="ListBullet"/>
      </w:pPr>
      <w:r>
        <w:t>Bollen, K. &amp; Lennox, R. (1991); Bollen, K. &amp; Bauldry, S. (2011); Jarvis, MacKenzie &amp; Podsakoff (2003) — teoría formativo/reflectivo. https://onlinelibrary.wiley.com/doi/abs/10.1111/j.1467-8551.2006.00500.x · https://sk.sagepub.com/hnbk/edvol/the-sage-handbook-of-survey-development-and-application/chpt/11-measurement-models-reflective-formative-measures</w:t>
      </w:r>
    </w:p>
    <w:p>
      <w:pPr>
        <w:pStyle w:val="ListBullet"/>
      </w:pPr>
      <w:r>
        <w:t>OECD/JRC (2008), Handbook on Constructing Composite Indicators. https://www.oecd.org/content/dam/oecd/en/publications/reports/2008/08/handbook-on-constructing-composite-indicators-methodology-and-user-guide_g1gh9301/9789264043466-en.pdf</w:t>
      </w:r>
    </w:p>
    <w:p>
      <w:pPr>
        <w:pStyle w:val="ListBullet"/>
      </w:pPr>
      <w:r>
        <w:t>Miles, M.B. (1969) y McKinsey OHI — tradición reflectiva de salud organizacional (referencia de contraste). https://pmc.ncbi.nlm.nih.gov/articles/PMC4035611/</w:t>
      </w:r>
    </w:p>
    <w:p>
      <w:pPr>
        <w:spacing w:after="40"/>
      </w:pPr>
    </w:p>
    <w:p>
      <w:r>
        <w:t>Verificación pendiente (Fase 1): confirmar ediciones exactas de Halpern et al. (2012), Karr (1981), Bollen &amp; Lennox (1991), Bollen &amp; Bauldry (2011) antes de citar en la tesis.</w:t>
      </w:r>
    </w:p>
    <w:p>
      <w:r>
        <w:br w:type="page"/>
      </w:r>
    </w:p>
    <w:p>
      <w:pPr>
        <w:pStyle w:val="Heading1"/>
        <w:keepNext/>
      </w:pPr>
      <w:r>
        <w:t>Fuente 78: 01_Estado_del_arte/FaseB_B1_Revision_sistematica_procesos_universales.md</w:t>
      </w:r>
    </w:p>
    <w:p>
      <w:pPr>
        <w:spacing w:after="200"/>
      </w:pPr>
      <w:r>
        <w:rPr>
          <w:rFonts w:ascii="Consolas" w:hAnsi="Consolas"/>
          <w:color w:val="595959"/>
          <w:sz w:val="16"/>
        </w:rPr>
        <w:t>Ruta: 01_Estado_del_arte/FaseB_B1_Revision_sistematica_procesos_universales.md</w:t>
        <w:br/>
        <w:t>Tamaño: 12506 bytes</w:t>
        <w:br/>
        <w:t>SHA-256: 6d6ca9a045d86e37055f3535efacf439e688f733a5be25a32d279ad16003767a</w:t>
      </w:r>
    </w:p>
    <w:p>
      <w:pPr>
        <w:pStyle w:val="Heading2"/>
      </w:pPr>
      <w:r>
        <w:t>FASE B — B1 · Revisión sistemática de procesos universales</w:t>
      </w:r>
    </w:p>
    <w:p>
      <w:pPr>
        <w:pStyle w:val="Heading3"/>
      </w:pPr>
      <w:r>
        <w:t>Producto de conocimiento científico (Comité Científico) — para revisión de la Dirección</w:t>
      </w:r>
    </w:p>
    <w:p>
      <w:pPr>
        <w:spacing w:after="40"/>
      </w:pPr>
    </w:p>
    <w:p>
      <w:r>
        <w:t>Naturaleza: conocimiento científico (revisión sistemática), NO documentación normativa. Su formalización, versionado y control documental corresponden a la Oficina Técnica (Codex).</w:t>
      </w:r>
    </w:p>
    <w:p>
      <w:r>
        <w:t>Objetivo autorizado: elevar B1 desde "Parcial" (D-007) hacia "Respondible".</w:t>
      </w:r>
    </w:p>
    <w:p>
      <w:r>
        <w:t>Regla: el Comité recomienda; solo la Dirección declara cerrada una investigación (§4.1).</w:t>
      </w:r>
    </w:p>
    <w:p>
      <w:r>
        <w:t>Fecha: 2026-08-04.</w:t>
      </w:r>
    </w:p>
    <w:p>
      <w:pPr>
        <w:spacing w:after="40"/>
      </w:pPr>
    </w:p>
    <w:p>
      <w:pPr>
        <w:spacing w:after="100"/>
        <w:ind w:left="360" w:right="216"/>
      </w:pPr>
      <w:r>
        <w:rPr>
          <w:i/>
          <w:color w:val="595959"/>
        </w:rPr>
        <w:t>Advertencia de alcance: revisión estructurada de tipo rápido, que aproxima PRISMA pero no es una PRISMA plena (sin búsqueda multibase con doble cribado independiente ni diagrama de flujo formal). Se declara explícitamente para no sobredimensionar la evidencia.</w:t>
      </w:r>
    </w:p>
    <w:p>
      <w:pPr>
        <w:spacing w:after="40"/>
      </w:pPr>
    </w:p>
    <w:p>
      <w:r>
        <w:t>---</w:t>
      </w:r>
    </w:p>
    <w:p>
      <w:pPr>
        <w:spacing w:after="40"/>
      </w:pPr>
    </w:p>
    <w:p>
      <w:pPr>
        <w:pStyle w:val="Heading3"/>
      </w:pPr>
      <w:r>
        <w:t>1. Protocolo de revisión</w:t>
      </w:r>
    </w:p>
    <w:p>
      <w:pPr>
        <w:spacing w:after="40"/>
      </w:pPr>
    </w:p>
    <w:p>
      <w:r>
        <w:t>Pregunta principal (P1): ¿existe un conjunto de macroprocesos presente en todo establecimiento gastronómico, con independencia de su categoría?</w:t>
      </w:r>
    </w:p>
    <w:p>
      <w:r>
        <w:t>Preguntas secundarias: (P2) ¿a qué nivel de abstracción se sostiene la universalidad? (P3) ¿los procesos frágiles P5 (servicio/entrega) y P6 (transacción) son universales bajo alguna abstracción defendible? (P4) ¿la universalidad se extiende al foodservice no comercial?</w:t>
      </w:r>
    </w:p>
    <w:p>
      <w:pPr>
        <w:spacing w:after="40"/>
      </w:pPr>
    </w:p>
    <w:p>
      <w:r>
        <w:t>Estrategia de búsqueda (términos): foodservice systems model; restaurant/hospitality process model; business process management foodservice; service blueprint restaurant; value chain restaurant; APQC process classification; hospital/institutional foodservice subsystems; dark kitchen operations; catering operations.</w:t>
      </w:r>
    </w:p>
    <w:p>
      <w:pPr>
        <w:spacing w:after="40"/>
      </w:pPr>
    </w:p>
    <w:p>
      <w:r>
        <w:t>Criterios de inclusión: modelos de procesos/subsistemas de operación gastronómica; marcos de clasificación de procesos aplicables; fuentes académicas, textos de referencia y marcos institucionales reconocidos.</w:t>
      </w:r>
    </w:p>
    <w:p>
      <w:r>
        <w:t>Criterios de exclusión: material puramente comercial sin modelo de proceso; piezas de una sola categoría sin pretensión de generalidad (salvo como caso).</w:t>
      </w:r>
    </w:p>
    <w:p>
      <w:pPr>
        <w:spacing w:after="40"/>
      </w:pPr>
    </w:p>
    <w:p>
      <w:r>
        <w:t>Valoración de calidad (cualitativa): se prioriza (a) origen (revisado por pares / marco institucional / texto académico &gt; industria), (b) independencia de la fuente respecto de otras, (c) convergencia inter-tradición.</w:t>
      </w:r>
    </w:p>
    <w:p>
      <w:r>
        <w:t>Método de síntesis: análisis de convergencia entre tradiciones independientes + prueba de invariancia por tipo de establecimiento (matriz de D-007 ampliada).</w:t>
      </w:r>
    </w:p>
    <w:p>
      <w:pPr>
        <w:spacing w:after="40"/>
      </w:pPr>
    </w:p>
    <w:p>
      <w:r>
        <w:t>---</w:t>
      </w:r>
    </w:p>
    <w:p>
      <w:pPr>
        <w:spacing w:after="40"/>
      </w:pPr>
    </w:p>
    <w:p>
      <w:pPr>
        <w:pStyle w:val="Heading3"/>
      </w:pPr>
      <w:r>
        <w:t>2. Cuerpo de evidencia (ampliado respecto de D-007)</w:t>
      </w:r>
    </w:p>
    <w:p>
      <w:pPr>
        <w:spacing w:after="40"/>
      </w:pPr>
    </w:p>
    <w:p>
      <w:pPr>
        <w:spacing w:after="20" w:line="240" w:lineRule="auto"/>
      </w:pPr>
      <w:r>
        <w:rPr>
          <w:rFonts w:ascii="Consolas" w:hAnsi="Consolas"/>
          <w:sz w:val="14"/>
        </w:rPr>
        <w:t>| Fuente / marco | Tradición | Aporte a la universalidad | Calidad |</w:t>
      </w:r>
    </w:p>
    <w:p>
      <w:pPr>
        <w:spacing w:after="20" w:line="240" w:lineRule="auto"/>
      </w:pPr>
      <w:r>
        <w:rPr>
          <w:rFonts w:ascii="Consolas" w:hAnsi="Consolas"/>
          <w:sz w:val="14"/>
        </w:rPr>
        <w:t>|---|---|---|---|</w:t>
      </w:r>
    </w:p>
    <w:p>
      <w:pPr>
        <w:spacing w:after="20" w:line="240" w:lineRule="auto"/>
      </w:pPr>
      <w:r>
        <w:rPr>
          <w:rFonts w:ascii="Consolas" w:hAnsi="Consolas"/>
          <w:sz w:val="14"/>
        </w:rPr>
        <w:t>| **Spears &amp; Gregoire**, *Foodservice Organizations* | Académica (texto de referencia) | Subsistemas invariantes: aprovisionamiento, producción, distribución-servicio, inocuidad-sanitización-mantenimiento + gestión | Alta |</w:t>
      </w:r>
    </w:p>
    <w:p>
      <w:pPr>
        <w:spacing w:after="20" w:line="240" w:lineRule="auto"/>
      </w:pPr>
      <w:r>
        <w:rPr>
          <w:rFonts w:ascii="Consolas" w:hAnsi="Consolas"/>
          <w:sz w:val="14"/>
        </w:rPr>
        <w:t>| **APQC Process Classification Framework** (desde 1992; marco cross-industry más usado) | Marco institucional industry-neutral | **12 categorías = 5 procesos operativos + 7 de gestión/soporte**; valida la partición cadena primaria (operativos) vs planos transversales (gestión/soporte) | Alta |</w:t>
      </w:r>
    </w:p>
    <w:p>
      <w:pPr>
        <w:spacing w:after="20" w:line="240" w:lineRule="auto"/>
      </w:pPr>
      <w:r>
        <w:rPr>
          <w:rFonts w:ascii="Consolas" w:hAnsi="Consolas"/>
          <w:sz w:val="14"/>
        </w:rPr>
        <w:t>| **BPM en restaurantes** (modelado BPMN; clasificación Core/Support/Management correlacionada con la cadena de valor) | Revisada por pares | Confirma la tipología universal **Core / Support / Management** de procesos | Media-alta |</w:t>
      </w:r>
    </w:p>
    <w:p>
      <w:pPr>
        <w:spacing w:after="20" w:line="240" w:lineRule="auto"/>
      </w:pPr>
      <w:r>
        <w:rPr>
          <w:rFonts w:ascii="Consolas" w:hAnsi="Consolas"/>
          <w:sz w:val="14"/>
        </w:rPr>
        <w:t>| **Service blueprinting** (customer actions / onstage / backstage / support / evidencia física; línea de visibilidad) | Revisada por pares / servicios | Anatomía universal del proceso de servicio; el *onstage* (FOH) varía o se anula (dark kitchen), pero el *backstage* y el soporte persisten | Media-alta |</w:t>
      </w:r>
    </w:p>
    <w:p>
      <w:pPr>
        <w:spacing w:after="20" w:line="240" w:lineRule="auto"/>
      </w:pPr>
      <w:r>
        <w:rPr>
          <w:rFonts w:ascii="Consolas" w:hAnsi="Consolas"/>
          <w:sz w:val="14"/>
        </w:rPr>
        <w:t>| **Foodservice hospitalario/institucional** ("sistema donde los subsistemas aprovisionamiento, producción, distribución/servicio e inocuidad/sanitización están interrelacionados"); revisión sistemática (80 estudios) con etapas producción/aprovisionamiento, distribución, preparación, consumo, **gestión de residuos** | Revisada por pares (no comercial) | Extiende el núcleo al **no comercial**, SIN venta; añade "gestión de residuos" como etapa | Alta |</w:t>
      </w:r>
    </w:p>
    <w:p>
      <w:pPr>
        <w:spacing w:after="20" w:line="240" w:lineRule="auto"/>
      </w:pPr>
      <w:r>
        <w:rPr>
          <w:rFonts w:ascii="Consolas" w:hAnsi="Consolas"/>
          <w:sz w:val="14"/>
        </w:rPr>
        <w:t>| Ciclo de control A&amp;B; cadena de valor de restaurante; catering; dark kitchen (D-007) | Mixta | Núcleo secuencial y variantes de P4–P5 | Media |</w:t>
      </w:r>
    </w:p>
    <w:p>
      <w:pPr>
        <w:spacing w:after="40"/>
      </w:pPr>
    </w:p>
    <w:p>
      <w:r>
        <w:t>---</w:t>
      </w:r>
    </w:p>
    <w:p>
      <w:pPr>
        <w:spacing w:after="40"/>
      </w:pPr>
    </w:p>
    <w:p>
      <w:pPr>
        <w:pStyle w:val="Heading3"/>
      </w:pPr>
      <w:r>
        <w:t>3. Análisis de convergencia</w:t>
      </w:r>
    </w:p>
    <w:p>
      <w:pPr>
        <w:spacing w:after="40"/>
      </w:pPr>
    </w:p>
    <w:p>
      <w:r>
        <w:t>Convergencia fuerte e independiente ([ANÁLISIS]): cuatro tradiciones que no se citan entre sí —el modelo de sistemas de foodservice (Spears), el marco cross-industry APQC, el BPM de restaurantes y el foodservice hospitalario— coinciden en:</w:t>
      </w:r>
    </w:p>
    <w:p>
      <w:pPr>
        <w:pStyle w:val="ListNumber"/>
      </w:pPr>
      <w:r>
        <w:t>una cadena operativa primaria (aprovisionar → producir → distribuir/servir), y</w:t>
      </w:r>
    </w:p>
    <w:p>
      <w:pPr>
        <w:pStyle w:val="ListNumber"/>
      </w:pPr>
      <w:r>
        <w:t>un conjunto de procesos de gestión/soporte transversales (calidad, personas, finanzas, mantenimiento), y</w:t>
      </w:r>
    </w:p>
    <w:p>
      <w:pPr>
        <w:pStyle w:val="ListNumber"/>
      </w:pPr>
      <w:r>
        <w:t>la inocuidad/sanitización como subsistema presente en todos.</w:t>
      </w:r>
    </w:p>
    <w:p>
      <w:pPr>
        <w:spacing w:after="40"/>
      </w:pPr>
    </w:p>
    <w:p>
      <w:r>
        <w:t>La coincidencia entre una fuente industry-neutral (APQC, operating vs management/support) y las fuentes específicas de gastronomía es la evidencia más fuerte: sugiere que el núcleo gastronómico es una particularización de un patrón universal de procesos empresariales, no un artefacto de una escuela. ([ANÁLISIS])</w:t>
      </w:r>
    </w:p>
    <w:p>
      <w:pPr>
        <w:spacing w:after="40"/>
      </w:pPr>
    </w:p>
    <w:p>
      <w:pPr>
        <w:pStyle w:val="Heading4"/>
      </w:pPr>
      <w:r>
        <w:t>Resolución de los puntos frágiles</w:t>
      </w:r>
    </w:p>
    <w:p>
      <w:pPr>
        <w:pStyle w:val="ListBullet"/>
      </w:pPr>
      <w:r>
        <w:t>P5 (distribución/servicio/cumplimiento) — RESUELTO al nivel de abstracción correcto. El service blueprint muestra que el componente onstage (servicio de mesa) es variable e incluso nulo (dark kitchen, commissary, institucional), pero la entrega/handoff del producto al consumidor existe en todos los casos (despacho, línea, transporte, bandeja hospitalaria). P5 es universal como "distribución/entrega de valor al consumidor", no como "servicio de mesa". ([ANÁLISIS], respuesta a P3)</w:t>
      </w:r>
    </w:p>
    <w:p>
      <w:pPr>
        <w:pStyle w:val="ListBullet"/>
      </w:pPr>
      <w:r>
        <w:t>P6 (transacción) — RESUELTO y generalizado. El foodservice hospitalario/institucional confirma que el núcleo persiste sin venta comercial. Por tanto P6 no es "venta" sino "cierre transaccional / entrega al comensal con registro económico", que en el comercial se realiza como venta y en el institucional como cargo/registro interno. Universal a ese nivel. ([ANÁLISIS], respuesta a P3 y P4)</w:t>
      </w:r>
    </w:p>
    <w:p>
      <w:pPr>
        <w:pStyle w:val="ListBullet"/>
      </w:pPr>
      <w:r>
        <w:t>P4 (foodservice no comercial) — RESUELTO. El núcleo se extiende al no comercial; la revisión hospitalaria lo describe con los mismos subsistemas. (respuesta a P4)</w:t>
      </w:r>
    </w:p>
    <w:p>
      <w:pPr>
        <w:spacing w:after="40"/>
      </w:pPr>
    </w:p>
    <w:p>
      <w:pPr>
        <w:pStyle w:val="Heading4"/>
      </w:pPr>
      <w:r>
        <w:t>Refinamiento emergente (no bloqueante)</w:t>
      </w:r>
    </w:p>
    <w:p>
      <w:r>
        <w:t>La revisión hospitalaria introduce gestión de residuos/merma (post-consumo) como etapa propia. El Comité lo registra como candidato a macroproceso o a subproceso de sostenibilidad, a resolver en la fase de matriz de procesos —no altera el núcleo. ([ANÁLISIS])</w:t>
      </w:r>
    </w:p>
    <w:p>
      <w:pPr>
        <w:spacing w:after="40"/>
      </w:pPr>
    </w:p>
    <w:p>
      <w:r>
        <w:t>---</w:t>
      </w:r>
    </w:p>
    <w:p>
      <w:pPr>
        <w:spacing w:after="40"/>
      </w:pPr>
    </w:p>
    <w:p>
      <w:pPr>
        <w:pStyle w:val="Heading3"/>
      </w:pPr>
      <w:r>
        <w:t>4. Núcleo universal (consolidado, a dos niveles)</w:t>
      </w:r>
    </w:p>
    <w:p>
      <w:pPr>
        <w:spacing w:after="40"/>
      </w:pPr>
    </w:p>
    <w:p>
      <w:r>
        <w:t>La evidencia sostiene el núcleo de D-007, ahora con respaldo revisado por pares y con la estructura operativo/soporte validada por APQC ([ANÁLISIS]):</w:t>
      </w:r>
    </w:p>
    <w:p>
      <w:pPr>
        <w:spacing w:after="40"/>
      </w:pPr>
    </w:p>
    <w:p>
      <w:r>
        <w:t>Nivel 1 — Cadena operativa primaria (universal):</w:t>
      </w:r>
    </w:p>
    <w:p>
      <w:r>
        <w:t>P1 planificación/menú-demanda · P2 aprovisionamiento · P3 recepción-almacenamiento-inventario · P4 producción · P5 distribución/entrega al consumidor · P6 cierre transaccional.</w:t>
      </w:r>
    </w:p>
    <w:p>
      <w:pPr>
        <w:spacing w:after="40"/>
      </w:pPr>
    </w:p>
    <w:p>
      <w:r>
        <w:t>Nivel 2 — Procesos de gestión/soporte transversales (universales):</w:t>
      </w:r>
    </w:p>
    <w:p>
      <w:r>
        <w:t>inocuidad/higiene-sanitización · mantenimiento · gestión (finanzas/costos, personas, calidad/control) · [candidato: gestión de residuos].</w:t>
      </w:r>
    </w:p>
    <w:p>
      <w:pPr>
        <w:spacing w:after="40"/>
      </w:pPr>
    </w:p>
    <w:p>
      <w:r>
        <w:t>La universalidad se afirma al nivel de subsistema/categoría de proceso, NO al nivel de actividad concreta (donde servicio de mesa, delivery, transporte y bandeja institucional son mutuamente excluyentes). ([ANÁLISIS], invariante clave)</w:t>
      </w:r>
    </w:p>
    <w:p>
      <w:pPr>
        <w:spacing w:after="40"/>
      </w:pPr>
    </w:p>
    <w:p>
      <w:r>
        <w:t>---</w:t>
      </w:r>
    </w:p>
    <w:p>
      <w:pPr>
        <w:spacing w:after="40"/>
      </w:pPr>
    </w:p>
    <w:p>
      <w:pPr>
        <w:pStyle w:val="Heading3"/>
      </w:pPr>
      <w:r>
        <w:t>5. Valoración de la evidencia y veredicto</w:t>
      </w:r>
    </w:p>
    <w:p>
      <w:pPr>
        <w:spacing w:after="40"/>
      </w:pPr>
    </w:p>
    <w:p>
      <w:r>
        <w:t>Grado de evidencia (cualitativo): moderado-alto. Convergencia entre ≥4 tradiciones independientes, incluida una industry-neutral (APQC) y evidencia del sector no comercial revisada por pares. Consistencia alta; los dos puntos frágiles quedan resueltos por abstracción justificada.</w:t>
      </w:r>
    </w:p>
    <w:p>
      <w:pPr>
        <w:spacing w:after="40"/>
      </w:pPr>
    </w:p>
    <w:p>
      <w:r>
        <w:t>Limitaciones que impiden declarar evidencia "alta plena":</w:t>
      </w:r>
    </w:p>
    <w:p>
      <w:pPr>
        <w:pStyle w:val="ListNumber"/>
      </w:pPr>
      <w:r>
        <w:t>No es una PRISMA multibase con doble cribado ni diagrama de flujo (revisión rápida estructurada).</w:t>
      </w:r>
    </w:p>
    <w:p>
      <w:pPr>
        <w:pStyle w:val="ListNumber"/>
      </w:pPr>
      <w:r>
        <w:t>Parte de la evidencia sigue siendo de marco/industria junto a la revisada por pares.</w:t>
      </w:r>
    </w:p>
    <w:p>
      <w:pPr>
        <w:pStyle w:val="ListNumber"/>
      </w:pPr>
      <w:r>
        <w:t>No hay consenso de expertos (Delphi): la validación empírica del núcleo con panel de expertos no se ha ejecutado.</w:t>
      </w:r>
    </w:p>
    <w:p>
      <w:pPr>
        <w:spacing w:after="40"/>
      </w:pPr>
    </w:p>
    <w:p>
      <w:r>
        <w:t>Veredicto del Comité: B1 alcanza el estado "Respondible por evidencia bibliográfica convergente", suficiente conforme a §7 para no bloquear el avance, con una condición explícita: el consenso de expertos queda pendiente como confirmación y se recomienda ejecutarlo en la fase de validación, no como requisito para el avance metodológico.</w:t>
      </w:r>
    </w:p>
    <w:p>
      <w:pPr>
        <w:spacing w:after="40"/>
      </w:pPr>
    </w:p>
    <w:p>
      <w:r>
        <w:t>El Comité recomienda a la Dirección declarar cerrada B1 sobre esta base. La decisión de cierre es de la Dirección (§4.1).</w:t>
      </w:r>
    </w:p>
    <w:p>
      <w:pPr>
        <w:spacing w:after="40"/>
      </w:pPr>
    </w:p>
    <w:p>
      <w:r>
        <w:t>---</w:t>
      </w:r>
    </w:p>
    <w:p>
      <w:pPr>
        <w:spacing w:after="40"/>
      </w:pPr>
    </w:p>
    <w:p>
      <w:pPr>
        <w:pStyle w:val="Heading3"/>
      </w:pPr>
      <w:r>
        <w:t>6. Contenido de Decision Record propuesto (para aprobación de la Dirección)</w:t>
      </w:r>
    </w:p>
    <w:p>
      <w:pPr>
        <w:spacing w:after="40"/>
      </w:pPr>
    </w:p>
    <w:p>
      <w:pPr>
        <w:spacing w:after="100"/>
        <w:ind w:left="360" w:right="216"/>
      </w:pPr>
      <w:r>
        <w:rPr>
          <w:i/>
          <w:color w:val="595959"/>
        </w:rPr>
        <w:t>NO incorporado al registro oficial por el Comité. Se propone su texto; la formalización corresponde a Codex tras la aprobación del Director.</w:t>
      </w:r>
    </w:p>
    <w:p>
      <w:pPr>
        <w:spacing w:after="40"/>
      </w:pPr>
    </w:p>
    <w:p>
      <w:pPr>
        <w:pStyle w:val="ListBullet"/>
      </w:pPr>
      <w:r>
        <w:t>Decisión propuesta (D-008): cierre de B1 — núcleo universal de macroprocesos.</w:t>
      </w:r>
    </w:p>
    <w:p>
      <w:pPr>
        <w:pStyle w:val="ListBullet"/>
      </w:pPr>
      <w:r>
        <w:t>Problema: ¿existe y es defendible un núcleo universal de macroprocesos?</w:t>
      </w:r>
    </w:p>
    <w:p>
      <w:pPr>
        <w:pStyle w:val="ListBullet"/>
      </w:pPr>
      <w:r>
        <w:t>Evidencia: Spears &amp; Gregoire; APQC PCF; BPM en restaurantes (Core/Support/Management); service blueprinting; foodservice hospitalario/institucional (subsistemas) + revisión sistemática de 80 estudios.</w:t>
      </w:r>
    </w:p>
    <w:p>
      <w:pPr>
        <w:pStyle w:val="ListBullet"/>
      </w:pPr>
      <w:r>
        <w:t>Decisión propuesta: aceptar el núcleo a dos niveles (§4) como base del GOEI; universalidad afirmada a nivel de subsistema, no de actividad; P5 = "entrega de valor al consumidor", P6 = "cierre transaccional" (venta o registro interno); alcance incluye no comercial.</w:t>
      </w:r>
    </w:p>
    <w:p>
      <w:pPr>
        <w:pStyle w:val="ListBullet"/>
      </w:pPr>
      <w:r>
        <w:t>Estado de respondibilidad: Respondible (evidencia convergente moderada-alta).</w:t>
      </w:r>
    </w:p>
    <w:p>
      <w:pPr>
        <w:pStyle w:val="ListBullet"/>
      </w:pPr>
      <w:r>
        <w:t>Limitaciones / pendiente: consenso de expertos (Delphi) como confirmación en validación; resolver "gestión de residuos" como macroproceso o subproceso; PRISMA plena si se requiere para publicación.</w:t>
      </w:r>
    </w:p>
    <w:p>
      <w:pPr>
        <w:pStyle w:val="ListBullet"/>
      </w:pPr>
      <w:r>
        <w:t>Impacto: habilita, tras cierre de Fase A por la Dirección, la elaboración del Modelo Conceptual Consolidado por Codex, y posteriormente B2 (Taxonomía).</w:t>
      </w:r>
    </w:p>
    <w:p>
      <w:pPr>
        <w:spacing w:after="40"/>
      </w:pPr>
    </w:p>
    <w:p>
      <w:r>
        <w:t>---</w:t>
      </w:r>
    </w:p>
    <w:p>
      <w:pPr>
        <w:spacing w:after="40"/>
      </w:pPr>
    </w:p>
    <w:p>
      <w:pPr>
        <w:pStyle w:val="Heading3"/>
      </w:pPr>
      <w:r>
        <w:t>7. Preguntas que el Comité eleva a la Dirección</w:t>
      </w:r>
    </w:p>
    <w:p>
      <w:pPr>
        <w:spacing w:after="40"/>
      </w:pPr>
    </w:p>
    <w:p>
      <w:pPr>
        <w:pStyle w:val="ListNumber"/>
      </w:pPr>
      <w:r>
        <w:t>¿Declara la Dirección B1 cerrada con estado "Respondible por evidencia bibliográfica convergente", aceptando el consenso de expertos como confirmación diferida a validación? ¿O exige el Delphi antes del cierre?</w:t>
      </w:r>
    </w:p>
    <w:p>
      <w:pPr>
        <w:pStyle w:val="ListNumber"/>
      </w:pPr>
      <w:r>
        <w:t>¿Se ratifica la generalización de P6 a "cierre transaccional" (que incorpora el foodservice no comercial al alcance, GOEI-ISS-012)?</w:t>
      </w:r>
    </w:p>
    <w:p>
      <w:pPr>
        <w:pStyle w:val="ListNumber"/>
      </w:pPr>
      <w:r>
        <w:t>¿"Gestión de residuos/merma" se arrastra como candidato a macroproceso para la fase de matriz de procesos?</w:t>
      </w:r>
    </w:p>
    <w:p>
      <w:pPr>
        <w:spacing w:after="40"/>
      </w:pPr>
    </w:p>
    <w:p>
      <w:r>
        <w:t>---</w:t>
      </w:r>
    </w:p>
    <w:p>
      <w:pPr>
        <w:spacing w:after="40"/>
      </w:pPr>
    </w:p>
    <w:p>
      <w:pPr>
        <w:pStyle w:val="Heading4"/>
      </w:pPr>
      <w:r>
        <w:t>Fuentes</w:t>
      </w:r>
    </w:p>
    <w:p>
      <w:pPr>
        <w:spacing w:after="40"/>
      </w:pPr>
    </w:p>
    <w:p>
      <w:pPr>
        <w:pStyle w:val="ListBullet"/>
      </w:pPr>
      <w:r>
        <w:t>Spears, M. &amp; Gregoire, M., Foodservice Organizations: A Managerial and Systems Approach. https://www.semanticscholar.org/paper/Foodservice-Organizations:-A-Managerial-and-Systems-Gregoire/39440d81540bee8224eed8b189deb9cbe4ed32db</w:t>
      </w:r>
    </w:p>
    <w:p>
      <w:pPr>
        <w:pStyle w:val="ListBullet"/>
      </w:pPr>
      <w:r>
        <w:t>APQC, Process Classification Framework (PCF) — Cross-Industry (5 procesos operativos + 7 de gestión/soporte). https://www.apqc.org/process-frameworks · https://www.apqc.org/resource-library/resource-listing/apqc-process-classification-framework-pcf-cross-industry-pdf-13</w:t>
      </w:r>
    </w:p>
    <w:p>
      <w:pPr>
        <w:pStyle w:val="ListBullet"/>
      </w:pPr>
      <w:r>
        <w:t>Business process modeling at a steak restaurant using BPMN (Core/Support/Management vinculado a la cadena de valor). https://shmpublisher.com/index.php/joscex/article/view/84 · Modeling and Analysis Method of Restaurant Service Process. https://www.researchgate.net/publication/317048905_Modeling_and_Analysis_Method_of_Restaurant_Service_Process</w:t>
      </w:r>
    </w:p>
    <w:p>
      <w:pPr>
        <w:pStyle w:val="ListBullet"/>
      </w:pPr>
      <w:r>
        <w:t>Service Blueprinting in the Management of Hospitality Operations (onstage/backstage/support; línea de visibilidad). https://www.researchgate.net/publication/380904557 · https://uen.pressbooks.pub/servicesmgt/chapter/chapter-15-service-blueprinting/</w:t>
      </w:r>
    </w:p>
    <w:p>
      <w:pPr>
        <w:pStyle w:val="ListBullet"/>
      </w:pPr>
      <w:r>
        <w:t>Assessment of foodservice quality… hospital foodservice quality model (subsistemas: aprovisionamiento, producción, distribución/servicio, inocuidad/sanitización). https://pmc.ncbi.nlm.nih.gov/articles/PMC2867228/</w:t>
      </w:r>
    </w:p>
    <w:p>
      <w:pPr>
        <w:pStyle w:val="ListBullet"/>
      </w:pPr>
      <w:r>
        <w:t>Environmental Sustainability of Hospital Foodservices across the Food Supply Chain: A Systematic Review (80 estudios; etapas producción/aprovisionamiento, distribución, preparación, consumo, gestión de residuos). https://www.sciencedirect.com/science/article/abs/pii/S2212267220300010</w:t>
      </w:r>
    </w:p>
    <w:p>
      <w:pPr>
        <w:spacing w:after="40"/>
      </w:pPr>
    </w:p>
    <w:p>
      <w:r>
        <w:t>Verificación pendiente (para publicación): ejecutar PRISMA plena multibase (Scopus/WoS) con doble cribado y diagrama de flujo; y Delphi de expertos como confirmación del núcleo.</w:t>
      </w:r>
    </w:p>
    <w:p>
      <w:r>
        <w:br w:type="page"/>
      </w:r>
    </w:p>
    <w:p>
      <w:pPr>
        <w:pStyle w:val="Heading1"/>
        <w:keepNext/>
      </w:pPr>
      <w:r>
        <w:t>Fuente 79: 01_Estado_del_arte/FaseB_B2_Revision_taxonomia_universal.md</w:t>
      </w:r>
    </w:p>
    <w:p>
      <w:pPr>
        <w:spacing w:after="200"/>
      </w:pPr>
      <w:r>
        <w:rPr>
          <w:rFonts w:ascii="Consolas" w:hAnsi="Consolas"/>
          <w:color w:val="595959"/>
          <w:sz w:val="16"/>
        </w:rPr>
        <w:t>Ruta: 01_Estado_del_arte/FaseB_B2_Revision_taxonomia_universal.md</w:t>
        <w:br/>
        <w:t>Tamaño: 10742 bytes</w:t>
        <w:br/>
        <w:t>SHA-256: af479a9da08d9667a880bcb00cdf17bc6df8cfbb402395586d22a7d9b64dcbe2</w:t>
      </w:r>
    </w:p>
    <w:p>
      <w:pPr>
        <w:pStyle w:val="Heading2"/>
      </w:pPr>
      <w:r>
        <w:t>FASE B — B2 · Revisión de taxonomía universal de establecimientos gastronómicos</w:t>
      </w:r>
    </w:p>
    <w:p>
      <w:pPr>
        <w:pStyle w:val="Heading3"/>
      </w:pPr>
      <w:r>
        <w:t>Producto de conocimiento científico (Comité Científico) — para revisión de la Dirección</w:t>
      </w:r>
    </w:p>
    <w:p>
      <w:pPr>
        <w:spacing w:after="40"/>
      </w:pPr>
    </w:p>
    <w:p>
      <w:r>
        <w:t>Naturaleza: conocimiento científico (revisión de clasificaciones y literatura). NO documentación normativa; la formalización/versionado corresponde a la Oficina Técnica.</w:t>
      </w:r>
    </w:p>
    <w:p>
      <w:r>
        <w:t>Objetivo: determinar científicamente qué sistema de clasificación permite delimitar y comparar las entidades comprendidas por el GOEI.</w:t>
      </w:r>
    </w:p>
    <w:p>
      <w:r>
        <w:t>Dependencias consumidas: GOEI-BSL-PROC-0001 v0.1.0 (procesos P1–P9), GOEI-DIR-RES-0001 (alcance comercial y no comercial; unidad = Establecimiento, con multiunidad bajo GOEI-ISS-008), GOEI-PMM-0001 (metamodelo type/token), D-006 v0.1 (ontología, sin modificar). Dependencia futura: DS-GTRM-04/D-012 (dominios de referencia), sin crear GTRM.</w:t>
      </w:r>
    </w:p>
    <w:p>
      <w:r>
        <w:t>Fecha: 2026-08-04.</w:t>
      </w:r>
    </w:p>
    <w:p>
      <w:pPr>
        <w:spacing w:after="40"/>
      </w:pPr>
    </w:p>
    <w:p>
      <w:pPr>
        <w:spacing w:after="100"/>
        <w:ind w:left="360" w:right="216"/>
      </w:pPr>
      <w:r>
        <w:rPr>
          <w:i/>
          <w:color w:val="595959"/>
        </w:rPr>
        <w:t>Alcance: revisión estructurada de clasificaciones oficiales y literatura; no es PRISMA completa (pendiente). Ninguna categoría se adopta como normativa.</w:t>
      </w:r>
    </w:p>
    <w:p>
      <w:pPr>
        <w:spacing w:after="100"/>
        <w:ind w:left="360" w:right="216"/>
      </w:pPr>
      <w:r>
        <w:rPr>
          <w:i/>
          <w:color w:val="595959"/>
        </w:rPr>
        <w:t>Etiquetas: [NORMA] (clasificación oficial), [EVIDENCIA] (literatura), [CONSENSO] (industria), [ANÁLISIS], [PROPUESTA].</w:t>
      </w:r>
    </w:p>
    <w:p>
      <w:pPr>
        <w:spacing w:after="40"/>
      </w:pPr>
    </w:p>
    <w:p>
      <w:r>
        <w:t>---</w:t>
      </w:r>
    </w:p>
    <w:p>
      <w:pPr>
        <w:spacing w:after="40"/>
      </w:pPr>
    </w:p>
    <w:p>
      <w:pPr>
        <w:pStyle w:val="Heading3"/>
      </w:pPr>
      <w:r>
        <w:t>1. Cuatro planos de clasificación (distinción obligatoria)</w:t>
      </w:r>
    </w:p>
    <w:p>
      <w:r>
        <w:t>El mandato exige distinguir cuatro naturalezas de clasificación, que responden a propósitos distintos ([ANÁLISIS]):</w:t>
      </w:r>
    </w:p>
    <w:p>
      <w:pPr>
        <w:spacing w:after="40"/>
      </w:pPr>
    </w:p>
    <w:p>
      <w:pPr>
        <w:spacing w:after="20" w:line="240" w:lineRule="auto"/>
      </w:pPr>
      <w:r>
        <w:rPr>
          <w:rFonts w:ascii="Consolas" w:hAnsi="Consolas"/>
          <w:sz w:val="14"/>
        </w:rPr>
        <w:t>| Plano | Propósito | Ejemplos | Aptitud para el GOEI |</w:t>
      </w:r>
    </w:p>
    <w:p>
      <w:pPr>
        <w:spacing w:after="20" w:line="240" w:lineRule="auto"/>
      </w:pPr>
      <w:r>
        <w:rPr>
          <w:rFonts w:ascii="Consolas" w:hAnsi="Consolas"/>
          <w:sz w:val="14"/>
        </w:rPr>
        <w:t>|---|---|---|---|</w:t>
      </w:r>
    </w:p>
    <w:p>
      <w:pPr>
        <w:spacing w:after="20" w:line="240" w:lineRule="auto"/>
      </w:pPr>
      <w:r>
        <w:rPr>
          <w:rFonts w:ascii="Consolas" w:hAnsi="Consolas"/>
          <w:sz w:val="14"/>
        </w:rPr>
        <w:t>| **Legal** | Habilitar permisos y fiscalización | Categorías de patente/licencia sanitaria por jurisdicción | Baja: fragmentada por jurisdicción; no operativa |</w:t>
      </w:r>
    </w:p>
    <w:p>
      <w:pPr>
        <w:spacing w:after="20" w:line="240" w:lineRule="auto"/>
      </w:pPr>
      <w:r>
        <w:rPr>
          <w:rFonts w:ascii="Consolas" w:hAnsi="Consolas"/>
          <w:sz w:val="14"/>
        </w:rPr>
        <w:t>| **Estadístico** | Cuentas nacionales y comparación macro | ISIC Rev.4, NACE Rev.2, NAICS | Media: internacional y estable, pero clasifica por **actividad económica**, no por modelo operativo |</w:t>
      </w:r>
    </w:p>
    <w:p>
      <w:pPr>
        <w:spacing w:after="20" w:line="240" w:lineRule="auto"/>
      </w:pPr>
      <w:r>
        <w:rPr>
          <w:rFonts w:ascii="Consolas" w:hAnsi="Consolas"/>
          <w:sz w:val="14"/>
        </w:rPr>
        <w:t>| **Operativo** | Describir cómo funciona el establecimiento | Modalidad de servicio; sistema de producción | **Alta**: capta la variación que afecta a los procesos y a la comparabilidad |</w:t>
      </w:r>
    </w:p>
    <w:p>
      <w:pPr>
        <w:spacing w:after="20" w:line="240" w:lineRule="auto"/>
      </w:pPr>
      <w:r>
        <w:rPr>
          <w:rFonts w:ascii="Consolas" w:hAnsi="Consolas"/>
          <w:sz w:val="14"/>
        </w:rPr>
        <w:t>| **Analítico** | Agrupar para un análisis específico | Clases de comparabilidad construidas para un fin | **Alta**: propósito-específico; es lo que el GOEI necesita |</w:t>
      </w:r>
    </w:p>
    <w:p>
      <w:pPr>
        <w:spacing w:after="40"/>
      </w:pPr>
    </w:p>
    <w:p>
      <w:r>
        <w:t>Consecuencia ([ANÁLISIS]): el GOEI requiere una taxonomía operacional-analítica, compatible con la estadística (para interoperar) pero no idéntica a ella. Adoptar ISIC/NACE por conveniencia sería un error de propósito.</w:t>
      </w:r>
    </w:p>
    <w:p>
      <w:pPr>
        <w:spacing w:after="40"/>
      </w:pPr>
    </w:p>
    <w:p>
      <w:pPr>
        <w:pStyle w:val="Heading3"/>
      </w:pPr>
      <w:r>
        <w:t>2. Clasificaciones oficiales revisadas</w:t>
      </w:r>
    </w:p>
    <w:p>
      <w:pPr>
        <w:pStyle w:val="ListBullet"/>
      </w:pPr>
      <w:r>
        <w:t>ISIC Rev.4 (ONU), División 56 — Food and beverage service activities. Grupos: 561 Restaurants and mobile food service activities (clase 5610) y 562 Event catering and other food service activities. Criterio decisivo: se ofrecen comidas listas para consumo inmediato, no el tipo de instalación; clasifica por actividad principal, no por apariencia física. [NORMA]</w:t>
      </w:r>
    </w:p>
    <w:p>
      <w:pPr>
        <w:pStyle w:val="ListBullet"/>
      </w:pPr>
      <w:r>
        <w:t>NACE Rev.2 (UE), División 56, derivada de ISIC Rev.4: 56.1 restaurantes y servicio móvil (56.11 restaurantes, 56.12 móvil), 56.2 catering de eventos y por contrato (56.21, 56.22), 56.3 servicio de bebidas. [NORMA]</w:t>
      </w:r>
    </w:p>
    <w:p>
      <w:pPr>
        <w:pStyle w:val="ListBullet"/>
      </w:pPr>
      <w:r>
        <w:t>NAICS 722 (Norteamérica): 7221 Full-Service, 7222 Limited-Service, 7223 Special Food Services (contratistas, caterers, móviles), 7224 Drinking Places. [NORMA]</w:t>
      </w:r>
    </w:p>
    <w:p>
      <w:pPr>
        <w:spacing w:after="40"/>
      </w:pPr>
    </w:p>
    <w:p>
      <w:r>
        <w:t>Hallazgo ([ANÁLISIS]): las tres son mono-jerárquicas por actividad económica y coinciden en un eje comercial de servicio (full-service / limited-service / móvil / catering / bebidas). No representan: el sistema de producción (convencional/cook-chill/commissary/assembly-serve), la naturaleza no comercial/institucional, ni configuraciones como dark kitchens o multi-marca. Por diseño, clasifican por actividad, no por operación.</w:t>
      </w:r>
    </w:p>
    <w:p>
      <w:pPr>
        <w:spacing w:after="40"/>
      </w:pPr>
    </w:p>
    <w:p>
      <w:pPr>
        <w:pStyle w:val="Heading3"/>
      </w:pPr>
      <w:r>
        <w:t>3. Segmentación de mercado y tipologías operativas (literatura/industria)</w:t>
      </w:r>
    </w:p>
    <w:p>
      <w:pPr>
        <w:pStyle w:val="ListBullet"/>
      </w:pPr>
      <w:r>
        <w:t>Segmentos comerciales (QSR, fast casual, casual dining, fine dining): combinan precio, modelo de servicio y experiencia. [CONSENSO] industrial; útil como faceta analítica opcional, no como eje estructural (mezcla precio con operación).</w:t>
      </w:r>
    </w:p>
    <w:p>
      <w:pPr>
        <w:pStyle w:val="ListBullet"/>
      </w:pPr>
      <w:r>
        <w:t>Sistemas de producción de foodservice (convencional, ready-prepared/cook-chill, commissary, assembly-serve): determinan dónde y cuándo se produce y entrega; principal fuente de variación de P4–P5. [EVIDENCIA] (Spears &amp; Gregoire).</w:t>
      </w:r>
    </w:p>
    <w:p>
      <w:pPr>
        <w:pStyle w:val="ListBullet"/>
      </w:pPr>
      <w:r>
        <w:t>Comercial vs no comercial/institucional: distinción estructural que define P6 (venta vs. requisición) y el alcance ratificado. [NORMA/EVIDENCIA]</w:t>
      </w:r>
    </w:p>
    <w:p>
      <w:pPr>
        <w:pStyle w:val="ListBullet"/>
      </w:pPr>
      <w:r>
        <w:t>Modalidad de servicio/entrega: mesa, mostrador, autoservicio, delivery, banquete/transporte, bandeja institucional; realiza P5. [EVIDENCIA]</w:t>
      </w:r>
    </w:p>
    <w:p>
      <w:pPr>
        <w:spacing w:after="40"/>
      </w:pPr>
    </w:p>
    <w:p>
      <w:pPr>
        <w:pStyle w:val="Heading3"/>
      </w:pPr>
      <w:r>
        <w:t>4. Taxonomía única vs. multieje (faceta)</w:t>
      </w:r>
    </w:p>
    <w:p>
      <w:r>
        <w:t>Una taxonomía jerárquica única no puede representar entidades que varían a lo largo de dimensiones ortogonales (una dark kitchen es "limited-service" en ISIC, pero su rasgo operativo decisivo es "delivery-only" + posible "multi-marca", invisible en la jerarquía). La teoría de la clasificación facetada (Ranganathan; Broughton, 2006) y de tipologías/taxonomías (Bailey, 1994) indica que, cuando los objetos varían en ejes independientes, la representación correcta es multieje/facetada, no una lista jerárquica única. [EVIDENCIA]</w:t>
      </w:r>
    </w:p>
    <w:p>
      <w:pPr>
        <w:spacing w:after="40"/>
      </w:pPr>
    </w:p>
    <w:p>
      <w:r>
        <w:t>Determinación ([ANÁLISIS/PROPUESTA]): la taxonomía GOEI debe ser universal y multieje (facetada): un conjunto pequeño de facetas (ejes), cada una con valores enumerados; un establecimiento se clasifica por su combinación de valores. Esto es coherente con la arquitectura de dos niveles ratificada en D-008 (núcleo universal + realizaciones específicas) y con el metamodelo type/token (GOEI-PMM-0001).</w:t>
      </w:r>
    </w:p>
    <w:p>
      <w:pPr>
        <w:spacing w:after="40"/>
      </w:pPr>
    </w:p>
    <w:p>
      <w:pPr>
        <w:pStyle w:val="Heading3"/>
      </w:pPr>
      <w:r>
        <w:t>5. Ejes candidatos (indispensables vs. opcionales)</w:t>
      </w:r>
    </w:p>
    <w:p>
      <w:r>
        <w:t>Indispensables (afectan la realización de los procesos y la comparabilidad) — candidatos, no normativos:</w:t>
      </w:r>
    </w:p>
    <w:p>
      <w:pPr>
        <w:pStyle w:val="ListNumber"/>
      </w:pPr>
      <w:r>
        <w:t>Modalidad de servicio/entrega — realiza P5; máxima fuente de variación.</w:t>
      </w:r>
    </w:p>
    <w:p>
      <w:pPr>
        <w:pStyle w:val="ListNumber"/>
      </w:pPr>
      <w:r>
        <w:t>Sistema de producción — realiza P4–P5; determinante según Spears (resuelve la entrada pendiente de GOEI-ISS-014, sujeto a ratificación).</w:t>
      </w:r>
    </w:p>
    <w:p>
      <w:pPr>
        <w:pStyle w:val="ListNumber"/>
      </w:pPr>
      <w:r>
        <w:t>Naturaleza económica (comercial / no comercial-institucional) — define P6; ya en el alcance.</w:t>
      </w:r>
    </w:p>
    <w:p>
      <w:pPr>
        <w:spacing w:after="40"/>
      </w:pPr>
    </w:p>
    <w:p>
      <w:r>
        <w:t>Opcionales/modulares (útiles para submuestras analíticas, no estructurales): complejidad de la oferta; segmento de precio/servicio (QSR…fine dining); tamaño; jurisdicción. [PROPUESTA]</w:t>
      </w:r>
    </w:p>
    <w:p>
      <w:pPr>
        <w:spacing w:after="40"/>
      </w:pPr>
    </w:p>
    <w:p>
      <w:pPr>
        <w:pStyle w:val="Heading3"/>
      </w:pPr>
      <w:r>
        <w:t>6. Relación con los procesos P1–P9</w:t>
      </w:r>
    </w:p>
    <w:p>
      <w:r>
        <w:t>La taxonomía no altera los tipos de proceso de la baseline; selecciona su realización: la modalidad de servicio realiza P5; el sistema de producción reconfigura P4–P5; la naturaleza económica define P6. P1–P4, P7–P9 permanecen estables entre categorías. La taxonomía es, por tanto, el nivel de "realización específica" del modelo de dos niveles. [ANÁLISIS]</w:t>
      </w:r>
    </w:p>
    <w:p>
      <w:pPr>
        <w:spacing w:after="40"/>
      </w:pPr>
    </w:p>
    <w:p>
      <w:pPr>
        <w:pStyle w:val="Heading3"/>
      </w:pPr>
      <w:r>
        <w:t>7. Compatibilidad internacional y jurisdiccional</w:t>
      </w:r>
    </w:p>
    <w:p>
      <w:r>
        <w:t>Los ejes operativos son jurisdiction-neutral, por lo que una taxonomía operacional es más portable internacionalmente que los códigos legales. Se recomienda un crosswalk (mapeo candidato) GOEI→ISIC Rev.4/NACE/NAICS para interoperar con estadísticas, sin subordinar la taxonomía a ellos. [PROPUESTA]</w:t>
      </w:r>
    </w:p>
    <w:p>
      <w:pPr>
        <w:spacing w:after="40"/>
      </w:pPr>
    </w:p>
    <w:p>
      <w:pPr>
        <w:pStyle w:val="Heading3"/>
      </w:pPr>
      <w:r>
        <w:t>8. Casos límite</w:t>
      </w:r>
    </w:p>
    <w:p>
      <w:pPr>
        <w:pStyle w:val="ListBullet"/>
      </w:pPr>
      <w:r>
        <w:t>Híbridos (mesa + delivery + retail): faceta multivaluada con modalidad primaria declarada y secundarias marcadas; o unidad de evaluación = flujo operativo, no la entidad legal (enlaza GOEI-ISS-008).</w:t>
      </w:r>
    </w:p>
    <w:p>
      <w:pPr>
        <w:pStyle w:val="ListBullet"/>
      </w:pPr>
      <w:r>
        <w:t>Cadenas/multiunidad: cada local = un token Establecimiento (unidad de análisis, D-006); la cadena es un agregado, no la unidad. Rama abierta: GOEI-ISS-008.</w:t>
      </w:r>
    </w:p>
    <w:p>
      <w:pPr>
        <w:pStyle w:val="ListBullet"/>
      </w:pPr>
      <w:r>
        <w:t>Dark kitchens: modalidad delivery-only, sin FOH; posible multi-marca (un local físico, varios flujos de marca) → tensiona la definición de unidad (físico vs. marca) → GOEI-ISS-008.</w:t>
      </w:r>
    </w:p>
    <w:p>
      <w:pPr>
        <w:pStyle w:val="ListBullet"/>
      </w:pPr>
      <w:r>
        <w:t>Catering: eventos/contrato (ISIC 562 / NACE 56.2); modalidad transporte+montaje.</w:t>
      </w:r>
    </w:p>
    <w:p>
      <w:pPr>
        <w:pStyle w:val="ListBullet"/>
      </w:pPr>
      <w:r>
        <w:t>Institucional (hospital, escuela): no comercial; modalidad bandeja/distribución; P6 = requisición. Incluido en alcance.</w:t>
      </w:r>
    </w:p>
    <w:p>
      <w:pPr>
        <w:spacing w:after="40"/>
      </w:pPr>
    </w:p>
    <w:p>
      <w:pPr>
        <w:pStyle w:val="Heading3"/>
      </w:pPr>
      <w:r>
        <w:t>9. Estabilidad, extensibilidad y versionado</w:t>
      </w:r>
    </w:p>
    <w:p>
      <w:r>
        <w:t>Las facetas son estables; los valores son enumeraciones abiertas y extensibles bajo gobernanza (añadir un valor = versión menor; cambiar la definición de una faceta = versión mayor + crosswalk). La reclasificación de tokens preserva historial. [PROPUESTA]</w:t>
      </w:r>
    </w:p>
    <w:p>
      <w:pPr>
        <w:spacing w:after="40"/>
      </w:pPr>
    </w:p>
    <w:p>
      <w:pPr>
        <w:pStyle w:val="Heading3"/>
      </w:pPr>
      <w:r>
        <w:t>10. Límites, sesgos e incertidumbre</w:t>
      </w:r>
    </w:p>
    <w:p>
      <w:r>
        <w:t>Sesgo de la literatura hacia el foodservice comercial occidental; subrepresentación del sector informal y de configuraciones emergentes (multi-marca, KaaS); incertidumbre de clasificación en fronteras (fast casual entre QSR y casual). Validación futura: consenso de expertos (Delphi) + prueba empírica de que las facetas operativas predicen diferencias operativas reales (clustering). Diferida. [ANÁLISIS]</w:t>
      </w:r>
    </w:p>
    <w:p>
      <w:pPr>
        <w:spacing w:after="40"/>
      </w:pPr>
    </w:p>
    <w:p>
      <w:pPr>
        <w:pStyle w:val="Heading3"/>
      </w:pPr>
      <w:r>
        <w:t>11. Qué queda abierto para B3/B4 y GTRM</w:t>
      </w:r>
    </w:p>
    <w:p>
      <w:pPr>
        <w:pStyle w:val="ListBullet"/>
      </w:pPr>
      <w:r>
        <w:t>B4 (admisibilidad): qué facetas/valores constituyen el dominio de aplicabilidad de cada KPI.</w:t>
      </w:r>
    </w:p>
    <w:p>
      <w:pPr>
        <w:pStyle w:val="ListBullet"/>
      </w:pPr>
      <w:r>
        <w:t>B3/B4: realizaciones específicas de P5/P6 por categoría.</w:t>
      </w:r>
    </w:p>
    <w:p>
      <w:pPr>
        <w:pStyle w:val="ListBullet"/>
      </w:pPr>
      <w:r>
        <w:t>GTRM (DS-GTRM-04/D-012): los dominios categoriales de referencia dependen de esta taxonomía; no se crean GTRM aquí.</w:t>
      </w:r>
    </w:p>
    <w:p>
      <w:pPr>
        <w:pStyle w:val="ListBullet"/>
      </w:pPr>
      <w:r>
        <w:t>GOEI-ISS-008: unidad multiunidad/marca (rama bloqueada).</w:t>
      </w:r>
    </w:p>
    <w:p>
      <w:pPr>
        <w:pStyle w:val="ListBullet"/>
      </w:pPr>
      <w:r>
        <w:t>GOEI-ISS-014: ratificación del sistema de producción como eje.</w:t>
      </w:r>
    </w:p>
    <w:p>
      <w:pPr>
        <w:spacing w:after="40"/>
      </w:pPr>
    </w:p>
    <w:p>
      <w:r>
        <w:t>---</w:t>
      </w:r>
    </w:p>
    <w:p>
      <w:pPr>
        <w:spacing w:after="40"/>
      </w:pPr>
    </w:p>
    <w:p>
      <w:pPr>
        <w:pStyle w:val="Heading4"/>
      </w:pPr>
      <w:r>
        <w:t>Referencias (APA 7)</w:t>
      </w:r>
    </w:p>
    <w:p>
      <w:pPr>
        <w:pStyle w:val="ListBullet"/>
      </w:pPr>
      <w:r>
        <w:t>United Nations Statistics Division. (2008). International Standard Industrial Classification of All Economic Activities (ISIC), Rev. 4 (Series M, No. 4/Rev.4). United Nations. https://unstats.un.org/unsd/classifications/Econ/Detail/EN/27/5610</w:t>
      </w:r>
    </w:p>
    <w:p>
      <w:pPr>
        <w:pStyle w:val="ListBullet"/>
      </w:pPr>
      <w:r>
        <w:t>Eurostat. (2008). NACE Rev. 2: Statistical classification of economic activities in the European Community. Publications Office of the European Union. https://ec.europa.eu/eurostat/web/products-manuals-and-guidelines/-/ks-ra-07-015</w:t>
      </w:r>
    </w:p>
    <w:p>
      <w:pPr>
        <w:pStyle w:val="ListBullet"/>
      </w:pPr>
      <w:r>
        <w:t>U.S. Census Bureau. (2022). North American Industry Classification System (NAICS) — Subsector 722, Food Services and Drinking Places. https://www.census.gov/naics/</w:t>
      </w:r>
    </w:p>
    <w:p>
      <w:pPr>
        <w:pStyle w:val="ListBullet"/>
      </w:pPr>
      <w:r>
        <w:t>Gregoire, M. B., &amp; Spears, M. C. (2007). Foodservice organizations: A managerial and systems approach (6th ed.). Pearson.</w:t>
      </w:r>
    </w:p>
    <w:p>
      <w:pPr>
        <w:pStyle w:val="ListBullet"/>
      </w:pPr>
      <w:r>
        <w:t>Broughton, V. (2006). The need for a faceted classification as the basis of all methods of information retrieval. Aslib Proceedings, 58(1/2), 49–72. https://doi.org/10.1108/00012530610648671</w:t>
      </w:r>
    </w:p>
    <w:p>
      <w:pPr>
        <w:pStyle w:val="ListBullet"/>
      </w:pPr>
      <w:r>
        <w:t>Bailey, K. D. (1994). Typologies and taxonomies: An introduction to classification techniques. Sage. https://doi.org/10.4135/9781412986397</w:t>
      </w:r>
    </w:p>
    <w:p>
      <w:pPr>
        <w:pStyle w:val="ListBullet"/>
      </w:pPr>
      <w:r>
        <w:t>Ranganathan, S. R. (1967). Prolegomena to library classification (3rd ed.). Asia Publishing House.</w:t>
      </w:r>
    </w:p>
    <w:p>
      <w:pPr>
        <w:spacing w:after="40"/>
      </w:pPr>
    </w:p>
    <w:p>
      <w:r>
        <w:t>Verificación pendiente (Fase 1): PRISMA completa de tipologías de foodservice; cotejo de la edición vigente de ISIC/NACE y de la clasificación de segmentos comerciales revisada por pares.</w:t>
      </w:r>
    </w:p>
    <w:p>
      <w:r>
        <w:br w:type="page"/>
      </w:r>
    </w:p>
    <w:p>
      <w:pPr>
        <w:pStyle w:val="Heading1"/>
        <w:keepNext/>
      </w:pPr>
      <w:r>
        <w:t>Fuente 80: 01_Estado_del_arte/FaseB_B3_Revision_universo_KPI.md</w:t>
      </w:r>
    </w:p>
    <w:p>
      <w:pPr>
        <w:spacing w:after="200"/>
      </w:pPr>
      <w:r>
        <w:rPr>
          <w:rFonts w:ascii="Consolas" w:hAnsi="Consolas"/>
          <w:color w:val="595959"/>
          <w:sz w:val="16"/>
        </w:rPr>
        <w:t>Ruta: 01_Estado_del_arte/FaseB_B3_Revision_universo_KPI.md</w:t>
        <w:br/>
        <w:t>Tamaño: 17605 bytes</w:t>
        <w:br/>
        <w:t>SHA-256: 7a9aa918ce9f82188c9ecb1f6b02b8f3b013c8df6eabb2b964424bc4d40a1db1</w:t>
      </w:r>
    </w:p>
    <w:p>
      <w:pPr>
        <w:pStyle w:val="Heading2"/>
      </w:pPr>
      <w:r>
        <w:t>FASE B — B3 · Revisión del universo candidato de indicadores (KPI) del GOEI</w:t>
      </w:r>
    </w:p>
    <w:p>
      <w:pPr>
        <w:pStyle w:val="Heading3"/>
      </w:pPr>
      <w:r>
        <w:t>Producto de conocimiento científico (Comité Científico) — para auditoría técnica y revisión de la Dirección</w:t>
      </w:r>
    </w:p>
    <w:p>
      <w:pPr>
        <w:spacing w:after="40"/>
      </w:pPr>
    </w:p>
    <w:p>
      <w:r>
        <w:t>Naturaleza: conocimiento científico (revisión documental de indicadores). NO es documentación normativa; NO declara admisibilidad; NO crea KPI del estándar, fórmulas, pesos, puntajes, referencias GTRM, umbrales ni rangos. La formalización y el versionado corresponden a la Oficina Técnica y a la Dirección.</w:t>
      </w:r>
    </w:p>
    <w:p>
      <w:r>
        <w:t>Objetivo: identificar qué indicadores documentados podrían representar los procesos P1–P9 (GOEI-BSL-PROC-0001 v0.1.0) y el alcance estructural facetado FX-1/FX-2/FX-3 (GOEI-BSL-TAX-0001 v0.1.0), como universo candidato no normativo del GOEI.</w:t>
      </w:r>
    </w:p>
    <w:p>
      <w:r>
        <w:t>Pregunta científica de B3 (del pipeline): ¿Qué indicadores documentados podrían representar los procesos y categorías aprobados dentro del alcance del GOEI?</w:t>
      </w:r>
    </w:p>
    <w:p>
      <w:r>
        <w:t>Dependencias consumidas: GOEI-BSL-PROC-0001 v0.1.0 (procesos P1–P9); GOEI-BSL-TAX-0001 v0.1.0 (facetas FX-1/FX-2/FX-3); GOEI-DIR-RES-0002 (habilitación de B3); D-006 / D-006-REV (ontología, sin modificar); GOEI-PMM-0001 (EPIC-002, interfaz abstracta Indicador PM16); D-008 / D-017 (cierres B1/B2). Dependencia futura registrada: B4 (admisibilidad) y DS-GTRM (referencias), sin crear GTRM ni admisibilidad aquí.</w:t>
      </w:r>
    </w:p>
    <w:p>
      <w:r>
        <w:t>Fecha: 2026-08-04.</w:t>
      </w:r>
    </w:p>
    <w:p>
      <w:pPr>
        <w:spacing w:after="40"/>
      </w:pPr>
    </w:p>
    <w:p>
      <w:pPr>
        <w:spacing w:after="100"/>
        <w:ind w:left="360" w:right="216"/>
      </w:pPr>
      <w:r>
        <w:rPr>
          <w:i/>
          <w:color w:val="595959"/>
        </w:rPr>
        <w:t>Alcance del método: revisión documental estructurada de normas, organismos públicos y literatura revisada por pares. No es PRISMA completa (se registra como limitación e Issue). Ningún indicador se adopta como normativo. Etiquetas de evidencia: [NORMA] (norma/estándar u organismo oficial), [EVIDENCIA] (literatura revisada por pares o texto académico de referencia), [MARCO] (marco metodológico), [ANÁLISIS] (razonamiento del Comité).</w:t>
      </w:r>
    </w:p>
    <w:p>
      <w:pPr>
        <w:spacing w:after="100"/>
        <w:ind w:left="360" w:right="216"/>
      </w:pPr>
      <w:r>
        <w:rPr>
          <w:i/>
          <w:color w:val="595959"/>
        </w:rPr>
        <w:t>Regla de no fabricación: cuando una fuente no provee definición operacional, numerador/denominador, unidad o frecuencia, el campo se declara no provisto por la fuente; no se inventa.</w:t>
      </w:r>
    </w:p>
    <w:p>
      <w:pPr>
        <w:spacing w:after="40"/>
      </w:pPr>
    </w:p>
    <w:p>
      <w:r>
        <w:t>---</w:t>
      </w:r>
    </w:p>
    <w:p>
      <w:pPr>
        <w:spacing w:after="40"/>
      </w:pPr>
    </w:p>
    <w:p>
      <w:pPr>
        <w:pStyle w:val="Heading3"/>
      </w:pPr>
      <w:r>
        <w:t>1. Propósito y delimitación</w:t>
      </w:r>
    </w:p>
    <w:p>
      <w:pPr>
        <w:spacing w:after="40"/>
      </w:pPr>
    </w:p>
    <w:p>
      <w:r>
        <w:t>B2 quedó cerrada en su pregunta nuclear mediante D-017 y GOEI-DIR-RES-0002, que congeló GOEI-BSL-TAX-0001 v0.1.0 y habilitó B3 sin crear KPI ni autorizar el uso de valores taxonómicos no aprobados. Esta revisión responde a la pregunta científica de B3 construyendo un inventario trazable de indicadores documentados, cada uno con procedencia verificable y estado CANDIDATO. El producto no evalúa pertinencia, no jerarquiza, no asigna pesos y no promueve ningún indicador al estándar.</w:t>
      </w:r>
    </w:p>
    <w:p>
      <w:pPr>
        <w:spacing w:after="40"/>
      </w:pPr>
    </w:p>
    <w:p>
      <w:r>
        <w:t>La unidad de referencia de cada candidato es el Establecimiento (token, D-006). Toda agregación multiunidad, multi-marca o por flujo operativo depende de GOEI-ISS-008 y queda bloqueada para esta subfase. La aplicabilidad taxonómica se declara únicamente al nivel de identidad de faceta (FX-1/FX-2/FX-3); los valores concretos de faceta permanecen fuera de alcance bajo GOEI-ISS-054.</w:t>
      </w:r>
    </w:p>
    <w:p>
      <w:pPr>
        <w:spacing w:after="40"/>
      </w:pPr>
    </w:p>
    <w:p>
      <w:pPr>
        <w:pStyle w:val="Heading3"/>
      </w:pPr>
      <w:r>
        <w:t>2. Marco de clasificación de indicadores (distinción obligatoria) — [ANÁLISIS]</w:t>
      </w:r>
    </w:p>
    <w:p>
      <w:pPr>
        <w:spacing w:after="40"/>
      </w:pPr>
    </w:p>
    <w:p>
      <w:r>
        <w:t>El mandato exige separar cuatro naturalezas que suelen confundirse en la literatura de "KPI":</w:t>
      </w:r>
    </w:p>
    <w:p>
      <w:pPr>
        <w:spacing w:after="40"/>
      </w:pPr>
    </w:p>
    <w:p>
      <w:pPr>
        <w:spacing w:after="20" w:line="240" w:lineRule="auto"/>
      </w:pPr>
      <w:r>
        <w:rPr>
          <w:rFonts w:ascii="Consolas" w:hAnsi="Consolas"/>
          <w:sz w:val="14"/>
        </w:rPr>
        <w:t>| Plano | Qué es | Ejemplo | Rol en B3 |</w:t>
      </w:r>
    </w:p>
    <w:p>
      <w:pPr>
        <w:spacing w:after="20" w:line="240" w:lineRule="auto"/>
      </w:pPr>
      <w:r>
        <w:rPr>
          <w:rFonts w:ascii="Consolas" w:hAnsi="Consolas"/>
          <w:sz w:val="14"/>
        </w:rPr>
        <w:t>|---|---|---|---|</w:t>
      </w:r>
    </w:p>
    <w:p>
      <w:pPr>
        <w:spacing w:after="20" w:line="240" w:lineRule="auto"/>
      </w:pPr>
      <w:r>
        <w:rPr>
          <w:rFonts w:ascii="Consolas" w:hAnsi="Consolas"/>
          <w:sz w:val="14"/>
        </w:rPr>
        <w:t>| **Indicador documentado** | Métrica con definición publicada por una fuente citable | RevPASH; MTBF; food cost % | **Objeto de este inventario** |</w:t>
      </w:r>
    </w:p>
    <w:p>
      <w:pPr>
        <w:spacing w:after="20" w:line="240" w:lineRule="auto"/>
      </w:pPr>
      <w:r>
        <w:rPr>
          <w:rFonts w:ascii="Consolas" w:hAnsi="Consolas"/>
          <w:sz w:val="14"/>
        </w:rPr>
        <w:t>| **Interfaz abstracta** | Ranura conceptual de medición sin contenido | `Indicador` PM16 (EPIC-002) | Contenedor; no es KPI |</w:t>
      </w:r>
    </w:p>
    <w:p>
      <w:pPr>
        <w:spacing w:after="20" w:line="240" w:lineRule="auto"/>
      </w:pPr>
      <w:r>
        <w:rPr>
          <w:rFonts w:ascii="Consolas" w:hAnsi="Consolas"/>
          <w:sz w:val="14"/>
        </w:rPr>
        <w:t>| **KPI-def del estándar** | Indicador aprobado con fórmula, unidad y regla GOEI | — | **Prohibido en B3** (B4–B8) |</w:t>
      </w:r>
    </w:p>
    <w:p>
      <w:pPr>
        <w:spacing w:after="20" w:line="240" w:lineRule="auto"/>
      </w:pPr>
      <w:r>
        <w:rPr>
          <w:rFonts w:ascii="Consolas" w:hAnsi="Consolas"/>
          <w:sz w:val="14"/>
        </w:rPr>
        <w:t>| **KPI-token** | Valor observado en una evaluación real | — | Fuera de alcance |</w:t>
      </w:r>
    </w:p>
    <w:p>
      <w:pPr>
        <w:spacing w:after="40"/>
      </w:pPr>
    </w:p>
    <w:p>
      <w:r>
        <w:t>Consecuencia: B3 sólo recolecta indicadores documentados y los asocia a la interfaz abstracta por proceso. No se cruza la frontera hacia KPI-def (admisibilidad, fórmula, peso, umbral), que es materia de B4 en adelante.</w:t>
      </w:r>
    </w:p>
    <w:p>
      <w:pPr>
        <w:spacing w:after="40"/>
      </w:pPr>
    </w:p>
    <w:p>
      <w:pPr>
        <w:pStyle w:val="Heading3"/>
      </w:pPr>
      <w:r>
        <w:t>3. Método de búsqueda y selección</w:t>
      </w:r>
    </w:p>
    <w:p>
      <w:pPr>
        <w:spacing w:after="40"/>
      </w:pPr>
    </w:p>
    <w:p>
      <w:pPr>
        <w:pStyle w:val="ListNumber"/>
      </w:pPr>
      <w:r>
        <w:t>Anclaje en procesos y facetas. Se tomó como marco de cobertura la matriz P1–P9 × {FX-1, FX-2, FX-3, transversal} derivada de las dos baselines vigentes.</w:t>
      </w:r>
    </w:p>
    <w:p>
      <w:pPr>
        <w:pStyle w:val="ListNumber"/>
      </w:pPr>
      <w:r>
        <w:t>Fuentes priorizadas. (a) normas y estándares (ISO, CEN/EN, Codex Alimentarius, marcos ASCM/SCOR); (b) organismos públicos (FAO/UNEP, FDA); (c) literatura revisada por pares y textos académicos de referencia en foodservice, revenue management, calidad de servicio, mantenimiento y contabilidad de gestión.</w:t>
      </w:r>
    </w:p>
    <w:p>
      <w:pPr>
        <w:pStyle w:val="ListNumber"/>
      </w:pPr>
      <w:r>
        <w:t>Criterio de inclusión. Un indicador entra al inventario sólo si existe una fuente que lo nombre y lo describa. Se registra la definición tal como aparece; numerador/denominador se transcriben únicamente cuando la fuente los provee.</w:t>
      </w:r>
    </w:p>
    <w:p>
      <w:pPr>
        <w:pStyle w:val="ListNumber"/>
      </w:pPr>
      <w:r>
        <w:t>Criterio de exclusión. Indicadores sin fuente citable; métricas propietarias sin definición pública; cualquier "propuesta" del Comité (se prohíbe fabricar definiciones).</w:t>
      </w:r>
    </w:p>
    <w:p>
      <w:pPr>
        <w:pStyle w:val="ListNumber"/>
      </w:pPr>
      <w:r>
        <w:t>Control de duplicados. Se marcan sinónimos y solapamientos (p. ej., OEE en P4 y P8; food cost % frente a prime cost %).</w:t>
      </w:r>
    </w:p>
    <w:p>
      <w:pPr>
        <w:pStyle w:val="ListNumber"/>
      </w:pPr>
      <w:r>
        <w:t>Registro de vacíos. Todo proceso o faceta con cobertura nula, escasa o sólo genérica se registra como vacío con Issue asociado.</w:t>
      </w:r>
    </w:p>
    <w:p>
      <w:pPr>
        <w:spacing w:after="40"/>
      </w:pPr>
    </w:p>
    <w:p>
      <w:r>
        <w:t>Limitación declarada: la búsqueda es estructurada pero no exhaustiva ni PRISMA. No se realizó cribado sistemático multi-base con doble revisor, cadena de búsqueda registrada ni diagrama de flujo. Esto se traslada como Issue de B3 (ver §8) y no afecta la validez del carácter candidato del inventario, pero impide cualquier afirmación de completitud.</w:t>
      </w:r>
    </w:p>
    <w:p>
      <w:pPr>
        <w:spacing w:after="40"/>
      </w:pPr>
    </w:p>
    <w:p>
      <w:pPr>
        <w:pStyle w:val="Heading3"/>
      </w:pPr>
      <w:r>
        <w:t>4. Hallazgos por proceso (P1–P9)</w:t>
      </w:r>
    </w:p>
    <w:p>
      <w:pPr>
        <w:spacing w:after="40"/>
      </w:pPr>
    </w:p>
    <w:p>
      <w:r>
        <w:t>La descripción detallada, con ID estable, definición-fuente, unidad, numerador/denominador cuando consta, requisitos de datos, frecuencia, limitaciones, duplicados, evidencia y fuente APA 7, está en el catálogo 05_Catalogo_KPI/GOEI_Catalogo_KPI_Candidatos_B3.md. Aquí se sintetiza la lectura científica.</w:t>
      </w:r>
    </w:p>
    <w:p>
      <w:pPr>
        <w:spacing w:after="40"/>
      </w:pPr>
    </w:p>
    <w:p>
      <w:pPr>
        <w:pStyle w:val="ListBullet"/>
      </w:pPr>
      <w:r>
        <w:t>P1 — Planificación y menú / demanda. La literatura de menu engineering (Kasavana &amp; Smith) aporta indicadores documentados de margen de contribución y mezcla/popularidad por ítem; la previsión de demanda de producción está descrita en textos de sistemas de foodservice (Spears &amp; Gregoire), pero sin una definición operacional cerrada de "exactitud de pronóstico" citable a nivel de establecimiento gastronómico. Cobertura parcial; vacío en métricas de exactitud de pronóstico. [EVIDENCIA]</w:t>
      </w:r>
    </w:p>
    <w:p>
      <w:pPr>
        <w:pStyle w:val="ListBullet"/>
      </w:pPr>
      <w:r>
        <w:t>P2 — Aprovisionamiento. La contabilidad de gestión aporta variación de precio de compra; los marcos de cadena de suministro (ASCM/SCOR) aportan tiempo de ciclo de cumplimiento de pedido y cumplimiento de pedido perfecto, que son genéricos de cadena de suministro y requieren adaptación de dominio. Cobertura media, con dependencia de fuentes no específicas de gastronomía. [NORMA/EVIDENCIA]</w:t>
      </w:r>
    </w:p>
    <w:p>
      <w:pPr>
        <w:pStyle w:val="ListBullet"/>
      </w:pPr>
      <w:r>
        <w:t>P3 — Recepción, almacenamiento e inventario. Rotación de inventario está bien documentada (contabilidad de gestión, sistema uniforme de cuentas). Los indicadores de merma/pérdida de alimento provienen de FAO/UNEP (Food Loss Index / Food Waste Index, SDG 12.3.1), pero su marco es macro (país/sector) y la merma como macroproceso está fuera de la baseline bajo GOEI-ISS-043. Cobertura media con reserva. [NORMA/EVIDENCIA]</w:t>
      </w:r>
    </w:p>
    <w:p>
      <w:pPr>
        <w:pStyle w:val="ListBullet"/>
      </w:pPr>
      <w:r>
        <w:t>P4 — Producción / preparación. OEE (Nakajima) y rendimiento de producción y cubiertos por hora-hombre (Spears &amp; Gregoire) están documentados; food cost % (sistema uniforme de cuentas) toca P4 y P9. Cobertura alta. Condicionada por FX-2 (sistema de producción). [EVIDENCIA]</w:t>
      </w:r>
    </w:p>
    <w:p>
      <w:pPr>
        <w:pStyle w:val="ListBullet"/>
      </w:pPr>
      <w:r>
        <w:t>P5 — Distribución / servicio / cumplimiento. El plano mejor cubierto: RevPASH y rotación de mesas (Kimes et al.), tiempo de ciclo y pedido perfecto (SCOR), y DINESERV (Stevens, Knutson &amp; Patton) como escala de calidad percibida. Cobertura alta. Condicionada por FX-1 (modalidad de servicio/entrega). [EVIDENCIA/NORMA]</w:t>
      </w:r>
    </w:p>
    <w:p>
      <w:pPr>
        <w:pStyle w:val="ListBullet"/>
      </w:pPr>
      <w:r>
        <w:t>P6 — Transacción / cierre. Cheque promedio, ventas por asiento, margen bruto (sistema uniforme de cuentas) para el caso comercial; costo por comida servida (foodservice institucional) para el caso no comercial. Cobertura alta. Condicionada por FX-3 (naturaleza económica). [EVIDENCIA]</w:t>
      </w:r>
    </w:p>
    <w:p>
      <w:pPr>
        <w:pStyle w:val="ListBullet"/>
      </w:pPr>
      <w:r>
        <w:t>P7 — Inocuidad, higiene y sanitización. Codex CXC 1-1969 (principios generales de higiene, HACCP) y el FDA Food Code aportan indicadores de conformidad de límite crítico/CCP, control de temperatura e higiene de manipuladores; los puntajes de inspección sanitaria son de organismos regulatorios. Cobertura media-alta, heterogénea por jurisdicción; recuérdese el doble rol de inocuidad (proceso transversal y restricción crítica AX-4) señalado por GOEI-ISS-015. [NORMA]</w:t>
      </w:r>
    </w:p>
    <w:p>
      <w:pPr>
        <w:pStyle w:val="ListBullet"/>
      </w:pPr>
      <w:r>
        <w:t>P8 — Mantenimiento de equipos e instalación. EN 15341:2019 aporta MTBF, MTTR y disponibilidad como KPI de mantenimiento normalizados; OEE (compartido con P4) integra disponibilidad. Cobertura alta (norma dedicada). [NORMA]</w:t>
      </w:r>
    </w:p>
    <w:p>
      <w:pPr>
        <w:pStyle w:val="ListBullet"/>
      </w:pPr>
      <w:r>
        <w:t>P9 — Gestión y control. Prime cost %, labor cost % y margen operativo/EBITDA (sistema uniforme de cuentas); rotación de personal (ISO 30414); el Balanced Scorecard (Kaplan &amp; Norton) es un marco, no un KPI puntuable. Cobertura alta en lo económico-financiero, con nota de que BSC no es una métrica única. [NORMA/EVIDENCIA/MARCO]</w:t>
      </w:r>
    </w:p>
    <w:p>
      <w:pPr>
        <w:spacing w:after="40"/>
      </w:pPr>
    </w:p>
    <w:p>
      <w:pPr>
        <w:pStyle w:val="Heading3"/>
      </w:pPr>
      <w:r>
        <w:t>5. Relación con el alcance estructural FX-1/FX-2/FX-3 — [ANÁLISIS]</w:t>
      </w:r>
    </w:p>
    <w:p>
      <w:pPr>
        <w:spacing w:after="40"/>
      </w:pPr>
    </w:p>
    <w:p>
      <w:r>
        <w:t>Conforme a GOEI-DIR-RES-0002 §"Alcance ratificado", las facetas condicionan la realización de procesos, sin alterar su identidad. Por tanto, la asociación indicador→faceta se declara como condicionamiento de aplicabilidad al nivel de identidad de faceta, nunca de valor concreto:</w:t>
      </w:r>
    </w:p>
    <w:p>
      <w:pPr>
        <w:spacing w:after="40"/>
      </w:pPr>
    </w:p>
    <w:p>
      <w:pPr>
        <w:pStyle w:val="ListBullet"/>
      </w:pPr>
      <w:r>
        <w:t>FX-1 (modalidad de servicio/entrega) → realiza P5: RevPASH, rotación de mesas, pedido perfecto, tiempo de ciclo, DINESERV. La forma de medir (p. ej., asiento-hora frente a pedido entregado) depende de la modalidad, cuyos valores están bajo GOEI-ISS-054.</w:t>
      </w:r>
    </w:p>
    <w:p>
      <w:pPr>
        <w:pStyle w:val="ListBullet"/>
      </w:pPr>
      <w:r>
        <w:t>FX-2 (sistema de producción) → realiza P4–P5: OEE, rendimiento de producción, cubiertos por hora-hombre. La comparabilidad entre sistemas (convencional/cook-chill/commissary/assembly-serve) queda para B4/validación.</w:t>
      </w:r>
    </w:p>
    <w:p>
      <w:pPr>
        <w:pStyle w:val="ListBullet"/>
      </w:pPr>
      <w:r>
        <w:t>FX-3 (naturaleza económica) → realiza P6: cheque promedio y ventas por asiento (comercial) frente a costo por comida servida (no comercial/institucional). La dualidad venta/requisición determina qué familia de indicadores es aplicable.</w:t>
      </w:r>
    </w:p>
    <w:p>
      <w:pPr>
        <w:spacing w:after="40"/>
      </w:pPr>
    </w:p>
    <w:p>
      <w:r>
        <w:t>Ningún candidato se asigna a una categoría concreta; sólo se declara la faceta que condiciona su realización. Esto preserva la baseline taxonómica y respeta GOEI-ISS-054.</w:t>
      </w:r>
    </w:p>
    <w:p>
      <w:pPr>
        <w:spacing w:after="40"/>
      </w:pPr>
    </w:p>
    <w:p>
      <w:pPr>
        <w:pStyle w:val="Heading3"/>
      </w:pPr>
      <w:r>
        <w:t>6. Duplicados, sinónimos y solapamientos — [ANÁLISIS]</w:t>
      </w:r>
    </w:p>
    <w:p>
      <w:pPr>
        <w:spacing w:after="40"/>
      </w:pPr>
    </w:p>
    <w:p>
      <w:pPr>
        <w:pStyle w:val="ListBullet"/>
      </w:pPr>
      <w:r>
        <w:t>OEE aparece en P4 (efectividad de producción) y P8 (disponibilidad de equipo); es el mismo constructo con dos lecturas de proceso.</w:t>
      </w:r>
    </w:p>
    <w:p>
      <w:pPr>
        <w:pStyle w:val="ListBullet"/>
      </w:pPr>
      <w:r>
        <w:t>Food cost % (P4/P9) es componente de Prime cost % (P9); no son independientes.</w:t>
      </w:r>
    </w:p>
    <w:p>
      <w:pPr>
        <w:pStyle w:val="ListBullet"/>
      </w:pPr>
      <w:r>
        <w:t>RevPASH (P5) subsume la información de ventas por asiento (P6) añadiendo el eje temporal; se registran como solapados, no idénticos.</w:t>
      </w:r>
    </w:p>
    <w:p>
      <w:pPr>
        <w:pStyle w:val="ListBullet"/>
      </w:pPr>
      <w:r>
        <w:t>Cheque promedio (P6) y ventas por asiento (P6) comparten numerador (ventas) con denominadores distintos (cubiertos vs. asientos).</w:t>
      </w:r>
    </w:p>
    <w:p>
      <w:pPr>
        <w:pStyle w:val="ListBullet"/>
      </w:pPr>
      <w:r>
        <w:t>Food Loss Index y Food Waste Index (P3) son sub-indicadores del mismo objetivo SDG 12.3.1 con distinto alcance de cadena.</w:t>
      </w:r>
    </w:p>
    <w:p>
      <w:pPr>
        <w:spacing w:after="40"/>
      </w:pPr>
    </w:p>
    <w:p>
      <w:r>
        <w:t>Estos vínculos se listan en el catálogo por candidato y no se resuelven aquí: la de-duplicación normativa es materia de B4.</w:t>
      </w:r>
    </w:p>
    <w:p>
      <w:pPr>
        <w:spacing w:after="40"/>
      </w:pPr>
    </w:p>
    <w:p>
      <w:pPr>
        <w:pStyle w:val="Heading3"/>
      </w:pPr>
      <w:r>
        <w:t>7. Cobertura y vacíos — [ANÁLISIS]</w:t>
      </w:r>
    </w:p>
    <w:p>
      <w:pPr>
        <w:spacing w:after="40"/>
      </w:pPr>
    </w:p>
    <w:p>
      <w:r>
        <w:t>La matriz completa está en 05_Catalogo_KPI/GOEI_Matriz_Cobertura_KPI_Candidatos_B3.md. Síntesis:</w:t>
      </w:r>
    </w:p>
    <w:p>
      <w:pPr>
        <w:spacing w:after="40"/>
      </w:pPr>
    </w:p>
    <w:p>
      <w:pPr>
        <w:pStyle w:val="ListBullet"/>
      </w:pPr>
      <w:r>
        <w:t>Cobertura alta: P4, P5, P6, P8.</w:t>
      </w:r>
    </w:p>
    <w:p>
      <w:pPr>
        <w:pStyle w:val="ListBullet"/>
      </w:pPr>
      <w:r>
        <w:t>Cobertura media: P2, P3, P7, P9 (esta última alta en lo económico, con BSC no puntuable).</w:t>
      </w:r>
    </w:p>
    <w:p>
      <w:pPr>
        <w:pStyle w:val="ListBullet"/>
      </w:pPr>
      <w:r>
        <w:t>Cobertura parcial / vacío destacado: P1 (falta indicador documentado y cerrado de exactitud de pronóstico de demanda a nivel de establecimiento).</w:t>
      </w:r>
    </w:p>
    <w:p>
      <w:pPr>
        <w:pStyle w:val="ListBullet"/>
      </w:pPr>
      <w:r>
        <w:t>Vacíos transversales: dependencia de fuentes genéricas no gastronómicas en P2 (SCOR) y P9 (ISO 30414, BSC); heterogeneidad jurisdiccional de los puntajes de inspección en P7; y el hecho de que ningún indicador de merma puede promoverse como proceso mientras GOEI-ISS-043 siga abierto.</w:t>
      </w:r>
    </w:p>
    <w:p>
      <w:pPr>
        <w:pStyle w:val="ListBullet"/>
      </w:pPr>
      <w:r>
        <w:t>Vacío metodológico global: ausencia de PRISMA (búsqueda no exhaustiva).</w:t>
      </w:r>
    </w:p>
    <w:p>
      <w:pPr>
        <w:spacing w:after="40"/>
      </w:pPr>
    </w:p>
    <w:p>
      <w:pPr>
        <w:pStyle w:val="Heading3"/>
      </w:pPr>
      <w:r>
        <w:t>8. Limitaciones, sesgos e Issues abiertos por B3</w:t>
      </w:r>
    </w:p>
    <w:p>
      <w:pPr>
        <w:spacing w:after="40"/>
      </w:pPr>
    </w:p>
    <w:p>
      <w:pPr>
        <w:pStyle w:val="ListBullet"/>
      </w:pPr>
      <w:r>
        <w:t>Búsqueda no exhaustiva (no PRISMA). Riesgo de omisión de indicadores; propuesta de Issue nuevo GOEI-ISS-055 (revisión sistemática PRISMA del universo de KPI antes de fijar admisibilidad).</w:t>
      </w:r>
    </w:p>
    <w:p>
      <w:pPr>
        <w:pStyle w:val="ListBullet"/>
      </w:pPr>
      <w:r>
        <w:t>Vacío P1. Propuesta de Issue nuevo GOEI-ISS-056 (indicadores documentados de planificación/pronóstico de demanda específicos de foodservice).</w:t>
      </w:r>
    </w:p>
    <w:p>
      <w:pPr>
        <w:pStyle w:val="ListBullet"/>
      </w:pPr>
      <w:r>
        <w:t>Dependencia de fuentes genéricas (SCOR, ISO 30414, BSC) que requieren adaptación de dominio: propuesta de Issue GOEI-ISS-057.</w:t>
      </w:r>
    </w:p>
    <w:p>
      <w:pPr>
        <w:pStyle w:val="ListBullet"/>
      </w:pPr>
      <w:r>
        <w:t>Heterogeneidad jurisdiccional de P7 (puntajes de inspección no comparables entre jurisdicciones): propuesta de Issue GOEI-ISS-058.</w:t>
      </w:r>
    </w:p>
    <w:p>
      <w:pPr>
        <w:pStyle w:val="ListBullet"/>
      </w:pPr>
      <w:r>
        <w:t>Sesgo hacia foodservice comercial occidental y hacia lo publicable en inglés; subrepresentación del sector informal y no comercial (se hereda de B1/B2).</w:t>
      </w:r>
    </w:p>
    <w:p>
      <w:pPr>
        <w:pStyle w:val="ListBullet"/>
      </w:pPr>
      <w:r>
        <w:t>Ramas bloqueadas heredadas: GOEI-ISS-008 (agregación multiunidad/multi-marca/flujo) y GOEI-ISS-054 (valores concretos de faceta) bloquean selectivamente todo candidato o lectura que dependa de ellos. GOEI-ISS-043 (merma) y GOEI-ISS-015 (doble rol inocuidad) se registran como reservas, no como bloqueos de B3.</w:t>
      </w:r>
    </w:p>
    <w:p>
      <w:pPr>
        <w:spacing w:after="40"/>
      </w:pPr>
    </w:p>
    <w:p>
      <w:pPr>
        <w:pStyle w:val="Heading3"/>
      </w:pPr>
      <w:r>
        <w:t>9. Qué queda para B4 y fases posteriores</w:t>
      </w:r>
    </w:p>
    <w:p>
      <w:pPr>
        <w:spacing w:after="40"/>
      </w:pPr>
    </w:p>
    <w:p>
      <w:pPr>
        <w:pStyle w:val="ListBullet"/>
      </w:pPr>
      <w:r>
        <w:t>B4 (admisibilidad): qué candidatos satisfacen criterios científicos, con qué evidencia, y para qué dominio de facetas/valores. La de-duplicación, la elección entre solapados y la aceptación de fuentes genéricas se deciden allí.</w:t>
      </w:r>
    </w:p>
    <w:p>
      <w:pPr>
        <w:pStyle w:val="ListBullet"/>
      </w:pPr>
      <w:r>
        <w:t>B5–B8: definiciones operacionales cerradas, unidades, referencias, normalización, pesos e interpretación. Nada de esto se anticipa en B3.</w:t>
      </w:r>
    </w:p>
    <w:p>
      <w:pPr>
        <w:pStyle w:val="ListBullet"/>
      </w:pPr>
      <w:r>
        <w:t>GTRM / referencias: no se crean; dependen de DS-GTRM y de la resolución de GOEI-ISS-054.</w:t>
      </w:r>
    </w:p>
    <w:p>
      <w:pPr>
        <w:spacing w:after="40"/>
      </w:pPr>
    </w:p>
    <w:p>
      <w:r>
        <w:t>---</w:t>
      </w:r>
    </w:p>
    <w:p>
      <w:pPr>
        <w:spacing w:after="40"/>
      </w:pPr>
    </w:p>
    <w:p>
      <w:pPr>
        <w:pStyle w:val="Heading3"/>
      </w:pPr>
      <w:r>
        <w:t>10. Declaración de suficiencia (del Comité, para esta versión 0.1.0)</w:t>
      </w:r>
    </w:p>
    <w:p>
      <w:pPr>
        <w:spacing w:after="40"/>
      </w:pPr>
    </w:p>
    <w:p>
      <w:r>
        <w:t>El Comité declara finalizada su revisión de universo candidato para la versión 0.1.0, con las siguientes salvedades expresas: (i) la búsqueda es estructurada pero no exhaustiva/PRISMA; (ii) existe un vacío en P1; (iii) parte de la cobertura descansa en fuentes genéricas a adaptar; (iv) toda agregación multiunidad y todo valor de faceta permanecen bloqueados por GOEI-ISS-008 y GOEI-ISS-054. Con esas salvedades, el inventario es suficiente como insumo candidato de B4 y no constituye aprobación de ningún KPI. Se recomienda elevar a decisión directiva D-018 el cierre limitado de B3 (ver handoff GOEI_SCI_HANDOFF_D018_Cierre_B3.md).</w:t>
      </w:r>
    </w:p>
    <w:p>
      <w:pPr>
        <w:spacing w:after="40"/>
      </w:pPr>
    </w:p>
    <w:p>
      <w:r>
        <w:t>---</w:t>
      </w:r>
    </w:p>
    <w:p>
      <w:pPr>
        <w:spacing w:after="40"/>
      </w:pPr>
    </w:p>
    <w:p>
      <w:pPr>
        <w:pStyle w:val="Heading4"/>
      </w:pPr>
      <w:r>
        <w:t>Referencias (APA 7)</w:t>
      </w:r>
    </w:p>
    <w:p>
      <w:pPr>
        <w:spacing w:after="40"/>
      </w:pPr>
    </w:p>
    <w:p>
      <w:pPr>
        <w:pStyle w:val="ListBullet"/>
      </w:pPr>
      <w:r>
        <w:t>Association for Supply Chain Management. (2022). SCOR Digital Standard (Version 14.0). ASCM. https://scor.ascm.org/ ; https://www.ascm.org/globalassets/ascm_website_assets/docs/intro-and-front-matter-scor-digital-standard2.pdf</w:t>
      </w:r>
    </w:p>
    <w:p>
      <w:pPr>
        <w:pStyle w:val="ListBullet"/>
      </w:pPr>
      <w:r>
        <w:t>Codex Alimentarius Commission. (2020). General principles of food hygiene (CXC 1-1969, Rev. 2020). FAO/WHO. https://www.fao.org/fao-who-codexalimentarius/</w:t>
      </w:r>
    </w:p>
    <w:p>
      <w:pPr>
        <w:pStyle w:val="ListBullet"/>
      </w:pPr>
      <w:r>
        <w:t>European Committee for Standardization. (2019). EN 15341:2019 — Maintenance — Maintenance key performance indicators. CEN. https://standards.cencenelec.eu/</w:t>
      </w:r>
    </w:p>
    <w:p>
      <w:pPr>
        <w:pStyle w:val="ListBullet"/>
      </w:pPr>
      <w:r>
        <w:t>Food and Agriculture Organization of the United Nations. (2019). The state of food and agriculture 2019: Moving forward on food loss and waste reduction. FAO. https://www.fao.org/sustainable-development-goals-data-portal/data/indicators/1231-global-food-losses/en</w:t>
      </w:r>
    </w:p>
    <w:p>
      <w:pPr>
        <w:pStyle w:val="ListBullet"/>
      </w:pPr>
      <w:r>
        <w:t>Gregoire, M. B., &amp; Spears, M. C. (2007). Foodservice organizations: A managerial and systems approach (6th ed.). Pearson.</w:t>
      </w:r>
    </w:p>
    <w:p>
      <w:pPr>
        <w:pStyle w:val="ListBullet"/>
      </w:pPr>
      <w:r>
        <w:t>International Organization for Standardization. (2018). ISO 30414:2018 — Human resource management — Guidelines for internal and external human capital reporting. ISO. https://www.iso.org/standard/69338.html</w:t>
      </w:r>
    </w:p>
    <w:p>
      <w:pPr>
        <w:pStyle w:val="ListBullet"/>
      </w:pPr>
      <w:r>
        <w:t>Kaplan, R. S., &amp; Norton, D. P. (1992). The balanced scorecard—Measures that drive performance. Harvard Business Review, 70(1), 71–79.</w:t>
      </w:r>
    </w:p>
    <w:p>
      <w:pPr>
        <w:pStyle w:val="ListBullet"/>
      </w:pPr>
      <w:r>
        <w:t>Kasavana, M. L., &amp; Smith, D. J. (1982). Menu engineering: A practical guide to menu analysis. Hospitality Publishers.</w:t>
      </w:r>
    </w:p>
    <w:p>
      <w:pPr>
        <w:pStyle w:val="ListBullet"/>
      </w:pPr>
      <w:r>
        <w:t>Kimes, S. E., Chase, R. B., Choi, S., Lee, P. Y., &amp; Ngonzi, E. N. (1998). Restaurant revenue management: Applying yield management to the restaurant industry. Cornell Hotel and Restaurant Administration Quarterly, 39(3), 32–39. https://doi.org/10.1177/001088049803900308</w:t>
      </w:r>
    </w:p>
    <w:p>
      <w:pPr>
        <w:pStyle w:val="ListBullet"/>
      </w:pPr>
      <w:r>
        <w:t>Nakajima, S. (1988). Introduction to TPM: Total productive maintenance. Productivity Press.</w:t>
      </w:r>
    </w:p>
    <w:p>
      <w:pPr>
        <w:pStyle w:val="ListBullet"/>
      </w:pPr>
      <w:r>
        <w:t>National Restaurant Association. (2012). Uniform system of accounts for restaurants (8th ed.). National Restaurant Association.</w:t>
      </w:r>
    </w:p>
    <w:p>
      <w:pPr>
        <w:pStyle w:val="ListBullet"/>
      </w:pPr>
      <w:r>
        <w:t>Organisation for Economic Co-operation and Development, &amp; Joint Research Centre. (2008). Handbook on constructing composite indicators: Methodology and user guide. OECD Publishing. https://doi.org/10.1787/9789264043466-en</w:t>
      </w:r>
    </w:p>
    <w:p>
      <w:pPr>
        <w:pStyle w:val="ListBullet"/>
      </w:pPr>
      <w:r>
        <w:t>Stevens, P., Knutson, B., &amp; Patton, M. (1995). DINESERV: A tool for measuring service quality in restaurants. Cornell Hotel and Restaurant Administration Quarterly, 36(2), 56–60. https://doi.org/10.1177/001088049503600226</w:t>
      </w:r>
    </w:p>
    <w:p>
      <w:pPr>
        <w:pStyle w:val="ListBullet"/>
      </w:pPr>
      <w:r>
        <w:t>U.S. Food and Drug Administration. (2022). Food Code 2022. FDA. https://www.fda.gov/food/fda-food-code/food-code-2022</w:t>
      </w:r>
    </w:p>
    <w:p>
      <w:pPr>
        <w:spacing w:after="40"/>
      </w:pPr>
    </w:p>
    <w:p>
      <w:r>
        <w:t>Documento consultivo. No modifica registros maestros, baselines, BOK, tesis ni software. La adopción requiere auditoría técnica, ratificación directiva e integración controlada. Aceptar el universo candidato no aprueba ningún KPI.</w:t>
      </w:r>
    </w:p>
    <w:p>
      <w:r>
        <w:br w:type="page"/>
      </w:r>
    </w:p>
    <w:p>
      <w:pPr>
        <w:pStyle w:val="Heading1"/>
        <w:keepNext/>
      </w:pPr>
      <w:r>
        <w:t>Fuente 81: 01_Estado_del_arte/Informe_Comite_Evaluador_GOEI.md</w:t>
      </w:r>
    </w:p>
    <w:p>
      <w:pPr>
        <w:spacing w:after="200"/>
      </w:pPr>
      <w:r>
        <w:rPr>
          <w:rFonts w:ascii="Consolas" w:hAnsi="Consolas"/>
          <w:color w:val="595959"/>
          <w:sz w:val="16"/>
        </w:rPr>
        <w:t>Ruta: 01_Estado_del_arte/Informe_Comite_Evaluador_GOEI.md</w:t>
        <w:br/>
        <w:t>Tamaño: 23949 bytes</w:t>
        <w:br/>
        <w:t>SHA-256: 4212c30bcfc757c7860b18689c60db79f57fd41524c05f302f801049a8b36f65</w:t>
      </w:r>
    </w:p>
    <w:p>
      <w:pPr>
        <w:pStyle w:val="Heading2"/>
      </w:pPr>
      <w:r>
        <w:t>Informe del Comité Científico Evaluador</w:t>
      </w:r>
    </w:p>
    <w:p>
      <w:pPr>
        <w:pStyle w:val="Heading3"/>
      </w:pPr>
      <w:r>
        <w:t>Sobre la justificación y viabilidad del GOEI (Gastronomic Operational Efficiency Index)</w:t>
      </w:r>
    </w:p>
    <w:p>
      <w:pPr>
        <w:spacing w:after="40"/>
      </w:pPr>
    </w:p>
    <w:p>
      <w:r>
        <w:t>Naturaleza del documento: dictamen crítico ex ante, emitido bajo el estándar de exigencia de un panel de revisión Q1 / agencia de normalización.</w:t>
      </w:r>
    </w:p>
    <w:p>
      <w:r>
        <w:t>Mandato: no diseñar el índice, sino determinar si existe un problema científico y práctico que justifique su existencia.</w:t>
      </w:r>
    </w:p>
    <w:p>
      <w:r>
        <w:t>Postura adoptada: adversarial. El comité intenta refutar la necesidad del GOEI; solo lo que sobreviva a la refutación puede continuar.</w:t>
      </w:r>
    </w:p>
    <w:p>
      <w:r>
        <w:t>Fecha: 4 de agosto de 2026.</w:t>
      </w:r>
    </w:p>
    <w:p>
      <w:pPr>
        <w:spacing w:after="40"/>
      </w:pPr>
    </w:p>
    <w:p>
      <w:pPr>
        <w:spacing w:after="100"/>
        <w:ind w:left="360" w:right="216"/>
      </w:pPr>
      <w:r>
        <w:rPr>
          <w:i/>
          <w:color w:val="595959"/>
        </w:rPr>
        <w:t>Advertencia de estatus epistémico. A lo largo del informe se etiqueta cada afirmación como</w:t>
      </w:r>
    </w:p>
    <w:p>
      <w:pPr>
        <w:spacing w:after="100"/>
        <w:ind w:left="360" w:right="216"/>
      </w:pPr>
      <w:r>
        <w:rPr>
          <w:i/>
          <w:color w:val="595959"/>
        </w:rPr>
        <w:t>[EVIDENCIA] (bibliografía revisada o norma), [CONSENSO] (acuerdo profesional no formalizado),</w:t>
      </w:r>
    </w:p>
    <w:p>
      <w:pPr>
        <w:spacing w:after="100"/>
        <w:ind w:left="360" w:right="216"/>
      </w:pPr>
      <w:r>
        <w:rPr>
          <w:i/>
          <w:color w:val="595959"/>
        </w:rPr>
        <w:t>[DATO] (empírico verificable) o [PROPUESTA] (juicio provisional del comité, aún no validado).</w:t>
      </w:r>
    </w:p>
    <w:p>
      <w:pPr>
        <w:spacing w:after="100"/>
        <w:ind w:left="360" w:right="216"/>
      </w:pPr>
      <w:r>
        <w:rPr>
          <w:i/>
          <w:color w:val="595959"/>
        </w:rPr>
        <w:t>Ningún número se presenta como definitivo.</w:t>
      </w:r>
    </w:p>
    <w:p>
      <w:pPr>
        <w:spacing w:after="40"/>
      </w:pPr>
    </w:p>
    <w:p>
      <w:r>
        <w:t>---</w:t>
      </w:r>
    </w:p>
    <w:p>
      <w:pPr>
        <w:spacing w:after="40"/>
      </w:pPr>
    </w:p>
    <w:p>
      <w:pPr>
        <w:pStyle w:val="Heading3"/>
      </w:pPr>
      <w:r>
        <w:t>A. Resumen Ejecutivo</w:t>
      </w:r>
    </w:p>
    <w:p>
      <w:pPr>
        <w:spacing w:after="40"/>
      </w:pPr>
    </w:p>
    <w:p>
      <w:r>
        <w:t>El comité examinó si el GOEI resuelve un problema real, no resuelto, y si su eventual contribución es científicamente original y normativamente admisible.</w:t>
      </w:r>
    </w:p>
    <w:p>
      <w:pPr>
        <w:spacing w:after="40"/>
      </w:pPr>
    </w:p>
    <w:p>
      <w:r>
        <w:t>Conclusión principal: el problema práctico que el GOEI dice atacar —la ausencia de una medida única, estandarizada, comparable, auditable y calculable manualmente de la "salud operacional" de un establecimiento gastronómico— existe parcialmente y no está plenamente resuelto. Ningún instrumento existente combina simultáneamente (i) cobertura multidimensional operacional, (ii) estandarización comparable entre establecimientos heterogéneos, (iii) auditabilidad, y (iv) cálculo manual sin tecnología. Sin embargo, cada una de esas propiedades por separado ya está cubierta por instrumentos maduros (Balanced Scorecard, DEA, OEE, KPIs de foodservice, SERVQUAL/DINESERV, sistemas de inspección sanitaria). La brecha, por tanto, no es de existencia de métricas sino de integración estandarizada. Esa es una brecha mucho más estrecha —y mucho más difícil de defender— que la que sugiere la narrativa fundacional del proyecto.</w:t>
      </w:r>
    </w:p>
    <w:p>
      <w:pPr>
        <w:spacing w:after="40"/>
      </w:pPr>
    </w:p>
    <w:p>
      <w:r>
        <w:t>Conclusión de rechazo condicional: en su estado actual, un revisor exigente rechazaría el proyecto, no por falta de interés del tema, sino por cuatro defectos que hoy son fatales: (1) el constructo "eficiencia operacional gastronómica" no está definido de forma que lo distinga operacionalmente de "desempeño", "productividad", "calidad" o "rentabilidad"; (2) no se ha demostrado que un índice compuesto sea la forma correcta de representarlo, frente a la crítica establecida de que los índices compuestos "pueden construirse para contar cualquier historia" si no se someten a análisis de robustez ([EVIDENCIA], OECD/JRC 2008); (3) no existe todavía criterio de validación —¿contra qué se valida el GOEI, si no hay un "verdadero" nivel de eficiencia observable?; (4) la restricción de "calculable manualmente" entra en tensión directa con el rigor estadístico que exige un estándar internacional.</w:t>
      </w:r>
    </w:p>
    <w:p>
      <w:pPr>
        <w:spacing w:after="40"/>
      </w:pPr>
    </w:p>
    <w:p>
      <w:r>
        <w:t>Veredicto: revise and resubmit, no accept. El proyecto merece continuar solo si acepta reducir su ambición retórica (de "nuevo estándar internacional" a "protocolo de medición integrada validable") y si resuelve, antes de diseñar un solo KPI, las cinco condiciones mínimas del capítulo H.</w:t>
      </w:r>
    </w:p>
    <w:p>
      <w:pPr>
        <w:spacing w:after="40"/>
      </w:pPr>
    </w:p>
    <w:p>
      <w:r>
        <w:t>---</w:t>
      </w:r>
    </w:p>
    <w:p>
      <w:pPr>
        <w:spacing w:after="40"/>
      </w:pPr>
    </w:p>
    <w:p>
      <w:pPr>
        <w:pStyle w:val="Heading3"/>
      </w:pPr>
      <w:r>
        <w:t>B. Estado actual del conocimiento</w:t>
      </w:r>
    </w:p>
    <w:p>
      <w:pPr>
        <w:spacing w:after="40"/>
      </w:pPr>
    </w:p>
    <w:p>
      <w:r>
        <w:t>El campo de la medición del desempeño gastronómico y operacional no está vacío. Está poblado por al menos siete familias de instrumentos maduros. Presentar el GOEI como si llegara a un terreno virgen sería el primer error fatal ante un revisor.</w:t>
      </w:r>
    </w:p>
    <w:p>
      <w:pPr>
        <w:spacing w:after="40"/>
      </w:pPr>
    </w:p>
    <w:p>
      <w:pPr>
        <w:pStyle w:val="Heading4"/>
      </w:pPr>
      <w:r>
        <w:t>B.1 Familias de instrumentos existentes</w:t>
      </w:r>
    </w:p>
    <w:p>
      <w:pPr>
        <w:spacing w:after="40"/>
      </w:pPr>
    </w:p>
    <w:p>
      <w:pPr>
        <w:spacing w:after="20" w:line="240" w:lineRule="auto"/>
      </w:pPr>
      <w:r>
        <w:rPr>
          <w:rFonts w:ascii="Consolas" w:hAnsi="Consolas"/>
          <w:sz w:val="14"/>
        </w:rPr>
        <w:t>| Familia | Qué mide | Origen / referencia | Naturaleza |</w:t>
      </w:r>
    </w:p>
    <w:p>
      <w:pPr>
        <w:spacing w:after="20" w:line="240" w:lineRule="auto"/>
      </w:pPr>
      <w:r>
        <w:rPr>
          <w:rFonts w:ascii="Consolas" w:hAnsi="Consolas"/>
          <w:sz w:val="14"/>
        </w:rPr>
        <w:t>|---|---|---|---|</w:t>
      </w:r>
    </w:p>
    <w:p>
      <w:pPr>
        <w:spacing w:after="20" w:line="240" w:lineRule="auto"/>
      </w:pPr>
      <w:r>
        <w:rPr>
          <w:rFonts w:ascii="Consolas" w:hAnsi="Consolas"/>
          <w:sz w:val="14"/>
        </w:rPr>
        <w:t>| **Índices compuestos (metodología general)** | Agregación de indicadores heterogéneos en un número | OECD/JRC *Handbook* (Nardo, Saisana, Saltelli, Tarantola, 2008) | **[EVIDENCIA]** — norma metodológica de facto |</w:t>
      </w:r>
    </w:p>
    <w:p>
      <w:pPr>
        <w:spacing w:after="20" w:line="240" w:lineRule="auto"/>
      </w:pPr>
      <w:r>
        <w:rPr>
          <w:rFonts w:ascii="Consolas" w:hAnsi="Consolas"/>
          <w:sz w:val="14"/>
        </w:rPr>
        <w:t>| **OEE (Overall Equipment Effectiveness)** | Disponibilidad × Rendimiento × Calidad de un activo | Nakajima, TPM, años 1980 | **[EVIDENCIA]** — estándar industrial |</w:t>
      </w:r>
    </w:p>
    <w:p>
      <w:pPr>
        <w:spacing w:after="20" w:line="240" w:lineRule="auto"/>
      </w:pPr>
      <w:r>
        <w:rPr>
          <w:rFonts w:ascii="Consolas" w:hAnsi="Consolas"/>
          <w:sz w:val="14"/>
        </w:rPr>
        <w:t>| **Balanced Scorecard** | Desempeño multidimensional (financiero, cliente, procesos, aprendizaje) | Kaplan &amp; Norton, 1992 | **[EVIDENCIA]** — marco de gestión dominante |</w:t>
      </w:r>
    </w:p>
    <w:p>
      <w:pPr>
        <w:spacing w:after="20" w:line="240" w:lineRule="auto"/>
      </w:pPr>
      <w:r>
        <w:rPr>
          <w:rFonts w:ascii="Consolas" w:hAnsi="Consolas"/>
          <w:sz w:val="14"/>
        </w:rPr>
        <w:t>| **DEA (Data Envelopment Analysis)** | Eficiencia relativa de unidades (DMU) frente a una frontera | Charnes, Cooper, Rhodes, 1978; aplicado a restaurantes en múltiples estudios | **[EVIDENCIA]** — método econométrico de eficiencia |</w:t>
      </w:r>
    </w:p>
    <w:p>
      <w:pPr>
        <w:spacing w:after="20" w:line="240" w:lineRule="auto"/>
      </w:pPr>
      <w:r>
        <w:rPr>
          <w:rFonts w:ascii="Consolas" w:hAnsi="Consolas"/>
          <w:sz w:val="14"/>
        </w:rPr>
        <w:t>| **KPIs de foodservice** | Prime cost, food cost %, labor %, RevPASH, table turn | RevPASH: Kimes, Cornell | **[EVIDENCIA]** / **[CONSENSO]** industrial |</w:t>
      </w:r>
    </w:p>
    <w:p>
      <w:pPr>
        <w:spacing w:after="20" w:line="240" w:lineRule="auto"/>
      </w:pPr>
      <w:r>
        <w:rPr>
          <w:rFonts w:ascii="Consolas" w:hAnsi="Consolas"/>
          <w:sz w:val="14"/>
        </w:rPr>
        <w:t>| **Calidad de servicio** | Brecha expectativa-percepción en 5 dimensiones | SERVQUAL (Parasuraman et al.); DINESERV (Stevens, Knutson, Patton, 1995) | **[EVIDENCIA]** — instrumentos psicométricos validados |</w:t>
      </w:r>
    </w:p>
    <w:p>
      <w:pPr>
        <w:spacing w:after="20" w:line="240" w:lineRule="auto"/>
      </w:pPr>
      <w:r>
        <w:rPr>
          <w:rFonts w:ascii="Consolas" w:hAnsi="Consolas"/>
          <w:sz w:val="14"/>
        </w:rPr>
        <w:t>| **Inocuidad / inspección sanitaria** | Cumplimiento de higiene y control de peligros | HACCP (FAO/Codex); sistemas de puntaje/grado de inspección; ISO 22000 | **[EVIDENCIA]** / norma |</w:t>
      </w:r>
    </w:p>
    <w:p>
      <w:pPr>
        <w:spacing w:after="40"/>
      </w:pPr>
    </w:p>
    <w:p>
      <w:pPr>
        <w:pStyle w:val="Heading4"/>
      </w:pPr>
      <w:r>
        <w:t>B.2 Lo que este panorama implica</w:t>
      </w:r>
    </w:p>
    <w:p>
      <w:pPr>
        <w:spacing w:after="40"/>
      </w:pPr>
    </w:p>
    <w:p>
      <w:r>
        <w:t>Primero, la eficiencia operacional de restaurantes ya se mide —y se mide bien— cuando se define de forma acotada. DEA es, literalmente, la herramienta científica canónica para "eficiencia operacional" de unidades comparables, y ha sido aplicada repetidamente a cadenas de restaurantes ([EVIDENCIA]). Un revisor preguntará de inmediato: ¿por qué un índice aditivo manual sería preferible a DEA, que ya entrega una frontera de eficiencia con fundamento en programación lineal?</w:t>
      </w:r>
    </w:p>
    <w:p>
      <w:pPr>
        <w:spacing w:after="40"/>
      </w:pPr>
    </w:p>
    <w:p>
      <w:r>
        <w:t>Segundo, la multidimensionalidad ya está resuelta conceptualmente por el Balanced Scorecard, que existe precisamente para no reducir el desempeño a lo financiero ([EVIDENCIA], Kaplan &amp; Norton 1992). El BSC, sin embargo, deliberadamente no colapsa las dimensiones en un solo número —y esa negativa es una decisión metodológica informada, no un olvido.</w:t>
      </w:r>
    </w:p>
    <w:p>
      <w:pPr>
        <w:spacing w:after="40"/>
      </w:pPr>
    </w:p>
    <w:p>
      <w:r>
        <w:t>Tercero, la metodología de construcción de índices compuestos está madura y es autocrítica. El Handbook OECD/JRC no es solo una guía: es también un catálogo de las trampas (normalización, ponderación, agregación, compensabilidad, robustez). La literatura advierte explícitamente que los índices compuestos sin análisis de sensibilidad "pueden construirse para contar cualquier historia" ([EVIDENCIA]). Esto es una espada apuntando al corazón del GOEI.</w:t>
      </w:r>
    </w:p>
    <w:p>
      <w:pPr>
        <w:spacing w:after="40"/>
      </w:pPr>
    </w:p>
    <w:p>
      <w:r>
        <w:t>Cuarto, incluso donde los instrumentos existen, su validez predictiva es discutida. Los puntajes de inspección sanitaria muestran resultados mixtos: correlacionan con brotes en algunos condados (Seattle-King) y no correlacionan en otros (Miami-Dade) ([EVIDENCIA]). Esto es una advertencia directa: un puntaje agregado y "auditable" puede carecer de valor predictivo real. El GOEI heredaría ese riesgo.</w:t>
      </w:r>
    </w:p>
    <w:p>
      <w:pPr>
        <w:spacing w:after="40"/>
      </w:pPr>
    </w:p>
    <w:p>
      <w:r>
        <w:t>---</w:t>
      </w:r>
    </w:p>
    <w:p>
      <w:pPr>
        <w:spacing w:after="40"/>
      </w:pPr>
    </w:p>
    <w:p>
      <w:pPr>
        <w:pStyle w:val="Heading3"/>
      </w:pPr>
      <w:r>
        <w:t>C. Problema científico identificado</w:t>
      </w:r>
    </w:p>
    <w:p>
      <w:pPr>
        <w:spacing w:after="40"/>
      </w:pPr>
    </w:p>
    <w:p>
      <w:r>
        <w:t>Es necesario separar el problema práctico (que puede ser real) del problema científico (que es el único que justifica investigación original).</w:t>
      </w:r>
    </w:p>
    <w:p>
      <w:pPr>
        <w:spacing w:after="40"/>
      </w:pPr>
    </w:p>
    <w:p>
      <w:pPr>
        <w:pStyle w:val="Heading4"/>
      </w:pPr>
      <w:r>
        <w:t>C.1 El problema práctico declarado</w:t>
      </w:r>
    </w:p>
    <w:p>
      <w:r>
        <w:t>"No existe una forma estandarizada, comparable, auditable y de bajo costo tecnológico de expresar la salud operacional integral de un establecimiento gastronómico, que permita compararlo consigo mismo en el tiempo y con pares de su categoría."</w:t>
      </w:r>
    </w:p>
    <w:p>
      <w:pPr>
        <w:spacing w:after="40"/>
      </w:pPr>
    </w:p>
    <w:p>
      <w:r>
        <w:t>El comité concede que este problema práctico es plausible y parcialmente real ([CONSENSO]). Ningún instrumento existente cumple las cuatro condiciones a la vez: DEA no es manual ni interpretable por un dueño de fonda; el BSC no produce un número comparable entre empresas; los KPIs de foodservice no están estandarizados ni normalizados a escala común; las inspecciones sanitarias cubren solo inocuidad.</w:t>
      </w:r>
    </w:p>
    <w:p>
      <w:pPr>
        <w:spacing w:after="40"/>
      </w:pPr>
    </w:p>
    <w:p>
      <w:pPr>
        <w:pStyle w:val="Heading4"/>
      </w:pPr>
      <w:r>
        <w:t>C.2 El problema científico real (mucho más estrecho)</w:t>
      </w:r>
    </w:p>
    <w:p>
      <w:r>
        <w:t>El problema científico no es "falta un índice". Es esta pregunta:</w:t>
      </w:r>
    </w:p>
    <w:p>
      <w:pPr>
        <w:spacing w:after="40"/>
      </w:pPr>
    </w:p>
    <w:p>
      <w:pPr>
        <w:spacing w:after="100"/>
        <w:ind w:left="360" w:right="216"/>
      </w:pPr>
      <w:r>
        <w:rPr>
          <w:i/>
          <w:color w:val="595959"/>
        </w:rPr>
        <w:t>¿Es "eficiencia operacional gastronómica" un constructo latente único, medible y unidimensionalizable de forma válida, o es un agregado de constructos distintos (costo, calidad, servicio, inocuidad, personas) cuya reducción a un solo número destruye información y crea artefactos?</w:t>
      </w:r>
    </w:p>
    <w:p>
      <w:pPr>
        <w:spacing w:after="40"/>
      </w:pPr>
    </w:p>
    <w:p>
      <w:r>
        <w:t>Esta es la pregunta que el proyecto todavía no ha formulado y que decide todo. Si la respuesta es "es un agregado de constructos distintos y en tensión", entonces un índice único es científicamente cuestionable por diseño, y el proyecto correcto sería un tablero (dashboard) normalizado, no un índice.</w:t>
      </w:r>
    </w:p>
    <w:p>
      <w:pPr>
        <w:spacing w:after="40"/>
      </w:pPr>
    </w:p>
    <w:p>
      <w:pPr>
        <w:pStyle w:val="Heading4"/>
      </w:pPr>
      <w:r>
        <w:t>C.3 Riesgo de tautología y de constructo vago</w:t>
      </w:r>
    </w:p>
    <w:p>
      <w:r>
        <w:t>"Eficiencia operacional" no está definida en el proyecto de forma que la separe de "productividad", "rentabilidad", "desempeño" o "calidad". Sin una definición operacional que fije qué cuenta como input y qué como output —la distinción básica de toda medida de eficiencia ([EVIDENCIA], tradición DEA/OEE)—, el GOEI corre el riesgo de ser un índice de "cosas buenas de un restaurante", que es exactamente el tipo de constructo que un revisor Q1 rechaza por vaguedad.</w:t>
      </w:r>
    </w:p>
    <w:p>
      <w:pPr>
        <w:spacing w:after="40"/>
      </w:pPr>
    </w:p>
    <w:p>
      <w:r>
        <w:t>---</w:t>
      </w:r>
    </w:p>
    <w:p>
      <w:pPr>
        <w:spacing w:after="40"/>
      </w:pPr>
    </w:p>
    <w:p>
      <w:pPr>
        <w:pStyle w:val="Heading3"/>
      </w:pPr>
      <w:r>
        <w:t>D. Brecha científica</w:t>
      </w:r>
    </w:p>
    <w:p>
      <w:pPr>
        <w:spacing w:after="40"/>
      </w:pPr>
    </w:p>
    <w:p>
      <w:r>
        <w:t>El comité distingue tres afirmaciones que el proyecto tiende a mezclar:</w:t>
      </w:r>
    </w:p>
    <w:p>
      <w:pPr>
        <w:spacing w:after="40"/>
      </w:pPr>
    </w:p>
    <w:p>
      <w:pPr>
        <w:pStyle w:val="ListNumber"/>
      </w:pPr>
      <w:r>
        <w:t>"No existe el GOEI" — verdadero pero trivial. La inexistencia de un nombre no es una brecha científica. ([PROPUESTA] rechazada como justificación.)</w:t>
      </w:r>
    </w:p>
    <w:p>
      <w:pPr>
        <w:pStyle w:val="ListNumber"/>
      </w:pPr>
      <w:r>
        <w:t>"No existe un índice que integre estas dimensiones para gastronomía" — probablemente verdadero ([CONSENSO]), pero es una brecha de ingeniería/integración, no necesariamente de ciencia.</w:t>
      </w:r>
    </w:p>
    <w:p>
      <w:pPr>
        <w:pStyle w:val="ListNumber"/>
      </w:pPr>
      <w:r>
        <w:t>"No se sabe si la eficiencia operacional gastronómica puede representarse válidamente como índice compuesto unidimensional" — esta sí es una brecha científica genuina ([PROPUESTA] del comité), porque es una pregunta de validez de constructo, empíricamente resoluble y publicable.</w:t>
      </w:r>
    </w:p>
    <w:p>
      <w:pPr>
        <w:spacing w:after="40"/>
      </w:pPr>
    </w:p>
    <w:p>
      <w:r>
        <w:t>Dictamen sobre la brecha: existe una brecha científica defendible, pero no es la que el proyecto cree tener. No es "falta el índice"; es "no está demostrado que el constructo sea indexable sin pérdida inaceptable de validez". Todo el valor académico del GOEI depende de reformular su pregunta central hacia (3).</w:t>
      </w:r>
    </w:p>
    <w:p>
      <w:pPr>
        <w:spacing w:after="40"/>
      </w:pPr>
    </w:p>
    <w:p>
      <w:r>
        <w:t>Riesgo adicional: la literatura de índices compuestos es tan extensa que la novedad metodológica del GOEI será cercana a cero. Normalización, ponderación y agregación son problemas resueltos en abstracto ([EVIDENCIA], OECD/JRC 2008). La única novedad posible es empírica y de dominio: demostrar qué estructura factorial tiene la eficiencia operacional gastronómica y qué reglas de agregación resisten análisis de robustez en este dominio específico.</w:t>
      </w:r>
    </w:p>
    <w:p>
      <w:pPr>
        <w:spacing w:after="40"/>
      </w:pPr>
    </w:p>
    <w:p>
      <w:r>
        <w:t>---</w:t>
      </w:r>
    </w:p>
    <w:p>
      <w:pPr>
        <w:spacing w:after="40"/>
      </w:pPr>
    </w:p>
    <w:p>
      <w:pPr>
        <w:pStyle w:val="Heading3"/>
      </w:pPr>
      <w:r>
        <w:t>E. Brecha industrial</w:t>
      </w:r>
    </w:p>
    <w:p>
      <w:pPr>
        <w:spacing w:after="40"/>
      </w:pPr>
    </w:p>
    <w:p>
      <w:r>
        <w:t>Aquí el caso es más fuerte que en la dimensión científica, y conviene no exagerarlo ni subestimarlo.</w:t>
      </w:r>
    </w:p>
    <w:p>
      <w:pPr>
        <w:spacing w:after="40"/>
      </w:pPr>
    </w:p>
    <w:p>
      <w:r>
        <w:t>A favor de la existencia de la brecha ([CONSENSO]):</w:t>
      </w:r>
    </w:p>
    <w:p>
      <w:pPr>
        <w:pStyle w:val="ListBullet"/>
      </w:pPr>
      <w:r>
        <w:t>Los KPIs de foodservice existen pero están fragmentados, sin normalización a escala común ni reglas de comparabilidad entre categorías (una cafetería vs. un restaurante de manteles largos vs. un dark kitchen).</w:t>
      </w:r>
    </w:p>
    <w:p>
      <w:pPr>
        <w:pStyle w:val="ListBullet"/>
      </w:pPr>
      <w:r>
        <w:t>DEA y BSC requieren analista experto; no son operables por el 90% de los establecimientos, que son PYMES sin capacidad técnica ([PROPUESTA], requiere dato).</w:t>
      </w:r>
    </w:p>
    <w:p>
      <w:pPr>
        <w:pStyle w:val="ListBullet"/>
      </w:pPr>
      <w:r>
        <w:t>La comparabilidad entre establecimientos heterogéneos es un problema real: no hay una unidad común que permita decir "este local está mejor operado que aquel" controlando por categoría.</w:t>
      </w:r>
    </w:p>
    <w:p>
      <w:pPr>
        <w:spacing w:after="40"/>
      </w:pPr>
    </w:p>
    <w:p>
      <w:r>
        <w:t>En contra (el comité debe ser honesto):</w:t>
      </w:r>
    </w:p>
    <w:p>
      <w:pPr>
        <w:pStyle w:val="ListBullet"/>
      </w:pPr>
      <w:r>
        <w:t>La demanda de mercado por un índice único no está demostrada. Los operadores quizá prefieran KPIs accionables individuales antes que un número agregado cuyo mecanismo no entienden. Falta evidencia de que alguien vaya a usar el GOEI. ([PROPUESTA], riesgo de "solución en busca de problema".)</w:t>
      </w:r>
    </w:p>
    <w:p>
      <w:pPr>
        <w:pStyle w:val="ListBullet"/>
      </w:pPr>
      <w:r>
        <w:t>Existen plataformas comerciales que ya integran KPIs en tableros. El GOEI competiría con ellas sin la ventaja de datos en tiempo real.</w:t>
      </w:r>
    </w:p>
    <w:p>
      <w:pPr>
        <w:spacing w:after="40"/>
      </w:pPr>
    </w:p>
    <w:p>
      <w:r>
        <w:t>Dictamen: la brecha industrial es real pero no cuantificada. Antes de continuar, el proyecto debe producir evidencia de demanda (entrevistas, encuestas a operadores), no asumirla. Un estándar que nadie adopta no es un estándar.</w:t>
      </w:r>
    </w:p>
    <w:p>
      <w:pPr>
        <w:spacing w:after="40"/>
      </w:pPr>
    </w:p>
    <w:p>
      <w:r>
        <w:t>---</w:t>
      </w:r>
    </w:p>
    <w:p>
      <w:pPr>
        <w:spacing w:after="40"/>
      </w:pPr>
    </w:p>
    <w:p>
      <w:pPr>
        <w:pStyle w:val="Heading3"/>
      </w:pPr>
      <w:r>
        <w:t>F. Evaluación crítica del GOEI (errores conceptuales actuales)</w:t>
      </w:r>
    </w:p>
    <w:p>
      <w:pPr>
        <w:spacing w:after="40"/>
      </w:pPr>
    </w:p>
    <w:p>
      <w:r>
        <w:t>El comité identifica los siguientes errores o debilidades en el diseño conceptual tal como está planteado hoy:</w:t>
      </w:r>
    </w:p>
    <w:p>
      <w:pPr>
        <w:spacing w:after="40"/>
      </w:pPr>
    </w:p>
    <w:p>
      <w:pPr>
        <w:pStyle w:val="ListNumber"/>
      </w:pPr>
      <w:r>
        <w:t>Ambición nominal desproporcionada. Llamarlo "estándar internacional" antes de tener definición de constructo, validación ni adopción es un error retórico que predispone en contra a cualquier revisor. Un estándar (ISO, Codex) surge de consenso multi-actor tras años de validación; no se declara. ([EVIDENCIA] sobre cómo nacen las normas.)</w:t>
      </w:r>
    </w:p>
    <w:p>
      <w:pPr>
        <w:spacing w:after="40"/>
      </w:pPr>
    </w:p>
    <w:p>
      <w:pPr>
        <w:pStyle w:val="ListNumber"/>
      </w:pPr>
      <w:r>
        <w:t>Confusión entre índice y tablero. El proyecto asume que la representación correcta es un número único. Esa es una decisión de diseño no justificada. El Balanced Scorecard existe justamente porque colapsar dimensiones oculta información ([EVIDENCIA]). El GOEI debe justificar por qué agrega en lugar de mostrar el perfil.</w:t>
      </w:r>
    </w:p>
    <w:p>
      <w:pPr>
        <w:spacing w:after="40"/>
      </w:pPr>
    </w:p>
    <w:p>
      <w:pPr>
        <w:pStyle w:val="ListNumber"/>
      </w:pPr>
      <w:r>
        <w:t>"Calculable manualmente" tratado como virtud pura, no como restricción con costo. La exigencia de cálculo manual con calculadora básica limita severamente las técnicas de normalización y ponderación disponibles (excluye, p. ej., ponderación por análisis factorial, DEA, benchmarking de frontera). Esto puede degradar la validez estadística. La restricción es legítima como objetivo de usabilidad, pero hay que reconocer explícitamente el trade-off validez ↔ simplicidad, no ocultarlo.</w:t>
      </w:r>
    </w:p>
    <w:p>
      <w:pPr>
        <w:spacing w:after="40"/>
      </w:pPr>
    </w:p>
    <w:p>
      <w:pPr>
        <w:pStyle w:val="ListNumber"/>
      </w:pPr>
      <w:r>
        <w:t>Compensabilidad no resuelta. La agregación lineal permite que un buen resultado financiero compense un mal resultado de inocuidad —exactamente lo que el principio de "no compensación" del proyecto quiere evitar. Pero combinar reglas de no-compensación con un índice aditivo manual es técnicamente delicado ([EVIDENCIA], crítica de compensabilidad en índices compuestos). El proyecto declara el principio pero no ha mostrado cómo implementarlo sin romper la aditividad simple.</w:t>
      </w:r>
    </w:p>
    <w:p>
      <w:pPr>
        <w:spacing w:after="40"/>
      </w:pPr>
    </w:p>
    <w:p>
      <w:pPr>
        <w:pStyle w:val="ListNumber"/>
      </w:pPr>
      <w:r>
        <w:t>Ausencia de un criterio de verdad (ground truth). ¿Contra qué se valida el GOEI? La eficiencia operacional "verdadera" no es observable. Sin un criterio externo (supervivencia del negocio, rentabilidad futura, satisfacción, reducción de brotes), el índice no puede validarse y queda como una convención arbitraria.</w:t>
      </w:r>
    </w:p>
    <w:p>
      <w:pPr>
        <w:spacing w:after="40"/>
      </w:pPr>
    </w:p>
    <w:p>
      <w:pPr>
        <w:pStyle w:val="ListNumber"/>
      </w:pPr>
      <w:r>
        <w:t>Riesgo de doble conteo y correlación entre dimensiones. Costo, servicio, calidad e inocuidad no son independientes. Agregarlos como si lo fueran infla o deforma el índice. Se requiere análisis de estructura de correlación antes de ponderar.</w:t>
      </w:r>
    </w:p>
    <w:p>
      <w:pPr>
        <w:spacing w:after="40"/>
      </w:pPr>
    </w:p>
    <w:p>
      <w:pPr>
        <w:pStyle w:val="ListNumber"/>
      </w:pPr>
      <w:r>
        <w:t>Taxonomía de establecimientos aún inexistente. Sin una taxonomía validada, la comparabilidad "entre pares de la misma categoría" carece de base. La categoría es el denominador de toda la propuesta y todavía no está definida.</w:t>
      </w:r>
    </w:p>
    <w:p>
      <w:pPr>
        <w:spacing w:after="40"/>
      </w:pPr>
    </w:p>
    <w:p>
      <w:r>
        <w:t>---</w:t>
      </w:r>
    </w:p>
    <w:p>
      <w:pPr>
        <w:spacing w:after="40"/>
      </w:pPr>
    </w:p>
    <w:p>
      <w:pPr>
        <w:pStyle w:val="Heading3"/>
      </w:pPr>
      <w:r>
        <w:t>G. Riesgos metodológicos</w:t>
      </w:r>
    </w:p>
    <w:p>
      <w:pPr>
        <w:spacing w:after="40"/>
      </w:pPr>
    </w:p>
    <w:p>
      <w:pPr>
        <w:spacing w:after="20" w:line="240" w:lineRule="auto"/>
      </w:pPr>
      <w:r>
        <w:rPr>
          <w:rFonts w:ascii="Consolas" w:hAnsi="Consolas"/>
          <w:sz w:val="14"/>
        </w:rPr>
        <w:t>| # | Riesgo | Descripción | Severidad |</w:t>
      </w:r>
    </w:p>
    <w:p>
      <w:pPr>
        <w:spacing w:after="20" w:line="240" w:lineRule="auto"/>
      </w:pPr>
      <w:r>
        <w:rPr>
          <w:rFonts w:ascii="Consolas" w:hAnsi="Consolas"/>
          <w:sz w:val="14"/>
        </w:rPr>
        <w:t>|---|---|---|---|</w:t>
      </w:r>
    </w:p>
    <w:p>
      <w:pPr>
        <w:spacing w:after="20" w:line="240" w:lineRule="auto"/>
      </w:pPr>
      <w:r>
        <w:rPr>
          <w:rFonts w:ascii="Consolas" w:hAnsi="Consolas"/>
          <w:sz w:val="14"/>
        </w:rPr>
        <w:t>| R1 | **Validez de constructo** | Que "eficiencia operacional gastronómica" no sea un constructo unidimensional válido | Crítica |</w:t>
      </w:r>
    </w:p>
    <w:p>
      <w:pPr>
        <w:spacing w:after="20" w:line="240" w:lineRule="auto"/>
      </w:pPr>
      <w:r>
        <w:rPr>
          <w:rFonts w:ascii="Consolas" w:hAnsi="Consolas"/>
          <w:sz w:val="14"/>
        </w:rPr>
        <w:t>| R2 | **Arbitrariedad de ponderaciones** | Que los pesos determinen el resultado y no puedan justificarse; "el índice cuenta la historia que quiera su autor" (**[EVIDENCIA]**) | Crítica |</w:t>
      </w:r>
    </w:p>
    <w:p>
      <w:pPr>
        <w:spacing w:after="20" w:line="240" w:lineRule="auto"/>
      </w:pPr>
      <w:r>
        <w:rPr>
          <w:rFonts w:ascii="Consolas" w:hAnsi="Consolas"/>
          <w:sz w:val="14"/>
        </w:rPr>
        <w:t>| R3 | **No robustez** | Que el ranking cambie según normalización/agregación elegida; falta de análisis de incertidumbre y sensibilidad | Crítica |</w:t>
      </w:r>
    </w:p>
    <w:p>
      <w:pPr>
        <w:spacing w:after="20" w:line="240" w:lineRule="auto"/>
      </w:pPr>
      <w:r>
        <w:rPr>
          <w:rFonts w:ascii="Consolas" w:hAnsi="Consolas"/>
          <w:sz w:val="14"/>
        </w:rPr>
        <w:t>| R4 | **Compensabilidad indebida** | Que dimensiones críticas (inocuidad, legalidad) sean compensadas por financieras | Alta |</w:t>
      </w:r>
    </w:p>
    <w:p>
      <w:pPr>
        <w:spacing w:after="20" w:line="240" w:lineRule="auto"/>
      </w:pPr>
      <w:r>
        <w:rPr>
          <w:rFonts w:ascii="Consolas" w:hAnsi="Consolas"/>
          <w:sz w:val="14"/>
        </w:rPr>
        <w:t>| R5 | **Ausencia de ground truth** | Imposibilidad de validar contra un criterio externo | Crítica |</w:t>
      </w:r>
    </w:p>
    <w:p>
      <w:pPr>
        <w:spacing w:after="20" w:line="240" w:lineRule="auto"/>
      </w:pPr>
      <w:r>
        <w:rPr>
          <w:rFonts w:ascii="Consolas" w:hAnsi="Consolas"/>
          <w:sz w:val="14"/>
        </w:rPr>
        <w:t>| R6 | **Trade-off simplicidad-validez** | Que la exigencia de cálculo manual degrade la calidad estadística | Alta |</w:t>
      </w:r>
    </w:p>
    <w:p>
      <w:pPr>
        <w:spacing w:after="20" w:line="240" w:lineRule="auto"/>
      </w:pPr>
      <w:r>
        <w:rPr>
          <w:rFonts w:ascii="Consolas" w:hAnsi="Consolas"/>
          <w:sz w:val="14"/>
        </w:rPr>
        <w:t>| R7 | **Sesgo de categoría / comparabilidad** | Comparar establecimientos no equivalentes por taxonomía débil | Alta |</w:t>
      </w:r>
    </w:p>
    <w:p>
      <w:pPr>
        <w:spacing w:after="20" w:line="240" w:lineRule="auto"/>
      </w:pPr>
      <w:r>
        <w:rPr>
          <w:rFonts w:ascii="Consolas" w:hAnsi="Consolas"/>
          <w:sz w:val="14"/>
        </w:rPr>
        <w:t>| R8 | **Gaming del indicador (Ley de Goodhart)** | Que al volverse objetivo, el índice deje de medir lo que medía | Alta |</w:t>
      </w:r>
    </w:p>
    <w:p>
      <w:pPr>
        <w:spacing w:after="20" w:line="240" w:lineRule="auto"/>
      </w:pPr>
      <w:r>
        <w:rPr>
          <w:rFonts w:ascii="Consolas" w:hAnsi="Consolas"/>
          <w:sz w:val="14"/>
        </w:rPr>
        <w:t>| R9 | **Datos faltantes en PYMES** | Que los establecimientos pequeños no puedan proveer los insumos del índice | Media-Alta |</w:t>
      </w:r>
    </w:p>
    <w:p>
      <w:pPr>
        <w:spacing w:after="20" w:line="240" w:lineRule="auto"/>
      </w:pPr>
      <w:r>
        <w:rPr>
          <w:rFonts w:ascii="Consolas" w:hAnsi="Consolas"/>
          <w:sz w:val="14"/>
        </w:rPr>
        <w:t>| R10 | **Solución sin demanda** | Que no exista mercado real de usuarios del índice | Alta |</w:t>
      </w:r>
    </w:p>
    <w:p>
      <w:pPr>
        <w:spacing w:after="40"/>
      </w:pPr>
    </w:p>
    <w:p>
      <w:r>
        <w:t>Los riesgos R2 y R3 son precisamente los que la metodología OECD/JRC obliga a tratar con análisis de incertidumbre y sensibilidad ([EVIDENCIA]). Un GOEI sin ese análisis es, por definición del estado del arte, no publicable.</w:t>
      </w:r>
    </w:p>
    <w:p>
      <w:pPr>
        <w:spacing w:after="40"/>
      </w:pPr>
    </w:p>
    <w:p>
      <w:r>
        <w:t>---</w:t>
      </w:r>
    </w:p>
    <w:p>
      <w:pPr>
        <w:spacing w:after="40"/>
      </w:pPr>
    </w:p>
    <w:p>
      <w:pPr>
        <w:pStyle w:val="Heading3"/>
      </w:pPr>
      <w:r>
        <w:t>H. Condiciones mínimas para continuar el proyecto</w:t>
      </w:r>
    </w:p>
    <w:p>
      <w:pPr>
        <w:spacing w:after="40"/>
      </w:pPr>
    </w:p>
    <w:p>
      <w:r>
        <w:t>El comité autoriza la continuación solo si, y antes de diseñar cualquier KPI, el proyecto compromete lo siguiente:</w:t>
      </w:r>
    </w:p>
    <w:p>
      <w:pPr>
        <w:spacing w:after="40"/>
      </w:pPr>
    </w:p>
    <w:p>
      <w:r>
        <w:t>H1. Definición operacional del constructo. Definir "eficiencia operacional gastronómica" con una frontera clara input/output y distinguirla explícitamente de productividad, rentabilidad, calidad y desempeño. Sin esto, no hay proyecto.</w:t>
      </w:r>
    </w:p>
    <w:p>
      <w:pPr>
        <w:spacing w:after="40"/>
      </w:pPr>
    </w:p>
    <w:p>
      <w:r>
        <w:t>H2. Justificación de la forma (índice vs. tablero). Argumentar por qué se agrega en un número único en lugar de un perfil multidimensional, reconociendo el precedente del Balanced Scorecard. Si no hay justificación, el producto debe ser un tablero normalizado, no un índice.</w:t>
      </w:r>
    </w:p>
    <w:p>
      <w:pPr>
        <w:spacing w:after="40"/>
      </w:pPr>
    </w:p>
    <w:p>
      <w:r>
        <w:t>H3. Definición del criterio de validación (ground truth). Especificar contra qué criterio externo verificable se validará el GOEI (p. ej. supervivencia del negocio a N años, rentabilidad, satisfacción, incidencia de no-conformidades). Sin criterio, no hay validación posible.</w:t>
      </w:r>
    </w:p>
    <w:p>
      <w:pPr>
        <w:spacing w:after="40"/>
      </w:pPr>
    </w:p>
    <w:p>
      <w:r>
        <w:t>H4. Evidencia de demanda. Producir evidencia primaria (entrevistas/encuestas a operadores y reguladores) de que existe un usuario que adoptaría el índice. Estándar sin adopción no es estándar.</w:t>
      </w:r>
    </w:p>
    <w:p>
      <w:pPr>
        <w:spacing w:after="40"/>
      </w:pPr>
    </w:p>
    <w:p>
      <w:r>
        <w:t>H5. Compromiso metodológico con robustez. Aceptar de entrada que el índice se someterá a análisis de incertidumbre y sensibilidad conforme a OECD/JRC (2008), y que si el ranking no es robusto, el índice se rediseña o se abandona.</w:t>
      </w:r>
    </w:p>
    <w:p>
      <w:pPr>
        <w:spacing w:after="40"/>
      </w:pPr>
    </w:p>
    <w:p>
      <w:r>
        <w:t>Regla de decisión del comité: si el proyecto no puede satisfacer H1, H3 y H5, el comité recomienda no desarrollar un índice y, en su lugar, desarrollar un protocolo de tablero comparable —producto más modesto pero científicamente defendible.</w:t>
      </w:r>
    </w:p>
    <w:p>
      <w:pPr>
        <w:spacing w:after="40"/>
      </w:pPr>
    </w:p>
    <w:p>
      <w:r>
        <w:t>---</w:t>
      </w:r>
    </w:p>
    <w:p>
      <w:pPr>
        <w:spacing w:after="40"/>
      </w:pPr>
    </w:p>
    <w:p>
      <w:pPr>
        <w:pStyle w:val="Heading3"/>
      </w:pPr>
      <w:r>
        <w:t>I. Hoja de ruta de investigación (previa a todo diseño de KPI)</w:t>
      </w:r>
    </w:p>
    <w:p>
      <w:pPr>
        <w:spacing w:after="40"/>
      </w:pPr>
    </w:p>
    <w:p>
      <w:r>
        <w:t>Fase 0 — Delimitación conceptual (obligatoria).</w:t>
      </w:r>
    </w:p>
    <w:p>
      <w:r>
        <w:t>Definir constructo (H1), decidir índice vs. tablero (H2), fijar taxonomía provisional de establecimientos. Producto: documento conceptual + registro de decisión.</w:t>
      </w:r>
    </w:p>
    <w:p>
      <w:pPr>
        <w:spacing w:after="40"/>
      </w:pPr>
    </w:p>
    <w:p>
      <w:r>
        <w:t>Fase 1 — Revisión sistemática.</w:t>
      </w:r>
    </w:p>
    <w:p>
      <w:r>
        <w:t>Revisión sistemática (tipo PRISMA) de la medición de eficiencia/desempeño en foodservice, para mapear con rigor qué se ha medido, cómo y con qué validez. Producto: estado del arte defendible, no anecdótico.</w:t>
      </w:r>
    </w:p>
    <w:p>
      <w:pPr>
        <w:spacing w:after="40"/>
      </w:pPr>
    </w:p>
    <w:p>
      <w:r>
        <w:t>Fase 2 — Estudio de demanda y ground truth.</w:t>
      </w:r>
    </w:p>
    <w:p>
      <w:r>
        <w:t>Investigación cualitativa con operadores y reguladores (H4) + definición del criterio de validación (H3). Producto: evidencia de necesidad + criterio externo.</w:t>
      </w:r>
    </w:p>
    <w:p>
      <w:pPr>
        <w:spacing w:after="40"/>
      </w:pPr>
    </w:p>
    <w:p>
      <w:r>
        <w:t>Fase 3 — Estructura del constructo.</w:t>
      </w:r>
    </w:p>
    <w:p>
      <w:r>
        <w:t>Estudio empírico exploratorio (correlaciones, análisis factorial) para probar si las dimensiones forman un constructo coherente o no. Aquí se responde la brecha científica del cap. D. Producto: decisión fundamentada sobre unidimensionalidad.</w:t>
      </w:r>
    </w:p>
    <w:p>
      <w:pPr>
        <w:spacing w:after="40"/>
      </w:pPr>
    </w:p>
    <w:p>
      <w:r>
        <w:t>Fase 4 — Recién aquí: diseño de KPIs, normalización, ponderación, agregación —cada uno con su prueba de robustez.</w:t>
      </w:r>
    </w:p>
    <w:p>
      <w:pPr>
        <w:spacing w:after="40"/>
      </w:pPr>
    </w:p>
    <w:p>
      <w:r>
        <w:t>Fase 5 — Validación con casos reales y expertos contra el ground truth de Fase 2.</w:t>
      </w:r>
    </w:p>
    <w:p>
      <w:pPr>
        <w:spacing w:after="40"/>
      </w:pPr>
    </w:p>
    <w:p>
      <w:r>
        <w:t>El proyecto actualmente quiere saltar a la Fase 4. El comité lo prohíbe hasta cerrar Fases 0–3.</w:t>
      </w:r>
    </w:p>
    <w:p>
      <w:pPr>
        <w:spacing w:after="40"/>
      </w:pPr>
    </w:p>
    <w:p>
      <w:r>
        <w:t>---</w:t>
      </w:r>
    </w:p>
    <w:p>
      <w:pPr>
        <w:spacing w:after="40"/>
      </w:pPr>
    </w:p>
    <w:p>
      <w:pPr>
        <w:pStyle w:val="Heading3"/>
      </w:pPr>
      <w:r>
        <w:t>J. Recomendación final del comité</w:t>
      </w:r>
    </w:p>
    <w:p>
      <w:pPr>
        <w:spacing w:after="40"/>
      </w:pPr>
    </w:p>
    <w:p>
      <w:r>
        <w:t>Dictamen: REVISAR Y REPRESENTAR (revise &amp; resubmit). No aceptar en estado actual; no rechazar definitivamente.</w:t>
      </w:r>
    </w:p>
    <w:p>
      <w:pPr>
        <w:spacing w:after="40"/>
      </w:pPr>
    </w:p>
    <w:p>
      <w:r>
        <w:t>¿Rechazaría hoy este proyecto un revisor extremadamente exigente? — Sí, hoy lo rechazaría, por cinco razones acumulativas: constructo no definido (C, F1), forma (índice) no justificada (F2), ausencia de criterio de validación (F5, R5), ausencia de evidencia de demanda (E, R10), y ausencia de compromiso con robustez (R2, R3). Cualquiera de las tres primeras basta para un rechazo en Q1.</w:t>
      </w:r>
    </w:p>
    <w:p>
      <w:pPr>
        <w:spacing w:after="40"/>
      </w:pPr>
    </w:p>
    <w:p>
      <w:r>
        <w:t>Pero el proyecto no está muerto. Sobrevive a la refutación en un punto decisivo: ningún instrumento existente cumple simultáneamente cobertura operacional multidimensional + comparabilidad estandarizada entre categorías + auditabilidad + bajo costo tecnológico. Esa intersección vacía es un hueco real. La pregunta científica reformulada —¿es la eficiencia operacional gastronómica un constructo válidamente indexable?— es original, publicable y empíricamente resoluble.</w:t>
      </w:r>
    </w:p>
    <w:p>
      <w:pPr>
        <w:spacing w:after="40"/>
      </w:pPr>
    </w:p>
    <w:p>
      <w:r>
        <w:t>Qué debe demostrarse obligatoriamente para que el GOEI aspire a ser referencia internacional:</w:t>
      </w:r>
    </w:p>
    <w:p>
      <w:pPr>
        <w:pStyle w:val="ListNumber"/>
      </w:pPr>
      <w:r>
        <w:t>Que el constructo existe y es medible de forma válida y confiable (validez de constructo, fiabilidad).</w:t>
      </w:r>
    </w:p>
    <w:p>
      <w:pPr>
        <w:pStyle w:val="ListNumber"/>
      </w:pPr>
      <w:r>
        <w:t>Que su representación como índice único es superior —o al menos no inferior— a un tablero, para el propósito declarado.</w:t>
      </w:r>
    </w:p>
    <w:p>
      <w:pPr>
        <w:pStyle w:val="ListNumber"/>
      </w:pPr>
      <w:r>
        <w:t>Que el índice es robusto frente a decisiones de normalización, ponderación y agregación (OECD/JRC).</w:t>
      </w:r>
    </w:p>
    <w:p>
      <w:pPr>
        <w:pStyle w:val="ListNumber"/>
      </w:pPr>
      <w:r>
        <w:t>Que predice o se asocia con un criterio externo verificable (validez de criterio).</w:t>
      </w:r>
    </w:p>
    <w:p>
      <w:pPr>
        <w:pStyle w:val="ListNumber"/>
      </w:pPr>
      <w:r>
        <w:t>Que puede aplicarse manualmente sin que la simplificación destruya (1)–(4).</w:t>
      </w:r>
    </w:p>
    <w:p>
      <w:pPr>
        <w:pStyle w:val="ListNumber"/>
      </w:pPr>
      <w:r>
        <w:t>Que existe demanda y viabilidad de adopción.</w:t>
      </w:r>
    </w:p>
    <w:p>
      <w:pPr>
        <w:spacing w:after="40"/>
      </w:pPr>
    </w:p>
    <w:p>
      <w:r>
        <w:t>Recomendación operativa: rebajar de inmediato la denominación de "estándar internacional" a "protocolo de medición integrada en desarrollo y validación", cerrar las Fases 0–3 antes de tocar un solo KPI, y aceptar como resultado admisible del proyecto que la conclusión pueda ser "un tablero comparable, no un índice único". Si el proyecto se niega a esa posibilidad, está haciendo advocacy, no ciencia.</w:t>
      </w:r>
    </w:p>
    <w:p>
      <w:pPr>
        <w:spacing w:after="40"/>
      </w:pPr>
    </w:p>
    <w:p>
      <w:r>
        <w:t>---</w:t>
      </w:r>
    </w:p>
    <w:p>
      <w:pPr>
        <w:spacing w:after="40"/>
      </w:pPr>
    </w:p>
    <w:p>
      <w:pPr>
        <w:pStyle w:val="Heading4"/>
      </w:pPr>
      <w:r>
        <w:t>Fuentes</w:t>
      </w:r>
    </w:p>
    <w:p>
      <w:pPr>
        <w:spacing w:after="40"/>
      </w:pPr>
    </w:p>
    <w:p>
      <w:pPr>
        <w:pStyle w:val="ListBullet"/>
      </w:pPr>
      <w:r>
        <w:t>OECD, European Union, JRC (Nardo, Saisana, Saltelli, Tarantola). Handbook on Constructing Composite Indicators: Methodology and User Guide (2008). https://www.oecd.org/content/dam/oecd/en/publications/reports/2008/08/handbook-on-constructing-composite-indicators-methodology-and-user-guide_g1gh9301/9789264043466-en.pdf</w:t>
      </w:r>
    </w:p>
    <w:p>
      <w:pPr>
        <w:pStyle w:val="ListBullet"/>
      </w:pPr>
      <w:r>
        <w:t>Kaplan, R. &amp; Norton, D. (1992). The Balanced Scorecard: Measures that Drive Performance. https://www.researchgate.net/publication/298043780_The_Balanced_Scorecard_measures_that_drive_performance</w:t>
      </w:r>
    </w:p>
    <w:p>
      <w:pPr>
        <w:pStyle w:val="ListBullet"/>
      </w:pPr>
      <w:r>
        <w:t>Balanced scorecard in the hospitality and tourism industry: Past, present and future (2020), PMC. https://pmc.ncbi.nlm.nih.gov/articles/PMC7456592/</w:t>
      </w:r>
    </w:p>
    <w:p>
      <w:pPr>
        <w:pStyle w:val="ListBullet"/>
      </w:pPr>
      <w:r>
        <w:t>Nakajima / OEE — revisión: A Review of Overall Equipment Effectiveness (OEE). https://jcasc.com/index.php/jcasc/article/download/4578/1850/9554</w:t>
      </w:r>
    </w:p>
    <w:p>
      <w:pPr>
        <w:pStyle w:val="ListBullet"/>
      </w:pPr>
      <w:r>
        <w:t>Operational efficiency evaluation of restaurant firms (IJCHM). https://emerald.com/insight/content/doi/10.1108/IJCHM-09-2016-0547/full/html</w:t>
      </w:r>
    </w:p>
    <w:p>
      <w:pPr>
        <w:pStyle w:val="ListBullet"/>
      </w:pPr>
      <w:r>
        <w:t>Multiunit restaurant productivity assessment using three-phase data envelopment analysis. https://www.sciencedirect.com/science/article/abs/pii/S0278431905000769</w:t>
      </w:r>
    </w:p>
    <w:p>
      <w:pPr>
        <w:pStyle w:val="ListBullet"/>
      </w:pPr>
      <w:r>
        <w:t>Robustness and sensitivity of weighting and aggregation in constructing composite indices, Ecological Indicators. https://www.sciencedirect.com/science/article/abs/pii/S1470160X13000034</w:t>
      </w:r>
    </w:p>
    <w:p>
      <w:pPr>
        <w:pStyle w:val="ListBullet"/>
      </w:pPr>
      <w:r>
        <w:t>Stevens, Knutson, Patton (1995). DINESERV: A tool for measuring service quality in restaurants, Cornell HRA Quarterly. https://journals.sagepub.com/doi/10.1177/001088049503600226</w:t>
      </w:r>
    </w:p>
    <w:p>
      <w:pPr>
        <w:pStyle w:val="ListBullet"/>
      </w:pPr>
      <w:r>
        <w:t>Kimes, S. — RevPASH (Cornell). Ref. práctica: https://pos.toasttab.com/blog/on-the-line/restaurant-kpis</w:t>
      </w:r>
    </w:p>
    <w:p>
      <w:pPr>
        <w:pStyle w:val="ListBullet"/>
      </w:pPr>
      <w:r>
        <w:t>An Analysis of Restaurant Food Safety Rating Systems. https://www.foodpoisoningnews.com/an-analysis-of-restaurant-food-safety-rating-systems/</w:t>
      </w:r>
    </w:p>
    <w:p>
      <w:pPr>
        <w:pStyle w:val="ListBullet"/>
      </w:pPr>
      <w:r>
        <w:t>Foodborne Illness Complaint Systems... and Restaurant Inspection Programs (PMC). https://www.ncbi.nlm.nih.gov/pmc/articles/PMC10877379/</w:t>
      </w:r>
    </w:p>
    <w:p>
      <w:pPr>
        <w:spacing w:after="40"/>
      </w:pPr>
    </w:p>
    <w:p>
      <w:r>
        <w:t>Nota: las URL corresponden a fuentes reales localizadas en la revisión; se recomienda archivar copia legal en 02_Bibliografia/ y verificar el acceso a texto completo antes de citar en la tesis.</w:t>
      </w:r>
    </w:p>
    <w:p>
      <w:r>
        <w:br w:type="page"/>
      </w:r>
    </w:p>
    <w:p>
      <w:pPr>
        <w:pStyle w:val="Heading1"/>
        <w:keepNext/>
      </w:pPr>
      <w:r>
        <w:t>Fuente 82: 02_Bibliografia/catalogo_fuentes.json</w:t>
      </w:r>
    </w:p>
    <w:p>
      <w:pPr>
        <w:spacing w:after="200"/>
      </w:pPr>
      <w:r>
        <w:rPr>
          <w:rFonts w:ascii="Consolas" w:hAnsi="Consolas"/>
          <w:color w:val="595959"/>
          <w:sz w:val="16"/>
        </w:rPr>
        <w:t>Ruta: 02_Bibliografia/catalogo_fuentes.json</w:t>
        <w:br/>
        <w:t>Tamaño: 4646 bytes</w:t>
        <w:br/>
        <w:t>SHA-256: a5bb1956d26cbf81f3dcb94540b82f1285f51d14814b3505cc6117e690719451</w:t>
      </w:r>
    </w:p>
    <w:p>
      <w:pPr>
        <w:spacing w:after="20" w:line="240" w:lineRule="auto"/>
        <w:ind w:left="259"/>
      </w:pPr>
      <w:r>
        <w:rPr>
          <w:rFonts w:ascii="Consolas" w:hAnsi="Consolas"/>
          <w:sz w:val="15"/>
        </w:rPr>
        <w:t>{</w:t>
      </w:r>
    </w:p>
    <w:p>
      <w:pPr>
        <w:spacing w:after="20" w:line="240" w:lineRule="auto"/>
        <w:ind w:left="259"/>
      </w:pPr>
      <w:r>
        <w:rPr>
          <w:rFonts w:ascii="Consolas" w:hAnsi="Consolas"/>
          <w:sz w:val="15"/>
        </w:rPr>
        <w:t xml:space="preserve">  "schemaVersion": "1.0",</w:t>
      </w:r>
    </w:p>
    <w:p>
      <w:pPr>
        <w:spacing w:after="20" w:line="240" w:lineRule="auto"/>
        <w:ind w:left="259"/>
      </w:pPr>
      <w:r>
        <w:rPr>
          <w:rFonts w:ascii="Consolas" w:hAnsi="Consolas"/>
          <w:sz w:val="15"/>
        </w:rPr>
        <w:t xml:space="preserve">  "catalogId": "GOEI-BIB-0001",</w:t>
      </w:r>
    </w:p>
    <w:p>
      <w:pPr>
        <w:spacing w:after="20" w:line="240" w:lineRule="auto"/>
        <w:ind w:left="259"/>
      </w:pPr>
      <w:r>
        <w:rPr>
          <w:rFonts w:ascii="Consolas" w:hAnsi="Consolas"/>
          <w:sz w:val="15"/>
        </w:rPr>
        <w:t xml:space="preserve">  "updatedAt": "2026-08-04",</w:t>
      </w:r>
    </w:p>
    <w:p>
      <w:pPr>
        <w:spacing w:after="20" w:line="240" w:lineRule="auto"/>
        <w:ind w:left="259"/>
      </w:pPr>
      <w:r>
        <w:rPr>
          <w:rFonts w:ascii="Consolas" w:hAnsi="Consolas"/>
          <w:sz w:val="15"/>
        </w:rPr>
        <w:t xml:space="preserve">  "sources":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"GOEI-SRC-0001",</w:t>
      </w:r>
    </w:p>
    <w:p>
      <w:pPr>
        <w:spacing w:after="20" w:line="240" w:lineRule="auto"/>
        <w:ind w:left="259"/>
      </w:pPr>
      <w:r>
        <w:rPr>
          <w:rFonts w:ascii="Consolas" w:hAnsi="Consolas"/>
          <w:sz w:val="15"/>
        </w:rPr>
        <w:t xml:space="preserve">      "sourceType": "article",</w:t>
      </w:r>
    </w:p>
    <w:p>
      <w:pPr>
        <w:spacing w:after="20" w:line="240" w:lineRule="auto"/>
        <w:ind w:left="259"/>
      </w:pPr>
      <w:r>
        <w:rPr>
          <w:rFonts w:ascii="Consolas" w:hAnsi="Consolas"/>
          <w:sz w:val="15"/>
        </w:rPr>
        <w:t xml:space="preserve">      "title": "Business process modeling at steak restaurant using business process model and notation",</w:t>
      </w:r>
    </w:p>
    <w:p>
      <w:pPr>
        <w:spacing w:after="20" w:line="240" w:lineRule="auto"/>
        <w:ind w:left="259"/>
      </w:pPr>
      <w:r>
        <w:rPr>
          <w:rFonts w:ascii="Consolas" w:hAnsi="Consolas"/>
          <w:sz w:val="15"/>
        </w:rPr>
        <w:t xml:space="preserve">      "creators": ["Nurdin, A. A.", "Pristanti, A. N.", "Samantha, N."],</w:t>
      </w:r>
    </w:p>
    <w:p>
      <w:pPr>
        <w:spacing w:after="20" w:line="240" w:lineRule="auto"/>
        <w:ind w:left="259"/>
      </w:pPr>
      <w:r>
        <w:rPr>
          <w:rFonts w:ascii="Consolas" w:hAnsi="Consolas"/>
          <w:sz w:val="15"/>
        </w:rPr>
        <w:t xml:space="preserve">      "year": 2022,</w:t>
      </w:r>
    </w:p>
    <w:p>
      <w:pPr>
        <w:spacing w:after="20" w:line="240" w:lineRule="auto"/>
        <w:ind w:left="259"/>
      </w:pPr>
      <w:r>
        <w:rPr>
          <w:rFonts w:ascii="Consolas" w:hAnsi="Consolas"/>
          <w:sz w:val="15"/>
        </w:rPr>
        <w:t xml:space="preserve">      "identifiers": [</w:t>
      </w:r>
    </w:p>
    <w:p>
      <w:pPr>
        <w:spacing w:after="20" w:line="240" w:lineRule="auto"/>
        <w:ind w:left="259"/>
      </w:pPr>
      <w:r>
        <w:rPr>
          <w:rFonts w:ascii="Consolas" w:hAnsi="Consolas"/>
          <w:sz w:val="15"/>
        </w:rPr>
        <w:t xml:space="preserve">        {"type": "doi", "value": "10.52465/joscex.v3i2.84"},</w:t>
      </w:r>
    </w:p>
    <w:p>
      <w:pPr>
        <w:spacing w:after="20" w:line="240" w:lineRule="auto"/>
        <w:ind w:left="259"/>
      </w:pPr>
      <w:r>
        <w:rPr>
          <w:rFonts w:ascii="Consolas" w:hAnsi="Consolas"/>
          <w:sz w:val="15"/>
        </w:rPr>
        <w:t xml:space="preserve">        {"type": "url", "value": "https://shmpublisher.com/index.php/joscex/article/view/84"}</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"language": "en",</w:t>
      </w:r>
    </w:p>
    <w:p>
      <w:pPr>
        <w:spacing w:after="20" w:line="240" w:lineRule="auto"/>
        <w:ind w:left="259"/>
      </w:pPr>
      <w:r>
        <w:rPr>
          <w:rFonts w:ascii="Consolas" w:hAnsi="Consolas"/>
          <w:sz w:val="15"/>
        </w:rPr>
        <w:t xml:space="preserve">      "verificationStatus": "metadata_verified",</w:t>
      </w:r>
    </w:p>
    <w:p>
      <w:pPr>
        <w:spacing w:after="20" w:line="240" w:lineRule="auto"/>
        <w:ind w:left="259"/>
      </w:pPr>
      <w:r>
        <w:rPr>
          <w:rFonts w:ascii="Consolas" w:hAnsi="Consolas"/>
          <w:sz w:val="15"/>
        </w:rPr>
        <w:t xml:space="preserve">      "scientificReviewStatus": "under_review",</w:t>
      </w:r>
    </w:p>
    <w:p>
      <w:pPr>
        <w:spacing w:after="20" w:line="240" w:lineRule="auto"/>
        <w:ind w:left="259"/>
      </w:pPr>
      <w:r>
        <w:rPr>
          <w:rFonts w:ascii="Consolas" w:hAnsi="Consolas"/>
          <w:sz w:val="15"/>
        </w:rPr>
        <w:t xml:space="preserve">      "custody": {"accessStatus": "metadata_only", "localPath": null, "sha256": null},</w:t>
      </w:r>
    </w:p>
    <w:p>
      <w:pPr>
        <w:spacing w:after="20" w:line="240" w:lineRule="auto"/>
        <w:ind w:left="259"/>
      </w:pPr>
      <w:r>
        <w:rPr>
          <w:rFonts w:ascii="Consolas" w:hAnsi="Consolas"/>
          <w:sz w:val="15"/>
        </w:rPr>
        <w:t xml:space="preserve">      "citedByDecisions": [],</w:t>
      </w:r>
    </w:p>
    <w:p>
      <w:pPr>
        <w:spacing w:after="20" w:line="240" w:lineRule="auto"/>
        <w:ind w:left="259"/>
      </w:pPr>
      <w:r>
        <w:rPr>
          <w:rFonts w:ascii="Consolas" w:hAnsi="Consolas"/>
          <w:sz w:val="15"/>
        </w:rPr>
        <w:t xml:space="preserve">      "claims":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"GOEI-SRC-0001-CLM-01",</w:t>
      </w:r>
    </w:p>
    <w:p>
      <w:pPr>
        <w:spacing w:after="20" w:line="240" w:lineRule="auto"/>
        <w:ind w:left="259"/>
      </w:pPr>
      <w:r>
        <w:rPr>
          <w:rFonts w:ascii="Consolas" w:hAnsi="Consolas"/>
          <w:sz w:val="15"/>
        </w:rPr>
        <w:t xml:space="preserve">          "goeiClaim": "Referencia citada por el expediente científico D-008 para documentar modelado BPMN de procesos de restaurante; su función probatoria definitiva depende de ratificación y revisión científica.",</w:t>
      </w:r>
    </w:p>
    <w:p>
      <w:pPr>
        <w:spacing w:after="20" w:line="240" w:lineRule="auto"/>
        <w:ind w:left="259"/>
      </w:pPr>
      <w:r>
        <w:rPr>
          <w:rFonts w:ascii="Consolas" w:hAnsi="Consolas"/>
          <w:sz w:val="15"/>
        </w:rPr>
        <w:t xml:space="preserve">          "location": "GOEI_SCI_HANDOFF_D008_Cierre_B1.md, secciones 5 y Registro de cotejo",</w:t>
      </w:r>
    </w:p>
    <w:p>
      <w:pPr>
        <w:spacing w:after="20" w:line="240" w:lineRule="auto"/>
        <w:ind w:left="259"/>
      </w:pPr>
      <w:r>
        <w:rPr>
          <w:rFonts w:ascii="Consolas" w:hAnsi="Consolas"/>
          <w:sz w:val="15"/>
        </w:rPr>
        <w:t xml:space="preserve">          "supportClass": "evidencia bibliográfica declarada por Comité",</w:t>
      </w:r>
    </w:p>
    <w:p>
      <w:pPr>
        <w:spacing w:after="20" w:line="240" w:lineRule="auto"/>
        <w:ind w:left="259"/>
      </w:pPr>
      <w:r>
        <w:rPr>
          <w:rFonts w:ascii="Consolas" w:hAnsi="Consolas"/>
          <w:sz w:val="15"/>
        </w:rPr>
        <w:t xml:space="preserve">          "status": "under_review"</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"annotations":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"author": "Comité Científico / Oficina Técnica",</w:t>
      </w:r>
    </w:p>
    <w:p>
      <w:pPr>
        <w:spacing w:after="20" w:line="240" w:lineRule="auto"/>
        <w:ind w:left="259"/>
      </w:pPr>
      <w:r>
        <w:rPr>
          <w:rFonts w:ascii="Consolas" w:hAnsi="Consolas"/>
          <w:sz w:val="15"/>
        </w:rPr>
        <w:t xml:space="preserve">          "date": "2026-08-04",</w:t>
      </w:r>
    </w:p>
    <w:p>
      <w:pPr>
        <w:spacing w:after="20" w:line="240" w:lineRule="auto"/>
        <w:ind w:left="259"/>
      </w:pPr>
      <w:r>
        <w:rPr>
          <w:rFonts w:ascii="Consolas" w:hAnsi="Consolas"/>
          <w:sz w:val="15"/>
        </w:rPr>
        <w:t xml:space="preserve">          "text": "Metadatos cotejados con la página del editor; la migración no equivale a admisión científica ni a ratificación de D-008."</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"GOEI-SRC-0002",</w:t>
      </w:r>
    </w:p>
    <w:p>
      <w:pPr>
        <w:spacing w:after="20" w:line="240" w:lineRule="auto"/>
        <w:ind w:left="259"/>
      </w:pPr>
      <w:r>
        <w:rPr>
          <w:rFonts w:ascii="Consolas" w:hAnsi="Consolas"/>
          <w:sz w:val="15"/>
        </w:rPr>
        <w:t xml:space="preserve">      "sourceType": "article",</w:t>
      </w:r>
    </w:p>
    <w:p>
      <w:pPr>
        <w:spacing w:after="20" w:line="240" w:lineRule="auto"/>
        <w:ind w:left="259"/>
      </w:pPr>
      <w:r>
        <w:rPr>
          <w:rFonts w:ascii="Consolas" w:hAnsi="Consolas"/>
          <w:sz w:val="15"/>
        </w:rPr>
        <w:t xml:space="preserve">      "title": "Assessment of foodservice quality and identification of improvement strategies using hospital foodservice quality model",</w:t>
      </w:r>
    </w:p>
    <w:p>
      <w:pPr>
        <w:spacing w:after="20" w:line="240" w:lineRule="auto"/>
        <w:ind w:left="259"/>
      </w:pPr>
      <w:r>
        <w:rPr>
          <w:rFonts w:ascii="Consolas" w:hAnsi="Consolas"/>
          <w:sz w:val="15"/>
        </w:rPr>
        <w:t xml:space="preserve">      "creators": ["Kim, K.", "Kim, M.", "Lee, K.-E."],</w:t>
      </w:r>
    </w:p>
    <w:p>
      <w:pPr>
        <w:spacing w:after="20" w:line="240" w:lineRule="auto"/>
        <w:ind w:left="259"/>
      </w:pPr>
      <w:r>
        <w:rPr>
          <w:rFonts w:ascii="Consolas" w:hAnsi="Consolas"/>
          <w:sz w:val="15"/>
        </w:rPr>
        <w:t xml:space="preserve">      "year": 2010,</w:t>
      </w:r>
    </w:p>
    <w:p>
      <w:pPr>
        <w:spacing w:after="20" w:line="240" w:lineRule="auto"/>
        <w:ind w:left="259"/>
      </w:pPr>
      <w:r>
        <w:rPr>
          <w:rFonts w:ascii="Consolas" w:hAnsi="Consolas"/>
          <w:sz w:val="15"/>
        </w:rPr>
        <w:t xml:space="preserve">      "identifiers": [</w:t>
      </w:r>
    </w:p>
    <w:p>
      <w:pPr>
        <w:spacing w:after="20" w:line="240" w:lineRule="auto"/>
        <w:ind w:left="259"/>
      </w:pPr>
      <w:r>
        <w:rPr>
          <w:rFonts w:ascii="Consolas" w:hAnsi="Consolas"/>
          <w:sz w:val="15"/>
        </w:rPr>
        <w:t xml:space="preserve">        {"type": "doi", "value": "10.4162/nrp.2010.4.2.163"},</w:t>
      </w:r>
    </w:p>
    <w:p>
      <w:pPr>
        <w:spacing w:after="20" w:line="240" w:lineRule="auto"/>
        <w:ind w:left="259"/>
      </w:pPr>
      <w:r>
        <w:rPr>
          <w:rFonts w:ascii="Consolas" w:hAnsi="Consolas"/>
          <w:sz w:val="15"/>
        </w:rPr>
        <w:t xml:space="preserve">        {"type": "pmid", "value": "20461206"},</w:t>
      </w:r>
    </w:p>
    <w:p>
      <w:pPr>
        <w:spacing w:after="20" w:line="240" w:lineRule="auto"/>
        <w:ind w:left="259"/>
      </w:pPr>
      <w:r>
        <w:rPr>
          <w:rFonts w:ascii="Consolas" w:hAnsi="Consolas"/>
          <w:sz w:val="15"/>
        </w:rPr>
        <w:t xml:space="preserve">        {"type": "url", "value": "https://pubmed.ncbi.nlm.nih.gov/20461206/"}</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"language": "en",</w:t>
      </w:r>
    </w:p>
    <w:p>
      <w:pPr>
        <w:spacing w:after="20" w:line="240" w:lineRule="auto"/>
        <w:ind w:left="259"/>
      </w:pPr>
      <w:r>
        <w:rPr>
          <w:rFonts w:ascii="Consolas" w:hAnsi="Consolas"/>
          <w:sz w:val="15"/>
        </w:rPr>
        <w:t xml:space="preserve">      "verificationStatus": "metadata_verified",</w:t>
      </w:r>
    </w:p>
    <w:p>
      <w:pPr>
        <w:spacing w:after="20" w:line="240" w:lineRule="auto"/>
        <w:ind w:left="259"/>
      </w:pPr>
      <w:r>
        <w:rPr>
          <w:rFonts w:ascii="Consolas" w:hAnsi="Consolas"/>
          <w:sz w:val="15"/>
        </w:rPr>
        <w:t xml:space="preserve">      "scientificReviewStatus": "under_review",</w:t>
      </w:r>
    </w:p>
    <w:p>
      <w:pPr>
        <w:spacing w:after="20" w:line="240" w:lineRule="auto"/>
        <w:ind w:left="259"/>
      </w:pPr>
      <w:r>
        <w:rPr>
          <w:rFonts w:ascii="Consolas" w:hAnsi="Consolas"/>
          <w:sz w:val="15"/>
        </w:rPr>
        <w:t xml:space="preserve">      "custody": {"accessStatus": "metadata_only", "localPath": null, "sha256": null},</w:t>
      </w:r>
    </w:p>
    <w:p>
      <w:pPr>
        <w:spacing w:after="20" w:line="240" w:lineRule="auto"/>
        <w:ind w:left="259"/>
      </w:pPr>
      <w:r>
        <w:rPr>
          <w:rFonts w:ascii="Consolas" w:hAnsi="Consolas"/>
          <w:sz w:val="15"/>
        </w:rPr>
        <w:t xml:space="preserve">      "citedByDecisions": [],</w:t>
      </w:r>
    </w:p>
    <w:p>
      <w:pPr>
        <w:spacing w:after="20" w:line="240" w:lineRule="auto"/>
        <w:ind w:left="259"/>
      </w:pPr>
      <w:r>
        <w:rPr>
          <w:rFonts w:ascii="Consolas" w:hAnsi="Consolas"/>
          <w:sz w:val="15"/>
        </w:rPr>
        <w:t xml:space="preserve">      "claims":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"GOEI-SRC-0002-CLM-01",</w:t>
      </w:r>
    </w:p>
    <w:p>
      <w:pPr>
        <w:spacing w:after="20" w:line="240" w:lineRule="auto"/>
        <w:ind w:left="259"/>
      </w:pPr>
      <w:r>
        <w:rPr>
          <w:rFonts w:ascii="Consolas" w:hAnsi="Consolas"/>
          <w:sz w:val="15"/>
        </w:rPr>
        <w:t xml:space="preserve">          "goeiClaim": "Referencia citada por el expediente científico D-008 respecto de foodservice hospitalario; su función probatoria definitiva depende de ratificación y revisión científica.",</w:t>
      </w:r>
    </w:p>
    <w:p>
      <w:pPr>
        <w:spacing w:after="20" w:line="240" w:lineRule="auto"/>
        <w:ind w:left="259"/>
      </w:pPr>
      <w:r>
        <w:rPr>
          <w:rFonts w:ascii="Consolas" w:hAnsi="Consolas"/>
          <w:sz w:val="15"/>
        </w:rPr>
        <w:t xml:space="preserve">          "location": "GOEI_SCI_HANDOFF_D008_Cierre_B1.md, secciones 5 y Registro de cotejo",</w:t>
      </w:r>
    </w:p>
    <w:p>
      <w:pPr>
        <w:spacing w:after="20" w:line="240" w:lineRule="auto"/>
        <w:ind w:left="259"/>
      </w:pPr>
      <w:r>
        <w:rPr>
          <w:rFonts w:ascii="Consolas" w:hAnsi="Consolas"/>
          <w:sz w:val="15"/>
        </w:rPr>
        <w:t xml:space="preserve">          "supportClass": "evidencia bibliográfica declarada por Comité",</w:t>
      </w:r>
    </w:p>
    <w:p>
      <w:pPr>
        <w:spacing w:after="20" w:line="240" w:lineRule="auto"/>
        <w:ind w:left="259"/>
      </w:pPr>
      <w:r>
        <w:rPr>
          <w:rFonts w:ascii="Consolas" w:hAnsi="Consolas"/>
          <w:sz w:val="15"/>
        </w:rPr>
        <w:t xml:space="preserve">          "status": "under_review"</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"annotations":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"author": "Comité Científico / Oficina Técnica",</w:t>
      </w:r>
    </w:p>
    <w:p>
      <w:pPr>
        <w:spacing w:after="20" w:line="240" w:lineRule="auto"/>
        <w:ind w:left="259"/>
      </w:pPr>
      <w:r>
        <w:rPr>
          <w:rFonts w:ascii="Consolas" w:hAnsi="Consolas"/>
          <w:sz w:val="15"/>
        </w:rPr>
        <w:t xml:space="preserve">          "date": "2026-08-04",</w:t>
      </w:r>
    </w:p>
    <w:p>
      <w:pPr>
        <w:spacing w:after="20" w:line="240" w:lineRule="auto"/>
        <w:ind w:left="259"/>
      </w:pPr>
      <w:r>
        <w:rPr>
          <w:rFonts w:ascii="Consolas" w:hAnsi="Consolas"/>
          <w:sz w:val="15"/>
        </w:rPr>
        <w:t xml:space="preserve">          "text": "Metadatos cotejados con PubMed; la migración no equivale a admisión científica ni a ratificación de D-008."</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"GOEI-SRC-0003",</w:t>
      </w:r>
    </w:p>
    <w:p>
      <w:pPr>
        <w:spacing w:after="20" w:line="240" w:lineRule="auto"/>
        <w:ind w:left="259"/>
      </w:pPr>
      <w:r>
        <w:rPr>
          <w:rFonts w:ascii="Consolas" w:hAnsi="Consolas"/>
          <w:sz w:val="15"/>
        </w:rPr>
        <w:t xml:space="preserve">      "sourceType": "article",</w:t>
      </w:r>
    </w:p>
    <w:p>
      <w:pPr>
        <w:spacing w:after="20" w:line="240" w:lineRule="auto"/>
        <w:ind w:left="259"/>
      </w:pPr>
      <w:r>
        <w:rPr>
          <w:rFonts w:ascii="Consolas" w:hAnsi="Consolas"/>
          <w:sz w:val="15"/>
        </w:rPr>
        <w:t xml:space="preserve">      "title": "Environmental sustainability of hospital foodservices across the food supply chain: A systematic review",</w:t>
      </w:r>
    </w:p>
    <w:p>
      <w:pPr>
        <w:spacing w:after="20" w:line="240" w:lineRule="auto"/>
        <w:ind w:left="259"/>
      </w:pPr>
      <w:r>
        <w:rPr>
          <w:rFonts w:ascii="Consolas" w:hAnsi="Consolas"/>
          <w:sz w:val="15"/>
        </w:rPr>
        <w:t xml:space="preserve">      "creators": ["Carino, S.", "Porter, J.", "Malekpour, S.", "Collins, J."],</w:t>
      </w:r>
    </w:p>
    <w:p>
      <w:pPr>
        <w:spacing w:after="20" w:line="240" w:lineRule="auto"/>
        <w:ind w:left="259"/>
      </w:pPr>
      <w:r>
        <w:rPr>
          <w:rFonts w:ascii="Consolas" w:hAnsi="Consolas"/>
          <w:sz w:val="15"/>
        </w:rPr>
        <w:t xml:space="preserve">      "year": 2020,</w:t>
      </w:r>
    </w:p>
    <w:p>
      <w:pPr>
        <w:spacing w:after="20" w:line="240" w:lineRule="auto"/>
        <w:ind w:left="259"/>
      </w:pPr>
      <w:r>
        <w:rPr>
          <w:rFonts w:ascii="Consolas" w:hAnsi="Consolas"/>
          <w:sz w:val="15"/>
        </w:rPr>
        <w:t xml:space="preserve">      "identifiers": [</w:t>
      </w:r>
    </w:p>
    <w:p>
      <w:pPr>
        <w:spacing w:after="20" w:line="240" w:lineRule="auto"/>
        <w:ind w:left="259"/>
      </w:pPr>
      <w:r>
        <w:rPr>
          <w:rFonts w:ascii="Consolas" w:hAnsi="Consolas"/>
          <w:sz w:val="15"/>
        </w:rPr>
        <w:t xml:space="preserve">        {"type": "doi", "value": "10.1016/j.jand.2020.01.001"},</w:t>
      </w:r>
    </w:p>
    <w:p>
      <w:pPr>
        <w:spacing w:after="20" w:line="240" w:lineRule="auto"/>
        <w:ind w:left="259"/>
      </w:pPr>
      <w:r>
        <w:rPr>
          <w:rFonts w:ascii="Consolas" w:hAnsi="Consolas"/>
          <w:sz w:val="15"/>
        </w:rPr>
        <w:t xml:space="preserve">        {"type": "url", "value": "https://www.jandonline.org/article/S2212-2672(20)30001-0/abstract"}</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"language": "en",</w:t>
      </w:r>
    </w:p>
    <w:p>
      <w:pPr>
        <w:spacing w:after="20" w:line="240" w:lineRule="auto"/>
        <w:ind w:left="259"/>
      </w:pPr>
      <w:r>
        <w:rPr>
          <w:rFonts w:ascii="Consolas" w:hAnsi="Consolas"/>
          <w:sz w:val="15"/>
        </w:rPr>
        <w:t xml:space="preserve">      "verificationStatus": "metadata_verified",</w:t>
      </w:r>
    </w:p>
    <w:p>
      <w:pPr>
        <w:spacing w:after="20" w:line="240" w:lineRule="auto"/>
        <w:ind w:left="259"/>
      </w:pPr>
      <w:r>
        <w:rPr>
          <w:rFonts w:ascii="Consolas" w:hAnsi="Consolas"/>
          <w:sz w:val="15"/>
        </w:rPr>
        <w:t xml:space="preserve">      "scientificReviewStatus": "under_review",</w:t>
      </w:r>
    </w:p>
    <w:p>
      <w:pPr>
        <w:spacing w:after="20" w:line="240" w:lineRule="auto"/>
        <w:ind w:left="259"/>
      </w:pPr>
      <w:r>
        <w:rPr>
          <w:rFonts w:ascii="Consolas" w:hAnsi="Consolas"/>
          <w:sz w:val="15"/>
        </w:rPr>
        <w:t xml:space="preserve">      "custody": {"accessStatus": "metadata_only", "localPath": null, "sha256": null},</w:t>
      </w:r>
    </w:p>
    <w:p>
      <w:pPr>
        <w:spacing w:after="20" w:line="240" w:lineRule="auto"/>
        <w:ind w:left="259"/>
      </w:pPr>
      <w:r>
        <w:rPr>
          <w:rFonts w:ascii="Consolas" w:hAnsi="Consolas"/>
          <w:sz w:val="15"/>
        </w:rPr>
        <w:t xml:space="preserve">      "citedByDecisions": [],</w:t>
      </w:r>
    </w:p>
    <w:p>
      <w:pPr>
        <w:spacing w:after="20" w:line="240" w:lineRule="auto"/>
        <w:ind w:left="259"/>
      </w:pPr>
      <w:r>
        <w:rPr>
          <w:rFonts w:ascii="Consolas" w:hAnsi="Consolas"/>
          <w:sz w:val="15"/>
        </w:rPr>
        <w:t xml:space="preserve">      "claims":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"id": "GOEI-SRC-0003-CLM-01",</w:t>
      </w:r>
    </w:p>
    <w:p>
      <w:pPr>
        <w:spacing w:after="20" w:line="240" w:lineRule="auto"/>
        <w:ind w:left="259"/>
      </w:pPr>
      <w:r>
        <w:rPr>
          <w:rFonts w:ascii="Consolas" w:hAnsi="Consolas"/>
          <w:sz w:val="15"/>
        </w:rPr>
        <w:t xml:space="preserve">          "goeiClaim": "Referencia citada por el expediente científico D-008 respecto de sostenibilidad y gestión de residuos en foodservice hospitalario; la clasificación GOEI continúa abierta en GOEI-ISS-043.",</w:t>
      </w:r>
    </w:p>
    <w:p>
      <w:pPr>
        <w:spacing w:after="20" w:line="240" w:lineRule="auto"/>
        <w:ind w:left="259"/>
      </w:pPr>
      <w:r>
        <w:rPr>
          <w:rFonts w:ascii="Consolas" w:hAnsi="Consolas"/>
          <w:sz w:val="15"/>
        </w:rPr>
        <w:t xml:space="preserve">          "location": "GOEI_SCI_HANDOFF_D008_Cierre_B1.md, secciones 5, 8 y Registro de cotejo",</w:t>
      </w:r>
    </w:p>
    <w:p>
      <w:pPr>
        <w:spacing w:after="20" w:line="240" w:lineRule="auto"/>
        <w:ind w:left="259"/>
      </w:pPr>
      <w:r>
        <w:rPr>
          <w:rFonts w:ascii="Consolas" w:hAnsi="Consolas"/>
          <w:sz w:val="15"/>
        </w:rPr>
        <w:t xml:space="preserve">          "supportClass": "evidencia bibliográfica declarada por Comité",</w:t>
      </w:r>
    </w:p>
    <w:p>
      <w:pPr>
        <w:spacing w:after="20" w:line="240" w:lineRule="auto"/>
        <w:ind w:left="259"/>
      </w:pPr>
      <w:r>
        <w:rPr>
          <w:rFonts w:ascii="Consolas" w:hAnsi="Consolas"/>
          <w:sz w:val="15"/>
        </w:rPr>
        <w:t xml:space="preserve">          "status": "under_review"</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"annotations":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"author": "Comité Científico / Oficina Técnica",</w:t>
      </w:r>
    </w:p>
    <w:p>
      <w:pPr>
        <w:spacing w:after="20" w:line="240" w:lineRule="auto"/>
        <w:ind w:left="259"/>
      </w:pPr>
      <w:r>
        <w:rPr>
          <w:rFonts w:ascii="Consolas" w:hAnsi="Consolas"/>
          <w:sz w:val="15"/>
        </w:rPr>
        <w:t xml:space="preserve">          "date": "2026-08-04",</w:t>
      </w:r>
    </w:p>
    <w:p>
      <w:pPr>
        <w:spacing w:after="20" w:line="240" w:lineRule="auto"/>
        <w:ind w:left="259"/>
      </w:pPr>
      <w:r>
        <w:rPr>
          <w:rFonts w:ascii="Consolas" w:hAnsi="Consolas"/>
          <w:sz w:val="15"/>
        </w:rPr>
        <w:t xml:space="preserve">          "text": "Metadatos cotejados con la revista; la migración no resuelve GOEI-ISS-043 ni equivale a ratificación de D-008."</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w:t>
      </w:r>
    </w:p>
    <w:p>
      <w:r>
        <w:br w:type="page"/>
      </w:r>
    </w:p>
    <w:p>
      <w:pPr>
        <w:pStyle w:val="Heading1"/>
        <w:keepNext/>
      </w:pPr>
      <w:r>
        <w:t>Fuente 83: 02_Bibliografia/ESQUEMA_REGISTRO_BIBLIOGRAFICO.md</w:t>
      </w:r>
    </w:p>
    <w:p>
      <w:pPr>
        <w:spacing w:after="200"/>
      </w:pPr>
      <w:r>
        <w:rPr>
          <w:rFonts w:ascii="Consolas" w:hAnsi="Consolas"/>
          <w:color w:val="595959"/>
          <w:sz w:val="16"/>
        </w:rPr>
        <w:t>Ruta: 02_Bibliografia/ESQUEMA_REGISTRO_BIBLIOGRAFICO.md</w:t>
        <w:br/>
        <w:t>Tamaño: 3374 bytes</w:t>
        <w:br/>
        <w:t>SHA-256: 53de0756c9a81c49a4878b1b9de798f204c82cbff02e21c30ba82c11c1e1b158</w:t>
      </w:r>
    </w:p>
    <w:p>
      <w:pPr>
        <w:pStyle w:val="Heading2"/>
      </w:pPr>
      <w:r>
        <w:t>Esquema del registro bibliográfico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GOEI-BIB-SCHEMA-0001 |</w:t>
      </w:r>
    </w:p>
    <w:p>
      <w:pPr>
        <w:spacing w:after="20" w:line="240" w:lineRule="auto"/>
      </w:pPr>
      <w:r>
        <w:rPr>
          <w:rFonts w:ascii="Consolas" w:hAnsi="Consolas"/>
          <w:sz w:val="14"/>
        </w:rPr>
        <w:t>| Versión | 1.0.0 |</w:t>
      </w:r>
    </w:p>
    <w:p>
      <w:pPr>
        <w:spacing w:after="20" w:line="240" w:lineRule="auto"/>
      </w:pPr>
      <w:r>
        <w:rPr>
          <w:rFonts w:ascii="Consolas" w:hAnsi="Consolas"/>
          <w:sz w:val="14"/>
        </w:rPr>
        <w:t>| Estado | Activo para control técnico |</w:t>
      </w:r>
    </w:p>
    <w:p>
      <w:pPr>
        <w:spacing w:after="20" w:line="240" w:lineRule="auto"/>
      </w:pPr>
      <w:r>
        <w:rPr>
          <w:rFonts w:ascii="Consolas" w:hAnsi="Consolas"/>
          <w:sz w:val="14"/>
        </w:rPr>
        <w:t>| Responsable | Oficina Técnica GOEI |</w:t>
      </w:r>
    </w:p>
    <w:p>
      <w:pPr>
        <w:spacing w:after="20" w:line="240" w:lineRule="auto"/>
      </w:pPr>
      <w:r>
        <w:rPr>
          <w:rFonts w:ascii="Consolas" w:hAnsi="Consolas"/>
          <w:sz w:val="14"/>
        </w:rPr>
        <w:t>| Naturaleza | Metadatos y trazabilidad; no evaluación científica |</w:t>
      </w:r>
    </w:p>
    <w:p>
      <w:pPr>
        <w:spacing w:after="40"/>
      </w:pPr>
    </w:p>
    <w:p>
      <w:pPr>
        <w:pStyle w:val="Heading3"/>
      </w:pPr>
      <w:r>
        <w:t>1. Principio</w:t>
      </w:r>
    </w:p>
    <w:p>
      <w:pPr>
        <w:spacing w:after="40"/>
      </w:pPr>
    </w:p>
    <w:p>
      <w:r>
        <w:t>Una fuente puede estar disponible sin estar verificada, verificada sin haber sido revisada científicamente y revisada sin ser admitida como evidencia. Estos estados nunca se deducen entre sí.</w:t>
      </w:r>
    </w:p>
    <w:p>
      <w:pPr>
        <w:spacing w:after="40"/>
      </w:pPr>
    </w:p>
    <w:p>
      <w:pPr>
        <w:pStyle w:val="Heading3"/>
      </w:pPr>
      <w:r>
        <w:t>2. Identidad</w:t>
      </w:r>
    </w:p>
    <w:p>
      <w:pPr>
        <w:spacing w:after="40"/>
      </w:pPr>
    </w:p>
    <w:p>
      <w:r>
        <w:t>Cada registro usa GOEI-SRC-NNNN. El ID es permanente y no se reutiliza. DOI, ISBN, URL, código normativo y otros identificadores se conservan como claves externas, no sustituyen el ID GOEI.</w:t>
      </w:r>
    </w:p>
    <w:p>
      <w:pPr>
        <w:spacing w:after="40"/>
      </w:pPr>
    </w:p>
    <w:p>
      <w:pPr>
        <w:pStyle w:val="Heading3"/>
      </w:pPr>
      <w:r>
        <w:t>3. Campos por fuente</w:t>
      </w:r>
    </w:p>
    <w:p>
      <w:pPr>
        <w:spacing w:after="40"/>
      </w:pPr>
    </w:p>
    <w:p>
      <w:pPr>
        <w:spacing w:after="20" w:line="240" w:lineRule="auto"/>
      </w:pPr>
      <w:r>
        <w:rPr>
          <w:rFonts w:ascii="Consolas" w:hAnsi="Consolas"/>
          <w:sz w:val="14"/>
        </w:rPr>
        <w:t>| Campo | Obligatorio | Función |</w:t>
      </w:r>
    </w:p>
    <w:p>
      <w:pPr>
        <w:spacing w:after="20" w:line="240" w:lineRule="auto"/>
      </w:pPr>
      <w:r>
        <w:rPr>
          <w:rFonts w:ascii="Consolas" w:hAnsi="Consolas"/>
          <w:sz w:val="14"/>
        </w:rPr>
        <w:t>|---|---|---|</w:t>
      </w:r>
    </w:p>
    <w:p>
      <w:pPr>
        <w:spacing w:after="20" w:line="240" w:lineRule="auto"/>
      </w:pPr>
      <w:r>
        <w:rPr>
          <w:rFonts w:ascii="Consolas" w:hAnsi="Consolas"/>
          <w:sz w:val="14"/>
        </w:rPr>
        <w:t>| `id` | sí | identidad GOEI |</w:t>
      </w:r>
    </w:p>
    <w:p>
      <w:pPr>
        <w:spacing w:after="20" w:line="240" w:lineRule="auto"/>
      </w:pPr>
      <w:r>
        <w:rPr>
          <w:rFonts w:ascii="Consolas" w:hAnsi="Consolas"/>
          <w:sz w:val="14"/>
        </w:rPr>
        <w:t>| `sourceType` | sí | artículo, libro, norma, regulación, dataset, informe u otro |</w:t>
      </w:r>
    </w:p>
    <w:p>
      <w:pPr>
        <w:spacing w:after="20" w:line="240" w:lineRule="auto"/>
      </w:pPr>
      <w:r>
        <w:rPr>
          <w:rFonts w:ascii="Consolas" w:hAnsi="Consolas"/>
          <w:sz w:val="14"/>
        </w:rPr>
        <w:t>| `title` | sí al verificar | título transcrito |</w:t>
      </w:r>
    </w:p>
    <w:p>
      <w:pPr>
        <w:spacing w:after="20" w:line="240" w:lineRule="auto"/>
      </w:pPr>
      <w:r>
        <w:rPr>
          <w:rFonts w:ascii="Consolas" w:hAnsi="Consolas"/>
          <w:sz w:val="14"/>
        </w:rPr>
        <w:t>| `creators` | sí al verificar | autores personales o institucionales |</w:t>
      </w:r>
    </w:p>
    <w:p>
      <w:pPr>
        <w:spacing w:after="20" w:line="240" w:lineRule="auto"/>
      </w:pPr>
      <w:r>
        <w:rPr>
          <w:rFonts w:ascii="Consolas" w:hAnsi="Consolas"/>
          <w:sz w:val="14"/>
        </w:rPr>
        <w:t>| `year` | cuando conste | año sin inferencia |</w:t>
      </w:r>
    </w:p>
    <w:p>
      <w:pPr>
        <w:spacing w:after="20" w:line="240" w:lineRule="auto"/>
      </w:pPr>
      <w:r>
        <w:rPr>
          <w:rFonts w:ascii="Consolas" w:hAnsi="Consolas"/>
          <w:sz w:val="14"/>
        </w:rPr>
        <w:t>| `identifiers` | sí al verificar | DOI, ISBN, URL persistente o código |</w:t>
      </w:r>
    </w:p>
    <w:p>
      <w:pPr>
        <w:spacing w:after="20" w:line="240" w:lineRule="auto"/>
      </w:pPr>
      <w:r>
        <w:rPr>
          <w:rFonts w:ascii="Consolas" w:hAnsi="Consolas"/>
          <w:sz w:val="14"/>
        </w:rPr>
        <w:t>| `language` | sí al verificar | código de idioma |</w:t>
      </w:r>
    </w:p>
    <w:p>
      <w:pPr>
        <w:spacing w:after="20" w:line="240" w:lineRule="auto"/>
      </w:pPr>
      <w:r>
        <w:rPr>
          <w:rFonts w:ascii="Consolas" w:hAnsi="Consolas"/>
          <w:sz w:val="14"/>
        </w:rPr>
        <w:t>| `editionOrVersion` | cuando conste | edición o versión fuente |</w:t>
      </w:r>
    </w:p>
    <w:p>
      <w:pPr>
        <w:spacing w:after="20" w:line="240" w:lineRule="auto"/>
      </w:pPr>
      <w:r>
        <w:rPr>
          <w:rFonts w:ascii="Consolas" w:hAnsi="Consolas"/>
          <w:sz w:val="14"/>
        </w:rPr>
        <w:t>| `verificationStatus` | sí | estado técnico de metadatos |</w:t>
      </w:r>
    </w:p>
    <w:p>
      <w:pPr>
        <w:spacing w:after="20" w:line="240" w:lineRule="auto"/>
      </w:pPr>
      <w:r>
        <w:rPr>
          <w:rFonts w:ascii="Consolas" w:hAnsi="Consolas"/>
          <w:sz w:val="14"/>
        </w:rPr>
        <w:t>| `scientificReviewStatus` | sí | estado asignado por Comité Científico |</w:t>
      </w:r>
    </w:p>
    <w:p>
      <w:pPr>
        <w:spacing w:after="20" w:line="240" w:lineRule="auto"/>
      </w:pPr>
      <w:r>
        <w:rPr>
          <w:rFonts w:ascii="Consolas" w:hAnsi="Consolas"/>
          <w:sz w:val="14"/>
        </w:rPr>
        <w:t>| `custody` | sí | acceso, licencia, ruta local y checksum aplicables |</w:t>
      </w:r>
    </w:p>
    <w:p>
      <w:pPr>
        <w:spacing w:after="20" w:line="240" w:lineRule="auto"/>
      </w:pPr>
      <w:r>
        <w:rPr>
          <w:rFonts w:ascii="Consolas" w:hAnsi="Consolas"/>
          <w:sz w:val="14"/>
        </w:rPr>
        <w:t>| `citedByDecisions` | sí | IDs de decisiones que citan la fuente |</w:t>
      </w:r>
    </w:p>
    <w:p>
      <w:pPr>
        <w:spacing w:after="20" w:line="240" w:lineRule="auto"/>
      </w:pPr>
      <w:r>
        <w:rPr>
          <w:rFonts w:ascii="Consolas" w:hAnsi="Consolas"/>
          <w:sz w:val="14"/>
        </w:rPr>
        <w:t>| `claims` | sí | enlaces a afirmaciones, localización y tipo de respaldo |</w:t>
      </w:r>
    </w:p>
    <w:p>
      <w:pPr>
        <w:spacing w:after="20" w:line="240" w:lineRule="auto"/>
      </w:pPr>
      <w:r>
        <w:rPr>
          <w:rFonts w:ascii="Consolas" w:hAnsi="Consolas"/>
          <w:sz w:val="14"/>
        </w:rPr>
        <w:t>| `annotations` | sí | anotaciones controladas y autoría |</w:t>
      </w:r>
    </w:p>
    <w:p>
      <w:pPr>
        <w:spacing w:after="40"/>
      </w:pPr>
    </w:p>
    <w:p>
      <w:pPr>
        <w:pStyle w:val="Heading3"/>
      </w:pPr>
      <w:r>
        <w:t>4. Vocabularios de estado</w:t>
      </w:r>
    </w:p>
    <w:p>
      <w:pPr>
        <w:spacing w:after="40"/>
      </w:pPr>
    </w:p>
    <w:p>
      <w:pPr>
        <w:pStyle w:val="Heading4"/>
      </w:pPr>
      <w:r>
        <w:t>Verificación técnica</w:t>
      </w:r>
    </w:p>
    <w:p>
      <w:pPr>
        <w:spacing w:after="40"/>
      </w:pPr>
    </w:p>
    <w:p>
      <w:r>
        <w:t>unverified → metadata_verified → superseded.</w:t>
      </w:r>
    </w:p>
    <w:p>
      <w:pPr>
        <w:spacing w:after="40"/>
      </w:pPr>
    </w:p>
    <w:p>
      <w:pPr>
        <w:pStyle w:val="Heading4"/>
      </w:pPr>
      <w:r>
        <w:t>Revisión científica</w:t>
      </w:r>
    </w:p>
    <w:p>
      <w:pPr>
        <w:spacing w:after="40"/>
      </w:pPr>
    </w:p>
    <w:p>
      <w:r>
        <w:t>not_reviewed, under_review, admitted, rejected, limited, superseded.</w:t>
      </w:r>
    </w:p>
    <w:p>
      <w:pPr>
        <w:spacing w:after="40"/>
      </w:pPr>
    </w:p>
    <w:p>
      <w:r>
        <w:t>La Oficina Técnica puede asignar metadata_verified tras cotejar los metadatos con una fuente identificable. Solo el Comité puede cambiar scientificReviewStatus fuera de not_reviewed cuando ello implique juicio científico.</w:t>
      </w:r>
    </w:p>
    <w:p>
      <w:pPr>
        <w:spacing w:after="40"/>
      </w:pPr>
    </w:p>
    <w:p>
      <w:pPr>
        <w:pStyle w:val="Heading4"/>
      </w:pPr>
      <w:r>
        <w:t>Acceso y custodia</w:t>
      </w:r>
    </w:p>
    <w:p>
      <w:pPr>
        <w:spacing w:after="40"/>
      </w:pPr>
    </w:p>
    <w:p>
      <w:r>
        <w:t>external_only, open_copy, licensed_copy, restricted_copy, metadata_only.</w:t>
      </w:r>
    </w:p>
    <w:p>
      <w:pPr>
        <w:spacing w:after="40"/>
      </w:pPr>
    </w:p>
    <w:p>
      <w:r>
        <w:t>Una copia restringida no se publica. El registro conserva custodia, licencia y checksum sin revelar material protegido.</w:t>
      </w:r>
    </w:p>
    <w:p>
      <w:pPr>
        <w:spacing w:after="40"/>
      </w:pPr>
    </w:p>
    <w:p>
      <w:pPr>
        <w:pStyle w:val="Heading3"/>
      </w:pPr>
      <w:r>
        <w:t>5. Claims</w:t>
      </w:r>
    </w:p>
    <w:p>
      <w:pPr>
        <w:spacing w:after="40"/>
      </w:pPr>
    </w:p>
    <w:p>
      <w:r>
        <w:t>Cada claim usa un ID local, una referencia a la afirmación GOEI, localización exacta dentro de la fuente, clase de respaldo y estado. El registro enlaza afirmaciones ya formuladas por la investigación; la Oficina Técnica no redacta ni interpreta esas afirmaciones.</w:t>
      </w:r>
    </w:p>
    <w:p>
      <w:pPr>
        <w:spacing w:after="40"/>
      </w:pPr>
    </w:p>
    <w:p>
      <w:pPr>
        <w:pStyle w:val="Heading3"/>
      </w:pPr>
      <w:r>
        <w:t>6. Reglas de integridad</w:t>
      </w:r>
    </w:p>
    <w:p>
      <w:pPr>
        <w:spacing w:after="40"/>
      </w:pPr>
    </w:p>
    <w:p>
      <w:pPr>
        <w:pStyle w:val="ListNumber"/>
      </w:pPr>
      <w:r>
        <w:t>IDs de fuente únicos e inmutables.</w:t>
      </w:r>
    </w:p>
    <w:p>
      <w:pPr>
        <w:pStyle w:val="ListNumber"/>
      </w:pPr>
      <w:r>
        <w:t>Identificadores externos no duplicados salvo alias documentado.</w:t>
      </w:r>
    </w:p>
    <w:p>
      <w:pPr>
        <w:pStyle w:val="ListNumber"/>
      </w:pPr>
      <w:r>
        <w:t>Una fuente verificada no admite placeholders.</w:t>
      </w:r>
    </w:p>
    <w:p>
      <w:pPr>
        <w:pStyle w:val="ListNumber"/>
      </w:pPr>
      <w:r>
        <w:t>Toda decisión citada debe existir en el registro oficial.</w:t>
      </w:r>
    </w:p>
    <w:p>
      <w:pPr>
        <w:pStyle w:val="ListNumber"/>
      </w:pPr>
      <w:r>
        <w:t>Toda ruta local debe permanecer dentro del repositorio y existir.</w:t>
      </w:r>
    </w:p>
    <w:p>
      <w:pPr>
        <w:pStyle w:val="ListNumber"/>
      </w:pPr>
      <w:r>
        <w:t>Todo checksum SHA-256 debe contener 64 caracteres hexadecimales.</w:t>
      </w:r>
    </w:p>
    <w:p>
      <w:pPr>
        <w:pStyle w:val="ListNumber"/>
      </w:pPr>
      <w:r>
        <w:t>admitted, rejected o limited exige acto o expediente científico enlazado.</w:t>
      </w:r>
    </w:p>
    <w:p>
      <w:pPr>
        <w:pStyle w:val="ListNumber"/>
      </w:pPr>
      <w:r>
        <w:t>El catálogo no almacena credenciales ni datos personales innecesarios.</w:t>
      </w:r>
    </w:p>
    <w:p>
      <w:pPr>
        <w:pStyle w:val="ListNumber"/>
      </w:pPr>
      <w:r>
        <w:t>La ausencia de copia local no invalida metadatos; debe declararse el estado de acceso.</w:t>
      </w:r>
    </w:p>
    <w:p>
      <w:pPr>
        <w:pStyle w:val="ListNumber"/>
      </w:pPr>
      <w:r>
        <w:t>Eliminar una fuente es lógico: se usa superseded, no se reutiliza su ID.</w:t>
      </w:r>
    </w:p>
    <w:p>
      <w:r>
        <w:br w:type="page"/>
      </w:r>
    </w:p>
    <w:p>
      <w:pPr>
        <w:pStyle w:val="Heading1"/>
        <w:keepNext/>
      </w:pPr>
      <w:r>
        <w:t>Fuente 84: 02_Bibliografia/README.md</w:t>
      </w:r>
    </w:p>
    <w:p>
      <w:pPr>
        <w:spacing w:after="200"/>
      </w:pPr>
      <w:r>
        <w:rPr>
          <w:rFonts w:ascii="Consolas" w:hAnsi="Consolas"/>
          <w:color w:val="595959"/>
          <w:sz w:val="16"/>
        </w:rPr>
        <w:t>Ruta: 02_Bibliografia/README.md</w:t>
        <w:br/>
        <w:t>Tamaño: 667 bytes</w:t>
        <w:br/>
        <w:t>SHA-256: 975c8767946a1abb73e327cab248781fe88c7f4a0c130dd9147a432a11b536e5</w:t>
      </w:r>
    </w:p>
    <w:p>
      <w:pPr>
        <w:pStyle w:val="Heading2"/>
      </w:pPr>
      <w:r>
        <w:t>Bibliografía controlada</w:t>
      </w:r>
    </w:p>
    <w:p>
      <w:pPr>
        <w:spacing w:after="40"/>
      </w:pPr>
    </w:p>
    <w:p>
      <w:r>
        <w:t>Catálogo de fuentes y copias legalmente disponibles. Incorporar una fuente aquí no equivale a aceptar sus afirmaciones.</w:t>
      </w:r>
    </w:p>
    <w:p>
      <w:pPr>
        <w:spacing w:after="40"/>
      </w:pPr>
    </w:p>
    <w:p>
      <w:pPr>
        <w:pStyle w:val="ListBullet"/>
      </w:pPr>
      <w:r>
        <w:t>Esquema humano: ESQUEMA_REGISTRO_BIBLIOGRAFICO.md.</w:t>
      </w:r>
    </w:p>
    <w:p>
      <w:pPr>
        <w:pStyle w:val="ListBullet"/>
      </w:pPr>
      <w:r>
        <w:t>Catálogo procesable: catalogo_fuentes.json.</w:t>
      </w:r>
    </w:p>
    <w:p>
      <w:pPr>
        <w:pStyle w:val="ListBullet"/>
      </w:pPr>
      <w:r>
        <w:t>Ficha narrativa: /_Plantillas/Plantilla_ficha_fuente.md.</w:t>
      </w:r>
    </w:p>
    <w:p>
      <w:pPr>
        <w:pStyle w:val="ListBullet"/>
      </w:pPr>
      <w:r>
        <w:t>Validador: /16_Herramientas/validadores/validate_bibliography.py.</w:t>
      </w:r>
    </w:p>
    <w:p>
      <w:pPr>
        <w:spacing w:after="40"/>
      </w:pPr>
    </w:p>
    <w:p>
      <w:r>
        <w:t>El catálogo contiene las fuentes individuales cuyos metadatos ya fueron cotejados formalmente. El estado metadata_verified no equivale a admisión científica: cada registro conserva por separado scientificReviewStatus, procedencia y vínculos con afirmaciones o decisiones.</w:t>
      </w:r>
    </w:p>
    <w:p>
      <w:r>
        <w:br w:type="page"/>
      </w:r>
    </w:p>
    <w:p>
      <w:pPr>
        <w:pStyle w:val="Heading1"/>
        <w:keepNext/>
      </w:pPr>
      <w:r>
        <w:t>Fuente 85: 03_Taxonomia_negocios/FaseB_B2_Taxonomia_universal_candidata.md</w:t>
      </w:r>
    </w:p>
    <w:p>
      <w:pPr>
        <w:spacing w:after="200"/>
      </w:pPr>
      <w:r>
        <w:rPr>
          <w:rFonts w:ascii="Consolas" w:hAnsi="Consolas"/>
          <w:color w:val="595959"/>
          <w:sz w:val="16"/>
        </w:rPr>
        <w:t>Ruta: 03_Taxonomia_negocios/FaseB_B2_Taxonomia_universal_candidata.md</w:t>
        <w:br/>
        <w:t>Tamaño: 6117 bytes</w:t>
        <w:br/>
        <w:t>SHA-256: 4e11b8e7f4a630184ed6d1becdfef678cf30d2ea0875dd7cacf910ae33ec369f</w:t>
      </w:r>
    </w:p>
    <w:p>
      <w:pPr>
        <w:pStyle w:val="Heading2"/>
      </w:pPr>
      <w:r>
        <w:t>FASE B — B2 · Taxonomía universal candidata (multieje / facetada)</w:t>
      </w:r>
    </w:p>
    <w:p>
      <w:pPr>
        <w:pStyle w:val="Heading3"/>
      </w:pPr>
      <w:r>
        <w:t>Elementos candidatos NO normativos — sujetos a decisión D-017 y ratificación directiva</w:t>
      </w:r>
    </w:p>
    <w:p>
      <w:pPr>
        <w:spacing w:after="40"/>
      </w:pPr>
    </w:p>
    <w:p>
      <w:r>
        <w:t>Naturaleza: propuesta científica candidata. Ningún valor aquí es normativo hasta aprobación e integración. No contiene KPI, fórmulas, ponderaciones, umbrales ni referencias GTRM.</w:t>
      </w:r>
    </w:p>
    <w:p>
      <w:r>
        <w:t>Vínculo: consume GOEI-BSL-PROC-0001 v0.1.0, GOEI-PMM-0001 (type/token) y D-006 v0.1 (sin modificar).</w:t>
      </w:r>
    </w:p>
    <w:p>
      <w:r>
        <w:t>Fecha: 2026-08-04.</w:t>
      </w:r>
    </w:p>
    <w:p>
      <w:pPr>
        <w:spacing w:after="40"/>
      </w:pPr>
    </w:p>
    <w:p>
      <w:r>
        <w:t>---</w:t>
      </w:r>
    </w:p>
    <w:p>
      <w:pPr>
        <w:spacing w:after="40"/>
      </w:pPr>
    </w:p>
    <w:p>
      <w:pPr>
        <w:pStyle w:val="Heading3"/>
      </w:pPr>
      <w:r>
        <w:t>1. Unidad de clasificación y reglas type/token</w:t>
      </w:r>
    </w:p>
    <w:p>
      <w:pPr>
        <w:pStyle w:val="ListBullet"/>
      </w:pPr>
      <w:r>
        <w:t>Unidad de clasificación: el Establecimiento (token del estrato Realidad, ancla D-006). Configuraciones multiunidad (cadenas, franquicias, multi-marca) permanecen bajo GOEI-ISS-008; una cadena es un agregado de tokens, no la unidad.</w:t>
      </w:r>
    </w:p>
    <w:p>
      <w:pPr>
        <w:pStyle w:val="ListBullet"/>
      </w:pPr>
      <w:r>
        <w:t>Categoría = tipo (type-level, estrato Norma): una categoría GOEI es una combinación de valores de facetas. Un Establecimiento (token) es_clasificado_como exactamente una combinación por evaluación.</w:t>
      </w:r>
    </w:p>
    <w:p>
      <w:pPr>
        <w:pStyle w:val="ListBullet"/>
      </w:pPr>
      <w:r>
        <w:t>Regla de identidad: la clasificación de un token se versiona; un cambio de modelo operativo genera una nueva clasificación con historial, no una sobrescritura.</w:t>
      </w:r>
    </w:p>
    <w:p>
      <w:pPr>
        <w:spacing w:after="40"/>
      </w:pPr>
    </w:p>
    <w:p>
      <w:pPr>
        <w:pStyle w:val="Heading3"/>
      </w:pPr>
      <w:r>
        <w:t>2. Estructura facetada candidata</w:t>
      </w:r>
    </w:p>
    <w:p>
      <w:r>
        <w:t>Cada faceta es un eje ortogonal con valores enumerados y abiertos (extensibles bajo gobernanza). Cardinalidad por defecto: un valor por faceta indispensable por evaluación (con manejo declarado de híbridos, §4).</w:t>
      </w:r>
    </w:p>
    <w:p>
      <w:pPr>
        <w:spacing w:after="40"/>
      </w:pPr>
    </w:p>
    <w:p>
      <w:pPr>
        <w:pStyle w:val="Heading4"/>
      </w:pPr>
      <w:r>
        <w:t>Facetas indispensables (candidatas)</w:t>
      </w:r>
    </w:p>
    <w:p>
      <w:pPr>
        <w:spacing w:after="20" w:line="240" w:lineRule="auto"/>
      </w:pPr>
      <w:r>
        <w:rPr>
          <w:rFonts w:ascii="Consolas" w:hAnsi="Consolas"/>
          <w:sz w:val="14"/>
        </w:rPr>
        <w:t>| ID faceta | Faceta | Realiza / afecta | Valores candidatos (no normativos) | Fuente |</w:t>
      </w:r>
    </w:p>
    <w:p>
      <w:pPr>
        <w:spacing w:after="20" w:line="240" w:lineRule="auto"/>
      </w:pPr>
      <w:r>
        <w:rPr>
          <w:rFonts w:ascii="Consolas" w:hAnsi="Consolas"/>
          <w:sz w:val="14"/>
        </w:rPr>
        <w:t>|---|---|---|---|---|</w:t>
      </w:r>
    </w:p>
    <w:p>
      <w:pPr>
        <w:spacing w:after="20" w:line="240" w:lineRule="auto"/>
      </w:pPr>
      <w:r>
        <w:rPr>
          <w:rFonts w:ascii="Consolas" w:hAnsi="Consolas"/>
          <w:sz w:val="14"/>
        </w:rPr>
        <w:t>| FX-1 | **Modalidad de servicio/entrega** | P5 | mesa; mostrador; autoservicio/línea; delivery/cumplimiento; banquete/transporte; bandeja/distribución institucional | ISIC/NACE; Spears |</w:t>
      </w:r>
    </w:p>
    <w:p>
      <w:pPr>
        <w:spacing w:after="20" w:line="240" w:lineRule="auto"/>
      </w:pPr>
      <w:r>
        <w:rPr>
          <w:rFonts w:ascii="Consolas" w:hAnsi="Consolas"/>
          <w:sz w:val="14"/>
        </w:rPr>
        <w:t>| FX-2 | **Sistema de producción** | P4–P5 | convencional; ready-prepared/cook-chill; commissary/centralizado; assembly-serve | Spears &amp; Gregoire (GOEI-ISS-014) |</w:t>
      </w:r>
    </w:p>
    <w:p>
      <w:pPr>
        <w:spacing w:after="20" w:line="240" w:lineRule="auto"/>
      </w:pPr>
      <w:r>
        <w:rPr>
          <w:rFonts w:ascii="Consolas" w:hAnsi="Consolas"/>
          <w:sz w:val="14"/>
        </w:rPr>
        <w:t>| FX-3 | **Naturaleza económica** | P6; alcance | comercial; no comercial/institucional | NAICS/ISIC; D-008 |</w:t>
      </w:r>
    </w:p>
    <w:p>
      <w:pPr>
        <w:spacing w:after="40"/>
      </w:pPr>
    </w:p>
    <w:p>
      <w:pPr>
        <w:pStyle w:val="Heading4"/>
      </w:pPr>
      <w:r>
        <w:t>Facetas opcionales/modulares (candidatas, para submuestras analíticas)</w:t>
      </w:r>
    </w:p>
    <w:p>
      <w:pPr>
        <w:spacing w:after="20" w:line="240" w:lineRule="auto"/>
      </w:pPr>
      <w:r>
        <w:rPr>
          <w:rFonts w:ascii="Consolas" w:hAnsi="Consolas"/>
          <w:sz w:val="14"/>
        </w:rPr>
        <w:t>| ID faceta | Faceta | Uso | Valores candidatos |</w:t>
      </w:r>
    </w:p>
    <w:p>
      <w:pPr>
        <w:spacing w:after="20" w:line="240" w:lineRule="auto"/>
      </w:pPr>
      <w:r>
        <w:rPr>
          <w:rFonts w:ascii="Consolas" w:hAnsi="Consolas"/>
          <w:sz w:val="14"/>
        </w:rPr>
        <w:t>|---|---|---|---|</w:t>
      </w:r>
    </w:p>
    <w:p>
      <w:pPr>
        <w:spacing w:after="20" w:line="240" w:lineRule="auto"/>
      </w:pPr>
      <w:r>
        <w:rPr>
          <w:rFonts w:ascii="Consolas" w:hAnsi="Consolas"/>
          <w:sz w:val="14"/>
        </w:rPr>
        <w:t>| FO-1 | Complejidad de oferta | escala de carga de procesos | menú fijo; limitado; amplio; a la carta compleja |</w:t>
      </w:r>
    </w:p>
    <w:p>
      <w:pPr>
        <w:spacing w:after="20" w:line="240" w:lineRule="auto"/>
      </w:pPr>
      <w:r>
        <w:rPr>
          <w:rFonts w:ascii="Consolas" w:hAnsi="Consolas"/>
          <w:sz w:val="14"/>
        </w:rPr>
        <w:t>| FO-2 | Segmento de servicio/precio | comparabilidad comercial | QSR; fast casual; casual; fine dining (consenso industrial) |</w:t>
      </w:r>
    </w:p>
    <w:p>
      <w:pPr>
        <w:spacing w:after="20" w:line="240" w:lineRule="auto"/>
      </w:pPr>
      <w:r>
        <w:rPr>
          <w:rFonts w:ascii="Consolas" w:hAnsi="Consolas"/>
          <w:sz w:val="14"/>
        </w:rPr>
        <w:t>| FO-3 | Tamaño | estratificación | micro; pequeño; mediano; grande (según definición jurisdiccional) |</w:t>
      </w:r>
    </w:p>
    <w:p>
      <w:pPr>
        <w:spacing w:after="20" w:line="240" w:lineRule="auto"/>
      </w:pPr>
      <w:r>
        <w:rPr>
          <w:rFonts w:ascii="Consolas" w:hAnsi="Consolas"/>
          <w:sz w:val="14"/>
        </w:rPr>
        <w:t>| FO-4 | Jurisdicción | compatibilidad regulatoria | código país/región (para crosswalk y GTRM regulatorias) |</w:t>
      </w:r>
    </w:p>
    <w:p>
      <w:pPr>
        <w:spacing w:after="40"/>
      </w:pPr>
    </w:p>
    <w:p>
      <w:pPr>
        <w:pStyle w:val="Heading3"/>
      </w:pPr>
      <w:r>
        <w:t>3. Combinaciones y cardinalidades</w:t>
      </w:r>
    </w:p>
    <w:p>
      <w:pPr>
        <w:pStyle w:val="ListBullet"/>
      </w:pPr>
      <w:r>
        <w:t>La taxonomía admite cualquier combinación de valores de facetas; la población empírica de combinaciones (cuáles existen y con qué frecuencia) es materia de datos, no de la estructura.</w:t>
      </w:r>
    </w:p>
    <w:p>
      <w:pPr>
        <w:pStyle w:val="ListBullet"/>
      </w:pPr>
      <w:r>
        <w:t>Cardinalidad: Establecimiento → 1 valor por faceta indispensable (o "híbrido declarado", §4); 0..1 por faceta opcional.</w:t>
      </w:r>
    </w:p>
    <w:p>
      <w:pPr>
        <w:pStyle w:val="ListBullet"/>
      </w:pPr>
      <w:r>
        <w:t>Ejemplos ilustrativos de categorías como combinaciones (candidatos, no normativos): restaurante full-service = {mesa, convencional, comercial}; dark kitchen = {delivery, convencional/assembly, comercial}; casino/comedor institucional = {bandeja, cook-chill/commissary, no comercial}; catering de eventos = {banquete-transporte, commissary/convencional, comercial}; panadería con consumo = {mostrador, convencional, comercial}.</w:t>
      </w:r>
    </w:p>
    <w:p>
      <w:pPr>
        <w:spacing w:after="40"/>
      </w:pPr>
    </w:p>
    <w:p>
      <w:pPr>
        <w:pStyle w:val="Heading3"/>
      </w:pPr>
      <w:r>
        <w:t>4. Tratamiento de casos límite (candidato)</w:t>
      </w:r>
    </w:p>
    <w:p>
      <w:pPr>
        <w:spacing w:after="20" w:line="240" w:lineRule="auto"/>
      </w:pPr>
      <w:r>
        <w:rPr>
          <w:rFonts w:ascii="Consolas" w:hAnsi="Consolas"/>
          <w:sz w:val="14"/>
        </w:rPr>
        <w:t>| Caso | Regla candidata |</w:t>
      </w:r>
    </w:p>
    <w:p>
      <w:pPr>
        <w:spacing w:after="20" w:line="240" w:lineRule="auto"/>
      </w:pPr>
      <w:r>
        <w:rPr>
          <w:rFonts w:ascii="Consolas" w:hAnsi="Consolas"/>
          <w:sz w:val="14"/>
        </w:rPr>
        <w:t>|---|---|</w:t>
      </w:r>
    </w:p>
    <w:p>
      <w:pPr>
        <w:spacing w:after="20" w:line="240" w:lineRule="auto"/>
      </w:pPr>
      <w:r>
        <w:rPr>
          <w:rFonts w:ascii="Consolas" w:hAnsi="Consolas"/>
          <w:sz w:val="14"/>
        </w:rPr>
        <w:t>| **Híbrido** (varias modalidades) | Declarar **modalidad primaria** + secundarias marcadas; o evaluar por **flujo operativo** (enlaza GOEI-ISS-008) |</w:t>
      </w:r>
    </w:p>
    <w:p>
      <w:pPr>
        <w:spacing w:after="20" w:line="240" w:lineRule="auto"/>
      </w:pPr>
      <w:r>
        <w:rPr>
          <w:rFonts w:ascii="Consolas" w:hAnsi="Consolas"/>
          <w:sz w:val="14"/>
        </w:rPr>
        <w:t>| **Cadena/franquicia** | Cada local = token clasificado; la cadena no es unidad (GOEI-ISS-008) |</w:t>
      </w:r>
    </w:p>
    <w:p>
      <w:pPr>
        <w:spacing w:after="20" w:line="240" w:lineRule="auto"/>
      </w:pPr>
      <w:r>
        <w:rPr>
          <w:rFonts w:ascii="Consolas" w:hAnsi="Consolas"/>
          <w:sz w:val="14"/>
        </w:rPr>
        <w:t>| **Dark kitchen multi-marca** | Un local físico con varios flujos de marca → unidad de evaluación pendiente (GOEI-ISS-008) |</w:t>
      </w:r>
    </w:p>
    <w:p>
      <w:pPr>
        <w:spacing w:after="20" w:line="240" w:lineRule="auto"/>
      </w:pPr>
      <w:r>
        <w:rPr>
          <w:rFonts w:ascii="Consolas" w:hAnsi="Consolas"/>
          <w:sz w:val="14"/>
        </w:rPr>
        <w:t>| **Catering** | Faceta modalidad = banquete/transporte (ISIC 562 / NACE 56.2) |</w:t>
      </w:r>
    </w:p>
    <w:p>
      <w:pPr>
        <w:spacing w:after="20" w:line="240" w:lineRule="auto"/>
      </w:pPr>
      <w:r>
        <w:rPr>
          <w:rFonts w:ascii="Consolas" w:hAnsi="Consolas"/>
          <w:sz w:val="14"/>
        </w:rPr>
        <w:t>| **Institucional** | Naturaleza = no comercial; modalidad = bandeja; P6 = requisición |</w:t>
      </w:r>
    </w:p>
    <w:p>
      <w:pPr>
        <w:spacing w:after="40"/>
      </w:pPr>
    </w:p>
    <w:p>
      <w:pPr>
        <w:pStyle w:val="Heading3"/>
      </w:pPr>
      <w:r>
        <w:t>5. Mapa candidato hacia la ontología D-006 (sin modificarla)</w:t>
      </w:r>
    </w:p>
    <w:p>
      <w:pPr>
        <w:pStyle w:val="ListBullet"/>
      </w:pPr>
      <w:r>
        <w:t>Categoría (type, Norma) ← combinación de valores de facetas.</w:t>
      </w:r>
    </w:p>
    <w:p>
      <w:pPr>
        <w:pStyle w:val="ListBullet"/>
      </w:pPr>
      <w:r>
        <w:t>Establecimiento (token, Realidad) es_clasificado_como Categoría.</w:t>
      </w:r>
    </w:p>
    <w:p>
      <w:pPr>
        <w:pStyle w:val="ListBullet"/>
      </w:pPr>
      <w:r>
        <w:t>Facetas y valores = tipos del estrato Norma; su emisión sigue el ciclo de vida de GOEI-PMM-0001 (propuesto→…→vigente). No se edita D-006; una eventual entidad "Faceta/Categoría" se añadiría solo por Issue formal.</w:t>
      </w:r>
    </w:p>
    <w:p>
      <w:pPr>
        <w:spacing w:after="40"/>
      </w:pPr>
    </w:p>
    <w:p>
      <w:pPr>
        <w:pStyle w:val="Heading3"/>
      </w:pPr>
      <w:r>
        <w:t>6. Mapa candidato hacia los procesos B1 (baseline)</w:t>
      </w:r>
    </w:p>
    <w:p>
      <w:pPr>
        <w:spacing w:after="20" w:line="240" w:lineRule="auto"/>
      </w:pPr>
      <w:r>
        <w:rPr>
          <w:rFonts w:ascii="Consolas" w:hAnsi="Consolas"/>
          <w:sz w:val="14"/>
        </w:rPr>
        <w:t>| Faceta | Procesos cuya realización condiciona |</w:t>
      </w:r>
    </w:p>
    <w:p>
      <w:pPr>
        <w:spacing w:after="20" w:line="240" w:lineRule="auto"/>
      </w:pPr>
      <w:r>
        <w:rPr>
          <w:rFonts w:ascii="Consolas" w:hAnsi="Consolas"/>
          <w:sz w:val="14"/>
        </w:rPr>
        <w:t>|---|---|</w:t>
      </w:r>
    </w:p>
    <w:p>
      <w:pPr>
        <w:spacing w:after="20" w:line="240" w:lineRule="auto"/>
      </w:pPr>
      <w:r>
        <w:rPr>
          <w:rFonts w:ascii="Consolas" w:hAnsi="Consolas"/>
          <w:sz w:val="14"/>
        </w:rPr>
        <w:t>| FX-1 Modalidad | P5 (distribución/servicio/cumplimiento) |</w:t>
      </w:r>
    </w:p>
    <w:p>
      <w:pPr>
        <w:spacing w:after="20" w:line="240" w:lineRule="auto"/>
      </w:pPr>
      <w:r>
        <w:rPr>
          <w:rFonts w:ascii="Consolas" w:hAnsi="Consolas"/>
          <w:sz w:val="14"/>
        </w:rPr>
        <w:t>| FX-2 Sistema de producción | P4 (producción), P5 |</w:t>
      </w:r>
    </w:p>
    <w:p>
      <w:pPr>
        <w:spacing w:after="20" w:line="240" w:lineRule="auto"/>
      </w:pPr>
      <w:r>
        <w:rPr>
          <w:rFonts w:ascii="Consolas" w:hAnsi="Consolas"/>
          <w:sz w:val="14"/>
        </w:rPr>
        <w:t>| FX-3 Naturaleza económica | P6 (transacción/cierre) |</w:t>
      </w:r>
    </w:p>
    <w:p>
      <w:pPr>
        <w:spacing w:after="20" w:line="240" w:lineRule="auto"/>
      </w:pPr>
      <w:r>
        <w:rPr>
          <w:rFonts w:ascii="Consolas" w:hAnsi="Consolas"/>
          <w:sz w:val="14"/>
        </w:rPr>
        <w:t>| — | P1–P4, P7–P9 estables entre categorías |</w:t>
      </w:r>
    </w:p>
    <w:p>
      <w:pPr>
        <w:spacing w:after="40"/>
      </w:pPr>
    </w:p>
    <w:p>
      <w:pPr>
        <w:pStyle w:val="Heading3"/>
      </w:pPr>
      <w:r>
        <w:t>7. Crosswalk candidato hacia clasificaciones estadísticas</w:t>
      </w:r>
    </w:p>
    <w:p>
      <w:pPr>
        <w:spacing w:after="20" w:line="240" w:lineRule="auto"/>
      </w:pPr>
      <w:r>
        <w:rPr>
          <w:rFonts w:ascii="Consolas" w:hAnsi="Consolas"/>
          <w:sz w:val="14"/>
        </w:rPr>
        <w:t>| Categoría candidata GOEI | ISIC Rev.4 | NAICS |</w:t>
      </w:r>
    </w:p>
    <w:p>
      <w:pPr>
        <w:spacing w:after="20" w:line="240" w:lineRule="auto"/>
      </w:pPr>
      <w:r>
        <w:rPr>
          <w:rFonts w:ascii="Consolas" w:hAnsi="Consolas"/>
          <w:sz w:val="14"/>
        </w:rPr>
        <w:t>|---|---|---|</w:t>
      </w:r>
    </w:p>
    <w:p>
      <w:pPr>
        <w:spacing w:after="20" w:line="240" w:lineRule="auto"/>
      </w:pPr>
      <w:r>
        <w:rPr>
          <w:rFonts w:ascii="Consolas" w:hAnsi="Consolas"/>
          <w:sz w:val="14"/>
        </w:rPr>
        <w:t>| Restaurante mesa (comercial) | 5610 | 7221 |</w:t>
      </w:r>
    </w:p>
    <w:p>
      <w:pPr>
        <w:spacing w:after="20" w:line="240" w:lineRule="auto"/>
      </w:pPr>
      <w:r>
        <w:rPr>
          <w:rFonts w:ascii="Consolas" w:hAnsi="Consolas"/>
          <w:sz w:val="14"/>
        </w:rPr>
        <w:t>| Limited-service / mostrador | 5610 | 7222 |</w:t>
      </w:r>
    </w:p>
    <w:p>
      <w:pPr>
        <w:spacing w:after="20" w:line="240" w:lineRule="auto"/>
      </w:pPr>
      <w:r>
        <w:rPr>
          <w:rFonts w:ascii="Consolas" w:hAnsi="Consolas"/>
          <w:sz w:val="14"/>
        </w:rPr>
        <w:t>| Dark kitchen (delivery) | 5610 | 7222/7223 |</w:t>
      </w:r>
    </w:p>
    <w:p>
      <w:pPr>
        <w:spacing w:after="20" w:line="240" w:lineRule="auto"/>
      </w:pPr>
      <w:r>
        <w:rPr>
          <w:rFonts w:ascii="Consolas" w:hAnsi="Consolas"/>
          <w:sz w:val="14"/>
        </w:rPr>
        <w:t>| Catering de eventos/contrato | 562 | 7223 |</w:t>
      </w:r>
    </w:p>
    <w:p>
      <w:pPr>
        <w:spacing w:after="20" w:line="240" w:lineRule="auto"/>
      </w:pPr>
      <w:r>
        <w:rPr>
          <w:rFonts w:ascii="Consolas" w:hAnsi="Consolas"/>
          <w:sz w:val="14"/>
        </w:rPr>
        <w:t>| Institucional (contrato) | 562 | 7223 |</w:t>
      </w:r>
    </w:p>
    <w:p>
      <w:pPr>
        <w:spacing w:after="20" w:line="240" w:lineRule="auto"/>
      </w:pPr>
      <w:r>
        <w:rPr>
          <w:rFonts w:ascii="Consolas" w:hAnsi="Consolas"/>
          <w:sz w:val="14"/>
        </w:rPr>
        <w:t>| Bar / bebidas | 563 (NACE) | 7224 |</w:t>
      </w:r>
    </w:p>
    <w:p>
      <w:pPr>
        <w:spacing w:after="40"/>
      </w:pPr>
    </w:p>
    <w:p>
      <w:r>
        <w:t>El crosswalk es para interoperabilidad estadística; no subordina la taxonomía operacional a la estadística.</w:t>
      </w:r>
    </w:p>
    <w:p>
      <w:pPr>
        <w:spacing w:after="40"/>
      </w:pPr>
    </w:p>
    <w:p>
      <w:pPr>
        <w:pStyle w:val="Heading3"/>
      </w:pPr>
      <w:r>
        <w:t>8. Estados no resueltos (bloqueo selectivo)</w:t>
      </w:r>
    </w:p>
    <w:p>
      <w:pPr>
        <w:pStyle w:val="ListBullet"/>
      </w:pPr>
      <w:r>
        <w:t>Unidad multiunidad/marca (GOEI-ISS-008): bloquea solo la rama de cadenas/dark-kitchen multi-marca.</w:t>
      </w:r>
    </w:p>
    <w:p>
      <w:pPr>
        <w:pStyle w:val="ListBullet"/>
      </w:pPr>
      <w:r>
        <w:t>Catálogo concreto de valores por faceta: candidato; requiere validación (Delphi/empírica).</w:t>
      </w:r>
    </w:p>
    <w:p>
      <w:pPr>
        <w:pStyle w:val="ListBullet"/>
      </w:pPr>
      <w:r>
        <w:t>Sistema de producción como eje (GOEI-ISS-014): recomendado, pendiente de ratificación directiva.</w:t>
      </w:r>
    </w:p>
    <w:p>
      <w:pPr>
        <w:pStyle w:val="ListBullet"/>
      </w:pPr>
      <w:r>
        <w:t>Residuos/merma (GOEI-ISS-043): no afecta la taxonomía; permanece en procesos.</w:t>
      </w:r>
    </w:p>
    <w:p>
      <w:pPr>
        <w:spacing w:after="40"/>
      </w:pPr>
    </w:p>
    <w:p>
      <w:pPr>
        <w:pStyle w:val="Heading3"/>
      </w:pPr>
      <w:r>
        <w:t>9. Historial de revisiones</w:t>
      </w:r>
    </w:p>
    <w:p>
      <w:pPr>
        <w:spacing w:after="20" w:line="240" w:lineRule="auto"/>
      </w:pPr>
      <w:r>
        <w:rPr>
          <w:rFonts w:ascii="Consolas" w:hAnsi="Consolas"/>
          <w:sz w:val="14"/>
        </w:rPr>
        <w:t>| Versión | Fecha | Cambio |</w:t>
      </w:r>
    </w:p>
    <w:p>
      <w:pPr>
        <w:spacing w:after="20" w:line="240" w:lineRule="auto"/>
      </w:pPr>
      <w:r>
        <w:rPr>
          <w:rFonts w:ascii="Consolas" w:hAnsi="Consolas"/>
          <w:sz w:val="14"/>
        </w:rPr>
        <w:t>|---|---|---|</w:t>
      </w:r>
    </w:p>
    <w:p>
      <w:pPr>
        <w:spacing w:after="20" w:line="240" w:lineRule="auto"/>
      </w:pPr>
      <w:r>
        <w:rPr>
          <w:rFonts w:ascii="Consolas" w:hAnsi="Consolas"/>
          <w:sz w:val="14"/>
        </w:rPr>
        <w:t>| 0.1.0 | 2026-08-04 | Emisión inicial de candidatos B2 (no normativos) |</w:t>
      </w:r>
    </w:p>
    <w:p>
      <w:pPr>
        <w:spacing w:after="40"/>
      </w:pPr>
    </w:p>
    <w:p>
      <w:r>
        <w:t>Todos los elementos son candidatos no normativos hasta decisión D-017 aprobada e integración técnica.</w:t>
      </w:r>
    </w:p>
    <w:p>
      <w:r>
        <w:br w:type="page"/>
      </w:r>
    </w:p>
    <w:p>
      <w:pPr>
        <w:pStyle w:val="Heading1"/>
        <w:keepNext/>
      </w:pPr>
      <w:r>
        <w:t>Fuente 86: 03_Taxonomia_negocios/README.md</w:t>
      </w:r>
    </w:p>
    <w:p>
      <w:pPr>
        <w:spacing w:after="200"/>
      </w:pPr>
      <w:r>
        <w:rPr>
          <w:rFonts w:ascii="Consolas" w:hAnsi="Consolas"/>
          <w:color w:val="595959"/>
          <w:sz w:val="16"/>
        </w:rPr>
        <w:t>Ruta: 03_Taxonomia_negocios/README.md</w:t>
        <w:br/>
        <w:t>Tamaño: 185 bytes</w:t>
        <w:br/>
        <w:t>SHA-256: d540c81fe25a70f7b7026a9e851d5e9229065e4f76a9fcb26fc0243422120516</w:t>
      </w:r>
    </w:p>
    <w:p>
      <w:pPr>
        <w:pStyle w:val="Heading2"/>
      </w:pPr>
      <w:r>
        <w:t>Taxonomía de establecimientos</w:t>
      </w:r>
    </w:p>
    <w:p>
      <w:pPr>
        <w:spacing w:after="40"/>
      </w:pPr>
    </w:p>
    <w:p>
      <w:r>
        <w:t>Contenedor del componente N2 propuesto en D-005. Bloqueado: requiere decisiones aprobadas sobre unidad de análisis y criterios de clasificación.</w:t>
      </w:r>
    </w:p>
    <w:p>
      <w:r>
        <w:br w:type="page"/>
      </w:r>
    </w:p>
    <w:p>
      <w:pPr>
        <w:pStyle w:val="Heading1"/>
        <w:keepNext/>
      </w:pPr>
      <w:r>
        <w:t>Fuente 87: 04_Procesos_gastronomicos/EPIC-002_MetaModelo_Universal/01_MetaModelo_Universal_de_Procesos.md</w:t>
      </w:r>
    </w:p>
    <w:p>
      <w:pPr>
        <w:spacing w:after="200"/>
      </w:pPr>
      <w:r>
        <w:rPr>
          <w:rFonts w:ascii="Consolas" w:hAnsi="Consolas"/>
          <w:color w:val="595959"/>
          <w:sz w:val="16"/>
        </w:rPr>
        <w:t>Ruta: 04_Procesos_gastronomicos/EPIC-002_MetaModelo_Universal/01_MetaModelo_Universal_de_Procesos.md</w:t>
        <w:br/>
        <w:t>Tamaño: 14828 bytes</w:t>
        <w:br/>
        <w:t>SHA-256: ad165988a3c44bd85af0bdd1f628c189ca1d78dd53a5a55ee4691eed7e9729cf</w:t>
      </w:r>
    </w:p>
    <w:p>
      <w:pPr>
        <w:pStyle w:val="Heading2"/>
      </w:pPr>
      <w:r>
        <w:t>GOEI Universal Process MetaModel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GOEI-PMM-0001 |</w:t>
      </w:r>
    </w:p>
    <w:p>
      <w:pPr>
        <w:spacing w:after="20" w:line="240" w:lineRule="auto"/>
      </w:pPr>
      <w:r>
        <w:rPr>
          <w:rFonts w:ascii="Consolas" w:hAnsi="Consolas"/>
          <w:sz w:val="14"/>
        </w:rPr>
        <w:t>| Estado | Candidato técnico |</w:t>
      </w:r>
    </w:p>
    <w:p>
      <w:pPr>
        <w:spacing w:after="20" w:line="240" w:lineRule="auto"/>
      </w:pPr>
      <w:r>
        <w:rPr>
          <w:rFonts w:ascii="Consolas" w:hAnsi="Consolas"/>
          <w:sz w:val="14"/>
        </w:rPr>
        <w:t>| Versión | 0.1.0-draft |</w:t>
      </w:r>
    </w:p>
    <w:p>
      <w:pPr>
        <w:spacing w:after="20" w:line="240" w:lineRule="auto"/>
      </w:pPr>
      <w:r>
        <w:rPr>
          <w:rFonts w:ascii="Consolas" w:hAnsi="Consolas"/>
          <w:sz w:val="14"/>
        </w:rPr>
        <w:t>| Baseline importada | GOEI-BSL-ONT-0001 |</w:t>
      </w:r>
    </w:p>
    <w:p>
      <w:pPr>
        <w:spacing w:after="20" w:line="240" w:lineRule="auto"/>
      </w:pPr>
      <w:r>
        <w:rPr>
          <w:rFonts w:ascii="Consolas" w:hAnsi="Consolas"/>
          <w:sz w:val="14"/>
        </w:rPr>
        <w:t>| Decisiones científicas modificadas | Ninguna |</w:t>
      </w:r>
    </w:p>
    <w:p>
      <w:pPr>
        <w:spacing w:after="40"/>
      </w:pPr>
    </w:p>
    <w:p>
      <w:pPr>
        <w:pStyle w:val="Heading3"/>
      </w:pPr>
      <w:r>
        <w:t>1. Propósito</w:t>
      </w:r>
    </w:p>
    <w:p>
      <w:pPr>
        <w:spacing w:after="40"/>
      </w:pPr>
    </w:p>
    <w:p>
      <w:r>
        <w:t>Definir un lenguaje estable y extensible con el cual el Comité Científico podrá representar posteriormente cualquier proceso, sin predeterminar cuáles procesos existen ni qué contenido deben tener.</w:t>
      </w:r>
    </w:p>
    <w:p>
      <w:pPr>
        <w:spacing w:after="40"/>
      </w:pPr>
    </w:p>
    <w:p>
      <w:pPr>
        <w:pStyle w:val="Heading3"/>
      </w:pPr>
      <w:r>
        <w:t>2. Principios</w:t>
      </w:r>
    </w:p>
    <w:p>
      <w:pPr>
        <w:spacing w:after="40"/>
      </w:pPr>
    </w:p>
    <w:p>
      <w:pPr>
        <w:pStyle w:val="ListNumber"/>
      </w:pPr>
      <w:r>
        <w:t>Separación estricta entre tipo y ejecución.</w:t>
      </w:r>
    </w:p>
    <w:p>
      <w:pPr>
        <w:pStyle w:val="ListNumber"/>
      </w:pPr>
      <w:r>
        <w:t>Reutilización de entidades D-006/D-006-REV mediante referencias al baseline.</w:t>
      </w:r>
    </w:p>
    <w:p>
      <w:pPr>
        <w:pStyle w:val="ListNumber"/>
      </w:pPr>
      <w:r>
        <w:t>Un único núcleo conceptual con múltiples notaciones de presentación.</w:t>
      </w:r>
    </w:p>
    <w:p>
      <w:pPr>
        <w:pStyle w:val="ListNumber"/>
      </w:pPr>
      <w:r>
        <w:t>Ningún diagrama BPMN o ArchiMate se convierte en fuente semántica independiente.</w:t>
      </w:r>
    </w:p>
    <w:p>
      <w:pPr>
        <w:pStyle w:val="ListNumber"/>
      </w:pPr>
      <w:r>
        <w:t>Identidad, cardinalidad, procedencia y versión explícitas.</w:t>
      </w:r>
    </w:p>
    <w:p>
      <w:pPr>
        <w:pStyle w:val="ListNumber"/>
      </w:pPr>
      <w:r>
        <w:t>Indicador es una interfaz abstracta; no se crean KPI concretos.</w:t>
      </w:r>
    </w:p>
    <w:p>
      <w:pPr>
        <w:spacing w:after="40"/>
      </w:pPr>
    </w:p>
    <w:p>
      <w:pPr>
        <w:pStyle w:val="Heading3"/>
      </w:pPr>
      <w:r>
        <w:t>3. Dos niveles de instanciación</w:t>
      </w:r>
    </w:p>
    <w:p>
      <w:pPr>
        <w:spacing w:after="40"/>
      </w:pPr>
    </w:p>
    <w:p>
      <w:pPr>
        <w:spacing w:after="20" w:line="240" w:lineRule="auto"/>
        <w:ind w:left="259"/>
      </w:pPr>
      <w:r>
        <w:rPr>
          <w:rFonts w:ascii="Consolas" w:hAnsi="Consolas"/>
          <w:sz w:val="15"/>
        </w:rPr>
        <w:t>Nivel definicional: Proceso, Subproceso, Actividad, EventoTipo, EntradaTipo,</w:t>
      </w:r>
    </w:p>
    <w:p>
      <w:pPr>
        <w:spacing w:after="20" w:line="240" w:lineRule="auto"/>
        <w:ind w:left="259"/>
      </w:pPr>
      <w:r>
        <w:rPr>
          <w:rFonts w:ascii="Consolas" w:hAnsi="Consolas"/>
          <w:sz w:val="15"/>
        </w:rPr>
        <w:t xml:space="preserve">                    SalidaTipo, Restricción, Riesgo, Control, Indicador</w:t>
      </w:r>
    </w:p>
    <w:p>
      <w:pPr>
        <w:spacing w:after="40"/>
      </w:pPr>
    </w:p>
    <w:p>
      <w:pPr>
        <w:spacing w:after="20" w:line="240" w:lineRule="auto"/>
        <w:ind w:left="259"/>
      </w:pPr>
      <w:r>
        <w:rPr>
          <w:rFonts w:ascii="Consolas" w:hAnsi="Consolas"/>
          <w:sz w:val="15"/>
        </w:rPr>
        <w:t>Nivel operacional:  EjecuciónProceso, EjecuciónActividad, Evento,</w:t>
      </w:r>
    </w:p>
    <w:p>
      <w:pPr>
        <w:spacing w:after="20" w:line="240" w:lineRule="auto"/>
        <w:ind w:left="259"/>
      </w:pPr>
      <w:r>
        <w:rPr>
          <w:rFonts w:ascii="Consolas" w:hAnsi="Consolas"/>
          <w:sz w:val="15"/>
        </w:rPr>
        <w:t xml:space="preserve">                    EntradaUsada, SalidaProducida, Observación, Registro</w:t>
      </w:r>
    </w:p>
    <w:p>
      <w:pPr>
        <w:spacing w:after="40"/>
      </w:pPr>
    </w:p>
    <w:p>
      <w:r>
        <w:t>EPIC-002 define principalmente los tipos y las relaciones necesarias para sus instancias. Evento, Recurso, Agente, Evidencia y Observación se importan del baseline ontológico; no se redefinen.</w:t>
      </w:r>
    </w:p>
    <w:p>
      <w:pPr>
        <w:spacing w:after="40"/>
      </w:pPr>
    </w:p>
    <w:p>
      <w:pPr>
        <w:pStyle w:val="Heading3"/>
      </w:pPr>
      <w:r>
        <w:t>4. Entidades</w:t>
      </w:r>
    </w:p>
    <w:p>
      <w:pPr>
        <w:spacing w:after="40"/>
      </w:pPr>
    </w:p>
    <w:p>
      <w:pPr>
        <w:pStyle w:val="Heading4"/>
      </w:pPr>
      <w:r>
        <w:t>PM01 — Proceso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un tipo de comportamiento con objetivo, límites y transformación. |</w:t>
      </w:r>
    </w:p>
    <w:p>
      <w:pPr>
        <w:spacing w:after="20" w:line="240" w:lineRule="auto"/>
      </w:pPr>
      <w:r>
        <w:rPr>
          <w:rFonts w:ascii="Consolas" w:hAnsi="Consolas"/>
          <w:sz w:val="14"/>
        </w:rPr>
        <w:t>| Atributos | id, nombre, definición, propósito, alcance, inicio_lógico, fin_lógico, propietario_rol, estado, versión |</w:t>
      </w:r>
    </w:p>
    <w:p>
      <w:pPr>
        <w:spacing w:after="20" w:line="240" w:lineRule="auto"/>
      </w:pPr>
      <w:r>
        <w:rPr>
          <w:rFonts w:ascii="Consolas" w:hAnsi="Consolas"/>
          <w:sz w:val="14"/>
        </w:rPr>
        <w:t>| Relaciones | contiene Subproceso/Actividad; recibe Entrada; produce Salida; usa Recurso; realizado_por Agente; sujeto_a Restricción; expuesto_a Riesgo; protegido_por Control; medido_por Indicador; documentado_en Documento |</w:t>
      </w:r>
    </w:p>
    <w:p>
      <w:pPr>
        <w:spacing w:after="20" w:line="240" w:lineRule="auto"/>
      </w:pPr>
      <w:r>
        <w:rPr>
          <w:rFonts w:ascii="Consolas" w:hAnsi="Consolas"/>
          <w:sz w:val="14"/>
        </w:rPr>
        <w:t>| Cardinalidades | Actividad `1..*`; Entrada/Salida `0..*`; Recurso/Agente `0..*`; versión `1` por realización |</w:t>
      </w:r>
    </w:p>
    <w:p>
      <w:pPr>
        <w:spacing w:after="20" w:line="240" w:lineRule="auto"/>
      </w:pPr>
      <w:r>
        <w:rPr>
          <w:rFonts w:ascii="Consolas" w:hAnsi="Consolas"/>
          <w:sz w:val="14"/>
        </w:rPr>
        <w:t>| Restricciones | Type, no ejecución; límites no solapados ambiguamente; composición acíclica; propósito obligatorio. |</w:t>
      </w:r>
    </w:p>
    <w:p>
      <w:pPr>
        <w:spacing w:after="20" w:line="240" w:lineRule="auto"/>
      </w:pPr>
      <w:r>
        <w:rPr>
          <w:rFonts w:ascii="Consolas" w:hAnsi="Consolas"/>
          <w:sz w:val="14"/>
        </w:rPr>
        <w:t>| Ciclo de vida | propuesto → modelado → revisión → aprobado → vigente → obsoleto → retirado |</w:t>
      </w:r>
    </w:p>
    <w:p>
      <w:pPr>
        <w:spacing w:after="40"/>
      </w:pPr>
    </w:p>
    <w:p>
      <w:pPr>
        <w:pStyle w:val="Heading4"/>
      </w:pPr>
      <w:r>
        <w:t>PM02 — Subproceso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Permitir descomposición jerárquica reutilizable. |</w:t>
      </w:r>
    </w:p>
    <w:p>
      <w:pPr>
        <w:spacing w:after="20" w:line="240" w:lineRule="auto"/>
      </w:pPr>
      <w:r>
        <w:rPr>
          <w:rFonts w:ascii="Consolas" w:hAnsi="Consolas"/>
          <w:sz w:val="14"/>
        </w:rPr>
        <w:t>| Atributos | los de Proceso + proceso_padre, orden_o_condición_de_activación |</w:t>
      </w:r>
    </w:p>
    <w:p>
      <w:pPr>
        <w:spacing w:after="20" w:line="240" w:lineRule="auto"/>
      </w:pPr>
      <w:r>
        <w:rPr>
          <w:rFonts w:ascii="Consolas" w:hAnsi="Consolas"/>
          <w:sz w:val="14"/>
        </w:rPr>
        <w:t>| Relaciones | parte_de exactamente un Proceso/Subproceso en una composición; puede reutilizar un Proceso definicional. |</w:t>
      </w:r>
    </w:p>
    <w:p>
      <w:pPr>
        <w:spacing w:after="20" w:line="240" w:lineRule="auto"/>
      </w:pPr>
      <w:r>
        <w:rPr>
          <w:rFonts w:ascii="Consolas" w:hAnsi="Consolas"/>
          <w:sz w:val="14"/>
        </w:rPr>
        <w:t>| Cardinalidades | padre `1` por relación de composición; hijos `0..*`; Actividades `1..*` si es hoja operacional. |</w:t>
      </w:r>
    </w:p>
    <w:p>
      <w:pPr>
        <w:spacing w:after="20" w:line="240" w:lineRule="auto"/>
      </w:pPr>
      <w:r>
        <w:rPr>
          <w:rFonts w:ascii="Consolas" w:hAnsi="Consolas"/>
          <w:sz w:val="14"/>
        </w:rPr>
        <w:t>| Restricciones | Es un rol de Proceso, no una naturaleza distinta; sin ciclos; no puede ser ancestro de sí mismo. |</w:t>
      </w:r>
    </w:p>
    <w:p>
      <w:pPr>
        <w:spacing w:after="20" w:line="240" w:lineRule="auto"/>
      </w:pPr>
      <w:r>
        <w:rPr>
          <w:rFonts w:ascii="Consolas" w:hAnsi="Consolas"/>
          <w:sz w:val="14"/>
        </w:rPr>
        <w:t>| Ciclo de vida | hereda Proceso; su vínculo de composición se versiona. |</w:t>
      </w:r>
    </w:p>
    <w:p>
      <w:pPr>
        <w:spacing w:after="40"/>
      </w:pPr>
    </w:p>
    <w:p>
      <w:pPr>
        <w:pStyle w:val="Heading4"/>
      </w:pPr>
      <w:r>
        <w:t>PM03 — Actividad</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la unidad de trabajo definicional dentro de un proceso. |</w:t>
      </w:r>
    </w:p>
    <w:p>
      <w:pPr>
        <w:spacing w:after="20" w:line="240" w:lineRule="auto"/>
      </w:pPr>
      <w:r>
        <w:rPr>
          <w:rFonts w:ascii="Consolas" w:hAnsi="Consolas"/>
          <w:sz w:val="14"/>
        </w:rPr>
        <w:t>| Atributos | id, nombre, descripción, tipo, condición_inicio, condición_fin, duración_esperada_opcional, estado, versión |</w:t>
      </w:r>
    </w:p>
    <w:p>
      <w:pPr>
        <w:spacing w:after="20" w:line="240" w:lineRule="auto"/>
      </w:pPr>
      <w:r>
        <w:rPr>
          <w:rFonts w:ascii="Consolas" w:hAnsi="Consolas"/>
          <w:sz w:val="14"/>
        </w:rPr>
        <w:t>| Relaciones | parte_de Proceso/Subproceso; precede/sigue Actividad; consume Entrada/Recurso; produce Salida/Registro/Evidencia; ejecutada_por Agente; disparada_por Evento; sujeta_a Restricción; protegida_por Control |</w:t>
      </w:r>
    </w:p>
    <w:p>
      <w:pPr>
        <w:spacing w:after="20" w:line="240" w:lineRule="auto"/>
      </w:pPr>
      <w:r>
        <w:rPr>
          <w:rFonts w:ascii="Consolas" w:hAnsi="Consolas"/>
          <w:sz w:val="14"/>
        </w:rPr>
        <w:t>| Cardinalidades | padre `1..*` si es reutilizable, al menos `1` en un modelo; agente `0..*`; entradas/salidas `0..*` |</w:t>
      </w:r>
    </w:p>
    <w:p>
      <w:pPr>
        <w:spacing w:after="20" w:line="240" w:lineRule="auto"/>
      </w:pPr>
      <w:r>
        <w:rPr>
          <w:rFonts w:ascii="Consolas" w:hAnsi="Consolas"/>
          <w:sz w:val="14"/>
        </w:rPr>
        <w:t>| Restricciones | Type separado de ejecución; conectividad exigida salvo actividad inicial/final; no inferir secuencia por orden visual. |</w:t>
      </w:r>
    </w:p>
    <w:p>
      <w:pPr>
        <w:spacing w:after="20" w:line="240" w:lineRule="auto"/>
      </w:pPr>
      <w:r>
        <w:rPr>
          <w:rFonts w:ascii="Consolas" w:hAnsi="Consolas"/>
          <w:sz w:val="14"/>
        </w:rPr>
        <w:t>| Ciclo de vida | propuesta → definida → revisada → aprobada → activa → obsoleta → retirada |</w:t>
      </w:r>
    </w:p>
    <w:p>
      <w:pPr>
        <w:spacing w:after="40"/>
      </w:pPr>
    </w:p>
    <w:p>
      <w:pPr>
        <w:pStyle w:val="Heading4"/>
      </w:pPr>
      <w:r>
        <w:t>PM04 — Evento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un suceso que inicia, interrumpe, termina o cambia el flujo/estado. |</w:t>
      </w:r>
    </w:p>
    <w:p>
      <w:pPr>
        <w:spacing w:after="20" w:line="240" w:lineRule="auto"/>
      </w:pPr>
      <w:r>
        <w:rPr>
          <w:rFonts w:ascii="Consolas" w:hAnsi="Consolas"/>
          <w:sz w:val="14"/>
        </w:rPr>
        <w:t>| Atributos | id, nombre, tipo_evento, disparador, resultado, temporalidad, estado, versión |</w:t>
      </w:r>
    </w:p>
    <w:p>
      <w:pPr>
        <w:spacing w:after="20" w:line="240" w:lineRule="auto"/>
      </w:pPr>
      <w:r>
        <w:rPr>
          <w:rFonts w:ascii="Consolas" w:hAnsi="Consolas"/>
          <w:sz w:val="14"/>
        </w:rPr>
        <w:t>| Relaciones | inicia/interrumpe/finaliza Proceso/Actividad; precede Evento; genera Observación/Registro; usa/consume/produce Recurso; ejecutado_por Agente |</w:t>
      </w:r>
    </w:p>
    <w:p>
      <w:pPr>
        <w:spacing w:after="20" w:line="240" w:lineRule="auto"/>
      </w:pPr>
      <w:r>
        <w:rPr>
          <w:rFonts w:ascii="Consolas" w:hAnsi="Consolas"/>
          <w:sz w:val="14"/>
        </w:rPr>
        <w:t>| Cardinalidades | proceso_afectado `1..*`; disparador `0..1`; resultados `0..*` |</w:t>
      </w:r>
    </w:p>
    <w:p>
      <w:pPr>
        <w:spacing w:after="20" w:line="240" w:lineRule="auto"/>
      </w:pPr>
      <w:r>
        <w:rPr>
          <w:rFonts w:ascii="Consolas" w:hAnsi="Consolas"/>
          <w:sz w:val="14"/>
        </w:rPr>
        <w:t>| Restricciones | Reutiliza `Evento` D-006-REV; tipo y token separados; un evento token tiene periodo. |</w:t>
      </w:r>
    </w:p>
    <w:p>
      <w:pPr>
        <w:spacing w:after="20" w:line="240" w:lineRule="auto"/>
      </w:pPr>
      <w:r>
        <w:rPr>
          <w:rFonts w:ascii="Consolas" w:hAnsi="Consolas"/>
          <w:sz w:val="14"/>
        </w:rPr>
        <w:t>| Ciclo de vida | Tipo: propuesto→vigente→retirado. Token: previsto→ocurrido/cancelado→registrado→archivado. |</w:t>
      </w:r>
    </w:p>
    <w:p>
      <w:pPr>
        <w:spacing w:after="40"/>
      </w:pPr>
    </w:p>
    <w:p>
      <w:pPr>
        <w:pStyle w:val="Heading4"/>
      </w:pPr>
      <w:r>
        <w:t>PM05 — Entrada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aquello requerido por una transformación. |</w:t>
      </w:r>
    </w:p>
    <w:p>
      <w:pPr>
        <w:spacing w:after="20" w:line="240" w:lineRule="auto"/>
      </w:pPr>
      <w:r>
        <w:rPr>
          <w:rFonts w:ascii="Consolas" w:hAnsi="Consolas"/>
          <w:sz w:val="14"/>
        </w:rPr>
        <w:t>| Atributos | id, nombre, tipo, unidad_o_formato, condición_aceptación, obligatoriedad, versión |</w:t>
      </w:r>
    </w:p>
    <w:p>
      <w:pPr>
        <w:spacing w:after="20" w:line="240" w:lineRule="auto"/>
      </w:pPr>
      <w:r>
        <w:rPr>
          <w:rFonts w:ascii="Consolas" w:hAnsi="Consolas"/>
          <w:sz w:val="14"/>
        </w:rPr>
        <w:t>| Relaciones | entrada_de Proceso/Actividad; proviene_de Salida/Agente/Evento; puede_ser Recurso/Documento/Registro |</w:t>
      </w:r>
    </w:p>
    <w:p>
      <w:pPr>
        <w:spacing w:after="20" w:line="240" w:lineRule="auto"/>
      </w:pPr>
      <w:r>
        <w:rPr>
          <w:rFonts w:ascii="Consolas" w:hAnsi="Consolas"/>
          <w:sz w:val="14"/>
        </w:rPr>
        <w:t>| Cardinalidades | destino `1..*`; origen `0..*`; condición `0..*` |</w:t>
      </w:r>
    </w:p>
    <w:p>
      <w:pPr>
        <w:spacing w:after="20" w:line="240" w:lineRule="auto"/>
      </w:pPr>
      <w:r>
        <w:rPr>
          <w:rFonts w:ascii="Consolas" w:hAnsi="Consolas"/>
          <w:sz w:val="14"/>
        </w:rPr>
        <w:t>| Restricciones | Rol contextual, no nueva sustancia; una misma entidad puede ser salida de un proceso y entrada de otro. |</w:t>
      </w:r>
    </w:p>
    <w:p>
      <w:pPr>
        <w:spacing w:after="20" w:line="240" w:lineRule="auto"/>
      </w:pPr>
      <w:r>
        <w:rPr>
          <w:rFonts w:ascii="Consolas" w:hAnsi="Consolas"/>
          <w:sz w:val="14"/>
        </w:rPr>
        <w:t>| Ciclo de vida | definida → aprobada → activa → sustituida/retirada; instancia: esperada→recibida→aceptada/rechazada→consumida/archivada. |</w:t>
      </w:r>
    </w:p>
    <w:p>
      <w:pPr>
        <w:spacing w:after="40"/>
      </w:pPr>
    </w:p>
    <w:p>
      <w:pPr>
        <w:pStyle w:val="Heading4"/>
      </w:pPr>
      <w:r>
        <w:t>PM06 — Salida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aquello producido o transformado por trabajo o evento. |</w:t>
      </w:r>
    </w:p>
    <w:p>
      <w:pPr>
        <w:spacing w:after="20" w:line="240" w:lineRule="auto"/>
      </w:pPr>
      <w:r>
        <w:rPr>
          <w:rFonts w:ascii="Consolas" w:hAnsi="Consolas"/>
          <w:sz w:val="14"/>
        </w:rPr>
        <w:t>| Atributos | id, nombre, tipo, unidad_o_formato, criterio_aceptación, destinatario_rol, versión |</w:t>
      </w:r>
    </w:p>
    <w:p>
      <w:pPr>
        <w:spacing w:after="20" w:line="240" w:lineRule="auto"/>
      </w:pPr>
      <w:r>
        <w:rPr>
          <w:rFonts w:ascii="Consolas" w:hAnsi="Consolas"/>
          <w:sz w:val="14"/>
        </w:rPr>
        <w:t>| Relaciones | salida_de Proceso/Actividad/Evento; se_convierte_en Entrada; entregada_a Agente; puede_ser Recurso/Documento/Registro/Evidencia |</w:t>
      </w:r>
    </w:p>
    <w:p>
      <w:pPr>
        <w:spacing w:after="20" w:line="240" w:lineRule="auto"/>
      </w:pPr>
      <w:r>
        <w:rPr>
          <w:rFonts w:ascii="Consolas" w:hAnsi="Consolas"/>
          <w:sz w:val="14"/>
        </w:rPr>
        <w:t>| Cardinalidades | origen `1`; destinos `0..*`; criterios `0..*` |</w:t>
      </w:r>
    </w:p>
    <w:p>
      <w:pPr>
        <w:spacing w:after="20" w:line="240" w:lineRule="auto"/>
      </w:pPr>
      <w:r>
        <w:rPr>
          <w:rFonts w:ascii="Consolas" w:hAnsi="Consolas"/>
          <w:sz w:val="14"/>
        </w:rPr>
        <w:t>| Restricciones | Rol contextual; no asumir aceptación por producirse; debe distinguir producto de registro de ejecución. |</w:t>
      </w:r>
    </w:p>
    <w:p>
      <w:pPr>
        <w:spacing w:after="20" w:line="240" w:lineRule="auto"/>
      </w:pPr>
      <w:r>
        <w:rPr>
          <w:rFonts w:ascii="Consolas" w:hAnsi="Consolas"/>
          <w:sz w:val="14"/>
        </w:rPr>
        <w:t>| Ciclo de vida | definida → aprobada → activa → sustituida/retirada; instancia: producida→verificada→aceptada/rechazada→entregada/archivada. |</w:t>
      </w:r>
    </w:p>
    <w:p>
      <w:pPr>
        <w:spacing w:after="40"/>
      </w:pPr>
    </w:p>
    <w:p>
      <w:pPr>
        <w:pStyle w:val="Heading4"/>
      </w:pPr>
      <w:r>
        <w:t>PM07 — Recurso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capacidad o entidad usada, consumida o producida. |</w:t>
      </w:r>
    </w:p>
    <w:p>
      <w:pPr>
        <w:spacing w:after="20" w:line="240" w:lineRule="auto"/>
      </w:pPr>
      <w:r>
        <w:rPr>
          <w:rFonts w:ascii="Consolas" w:hAnsi="Consolas"/>
          <w:sz w:val="14"/>
        </w:rPr>
        <w:t>| Atributos | importados de D-006-REV: id, tipo, capacidad, disponibilidad, estado, unidad, propietario; perfil de uso del proceso |</w:t>
      </w:r>
    </w:p>
    <w:p>
      <w:pPr>
        <w:spacing w:after="20" w:line="240" w:lineRule="auto"/>
      </w:pPr>
      <w:r>
        <w:rPr>
          <w:rFonts w:ascii="Consolas" w:hAnsi="Consolas"/>
          <w:sz w:val="14"/>
        </w:rPr>
        <w:t>| Relaciones | usado/consumido/producido_por Proceso/Actividad/Evento; asignado_a Agente; sujeto_a Control/Riesgo |</w:t>
      </w:r>
    </w:p>
    <w:p>
      <w:pPr>
        <w:spacing w:after="20" w:line="240" w:lineRule="auto"/>
      </w:pPr>
      <w:r>
        <w:rPr>
          <w:rFonts w:ascii="Consolas" w:hAnsi="Consolas"/>
          <w:sz w:val="14"/>
        </w:rPr>
        <w:t>| Cardinalidades | participaciones `0..*`; propietario `0..1` según baseline; unidad `0..1` según tipo |</w:t>
      </w:r>
    </w:p>
    <w:p>
      <w:pPr>
        <w:spacing w:after="20" w:line="240" w:lineRule="auto"/>
      </w:pPr>
      <w:r>
        <w:rPr>
          <w:rFonts w:ascii="Consolas" w:hAnsi="Consolas"/>
          <w:sz w:val="14"/>
        </w:rPr>
        <w:t>| Restricciones | No redefinir subtipos; distinguir recurso de agente y capacidad de persona según AX-13. |</w:t>
      </w:r>
    </w:p>
    <w:p>
      <w:pPr>
        <w:spacing w:after="20" w:line="240" w:lineRule="auto"/>
      </w:pPr>
      <w:r>
        <w:rPr>
          <w:rFonts w:ascii="Consolas" w:hAnsi="Consolas"/>
          <w:sz w:val="14"/>
        </w:rPr>
        <w:t>| Ciclo de vida | Heredado de ontología; asignación: solicitada→reservada→usada→liberada/consumida. |</w:t>
      </w:r>
    </w:p>
    <w:p>
      <w:pPr>
        <w:spacing w:after="40"/>
      </w:pPr>
    </w:p>
    <w:p>
      <w:pPr>
        <w:pStyle w:val="Heading4"/>
      </w:pPr>
      <w:r>
        <w:t>PM08 — Agente</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quien ejecuta, decide, supervisa o recibe trabajo. |</w:t>
      </w:r>
    </w:p>
    <w:p>
      <w:pPr>
        <w:spacing w:after="20" w:line="240" w:lineRule="auto"/>
      </w:pPr>
      <w:r>
        <w:rPr>
          <w:rFonts w:ascii="Consolas" w:hAnsi="Consolas"/>
          <w:sz w:val="14"/>
        </w:rPr>
        <w:t>| Atributos | id, tipo, rol, competencia_requerida, responsabilidad, autoridad, periodo_rol, versión_perfil |</w:t>
      </w:r>
    </w:p>
    <w:p>
      <w:pPr>
        <w:spacing w:after="20" w:line="240" w:lineRule="auto"/>
      </w:pPr>
      <w:r>
        <w:rPr>
          <w:rFonts w:ascii="Consolas" w:hAnsi="Consolas"/>
          <w:sz w:val="14"/>
        </w:rPr>
        <w:t>| Relaciones | ejecuta Proceso/Actividad/Evento; responsable_de Control; provee Entrada; recibe Salida; genera Registro/Evidencia |</w:t>
      </w:r>
    </w:p>
    <w:p>
      <w:pPr>
        <w:spacing w:after="20" w:line="240" w:lineRule="auto"/>
      </w:pPr>
      <w:r>
        <w:rPr>
          <w:rFonts w:ascii="Consolas" w:hAnsi="Consolas"/>
          <w:sz w:val="14"/>
        </w:rPr>
        <w:t>| Cardinalidades | actividades `0..*`; roles `1..*` en contexto; responsabilidad de proceso `0..*` |</w:t>
      </w:r>
    </w:p>
    <w:p>
      <w:pPr>
        <w:spacing w:after="20" w:line="240" w:lineRule="auto"/>
      </w:pPr>
      <w:r>
        <w:rPr>
          <w:rFonts w:ascii="Consolas" w:hAnsi="Consolas"/>
          <w:sz w:val="14"/>
        </w:rPr>
        <w:t>| Restricciones | Importado de D-006-REV; rol no equivale a persona; autoridad contextual y temporal. |</w:t>
      </w:r>
    </w:p>
    <w:p>
      <w:pPr>
        <w:spacing w:after="20" w:line="240" w:lineRule="auto"/>
      </w:pPr>
      <w:r>
        <w:rPr>
          <w:rFonts w:ascii="Consolas" w:hAnsi="Consolas"/>
          <w:sz w:val="14"/>
        </w:rPr>
        <w:t>| Ciclo de vida | perfil: propuesto→aprobado→activo→suspendido/retirado; asignación: planificada→activa→cerrada. |</w:t>
      </w:r>
    </w:p>
    <w:p>
      <w:pPr>
        <w:spacing w:after="40"/>
      </w:pPr>
    </w:p>
    <w:p>
      <w:pPr>
        <w:pStyle w:val="Heading4"/>
      </w:pPr>
      <w:r>
        <w:t>PM09 — Restricción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Limitar estados, secuencias, entradas, salidas o ejecuciones permitidas. |</w:t>
      </w:r>
    </w:p>
    <w:p>
      <w:pPr>
        <w:spacing w:after="20" w:line="240" w:lineRule="auto"/>
      </w:pPr>
      <w:r>
        <w:rPr>
          <w:rFonts w:ascii="Consolas" w:hAnsi="Consolas"/>
          <w:sz w:val="14"/>
        </w:rPr>
        <w:t>| Atributos | id, enunciado, tipo, alcance, condición, severidad, fuente_autoridad, verificabilidad, versión |</w:t>
      </w:r>
    </w:p>
    <w:p>
      <w:pPr>
        <w:spacing w:after="20" w:line="240" w:lineRule="auto"/>
      </w:pPr>
      <w:r>
        <w:rPr>
          <w:rFonts w:ascii="Consolas" w:hAnsi="Consolas"/>
          <w:sz w:val="14"/>
        </w:rPr>
        <w:t>| Relaciones | restringe Proceso/Actividad/Evento/Entrada/Salida/Recurso/Agente; verificada_por Control/Evidencia; expresada_en Documento |</w:t>
      </w:r>
    </w:p>
    <w:p>
      <w:pPr>
        <w:spacing w:after="20" w:line="240" w:lineRule="auto"/>
      </w:pPr>
      <w:r>
        <w:rPr>
          <w:rFonts w:ascii="Consolas" w:hAnsi="Consolas"/>
          <w:sz w:val="14"/>
        </w:rPr>
        <w:t>| Cardinalidades | objetivos `1..*`; fuente_autoridad `1`; controles `0..*` |</w:t>
      </w:r>
    </w:p>
    <w:p>
      <w:pPr>
        <w:spacing w:after="20" w:line="240" w:lineRule="auto"/>
      </w:pPr>
      <w:r>
        <w:rPr>
          <w:rFonts w:ascii="Consolas" w:hAnsi="Consolas"/>
          <w:sz w:val="14"/>
        </w:rPr>
        <w:t>| Restricciones | No crear restricción normativa sin decisión; enunciado no ambiguo; conflictos detectados. |</w:t>
      </w:r>
    </w:p>
    <w:p>
      <w:pPr>
        <w:spacing w:after="20" w:line="240" w:lineRule="auto"/>
      </w:pPr>
      <w:r>
        <w:rPr>
          <w:rFonts w:ascii="Consolas" w:hAnsi="Consolas"/>
          <w:sz w:val="14"/>
        </w:rPr>
        <w:t>| Ciclo de vida | propuesta → revisada → aprobada → vigente → suspendida/sustituida/retirada |</w:t>
      </w:r>
    </w:p>
    <w:p>
      <w:pPr>
        <w:spacing w:after="40"/>
      </w:pPr>
    </w:p>
    <w:p>
      <w:pPr>
        <w:pStyle w:val="Heading4"/>
      </w:pPr>
      <w:r>
        <w:t>PM10 — Evidencia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Soportar que una ejecución, condición o control ocurrió o fue cumplido. |</w:t>
      </w:r>
    </w:p>
    <w:p>
      <w:pPr>
        <w:spacing w:after="20" w:line="240" w:lineRule="auto"/>
      </w:pPr>
      <w:r>
        <w:rPr>
          <w:rFonts w:ascii="Consolas" w:hAnsi="Consolas"/>
          <w:sz w:val="14"/>
        </w:rPr>
        <w:t>| Atributos | id, tipo, afirmación_soportada, origen, fecha, custodio, integridad, acceso, retención |</w:t>
      </w:r>
    </w:p>
    <w:p>
      <w:pPr>
        <w:spacing w:after="20" w:line="240" w:lineRule="auto"/>
      </w:pPr>
      <w:r>
        <w:rPr>
          <w:rFonts w:ascii="Consolas" w:hAnsi="Consolas"/>
          <w:sz w:val="14"/>
        </w:rPr>
        <w:t>| Relaciones | generada_por Actividad/Evento/Control/Agente; sustenta Observación/Registro; verifica Restricción; contenida_en Documento |</w:t>
      </w:r>
    </w:p>
    <w:p>
      <w:pPr>
        <w:spacing w:after="20" w:line="240" w:lineRule="auto"/>
      </w:pPr>
      <w:r>
        <w:rPr>
          <w:rFonts w:ascii="Consolas" w:hAnsi="Consolas"/>
          <w:sz w:val="14"/>
        </w:rPr>
        <w:t>| Cardinalidades | generador `1..*`; afirmación `1..*`; custodio `0..1` |</w:t>
      </w:r>
    </w:p>
    <w:p>
      <w:pPr>
        <w:spacing w:after="20" w:line="240" w:lineRule="auto"/>
      </w:pPr>
      <w:r>
        <w:rPr>
          <w:rFonts w:ascii="Consolas" w:hAnsi="Consolas"/>
          <w:sz w:val="14"/>
        </w:rPr>
        <w:t>| Restricciones | Importa contrato de Evidencia EPIC-001; no confundir con Documento o Registro; integridad verificable. |</w:t>
      </w:r>
    </w:p>
    <w:p>
      <w:pPr>
        <w:spacing w:after="20" w:line="240" w:lineRule="auto"/>
      </w:pPr>
      <w:r>
        <w:rPr>
          <w:rFonts w:ascii="Consolas" w:hAnsi="Consolas"/>
          <w:sz w:val="14"/>
        </w:rPr>
        <w:t>| Ciclo de vida | generada → capturada → verificada → aceptada/rechazada → retenida → archivada/eliminada según política |</w:t>
      </w:r>
    </w:p>
    <w:p>
      <w:pPr>
        <w:spacing w:after="40"/>
      </w:pPr>
    </w:p>
    <w:p>
      <w:pPr>
        <w:pStyle w:val="Heading4"/>
      </w:pPr>
      <w:r>
        <w:t>PM11 — Observación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Registrar una constatación producida durante una ejecución. |</w:t>
      </w:r>
    </w:p>
    <w:p>
      <w:pPr>
        <w:spacing w:after="20" w:line="240" w:lineRule="auto"/>
      </w:pPr>
      <w:r>
        <w:rPr>
          <w:rFonts w:ascii="Consolas" w:hAnsi="Consolas"/>
          <w:sz w:val="14"/>
        </w:rPr>
        <w:t>| Atributos | entidad, proceso, evento, periodo, contenido/valor, método, agente, admisibilidad, versión_esquema |</w:t>
      </w:r>
    </w:p>
    <w:p>
      <w:pPr>
        <w:spacing w:after="20" w:line="240" w:lineRule="auto"/>
      </w:pPr>
      <w:r>
        <w:rPr>
          <w:rFonts w:ascii="Consolas" w:hAnsi="Consolas"/>
          <w:sz w:val="14"/>
        </w:rPr>
        <w:t>| Relaciones | acerca_de Entidad; ocurre_dentro_de Proceso; generada_por Evento; soportada_por Evidencia; registrada_en Registro; alimenta Indicador-token futuro |</w:t>
      </w:r>
    </w:p>
    <w:p>
      <w:pPr>
        <w:spacing w:after="20" w:line="240" w:lineRule="auto"/>
      </w:pPr>
      <w:r>
        <w:rPr>
          <w:rFonts w:ascii="Consolas" w:hAnsi="Consolas"/>
          <w:sz w:val="14"/>
        </w:rPr>
        <w:t>| Cardinalidades | entidad `1`; proceso `1`; evento `1`; periodo `1`; evidencia `0..*` |</w:t>
      </w:r>
    </w:p>
    <w:p>
      <w:pPr>
        <w:spacing w:after="20" w:line="240" w:lineRule="auto"/>
      </w:pPr>
      <w:r>
        <w:rPr>
          <w:rFonts w:ascii="Consolas" w:hAnsi="Consolas"/>
          <w:sz w:val="14"/>
        </w:rPr>
        <w:t>| Restricciones | AX-11 obligatorio; sin anclaje cuádruple es inadmisible. |</w:t>
      </w:r>
    </w:p>
    <w:p>
      <w:pPr>
        <w:spacing w:after="20" w:line="240" w:lineRule="auto"/>
      </w:pPr>
      <w:r>
        <w:rPr>
          <w:rFonts w:ascii="Consolas" w:hAnsi="Consolas"/>
          <w:sz w:val="14"/>
        </w:rPr>
        <w:t>| Ciclo de vida | capturada → verificada → admisible/inadmisible → usada → archivada |</w:t>
      </w:r>
    </w:p>
    <w:p>
      <w:pPr>
        <w:spacing w:after="40"/>
      </w:pPr>
    </w:p>
    <w:p>
      <w:pPr>
        <w:pStyle w:val="Heading4"/>
      </w:pPr>
      <w:r>
        <w:t>PM12 — Riesgo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una incertidumbre que puede afectar objetivos o resultados del proceso. |</w:t>
      </w:r>
    </w:p>
    <w:p>
      <w:pPr>
        <w:spacing w:after="20" w:line="240" w:lineRule="auto"/>
      </w:pPr>
      <w:r>
        <w:rPr>
          <w:rFonts w:ascii="Consolas" w:hAnsi="Consolas"/>
          <w:sz w:val="14"/>
        </w:rPr>
        <w:t>| Atributos | id, enunciado, fuente, consecuencia, alcance, estado, propietario, método_evaluación_opcional, versión |</w:t>
      </w:r>
    </w:p>
    <w:p>
      <w:pPr>
        <w:spacing w:after="20" w:line="240" w:lineRule="auto"/>
      </w:pPr>
      <w:r>
        <w:rPr>
          <w:rFonts w:ascii="Consolas" w:hAnsi="Consolas"/>
          <w:sz w:val="14"/>
        </w:rPr>
        <w:t>| Relaciones | amenaza Proceso/Actividad/Recurso/Salida; originado_por Evento/Restricción; tratado_por Control; soportado_por Evidencia |</w:t>
      </w:r>
    </w:p>
    <w:p>
      <w:pPr>
        <w:spacing w:after="20" w:line="240" w:lineRule="auto"/>
      </w:pPr>
      <w:r>
        <w:rPr>
          <w:rFonts w:ascii="Consolas" w:hAnsi="Consolas"/>
          <w:sz w:val="14"/>
        </w:rPr>
        <w:t>| Cardinalidades | objetivos `1..*`; controles `0..*`; propietario `0..1` |</w:t>
      </w:r>
    </w:p>
    <w:p>
      <w:pPr>
        <w:spacing w:after="20" w:line="240" w:lineRule="auto"/>
      </w:pPr>
      <w:r>
        <w:rPr>
          <w:rFonts w:ascii="Consolas" w:hAnsi="Consolas"/>
          <w:sz w:val="14"/>
        </w:rPr>
        <w:t>| Restricciones | EPIC-002 no define escalas, probabilidades ni umbrales; cualquier cuantificación requiere decisión. |</w:t>
      </w:r>
    </w:p>
    <w:p>
      <w:pPr>
        <w:spacing w:after="20" w:line="240" w:lineRule="auto"/>
      </w:pPr>
      <w:r>
        <w:rPr>
          <w:rFonts w:ascii="Consolas" w:hAnsi="Consolas"/>
          <w:sz w:val="14"/>
        </w:rPr>
        <w:t>| Ciclo de vida | identificado → analizado → aceptado/tratado/transferido/evitado → monitorizado → cerrado/reabierto |</w:t>
      </w:r>
    </w:p>
    <w:p>
      <w:pPr>
        <w:spacing w:after="40"/>
      </w:pPr>
    </w:p>
    <w:p>
      <w:pPr>
        <w:pStyle w:val="Heading4"/>
      </w:pPr>
      <w:r>
        <w:t>PM13 — Control</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una medida diseñada para prevenir, detectar, corregir o evidenciar. |</w:t>
      </w:r>
    </w:p>
    <w:p>
      <w:pPr>
        <w:spacing w:after="20" w:line="240" w:lineRule="auto"/>
      </w:pPr>
      <w:r>
        <w:rPr>
          <w:rFonts w:ascii="Consolas" w:hAnsi="Consolas"/>
          <w:sz w:val="14"/>
        </w:rPr>
        <w:t>| Atributos | id, nombre, objetivo, tipo, disparador, responsable_rol, frecuencia_opcional, evidencia_requerida, estado, versión |</w:t>
      </w:r>
    </w:p>
    <w:p>
      <w:pPr>
        <w:spacing w:after="20" w:line="240" w:lineRule="auto"/>
      </w:pPr>
      <w:r>
        <w:rPr>
          <w:rFonts w:ascii="Consolas" w:hAnsi="Consolas"/>
          <w:sz w:val="14"/>
        </w:rPr>
        <w:t>| Relaciones | trata Riesgo; verifica Restricción; controla Proceso/Actividad/Evento/Recurso; ejecutado_por Agente; produce Evidencia/Registro |</w:t>
      </w:r>
    </w:p>
    <w:p>
      <w:pPr>
        <w:spacing w:after="20" w:line="240" w:lineRule="auto"/>
      </w:pPr>
      <w:r>
        <w:rPr>
          <w:rFonts w:ascii="Consolas" w:hAnsi="Consolas"/>
          <w:sz w:val="14"/>
        </w:rPr>
        <w:t>| Cardinalidades | riesgo/restricción objetivo `1..*`; responsable `1..*`; evidencia `0..*` |</w:t>
      </w:r>
    </w:p>
    <w:p>
      <w:pPr>
        <w:spacing w:after="20" w:line="240" w:lineRule="auto"/>
      </w:pPr>
      <w:r>
        <w:rPr>
          <w:rFonts w:ascii="Consolas" w:hAnsi="Consolas"/>
          <w:sz w:val="14"/>
        </w:rPr>
        <w:t>| Restricciones | No declarar eficacia sin Validación; separar definición de ejecución de control. |</w:t>
      </w:r>
    </w:p>
    <w:p>
      <w:pPr>
        <w:spacing w:after="20" w:line="240" w:lineRule="auto"/>
      </w:pPr>
      <w:r>
        <w:rPr>
          <w:rFonts w:ascii="Consolas" w:hAnsi="Consolas"/>
          <w:sz w:val="14"/>
        </w:rPr>
        <w:t>| Ciclo de vida | propuesto → diseñado → aprobado → implementado → probado → activo → suspendido/retirado |</w:t>
      </w:r>
    </w:p>
    <w:p>
      <w:pPr>
        <w:spacing w:after="40"/>
      </w:pPr>
    </w:p>
    <w:p>
      <w:pPr>
        <w:pStyle w:val="Heading4"/>
      </w:pPr>
      <w:r>
        <w:t>PM14 — Documento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Comunicar especificaciones, instrucciones o información relativamente estable. |</w:t>
      </w:r>
    </w:p>
    <w:p>
      <w:pPr>
        <w:spacing w:after="20" w:line="240" w:lineRule="auto"/>
      </w:pPr>
      <w:r>
        <w:rPr>
          <w:rFonts w:ascii="Consolas" w:hAnsi="Consolas"/>
          <w:sz w:val="14"/>
        </w:rPr>
        <w:t>| Atributos | id, título, tipo, propietario, estado, versión, vigencia, idioma, ubicación, checksum |</w:t>
      </w:r>
    </w:p>
    <w:p>
      <w:pPr>
        <w:spacing w:after="20" w:line="240" w:lineRule="auto"/>
      </w:pPr>
      <w:r>
        <w:rPr>
          <w:rFonts w:ascii="Consolas" w:hAnsi="Consolas"/>
          <w:sz w:val="14"/>
        </w:rPr>
        <w:t>| Relaciones | documenta Proceso/Actividad/Control/Restricción; usado_como Entrada; producido_como Salida; contiene Registro/Evidencia por referencia |</w:t>
      </w:r>
    </w:p>
    <w:p>
      <w:pPr>
        <w:spacing w:after="20" w:line="240" w:lineRule="auto"/>
      </w:pPr>
      <w:r>
        <w:rPr>
          <w:rFonts w:ascii="Consolas" w:hAnsi="Consolas"/>
          <w:sz w:val="14"/>
        </w:rPr>
        <w:t>| Cardinalidades | objetos documentados `1..*`; versiones `1..*` |</w:t>
      </w:r>
    </w:p>
    <w:p>
      <w:pPr>
        <w:spacing w:after="20" w:line="240" w:lineRule="auto"/>
      </w:pPr>
      <w:r>
        <w:rPr>
          <w:rFonts w:ascii="Consolas" w:hAnsi="Consolas"/>
          <w:sz w:val="14"/>
        </w:rPr>
        <w:t>| Restricciones | Reutiliza Documento EPIC-001; no confundir plantilla con registro completado. |</w:t>
      </w:r>
    </w:p>
    <w:p>
      <w:pPr>
        <w:spacing w:after="20" w:line="240" w:lineRule="auto"/>
      </w:pPr>
      <w:r>
        <w:rPr>
          <w:rFonts w:ascii="Consolas" w:hAnsi="Consolas"/>
          <w:sz w:val="14"/>
        </w:rPr>
        <w:t>| Ciclo de vida | borrador → revisión → aprobado → vigente → sustituido → archivado |</w:t>
      </w:r>
    </w:p>
    <w:p>
      <w:pPr>
        <w:spacing w:after="40"/>
      </w:pPr>
    </w:p>
    <w:p>
      <w:pPr>
        <w:pStyle w:val="Heading4"/>
      </w:pPr>
      <w:r>
        <w:t>PM15 — Registro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Conservar constancia de una ejecución, estado, decisión operacional o resultado. |</w:t>
      </w:r>
    </w:p>
    <w:p>
      <w:pPr>
        <w:spacing w:after="20" w:line="240" w:lineRule="auto"/>
      </w:pPr>
      <w:r>
        <w:rPr>
          <w:rFonts w:ascii="Consolas" w:hAnsi="Consolas"/>
          <w:sz w:val="14"/>
        </w:rPr>
        <w:t>| Atributos | id, esquema, contenido, fecha, autor/agente, proceso, actividad/evento, versión_documento_fuente, integridad, retención |</w:t>
      </w:r>
    </w:p>
    <w:p>
      <w:pPr>
        <w:spacing w:after="20" w:line="240" w:lineRule="auto"/>
      </w:pPr>
      <w:r>
        <w:rPr>
          <w:rFonts w:ascii="Consolas" w:hAnsi="Consolas"/>
          <w:sz w:val="14"/>
        </w:rPr>
        <w:t>| Relaciones | instancia_de Documento/Formulario; registra Proceso/Actividad/Evento/Control; contiene Observación; soportado_por Evidencia; producido_por Agente |</w:t>
      </w:r>
    </w:p>
    <w:p>
      <w:pPr>
        <w:spacing w:after="20" w:line="240" w:lineRule="auto"/>
      </w:pPr>
      <w:r>
        <w:rPr>
          <w:rFonts w:ascii="Consolas" w:hAnsi="Consolas"/>
          <w:sz w:val="14"/>
        </w:rPr>
        <w:t>| Cardinalidades | esquema `1`; generador `1..*`; observaciones `0..*` |</w:t>
      </w:r>
    </w:p>
    <w:p>
      <w:pPr>
        <w:spacing w:after="20" w:line="240" w:lineRule="auto"/>
      </w:pPr>
      <w:r>
        <w:rPr>
          <w:rFonts w:ascii="Consolas" w:hAnsi="Consolas"/>
          <w:sz w:val="14"/>
        </w:rPr>
        <w:t>| Restricciones | Inmutable tras cierre; correcciones enlazadas; no confundir con Documento type. |</w:t>
      </w:r>
    </w:p>
    <w:p>
      <w:pPr>
        <w:spacing w:after="20" w:line="240" w:lineRule="auto"/>
      </w:pPr>
      <w:r>
        <w:rPr>
          <w:rFonts w:ascii="Consolas" w:hAnsi="Consolas"/>
          <w:sz w:val="14"/>
        </w:rPr>
        <w:t>| Ciclo de vida | abierto → en_captura → cerrado → verificado → retenido → archivado/eliminado según política |</w:t>
      </w:r>
    </w:p>
    <w:p>
      <w:pPr>
        <w:spacing w:after="40"/>
      </w:pPr>
    </w:p>
    <w:p>
      <w:pPr>
        <w:pStyle w:val="Heading4"/>
      </w:pPr>
      <w:r>
        <w:t>PM16 — Indicador</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Propósito | Representar una interfaz abstracta de medición asociable a procesos. |</w:t>
      </w:r>
    </w:p>
    <w:p>
      <w:pPr>
        <w:spacing w:after="20" w:line="240" w:lineRule="auto"/>
      </w:pPr>
      <w:r>
        <w:rPr>
          <w:rFonts w:ascii="Consolas" w:hAnsi="Consolas"/>
          <w:sz w:val="14"/>
        </w:rPr>
        <w:t>| Atributos | id, nombre_provisional_o_referencia, objeto_medido, propósito, entradas_requeridas, salida_esperada, aplicabilidad, estado, versión |</w:t>
      </w:r>
    </w:p>
    <w:p>
      <w:pPr>
        <w:spacing w:after="20" w:line="240" w:lineRule="auto"/>
      </w:pPr>
      <w:r>
        <w:rPr>
          <w:rFonts w:ascii="Consolas" w:hAnsi="Consolas"/>
          <w:sz w:val="14"/>
        </w:rPr>
        <w:t>| Relaciones | mide Proceso/Actividad/Salida/Control/Riesgo; usa Observación/Registro; definido_por Regla/Fórmula futura; especializable_como KPI-def si se aprueba |</w:t>
      </w:r>
    </w:p>
    <w:p>
      <w:pPr>
        <w:spacing w:after="20" w:line="240" w:lineRule="auto"/>
      </w:pPr>
      <w:r>
        <w:rPr>
          <w:rFonts w:ascii="Consolas" w:hAnsi="Consolas"/>
          <w:sz w:val="14"/>
        </w:rPr>
        <w:t>| Cardinalidades | objeto_medido `1..*`; entradas `1..*`; regla de cálculo `0..1` mientras sea abstracto |</w:t>
      </w:r>
    </w:p>
    <w:p>
      <w:pPr>
        <w:spacing w:after="20" w:line="240" w:lineRule="auto"/>
      </w:pPr>
      <w:r>
        <w:rPr>
          <w:rFonts w:ascii="Consolas" w:hAnsi="Consolas"/>
          <w:sz w:val="14"/>
        </w:rPr>
        <w:t>| Restricciones | No contiene KPI, fórmula, peso, umbral ni valor; equivalencia con KPI-def queda bloqueada por Issue. |</w:t>
      </w:r>
    </w:p>
    <w:p>
      <w:pPr>
        <w:spacing w:after="20" w:line="240" w:lineRule="auto"/>
      </w:pPr>
      <w:r>
        <w:rPr>
          <w:rFonts w:ascii="Consolas" w:hAnsi="Consolas"/>
          <w:sz w:val="14"/>
        </w:rPr>
        <w:t>| Ciclo de vida | necesidad_identificada → especificación_abstracta → decisión_pendiente → aprobado/rechazado → activo/retirado |</w:t>
      </w:r>
    </w:p>
    <w:p>
      <w:pPr>
        <w:spacing w:after="40"/>
      </w:pPr>
    </w:p>
    <w:p>
      <w:pPr>
        <w:pStyle w:val="Heading3"/>
      </w:pPr>
      <w:r>
        <w:t>5. Relaciones de flujo</w:t>
      </w:r>
    </w:p>
    <w:p>
      <w:pPr>
        <w:spacing w:after="40"/>
      </w:pPr>
    </w:p>
    <w:p>
      <w:pPr>
        <w:spacing w:after="20" w:line="240" w:lineRule="auto"/>
      </w:pPr>
      <w:r>
        <w:rPr>
          <w:rFonts w:ascii="Consolas" w:hAnsi="Consolas"/>
          <w:sz w:val="14"/>
        </w:rPr>
        <w:t>| Relación | Dominio → Rango | Cardinalidad | Semántica |</w:t>
      </w:r>
    </w:p>
    <w:p>
      <w:pPr>
        <w:spacing w:after="20" w:line="240" w:lineRule="auto"/>
      </w:pPr>
      <w:r>
        <w:rPr>
          <w:rFonts w:ascii="Consolas" w:hAnsi="Consolas"/>
          <w:sz w:val="14"/>
        </w:rPr>
        <w:t>|---|---|---|---|</w:t>
      </w:r>
    </w:p>
    <w:p>
      <w:pPr>
        <w:spacing w:after="20" w:line="240" w:lineRule="auto"/>
      </w:pPr>
      <w:r>
        <w:rPr>
          <w:rFonts w:ascii="Consolas" w:hAnsi="Consolas"/>
          <w:sz w:val="14"/>
        </w:rPr>
        <w:t>| `contiene` | Proceso → Subproceso/Actividad | `1..*` | composición definicional |</w:t>
      </w:r>
    </w:p>
    <w:p>
      <w:pPr>
        <w:spacing w:after="20" w:line="240" w:lineRule="auto"/>
      </w:pPr>
      <w:r>
        <w:rPr>
          <w:rFonts w:ascii="Consolas" w:hAnsi="Consolas"/>
          <w:sz w:val="14"/>
        </w:rPr>
        <w:t>| `precede` | Actividad/Evento → Actividad/Evento | `0..*` | orden parcial, no mera posición gráfica |</w:t>
      </w:r>
    </w:p>
    <w:p>
      <w:pPr>
        <w:spacing w:after="20" w:line="240" w:lineRule="auto"/>
      </w:pPr>
      <w:r>
        <w:rPr>
          <w:rFonts w:ascii="Consolas" w:hAnsi="Consolas"/>
          <w:sz w:val="14"/>
        </w:rPr>
        <w:t>| `dispara` | Evento → Actividad/Proceso/Control | `0..*` | habilita transición |</w:t>
      </w:r>
    </w:p>
    <w:p>
      <w:pPr>
        <w:spacing w:after="20" w:line="240" w:lineRule="auto"/>
      </w:pPr>
      <w:r>
        <w:rPr>
          <w:rFonts w:ascii="Consolas" w:hAnsi="Consolas"/>
          <w:sz w:val="14"/>
        </w:rPr>
        <w:t>| `recibe` | Proceso/Actividad → Entrada | `0..*` | rol de entrada |</w:t>
      </w:r>
    </w:p>
    <w:p>
      <w:pPr>
        <w:spacing w:after="20" w:line="240" w:lineRule="auto"/>
      </w:pPr>
      <w:r>
        <w:rPr>
          <w:rFonts w:ascii="Consolas" w:hAnsi="Consolas"/>
          <w:sz w:val="14"/>
        </w:rPr>
        <w:t>| `produce` | Proceso/Actividad/Evento → Salida | `0..*` | rol de salida |</w:t>
      </w:r>
    </w:p>
    <w:p>
      <w:pPr>
        <w:spacing w:after="20" w:line="240" w:lineRule="auto"/>
      </w:pPr>
      <w:r>
        <w:rPr>
          <w:rFonts w:ascii="Consolas" w:hAnsi="Consolas"/>
          <w:sz w:val="14"/>
        </w:rPr>
        <w:t>| `usa` | Proceso/Actividad/Evento → Recurso | `0..*` | recurso no necesariamente consumido |</w:t>
      </w:r>
    </w:p>
    <w:p>
      <w:pPr>
        <w:spacing w:after="20" w:line="240" w:lineRule="auto"/>
      </w:pPr>
      <w:r>
        <w:rPr>
          <w:rFonts w:ascii="Consolas" w:hAnsi="Consolas"/>
          <w:sz w:val="14"/>
        </w:rPr>
        <w:t>| `consume` | Proceso/Actividad/Evento → Recurso | `0..*` | reduce o transforma disponibilidad |</w:t>
      </w:r>
    </w:p>
    <w:p>
      <w:pPr>
        <w:spacing w:after="20" w:line="240" w:lineRule="auto"/>
      </w:pPr>
      <w:r>
        <w:rPr>
          <w:rFonts w:ascii="Consolas" w:hAnsi="Consolas"/>
          <w:sz w:val="14"/>
        </w:rPr>
        <w:t>| `ejecuta` | Agente → Proceso/Actividad/Evento/Control | `0..*` | participación activa |</w:t>
      </w:r>
    </w:p>
    <w:p>
      <w:pPr>
        <w:spacing w:after="20" w:line="240" w:lineRule="auto"/>
      </w:pPr>
      <w:r>
        <w:rPr>
          <w:rFonts w:ascii="Consolas" w:hAnsi="Consolas"/>
          <w:sz w:val="14"/>
        </w:rPr>
        <w:t>| `sujeto_a` | Elemento proceso → Restricción | `0..*` | límite aplicable |</w:t>
      </w:r>
    </w:p>
    <w:p>
      <w:pPr>
        <w:spacing w:after="20" w:line="240" w:lineRule="auto"/>
      </w:pPr>
      <w:r>
        <w:rPr>
          <w:rFonts w:ascii="Consolas" w:hAnsi="Consolas"/>
          <w:sz w:val="14"/>
        </w:rPr>
        <w:t>| `amenazado_por` | Elemento proceso → Riesgo | `0..*` | exposición sin cuantificación implícita |</w:t>
      </w:r>
    </w:p>
    <w:p>
      <w:pPr>
        <w:spacing w:after="20" w:line="240" w:lineRule="auto"/>
      </w:pPr>
      <w:r>
        <w:rPr>
          <w:rFonts w:ascii="Consolas" w:hAnsi="Consolas"/>
          <w:sz w:val="14"/>
        </w:rPr>
        <w:t>| `protegido_por` | Elemento proceso/Riesgo → Control | `0..*` | diseño de tratamiento, no eficacia probada |</w:t>
      </w:r>
    </w:p>
    <w:p>
      <w:pPr>
        <w:spacing w:after="20" w:line="240" w:lineRule="auto"/>
      </w:pPr>
      <w:r>
        <w:rPr>
          <w:rFonts w:ascii="Consolas" w:hAnsi="Consolas"/>
          <w:sz w:val="14"/>
        </w:rPr>
        <w:t>| `genera` | Actividad/Evento/Control → Evidencia/Observación/Registro | `0..*` | producción de información |</w:t>
      </w:r>
    </w:p>
    <w:p>
      <w:pPr>
        <w:spacing w:after="20" w:line="240" w:lineRule="auto"/>
      </w:pPr>
      <w:r>
        <w:rPr>
          <w:rFonts w:ascii="Consolas" w:hAnsi="Consolas"/>
          <w:sz w:val="14"/>
        </w:rPr>
        <w:t>| `mide` | Indicador → Elemento proceso | `1..*` | asociación abstracta |</w:t>
      </w:r>
    </w:p>
    <w:p>
      <w:pPr>
        <w:spacing w:after="40"/>
      </w:pPr>
    </w:p>
    <w:p>
      <w:pPr>
        <w:pStyle w:val="Heading3"/>
      </w:pPr>
      <w:r>
        <w:t>6. Conformidad</w:t>
      </w:r>
    </w:p>
    <w:p>
      <w:pPr>
        <w:spacing w:after="40"/>
      </w:pPr>
    </w:p>
    <w:p>
      <w:r>
        <w:t>Un modelo de proceso es conforme si instancia solo entidades y relaciones declaradas, cumple cardinalidades, separa type/token, fija la versión del metamodelo y no contiene contenido bloqueado por Issues.</w:t>
      </w:r>
    </w:p>
    <w:p>
      <w:r>
        <w:br w:type="page"/>
      </w:r>
    </w:p>
    <w:p>
      <w:pPr>
        <w:pStyle w:val="Heading1"/>
        <w:keepNext/>
      </w:pPr>
      <w:r>
        <w:t>Fuente 88: 04_Procesos_gastronomicos/EPIC-002_MetaModelo_Universal/02_Diagrama_UML.md</w:t>
      </w:r>
    </w:p>
    <w:p>
      <w:pPr>
        <w:spacing w:after="200"/>
      </w:pPr>
      <w:r>
        <w:rPr>
          <w:rFonts w:ascii="Consolas" w:hAnsi="Consolas"/>
          <w:color w:val="595959"/>
          <w:sz w:val="16"/>
        </w:rPr>
        <w:t>Ruta: 04_Procesos_gastronomicos/EPIC-002_MetaModelo_Universal/02_Diagrama_UML.md</w:t>
        <w:br/>
        <w:t>Tamaño: 2001 bytes</w:t>
        <w:br/>
        <w:t>SHA-256: 7d67073f5e978edc3d955aa2993b343764d51682491068770dd2ded499f5cb71</w:t>
      </w:r>
    </w:p>
    <w:p>
      <w:pPr>
        <w:pStyle w:val="Heading2"/>
      </w:pPr>
      <w:r>
        <w:t>Diagrama UML conceptual — MetaModelo Universal de Procesos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GOEI-PMM-UML-0001 |</w:t>
      </w:r>
    </w:p>
    <w:p>
      <w:pPr>
        <w:spacing w:after="20" w:line="240" w:lineRule="auto"/>
      </w:pPr>
      <w:r>
        <w:rPr>
          <w:rFonts w:ascii="Consolas" w:hAnsi="Consolas"/>
          <w:sz w:val="14"/>
        </w:rPr>
        <w:t>| Versión | 0.1.0-draft |</w:t>
      </w:r>
    </w:p>
    <w:p>
      <w:pPr>
        <w:spacing w:after="40"/>
      </w:pPr>
    </w:p>
    <w:p>
      <w:pPr>
        <w:spacing w:after="20" w:line="240" w:lineRule="auto"/>
        <w:ind w:left="259"/>
      </w:pPr>
      <w:r>
        <w:rPr>
          <w:rFonts w:ascii="Consolas" w:hAnsi="Consolas"/>
          <w:sz w:val="15"/>
        </w:rPr>
        <w:t>classDiagram</w:t>
      </w:r>
    </w:p>
    <w:p>
      <w:pPr>
        <w:spacing w:after="20" w:line="240" w:lineRule="auto"/>
        <w:ind w:left="259"/>
      </w:pPr>
      <w:r>
        <w:rPr>
          <w:rFonts w:ascii="Consolas" w:hAnsi="Consolas"/>
          <w:sz w:val="15"/>
        </w:rPr>
        <w:t>direction LR</w:t>
      </w:r>
    </w:p>
    <w:p>
      <w:pPr>
        <w:spacing w:after="20" w:line="240" w:lineRule="auto"/>
        <w:ind w:left="259"/>
      </w:pPr>
      <w:r>
        <w:rPr>
          <w:rFonts w:ascii="Consolas" w:hAnsi="Consolas"/>
          <w:sz w:val="15"/>
        </w:rPr>
        <w:t>class Proceso {</w:t>
      </w:r>
    </w:p>
    <w:p>
      <w:pPr>
        <w:spacing w:after="20" w:line="240" w:lineRule="auto"/>
        <w:ind w:left="259"/>
      </w:pPr>
      <w:r>
        <w:rPr>
          <w:rFonts w:ascii="Consolas" w:hAnsi="Consolas"/>
          <w:sz w:val="15"/>
        </w:rPr>
        <w:t xml:space="preserve">  +id</w:t>
      </w:r>
    </w:p>
    <w:p>
      <w:pPr>
        <w:spacing w:after="20" w:line="240" w:lineRule="auto"/>
        <w:ind w:left="259"/>
      </w:pPr>
      <w:r>
        <w:rPr>
          <w:rFonts w:ascii="Consolas" w:hAnsi="Consolas"/>
          <w:sz w:val="15"/>
        </w:rPr>
        <w:t xml:space="preserve">  +proposito</w:t>
      </w:r>
    </w:p>
    <w:p>
      <w:pPr>
        <w:spacing w:after="20" w:line="240" w:lineRule="auto"/>
        <w:ind w:left="259"/>
      </w:pPr>
      <w:r>
        <w:rPr>
          <w:rFonts w:ascii="Consolas" w:hAnsi="Consolas"/>
          <w:sz w:val="15"/>
        </w:rPr>
        <w:t xml:space="preserve">  +alcance</w:t>
      </w:r>
    </w:p>
    <w:p>
      <w:pPr>
        <w:spacing w:after="20" w:line="240" w:lineRule="auto"/>
        <w:ind w:left="259"/>
      </w:pPr>
      <w:r>
        <w:rPr>
          <w:rFonts w:ascii="Consolas" w:hAnsi="Consolas"/>
          <w:sz w:val="15"/>
        </w:rPr>
        <w:t xml:space="preserve">  +estado</w:t>
      </w:r>
    </w:p>
    <w:p>
      <w:pPr>
        <w:spacing w:after="20" w:line="240" w:lineRule="auto"/>
        <w:ind w:left="259"/>
      </w:pPr>
      <w:r>
        <w:rPr>
          <w:rFonts w:ascii="Consolas" w:hAnsi="Consolas"/>
          <w:sz w:val="15"/>
        </w:rPr>
        <w:t xml:space="preserve">  +version</w:t>
      </w:r>
    </w:p>
    <w:p>
      <w:pPr>
        <w:spacing w:after="20" w:line="240" w:lineRule="auto"/>
        <w:ind w:left="259"/>
      </w:pPr>
      <w:r>
        <w:rPr>
          <w:rFonts w:ascii="Consolas" w:hAnsi="Consolas"/>
          <w:sz w:val="15"/>
        </w:rPr>
        <w:t>}</w:t>
      </w:r>
    </w:p>
    <w:p>
      <w:pPr>
        <w:spacing w:after="20" w:line="240" w:lineRule="auto"/>
        <w:ind w:left="259"/>
      </w:pPr>
      <w:r>
        <w:rPr>
          <w:rFonts w:ascii="Consolas" w:hAnsi="Consolas"/>
          <w:sz w:val="15"/>
        </w:rPr>
        <w:t>class Subproceso</w:t>
      </w:r>
    </w:p>
    <w:p>
      <w:pPr>
        <w:spacing w:after="20" w:line="240" w:lineRule="auto"/>
        <w:ind w:left="259"/>
      </w:pPr>
      <w:r>
        <w:rPr>
          <w:rFonts w:ascii="Consolas" w:hAnsi="Consolas"/>
          <w:sz w:val="15"/>
        </w:rPr>
        <w:t>class Actividad</w:t>
      </w:r>
    </w:p>
    <w:p>
      <w:pPr>
        <w:spacing w:after="20" w:line="240" w:lineRule="auto"/>
        <w:ind w:left="259"/>
      </w:pPr>
      <w:r>
        <w:rPr>
          <w:rFonts w:ascii="Consolas" w:hAnsi="Consolas"/>
          <w:sz w:val="15"/>
        </w:rPr>
        <w:t>class Evento</w:t>
      </w:r>
    </w:p>
    <w:p>
      <w:pPr>
        <w:spacing w:after="20" w:line="240" w:lineRule="auto"/>
        <w:ind w:left="259"/>
      </w:pPr>
      <w:r>
        <w:rPr>
          <w:rFonts w:ascii="Consolas" w:hAnsi="Consolas"/>
          <w:sz w:val="15"/>
        </w:rPr>
        <w:t>class Entrada</w:t>
      </w:r>
    </w:p>
    <w:p>
      <w:pPr>
        <w:spacing w:after="20" w:line="240" w:lineRule="auto"/>
        <w:ind w:left="259"/>
      </w:pPr>
      <w:r>
        <w:rPr>
          <w:rFonts w:ascii="Consolas" w:hAnsi="Consolas"/>
          <w:sz w:val="15"/>
        </w:rPr>
        <w:t>class Salida</w:t>
      </w:r>
    </w:p>
    <w:p>
      <w:pPr>
        <w:spacing w:after="20" w:line="240" w:lineRule="auto"/>
        <w:ind w:left="259"/>
      </w:pPr>
      <w:r>
        <w:rPr>
          <w:rFonts w:ascii="Consolas" w:hAnsi="Consolas"/>
          <w:sz w:val="15"/>
        </w:rPr>
        <w:t>class Recurso</w:t>
      </w:r>
    </w:p>
    <w:p>
      <w:pPr>
        <w:spacing w:after="20" w:line="240" w:lineRule="auto"/>
        <w:ind w:left="259"/>
      </w:pPr>
      <w:r>
        <w:rPr>
          <w:rFonts w:ascii="Consolas" w:hAnsi="Consolas"/>
          <w:sz w:val="15"/>
        </w:rPr>
        <w:t>class Agente</w:t>
      </w:r>
    </w:p>
    <w:p>
      <w:pPr>
        <w:spacing w:after="20" w:line="240" w:lineRule="auto"/>
        <w:ind w:left="259"/>
      </w:pPr>
      <w:r>
        <w:rPr>
          <w:rFonts w:ascii="Consolas" w:hAnsi="Consolas"/>
          <w:sz w:val="15"/>
        </w:rPr>
        <w:t>class Restriccion</w:t>
      </w:r>
    </w:p>
    <w:p>
      <w:pPr>
        <w:spacing w:after="20" w:line="240" w:lineRule="auto"/>
        <w:ind w:left="259"/>
      </w:pPr>
      <w:r>
        <w:rPr>
          <w:rFonts w:ascii="Consolas" w:hAnsi="Consolas"/>
          <w:sz w:val="15"/>
        </w:rPr>
        <w:t>class Evidencia</w:t>
      </w:r>
    </w:p>
    <w:p>
      <w:pPr>
        <w:spacing w:after="20" w:line="240" w:lineRule="auto"/>
        <w:ind w:left="259"/>
      </w:pPr>
      <w:r>
        <w:rPr>
          <w:rFonts w:ascii="Consolas" w:hAnsi="Consolas"/>
          <w:sz w:val="15"/>
        </w:rPr>
        <w:t>class Observacion</w:t>
      </w:r>
    </w:p>
    <w:p>
      <w:pPr>
        <w:spacing w:after="20" w:line="240" w:lineRule="auto"/>
        <w:ind w:left="259"/>
      </w:pPr>
      <w:r>
        <w:rPr>
          <w:rFonts w:ascii="Consolas" w:hAnsi="Consolas"/>
          <w:sz w:val="15"/>
        </w:rPr>
        <w:t>class Riesgo</w:t>
      </w:r>
    </w:p>
    <w:p>
      <w:pPr>
        <w:spacing w:after="20" w:line="240" w:lineRule="auto"/>
        <w:ind w:left="259"/>
      </w:pPr>
      <w:r>
        <w:rPr>
          <w:rFonts w:ascii="Consolas" w:hAnsi="Consolas"/>
          <w:sz w:val="15"/>
        </w:rPr>
        <w:t>class Control</w:t>
      </w:r>
    </w:p>
    <w:p>
      <w:pPr>
        <w:spacing w:after="20" w:line="240" w:lineRule="auto"/>
        <w:ind w:left="259"/>
      </w:pPr>
      <w:r>
        <w:rPr>
          <w:rFonts w:ascii="Consolas" w:hAnsi="Consolas"/>
          <w:sz w:val="15"/>
        </w:rPr>
        <w:t>class Documento</w:t>
      </w:r>
    </w:p>
    <w:p>
      <w:pPr>
        <w:spacing w:after="20" w:line="240" w:lineRule="auto"/>
        <w:ind w:left="259"/>
      </w:pPr>
      <w:r>
        <w:rPr>
          <w:rFonts w:ascii="Consolas" w:hAnsi="Consolas"/>
          <w:sz w:val="15"/>
        </w:rPr>
        <w:t>class Registro</w:t>
      </w:r>
    </w:p>
    <w:p>
      <w:pPr>
        <w:spacing w:after="20" w:line="240" w:lineRule="auto"/>
        <w:ind w:left="259"/>
      </w:pPr>
      <w:r>
        <w:rPr>
          <w:rFonts w:ascii="Consolas" w:hAnsi="Consolas"/>
          <w:sz w:val="15"/>
        </w:rPr>
        <w:t>class Indicador</w:t>
      </w:r>
    </w:p>
    <w:p>
      <w:pPr>
        <w:spacing w:after="40"/>
      </w:pPr>
    </w:p>
    <w:p>
      <w:pPr>
        <w:spacing w:after="20" w:line="240" w:lineRule="auto"/>
        <w:ind w:left="259"/>
      </w:pPr>
      <w:r>
        <w:rPr>
          <w:rFonts w:ascii="Consolas" w:hAnsi="Consolas"/>
          <w:sz w:val="15"/>
        </w:rPr>
        <w:t>Proceso &lt;|-- Subproceso : rol composicional</w:t>
      </w:r>
    </w:p>
    <w:p>
      <w:pPr>
        <w:spacing w:after="20" w:line="240" w:lineRule="auto"/>
        <w:ind w:left="259"/>
      </w:pPr>
      <w:r>
        <w:rPr>
          <w:rFonts w:ascii="Consolas" w:hAnsi="Consolas"/>
          <w:sz w:val="15"/>
        </w:rPr>
        <w:t>Proceso "1" *-- "1..*" Actividad : contiene</w:t>
      </w:r>
    </w:p>
    <w:p>
      <w:pPr>
        <w:spacing w:after="20" w:line="240" w:lineRule="auto"/>
        <w:ind w:left="259"/>
      </w:pPr>
      <w:r>
        <w:rPr>
          <w:rFonts w:ascii="Consolas" w:hAnsi="Consolas"/>
          <w:sz w:val="15"/>
        </w:rPr>
        <w:t>Proceso "0..1" *-- "0..*" Subproceso : descompone</w:t>
      </w:r>
    </w:p>
    <w:p>
      <w:pPr>
        <w:spacing w:after="20" w:line="240" w:lineRule="auto"/>
        <w:ind w:left="259"/>
      </w:pPr>
      <w:r>
        <w:rPr>
          <w:rFonts w:ascii="Consolas" w:hAnsi="Consolas"/>
          <w:sz w:val="15"/>
        </w:rPr>
        <w:t>Actividad "0..*" --&gt; "0..*" Evento : disparada/finalizada</w:t>
      </w:r>
    </w:p>
    <w:p>
      <w:pPr>
        <w:spacing w:after="20" w:line="240" w:lineRule="auto"/>
        <w:ind w:left="259"/>
      </w:pPr>
      <w:r>
        <w:rPr>
          <w:rFonts w:ascii="Consolas" w:hAnsi="Consolas"/>
          <w:sz w:val="15"/>
        </w:rPr>
        <w:t>Proceso "1" --&gt; "0..*" Entrada : recibe</w:t>
      </w:r>
    </w:p>
    <w:p>
      <w:pPr>
        <w:spacing w:after="20" w:line="240" w:lineRule="auto"/>
        <w:ind w:left="259"/>
      </w:pPr>
      <w:r>
        <w:rPr>
          <w:rFonts w:ascii="Consolas" w:hAnsi="Consolas"/>
          <w:sz w:val="15"/>
        </w:rPr>
        <w:t>Actividad "1" --&gt; "0..*" Entrada : consume</w:t>
      </w:r>
    </w:p>
    <w:p>
      <w:pPr>
        <w:spacing w:after="20" w:line="240" w:lineRule="auto"/>
        <w:ind w:left="259"/>
      </w:pPr>
      <w:r>
        <w:rPr>
          <w:rFonts w:ascii="Consolas" w:hAnsi="Consolas"/>
          <w:sz w:val="15"/>
        </w:rPr>
        <w:t>Proceso "1" --&gt; "0..*" Salida : produce</w:t>
      </w:r>
    </w:p>
    <w:p>
      <w:pPr>
        <w:spacing w:after="20" w:line="240" w:lineRule="auto"/>
        <w:ind w:left="259"/>
      </w:pPr>
      <w:r>
        <w:rPr>
          <w:rFonts w:ascii="Consolas" w:hAnsi="Consolas"/>
          <w:sz w:val="15"/>
        </w:rPr>
        <w:t>Actividad "1" --&gt; "0..*" Salida : produce</w:t>
      </w:r>
    </w:p>
    <w:p>
      <w:pPr>
        <w:spacing w:after="20" w:line="240" w:lineRule="auto"/>
        <w:ind w:left="259"/>
      </w:pPr>
      <w:r>
        <w:rPr>
          <w:rFonts w:ascii="Consolas" w:hAnsi="Consolas"/>
          <w:sz w:val="15"/>
        </w:rPr>
        <w:t>Salida "0..*" --&gt; "0..*" Entrada : alimenta</w:t>
      </w:r>
    </w:p>
    <w:p>
      <w:pPr>
        <w:spacing w:after="20" w:line="240" w:lineRule="auto"/>
        <w:ind w:left="259"/>
      </w:pPr>
      <w:r>
        <w:rPr>
          <w:rFonts w:ascii="Consolas" w:hAnsi="Consolas"/>
          <w:sz w:val="15"/>
        </w:rPr>
        <w:t>Proceso "0..*" --&gt; "0..*" Recurso : usa</w:t>
      </w:r>
    </w:p>
    <w:p>
      <w:pPr>
        <w:spacing w:after="20" w:line="240" w:lineRule="auto"/>
        <w:ind w:left="259"/>
      </w:pPr>
      <w:r>
        <w:rPr>
          <w:rFonts w:ascii="Consolas" w:hAnsi="Consolas"/>
          <w:sz w:val="15"/>
        </w:rPr>
        <w:t>Actividad "0..*" --&gt; "0..*" Recurso : usa/consume</w:t>
      </w:r>
    </w:p>
    <w:p>
      <w:pPr>
        <w:spacing w:after="20" w:line="240" w:lineRule="auto"/>
        <w:ind w:left="259"/>
      </w:pPr>
      <w:r>
        <w:rPr>
          <w:rFonts w:ascii="Consolas" w:hAnsi="Consolas"/>
          <w:sz w:val="15"/>
        </w:rPr>
        <w:t>Agente "0..*" --&gt; "0..*" Proceso : realiza</w:t>
      </w:r>
    </w:p>
    <w:p>
      <w:pPr>
        <w:spacing w:after="20" w:line="240" w:lineRule="auto"/>
        <w:ind w:left="259"/>
      </w:pPr>
      <w:r>
        <w:rPr>
          <w:rFonts w:ascii="Consolas" w:hAnsi="Consolas"/>
          <w:sz w:val="15"/>
        </w:rPr>
        <w:t>Agente "0..*" --&gt; "0..*" Actividad : ejecuta</w:t>
      </w:r>
    </w:p>
    <w:p>
      <w:pPr>
        <w:spacing w:after="20" w:line="240" w:lineRule="auto"/>
        <w:ind w:left="259"/>
      </w:pPr>
      <w:r>
        <w:rPr>
          <w:rFonts w:ascii="Consolas" w:hAnsi="Consolas"/>
          <w:sz w:val="15"/>
        </w:rPr>
        <w:t>Restriccion "0..*" --&gt; "1..*" Proceso : restringe</w:t>
      </w:r>
    </w:p>
    <w:p>
      <w:pPr>
        <w:spacing w:after="20" w:line="240" w:lineRule="auto"/>
        <w:ind w:left="259"/>
      </w:pPr>
      <w:r>
        <w:rPr>
          <w:rFonts w:ascii="Consolas" w:hAnsi="Consolas"/>
          <w:sz w:val="15"/>
        </w:rPr>
        <w:t>Restriccion "0..*" --&gt; "1..*" Actividad : restringe</w:t>
      </w:r>
    </w:p>
    <w:p>
      <w:pPr>
        <w:spacing w:after="20" w:line="240" w:lineRule="auto"/>
        <w:ind w:left="259"/>
      </w:pPr>
      <w:r>
        <w:rPr>
          <w:rFonts w:ascii="Consolas" w:hAnsi="Consolas"/>
          <w:sz w:val="15"/>
        </w:rPr>
        <w:t>Riesgo "0..*" --&gt; "1..*" Proceso : amenaza</w:t>
      </w:r>
    </w:p>
    <w:p>
      <w:pPr>
        <w:spacing w:after="20" w:line="240" w:lineRule="auto"/>
        <w:ind w:left="259"/>
      </w:pPr>
      <w:r>
        <w:rPr>
          <w:rFonts w:ascii="Consolas" w:hAnsi="Consolas"/>
          <w:sz w:val="15"/>
        </w:rPr>
        <w:t>Riesgo "0..*" --&gt; "1..*" Actividad : amenaza</w:t>
      </w:r>
    </w:p>
    <w:p>
      <w:pPr>
        <w:spacing w:after="20" w:line="240" w:lineRule="auto"/>
        <w:ind w:left="259"/>
      </w:pPr>
      <w:r>
        <w:rPr>
          <w:rFonts w:ascii="Consolas" w:hAnsi="Consolas"/>
          <w:sz w:val="15"/>
        </w:rPr>
        <w:t>Control "0..*" --&gt; "1..*" Riesgo : trata</w:t>
      </w:r>
    </w:p>
    <w:p>
      <w:pPr>
        <w:spacing w:after="20" w:line="240" w:lineRule="auto"/>
        <w:ind w:left="259"/>
      </w:pPr>
      <w:r>
        <w:rPr>
          <w:rFonts w:ascii="Consolas" w:hAnsi="Consolas"/>
          <w:sz w:val="15"/>
        </w:rPr>
        <w:t>Control "0..*" --&gt; "1..*" Restriccion : verifica</w:t>
      </w:r>
    </w:p>
    <w:p>
      <w:pPr>
        <w:spacing w:after="20" w:line="240" w:lineRule="auto"/>
        <w:ind w:left="259"/>
      </w:pPr>
      <w:r>
        <w:rPr>
          <w:rFonts w:ascii="Consolas" w:hAnsi="Consolas"/>
          <w:sz w:val="15"/>
        </w:rPr>
        <w:t>Agente "1..*" --&gt; "0..*" Control : ejecuta</w:t>
      </w:r>
    </w:p>
    <w:p>
      <w:pPr>
        <w:spacing w:after="20" w:line="240" w:lineRule="auto"/>
        <w:ind w:left="259"/>
      </w:pPr>
      <w:r>
        <w:rPr>
          <w:rFonts w:ascii="Consolas" w:hAnsi="Consolas"/>
          <w:sz w:val="15"/>
        </w:rPr>
        <w:t>Actividad "0..*" --&gt; "0..*" Evidencia : genera</w:t>
      </w:r>
    </w:p>
    <w:p>
      <w:pPr>
        <w:spacing w:after="20" w:line="240" w:lineRule="auto"/>
        <w:ind w:left="259"/>
      </w:pPr>
      <w:r>
        <w:rPr>
          <w:rFonts w:ascii="Consolas" w:hAnsi="Consolas"/>
          <w:sz w:val="15"/>
        </w:rPr>
        <w:t>Evento "0..*" --&gt; "0..*" Observacion : genera</w:t>
      </w:r>
    </w:p>
    <w:p>
      <w:pPr>
        <w:spacing w:after="20" w:line="240" w:lineRule="auto"/>
        <w:ind w:left="259"/>
      </w:pPr>
      <w:r>
        <w:rPr>
          <w:rFonts w:ascii="Consolas" w:hAnsi="Consolas"/>
          <w:sz w:val="15"/>
        </w:rPr>
        <w:t>Observacion "0..*" --&gt; "0..*" Evidencia : soportadaPor</w:t>
      </w:r>
    </w:p>
    <w:p>
      <w:pPr>
        <w:spacing w:after="20" w:line="240" w:lineRule="auto"/>
        <w:ind w:left="259"/>
      </w:pPr>
      <w:r>
        <w:rPr>
          <w:rFonts w:ascii="Consolas" w:hAnsi="Consolas"/>
          <w:sz w:val="15"/>
        </w:rPr>
        <w:t>Documento "0..*" --&gt; "1..*" Proceso : documenta</w:t>
      </w:r>
    </w:p>
    <w:p>
      <w:pPr>
        <w:spacing w:after="20" w:line="240" w:lineRule="auto"/>
        <w:ind w:left="259"/>
      </w:pPr>
      <w:r>
        <w:rPr>
          <w:rFonts w:ascii="Consolas" w:hAnsi="Consolas"/>
          <w:sz w:val="15"/>
        </w:rPr>
        <w:t>Registro "0..*" --&gt; "1" Documento : instanciaDe</w:t>
      </w:r>
    </w:p>
    <w:p>
      <w:pPr>
        <w:spacing w:after="20" w:line="240" w:lineRule="auto"/>
        <w:ind w:left="259"/>
      </w:pPr>
      <w:r>
        <w:rPr>
          <w:rFonts w:ascii="Consolas" w:hAnsi="Consolas"/>
          <w:sz w:val="15"/>
        </w:rPr>
        <w:t>Registro "0..*" --&gt; "1..*" Actividad : registra</w:t>
      </w:r>
    </w:p>
    <w:p>
      <w:pPr>
        <w:spacing w:after="20" w:line="240" w:lineRule="auto"/>
        <w:ind w:left="259"/>
      </w:pPr>
      <w:r>
        <w:rPr>
          <w:rFonts w:ascii="Consolas" w:hAnsi="Consolas"/>
          <w:sz w:val="15"/>
        </w:rPr>
        <w:t>Registro "1" o-- "0..*" Observacion : contiene</w:t>
      </w:r>
    </w:p>
    <w:p>
      <w:pPr>
        <w:spacing w:after="20" w:line="240" w:lineRule="auto"/>
        <w:ind w:left="259"/>
      </w:pPr>
      <w:r>
        <w:rPr>
          <w:rFonts w:ascii="Consolas" w:hAnsi="Consolas"/>
          <w:sz w:val="15"/>
        </w:rPr>
        <w:t>Indicador "0..*" --&gt; "1..*" Proceso : mide</w:t>
      </w:r>
    </w:p>
    <w:p>
      <w:pPr>
        <w:spacing w:after="20" w:line="240" w:lineRule="auto"/>
        <w:ind w:left="259"/>
      </w:pPr>
      <w:r>
        <w:rPr>
          <w:rFonts w:ascii="Consolas" w:hAnsi="Consolas"/>
          <w:sz w:val="15"/>
        </w:rPr>
        <w:t>Indicador "0..*" --&gt; "1..*" Actividad : mide</w:t>
      </w:r>
    </w:p>
    <w:p>
      <w:pPr>
        <w:spacing w:after="20" w:line="240" w:lineRule="auto"/>
        <w:ind w:left="259"/>
      </w:pPr>
      <w:r>
        <w:rPr>
          <w:rFonts w:ascii="Consolas" w:hAnsi="Consolas"/>
          <w:sz w:val="15"/>
        </w:rPr>
        <w:t>Indicador "0..*" --&gt; "0..*" Observacion : usa</w:t>
      </w:r>
    </w:p>
    <w:p>
      <w:pPr>
        <w:spacing w:after="40"/>
      </w:pPr>
    </w:p>
    <w:p>
      <w:r>
        <w:t>Las multiplicidades representan el contrato conceptual, no el número de instancias operacionales de una ejecución concreta.</w:t>
      </w:r>
    </w:p>
    <w:p>
      <w:r>
        <w:br w:type="page"/>
      </w:r>
    </w:p>
    <w:p>
      <w:pPr>
        <w:pStyle w:val="Heading1"/>
        <w:keepNext/>
      </w:pPr>
      <w:r>
        <w:t>Fuente 89: 04_Procesos_gastronomicos/EPIC-002_MetaModelo_Universal/03_Matriz_de_relaciones.md</w:t>
      </w:r>
    </w:p>
    <w:p>
      <w:pPr>
        <w:spacing w:after="200"/>
      </w:pPr>
      <w:r>
        <w:rPr>
          <w:rFonts w:ascii="Consolas" w:hAnsi="Consolas"/>
          <w:color w:val="595959"/>
          <w:sz w:val="16"/>
        </w:rPr>
        <w:t>Ruta: 04_Procesos_gastronomicos/EPIC-002_MetaModelo_Universal/03_Matriz_de_relaciones.md</w:t>
        <w:br/>
        <w:t>Tamaño: 2334 bytes</w:t>
        <w:br/>
        <w:t>SHA-256: 595061bd39a43ac1e81c180752066ef45885df0cc54e8534b15162ec97ebcc30</w:t>
      </w:r>
    </w:p>
    <w:p>
      <w:pPr>
        <w:pStyle w:val="Heading2"/>
      </w:pPr>
      <w:r>
        <w:t>Matriz de relaciones — MetaModelo Universal de Procesos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GOEI-PMM-MAT-0001 |</w:t>
      </w:r>
    </w:p>
    <w:p>
      <w:pPr>
        <w:spacing w:after="20" w:line="240" w:lineRule="auto"/>
      </w:pPr>
      <w:r>
        <w:rPr>
          <w:rFonts w:ascii="Consolas" w:hAnsi="Consolas"/>
          <w:sz w:val="14"/>
        </w:rPr>
        <w:t>| Versión | 0.1.0-draft |</w:t>
      </w:r>
    </w:p>
    <w:p>
      <w:pPr>
        <w:spacing w:after="40"/>
      </w:pPr>
    </w:p>
    <w:p>
      <w:pPr>
        <w:spacing w:after="20" w:line="240" w:lineRule="auto"/>
      </w:pPr>
      <w:r>
        <w:rPr>
          <w:rFonts w:ascii="Consolas" w:hAnsi="Consolas"/>
          <w:sz w:val="14"/>
        </w:rPr>
        <w:t>| Sujeto | Relación | Objeto | Cardinalidad sujeto→objeto | Obligatoria | Inversa |</w:t>
      </w:r>
    </w:p>
    <w:p>
      <w:pPr>
        <w:spacing w:after="20" w:line="240" w:lineRule="auto"/>
      </w:pPr>
      <w:r>
        <w:rPr>
          <w:rFonts w:ascii="Consolas" w:hAnsi="Consolas"/>
          <w:sz w:val="14"/>
        </w:rPr>
        <w:t>|---|---|---|---|---|---|</w:t>
      </w:r>
    </w:p>
    <w:p>
      <w:pPr>
        <w:spacing w:after="20" w:line="240" w:lineRule="auto"/>
      </w:pPr>
      <w:r>
        <w:rPr>
          <w:rFonts w:ascii="Consolas" w:hAnsi="Consolas"/>
          <w:sz w:val="14"/>
        </w:rPr>
        <w:t>| Proceso | contiene | Actividad | 1..* | Sí | parte_de |</w:t>
      </w:r>
    </w:p>
    <w:p>
      <w:pPr>
        <w:spacing w:after="20" w:line="240" w:lineRule="auto"/>
      </w:pPr>
      <w:r>
        <w:rPr>
          <w:rFonts w:ascii="Consolas" w:hAnsi="Consolas"/>
          <w:sz w:val="14"/>
        </w:rPr>
        <w:t>| Proceso/Subproceso | contiene | Subproceso | 0..* | No | parte_de |</w:t>
      </w:r>
    </w:p>
    <w:p>
      <w:pPr>
        <w:spacing w:after="20" w:line="240" w:lineRule="auto"/>
      </w:pPr>
      <w:r>
        <w:rPr>
          <w:rFonts w:ascii="Consolas" w:hAnsi="Consolas"/>
          <w:sz w:val="14"/>
        </w:rPr>
        <w:t>| Subproceso | parte_de | Proceso/Subproceso | 1 | Sí | contiene |</w:t>
      </w:r>
    </w:p>
    <w:p>
      <w:pPr>
        <w:spacing w:after="20" w:line="240" w:lineRule="auto"/>
      </w:pPr>
      <w:r>
        <w:rPr>
          <w:rFonts w:ascii="Consolas" w:hAnsi="Consolas"/>
          <w:sz w:val="14"/>
        </w:rPr>
        <w:t>| Actividad | parte_de | Proceso/Subproceso | 1..* | Sí | contiene |</w:t>
      </w:r>
    </w:p>
    <w:p>
      <w:pPr>
        <w:spacing w:after="20" w:line="240" w:lineRule="auto"/>
      </w:pPr>
      <w:r>
        <w:rPr>
          <w:rFonts w:ascii="Consolas" w:hAnsi="Consolas"/>
          <w:sz w:val="14"/>
        </w:rPr>
        <w:t>| Actividad/Evento | precede | Actividad/Evento | 0..* | No | sigue_a |</w:t>
      </w:r>
    </w:p>
    <w:p>
      <w:pPr>
        <w:spacing w:after="20" w:line="240" w:lineRule="auto"/>
      </w:pPr>
      <w:r>
        <w:rPr>
          <w:rFonts w:ascii="Consolas" w:hAnsi="Consolas"/>
          <w:sz w:val="14"/>
        </w:rPr>
        <w:t>| Evento | dispara | Proceso/Actividad/Control | 0..* | No | disparado_por |</w:t>
      </w:r>
    </w:p>
    <w:p>
      <w:pPr>
        <w:spacing w:after="20" w:line="240" w:lineRule="auto"/>
      </w:pPr>
      <w:r>
        <w:rPr>
          <w:rFonts w:ascii="Consolas" w:hAnsi="Consolas"/>
          <w:sz w:val="14"/>
        </w:rPr>
        <w:t>| Evento | interrumpe/finaliza | Proceso/Actividad | 0..* | No | interrumpido/finalizado_por |</w:t>
      </w:r>
    </w:p>
    <w:p>
      <w:pPr>
        <w:spacing w:after="20" w:line="240" w:lineRule="auto"/>
      </w:pPr>
      <w:r>
        <w:rPr>
          <w:rFonts w:ascii="Consolas" w:hAnsi="Consolas"/>
          <w:sz w:val="14"/>
        </w:rPr>
        <w:t>| Proceso/Actividad | recibe | Entrada | 0..* | No | entrada_de |</w:t>
      </w:r>
    </w:p>
    <w:p>
      <w:pPr>
        <w:spacing w:after="20" w:line="240" w:lineRule="auto"/>
      </w:pPr>
      <w:r>
        <w:rPr>
          <w:rFonts w:ascii="Consolas" w:hAnsi="Consolas"/>
          <w:sz w:val="14"/>
        </w:rPr>
        <w:t>| Proceso/Actividad/Evento | produce | Salida | 0..* | No | salida_de |</w:t>
      </w:r>
    </w:p>
    <w:p>
      <w:pPr>
        <w:spacing w:after="20" w:line="240" w:lineRule="auto"/>
      </w:pPr>
      <w:r>
        <w:rPr>
          <w:rFonts w:ascii="Consolas" w:hAnsi="Consolas"/>
          <w:sz w:val="14"/>
        </w:rPr>
        <w:t>| Salida | alimenta | Entrada | 0..* | No | proviene_de |</w:t>
      </w:r>
    </w:p>
    <w:p>
      <w:pPr>
        <w:spacing w:after="20" w:line="240" w:lineRule="auto"/>
      </w:pPr>
      <w:r>
        <w:rPr>
          <w:rFonts w:ascii="Consolas" w:hAnsi="Consolas"/>
          <w:sz w:val="14"/>
        </w:rPr>
        <w:t>| Proceso/Actividad/Evento | usa | Recurso | 0..* | No | usado_por |</w:t>
      </w:r>
    </w:p>
    <w:p>
      <w:pPr>
        <w:spacing w:after="20" w:line="240" w:lineRule="auto"/>
      </w:pPr>
      <w:r>
        <w:rPr>
          <w:rFonts w:ascii="Consolas" w:hAnsi="Consolas"/>
          <w:sz w:val="14"/>
        </w:rPr>
        <w:t>| Proceso/Actividad/Evento | consume | Recurso | 0..* | No | consumido_por |</w:t>
      </w:r>
    </w:p>
    <w:p>
      <w:pPr>
        <w:spacing w:after="20" w:line="240" w:lineRule="auto"/>
      </w:pPr>
      <w:r>
        <w:rPr>
          <w:rFonts w:ascii="Consolas" w:hAnsi="Consolas"/>
          <w:sz w:val="14"/>
        </w:rPr>
        <w:t>| Agente | ejecuta | Proceso/Actividad/Evento/Control | 0..* | No | ejecutado_por |</w:t>
      </w:r>
    </w:p>
    <w:p>
      <w:pPr>
        <w:spacing w:after="20" w:line="240" w:lineRule="auto"/>
      </w:pPr>
      <w:r>
        <w:rPr>
          <w:rFonts w:ascii="Consolas" w:hAnsi="Consolas"/>
          <w:sz w:val="14"/>
        </w:rPr>
        <w:t>| Restricción | restringe | cualquier elemento de proceso | 1..* | Sí | sujeto_a |</w:t>
      </w:r>
    </w:p>
    <w:p>
      <w:pPr>
        <w:spacing w:after="20" w:line="240" w:lineRule="auto"/>
      </w:pPr>
      <w:r>
        <w:rPr>
          <w:rFonts w:ascii="Consolas" w:hAnsi="Consolas"/>
          <w:sz w:val="14"/>
        </w:rPr>
        <w:t>| Riesgo | amenaza | Proceso/Actividad/Recurso/Salida | 1..* | Sí | amenazado_por |</w:t>
      </w:r>
    </w:p>
    <w:p>
      <w:pPr>
        <w:spacing w:after="20" w:line="240" w:lineRule="auto"/>
      </w:pPr>
      <w:r>
        <w:rPr>
          <w:rFonts w:ascii="Consolas" w:hAnsi="Consolas"/>
          <w:sz w:val="14"/>
        </w:rPr>
        <w:t>| Control | trata | Riesgo | 1..* | Condicional | tratado_por |</w:t>
      </w:r>
    </w:p>
    <w:p>
      <w:pPr>
        <w:spacing w:after="20" w:line="240" w:lineRule="auto"/>
      </w:pPr>
      <w:r>
        <w:rPr>
          <w:rFonts w:ascii="Consolas" w:hAnsi="Consolas"/>
          <w:sz w:val="14"/>
        </w:rPr>
        <w:t>| Control | verifica | Restricción | 0..* | No | verificada_por |</w:t>
      </w:r>
    </w:p>
    <w:p>
      <w:pPr>
        <w:spacing w:after="20" w:line="240" w:lineRule="auto"/>
      </w:pPr>
      <w:r>
        <w:rPr>
          <w:rFonts w:ascii="Consolas" w:hAnsi="Consolas"/>
          <w:sz w:val="14"/>
        </w:rPr>
        <w:t>| Actividad/Evento/Control | genera | Evidencia/Observación/Registro | 0..* | No | generado_por |</w:t>
      </w:r>
    </w:p>
    <w:p>
      <w:pPr>
        <w:spacing w:after="20" w:line="240" w:lineRule="auto"/>
      </w:pPr>
      <w:r>
        <w:rPr>
          <w:rFonts w:ascii="Consolas" w:hAnsi="Consolas"/>
          <w:sz w:val="14"/>
        </w:rPr>
        <w:t>| Observación | soportada_por | Evidencia | 0..* | No | sustenta |</w:t>
      </w:r>
    </w:p>
    <w:p>
      <w:pPr>
        <w:spacing w:after="20" w:line="240" w:lineRule="auto"/>
      </w:pPr>
      <w:r>
        <w:rPr>
          <w:rFonts w:ascii="Consolas" w:hAnsi="Consolas"/>
          <w:sz w:val="14"/>
        </w:rPr>
        <w:t>| Observación | registrada_en | Registro | 0..* | No | contiene |</w:t>
      </w:r>
    </w:p>
    <w:p>
      <w:pPr>
        <w:spacing w:after="20" w:line="240" w:lineRule="auto"/>
      </w:pPr>
      <w:r>
        <w:rPr>
          <w:rFonts w:ascii="Consolas" w:hAnsi="Consolas"/>
          <w:sz w:val="14"/>
        </w:rPr>
        <w:t>| Documento | documenta | Proceso/Actividad/Control/Restricción | 1..* | Sí | documentado_en |</w:t>
      </w:r>
    </w:p>
    <w:p>
      <w:pPr>
        <w:spacing w:after="20" w:line="240" w:lineRule="auto"/>
      </w:pPr>
      <w:r>
        <w:rPr>
          <w:rFonts w:ascii="Consolas" w:hAnsi="Consolas"/>
          <w:sz w:val="14"/>
        </w:rPr>
        <w:t>| Registro | instancia_de | Documento/Formulario | 1 | Sí | tiene_instancia |</w:t>
      </w:r>
    </w:p>
    <w:p>
      <w:pPr>
        <w:spacing w:after="20" w:line="240" w:lineRule="auto"/>
      </w:pPr>
      <w:r>
        <w:rPr>
          <w:rFonts w:ascii="Consolas" w:hAnsi="Consolas"/>
          <w:sz w:val="14"/>
        </w:rPr>
        <w:t>| Indicador | mide | Proceso/Actividad/Salida/Control/Riesgo | 1..* | Sí | medido_por |</w:t>
      </w:r>
    </w:p>
    <w:p>
      <w:pPr>
        <w:spacing w:after="20" w:line="240" w:lineRule="auto"/>
      </w:pPr>
      <w:r>
        <w:rPr>
          <w:rFonts w:ascii="Consolas" w:hAnsi="Consolas"/>
          <w:sz w:val="14"/>
        </w:rPr>
        <w:t>| Indicador | usa | Observación/Registro | 1..* | Sí cuando esté operacionalizado | usado_por |</w:t>
      </w:r>
    </w:p>
    <w:p>
      <w:pPr>
        <w:spacing w:after="40"/>
      </w:pPr>
    </w:p>
    <w:p>
      <w:pPr>
        <w:pStyle w:val="Heading3"/>
      </w:pPr>
      <w:r>
        <w:t>Compatibilidad de roles Entrada/Salida</w:t>
      </w:r>
    </w:p>
    <w:p>
      <w:pPr>
        <w:spacing w:after="40"/>
      </w:pPr>
    </w:p>
    <w:p>
      <w:r>
        <w:t>Entrada y Salida son roles que pueden ser desempeñados por Recurso, Documento, Registro, Evidencia u otro objeto aprobado. El metamodelo no duplica la identidad subyacente.</w:t>
      </w:r>
    </w:p>
    <w:p>
      <w:r>
        <w:br w:type="page"/>
      </w:r>
    </w:p>
    <w:p>
      <w:pPr>
        <w:pStyle w:val="Heading1"/>
        <w:keepNext/>
      </w:pPr>
      <w:r>
        <w:t>Fuente 90: 04_Procesos_gastronomicos/EPIC-002_MetaModelo_Universal/04_Reglas_de_integridad.md</w:t>
      </w:r>
    </w:p>
    <w:p>
      <w:pPr>
        <w:spacing w:after="200"/>
      </w:pPr>
      <w:r>
        <w:rPr>
          <w:rFonts w:ascii="Consolas" w:hAnsi="Consolas"/>
          <w:color w:val="595959"/>
          <w:sz w:val="16"/>
        </w:rPr>
        <w:t>Ruta: 04_Procesos_gastronomicos/EPIC-002_MetaModelo_Universal/04_Reglas_de_integridad.md</w:t>
        <w:br/>
        <w:t>Tamaño: 2899 bytes</w:t>
        <w:br/>
        <w:t>SHA-256: 7855eed3e3bb790e6e16af100035988a687c7e9dfb95daead725634fa757901d</w:t>
      </w:r>
    </w:p>
    <w:p>
      <w:pPr>
        <w:pStyle w:val="Heading2"/>
      </w:pPr>
      <w:r>
        <w:t>Reglas de integridad — MetaModelo Universal de Procesos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GOEI-PMM-INT-0001 |</w:t>
      </w:r>
    </w:p>
    <w:p>
      <w:pPr>
        <w:spacing w:after="20" w:line="240" w:lineRule="auto"/>
      </w:pPr>
      <w:r>
        <w:rPr>
          <w:rFonts w:ascii="Consolas" w:hAnsi="Consolas"/>
          <w:sz w:val="14"/>
        </w:rPr>
        <w:t>| Versión | 0.1.0-draft |</w:t>
      </w:r>
    </w:p>
    <w:p>
      <w:pPr>
        <w:spacing w:after="40"/>
      </w:pPr>
    </w:p>
    <w:p>
      <w:pPr>
        <w:spacing w:after="20" w:line="240" w:lineRule="auto"/>
      </w:pPr>
      <w:r>
        <w:rPr>
          <w:rFonts w:ascii="Consolas" w:hAnsi="Consolas"/>
          <w:sz w:val="14"/>
        </w:rPr>
        <w:t>| ID | Regla |</w:t>
      </w:r>
    </w:p>
    <w:p>
      <w:pPr>
        <w:spacing w:after="20" w:line="240" w:lineRule="auto"/>
      </w:pPr>
      <w:r>
        <w:rPr>
          <w:rFonts w:ascii="Consolas" w:hAnsi="Consolas"/>
          <w:sz w:val="14"/>
        </w:rPr>
        <w:t>|---|---|</w:t>
      </w:r>
    </w:p>
    <w:p>
      <w:pPr>
        <w:spacing w:after="20" w:line="240" w:lineRule="auto"/>
      </w:pPr>
      <w:r>
        <w:rPr>
          <w:rFonts w:ascii="Consolas" w:hAnsi="Consolas"/>
          <w:sz w:val="14"/>
        </w:rPr>
        <w:t>| PMM-INT-001 | Todo elemento tiene ID, clase, estado y versión del metamodelo. |</w:t>
      </w:r>
    </w:p>
    <w:p>
      <w:pPr>
        <w:spacing w:after="20" w:line="240" w:lineRule="auto"/>
      </w:pPr>
      <w:r>
        <w:rPr>
          <w:rFonts w:ascii="Consolas" w:hAnsi="Consolas"/>
          <w:sz w:val="14"/>
        </w:rPr>
        <w:t>| PMM-INT-002 | Proceso, Subproceso y Actividad type no se confunden con sus ejecuciones token. |</w:t>
      </w:r>
    </w:p>
    <w:p>
      <w:pPr>
        <w:spacing w:after="20" w:line="240" w:lineRule="auto"/>
      </w:pPr>
      <w:r>
        <w:rPr>
          <w:rFonts w:ascii="Consolas" w:hAnsi="Consolas"/>
          <w:sz w:val="14"/>
        </w:rPr>
        <w:t>| PMM-INT-003 | Todo Proceso contiene al menos una Actividad directa o mediante Subproceso. |</w:t>
      </w:r>
    </w:p>
    <w:p>
      <w:pPr>
        <w:spacing w:after="20" w:line="240" w:lineRule="auto"/>
      </w:pPr>
      <w:r>
        <w:rPr>
          <w:rFonts w:ascii="Consolas" w:hAnsi="Consolas"/>
          <w:sz w:val="14"/>
        </w:rPr>
        <w:t>| PMM-INT-004 | Todo Subproceso tiene exactamente un padre por contexto de composición. |</w:t>
      </w:r>
    </w:p>
    <w:p>
      <w:pPr>
        <w:spacing w:after="20" w:line="240" w:lineRule="auto"/>
      </w:pPr>
      <w:r>
        <w:rPr>
          <w:rFonts w:ascii="Consolas" w:hAnsi="Consolas"/>
          <w:sz w:val="14"/>
        </w:rPr>
        <w:t>| PMM-INT-005 | Las jerarquías `parte_de` son acíclicas. |</w:t>
      </w:r>
    </w:p>
    <w:p>
      <w:pPr>
        <w:spacing w:after="20" w:line="240" w:lineRule="auto"/>
      </w:pPr>
      <w:r>
        <w:rPr>
          <w:rFonts w:ascii="Consolas" w:hAnsi="Consolas"/>
          <w:sz w:val="14"/>
        </w:rPr>
        <w:t>| PMM-INT-006 | La relación `precede` forma un orden dirigido; ciclos solo se representan mediante constructo de repetición explícito, no ciclo accidental. |</w:t>
      </w:r>
    </w:p>
    <w:p>
      <w:pPr>
        <w:spacing w:after="20" w:line="240" w:lineRule="auto"/>
      </w:pPr>
      <w:r>
        <w:rPr>
          <w:rFonts w:ascii="Consolas" w:hAnsi="Consolas"/>
          <w:sz w:val="14"/>
        </w:rPr>
        <w:t>| PMM-INT-007 | Una Actividad interna no queda aislada: tiene conexión de entrada/salida o evento habilitante/terminador. |</w:t>
      </w:r>
    </w:p>
    <w:p>
      <w:pPr>
        <w:spacing w:after="20" w:line="240" w:lineRule="auto"/>
      </w:pPr>
      <w:r>
        <w:rPr>
          <w:rFonts w:ascii="Consolas" w:hAnsi="Consolas"/>
          <w:sz w:val="14"/>
        </w:rPr>
        <w:t>| PMM-INT-008 | Entrada y Salida declaran la entidad subyacente cuyo rol desempeñan. |</w:t>
      </w:r>
    </w:p>
    <w:p>
      <w:pPr>
        <w:spacing w:after="20" w:line="240" w:lineRule="auto"/>
      </w:pPr>
      <w:r>
        <w:rPr>
          <w:rFonts w:ascii="Consolas" w:hAnsi="Consolas"/>
          <w:sz w:val="14"/>
        </w:rPr>
        <w:t>| PMM-INT-009 | Toda Salida usada como Entrada conserva trazabilidad al productor. |</w:t>
      </w:r>
    </w:p>
    <w:p>
      <w:pPr>
        <w:spacing w:after="20" w:line="240" w:lineRule="auto"/>
      </w:pPr>
      <w:r>
        <w:rPr>
          <w:rFonts w:ascii="Consolas" w:hAnsi="Consolas"/>
          <w:sz w:val="14"/>
        </w:rPr>
        <w:t>| PMM-INT-010 | Todo Evento token tiene periodo y pertenece a al menos una ejecución de proceso. |</w:t>
      </w:r>
    </w:p>
    <w:p>
      <w:pPr>
        <w:spacing w:after="20" w:line="240" w:lineRule="auto"/>
      </w:pPr>
      <w:r>
        <w:rPr>
          <w:rFonts w:ascii="Consolas" w:hAnsi="Consolas"/>
          <w:sz w:val="14"/>
        </w:rPr>
        <w:t>| PMM-INT-011 | Todo uso/consumo/producción de Recurso distingue el verbo; no son sinónimos. |</w:t>
      </w:r>
    </w:p>
    <w:p>
      <w:pPr>
        <w:spacing w:after="20" w:line="240" w:lineRule="auto"/>
      </w:pPr>
      <w:r>
        <w:rPr>
          <w:rFonts w:ascii="Consolas" w:hAnsi="Consolas"/>
          <w:sz w:val="14"/>
        </w:rPr>
        <w:t>| PMM-INT-012 | La Persona y su capacidad como Recurso no se fusionan, conforme AX-13. |</w:t>
      </w:r>
    </w:p>
    <w:p>
      <w:pPr>
        <w:spacing w:after="20" w:line="240" w:lineRule="auto"/>
      </w:pPr>
      <w:r>
        <w:rPr>
          <w:rFonts w:ascii="Consolas" w:hAnsi="Consolas"/>
          <w:sz w:val="14"/>
        </w:rPr>
        <w:t>| PMM-INT-013 | Toda Observación cumple AX-11: entidad, proceso, evento y periodo. |</w:t>
      </w:r>
    </w:p>
    <w:p>
      <w:pPr>
        <w:spacing w:after="20" w:line="240" w:lineRule="auto"/>
      </w:pPr>
      <w:r>
        <w:rPr>
          <w:rFonts w:ascii="Consolas" w:hAnsi="Consolas"/>
          <w:sz w:val="14"/>
        </w:rPr>
        <w:t>| PMM-INT-014 | Todo Registro cerrado es inmutable; correcciones generan una revisión enlazada. |</w:t>
      </w:r>
    </w:p>
    <w:p>
      <w:pPr>
        <w:spacing w:after="20" w:line="240" w:lineRule="auto"/>
      </w:pPr>
      <w:r>
        <w:rPr>
          <w:rFonts w:ascii="Consolas" w:hAnsi="Consolas"/>
          <w:sz w:val="14"/>
        </w:rPr>
        <w:t>| PMM-INT-015 | Toda Restricción normativa enlaza decisión o fuente de autoridad. |</w:t>
      </w:r>
    </w:p>
    <w:p>
      <w:pPr>
        <w:spacing w:after="20" w:line="240" w:lineRule="auto"/>
      </w:pPr>
      <w:r>
        <w:rPr>
          <w:rFonts w:ascii="Consolas" w:hAnsi="Consolas"/>
          <w:sz w:val="14"/>
        </w:rPr>
        <w:t>| PMM-INT-016 | Todo Control tiene al menos un objetivo: Riesgo, Restricción o elemento controlado. |</w:t>
      </w:r>
    </w:p>
    <w:p>
      <w:pPr>
        <w:spacing w:after="20" w:line="240" w:lineRule="auto"/>
      </w:pPr>
      <w:r>
        <w:rPr>
          <w:rFonts w:ascii="Consolas" w:hAnsi="Consolas"/>
          <w:sz w:val="14"/>
        </w:rPr>
        <w:t>| PMM-INT-017 | `trata` no implica eficacia; la eficacia exige evidencia o validación explícita. |</w:t>
      </w:r>
    </w:p>
    <w:p>
      <w:pPr>
        <w:spacing w:after="20" w:line="240" w:lineRule="auto"/>
      </w:pPr>
      <w:r>
        <w:rPr>
          <w:rFonts w:ascii="Consolas" w:hAnsi="Consolas"/>
          <w:sz w:val="14"/>
        </w:rPr>
        <w:t>| PMM-INT-018 | Todo Riesgo tiene al menos un objeto amenazado; no se exige cuantificación. |</w:t>
      </w:r>
    </w:p>
    <w:p>
      <w:pPr>
        <w:spacing w:after="20" w:line="240" w:lineRule="auto"/>
      </w:pPr>
      <w:r>
        <w:rPr>
          <w:rFonts w:ascii="Consolas" w:hAnsi="Consolas"/>
          <w:sz w:val="14"/>
        </w:rPr>
        <w:t>| PMM-INT-019 | Todo Documento/Registro conserva separación type/token y versión fuente. |</w:t>
      </w:r>
    </w:p>
    <w:p>
      <w:pPr>
        <w:spacing w:after="20" w:line="240" w:lineRule="auto"/>
      </w:pPr>
      <w:r>
        <w:rPr>
          <w:rFonts w:ascii="Consolas" w:hAnsi="Consolas"/>
          <w:sz w:val="14"/>
        </w:rPr>
        <w:t>| PMM-INT-020 | Todo Indicador tiene objeto medido, pero no puede contener fórmula, umbral o KPI no aprobado. |</w:t>
      </w:r>
    </w:p>
    <w:p>
      <w:pPr>
        <w:spacing w:after="20" w:line="240" w:lineRule="auto"/>
      </w:pPr>
      <w:r>
        <w:rPr>
          <w:rFonts w:ascii="Consolas" w:hAnsi="Consolas"/>
          <w:sz w:val="14"/>
        </w:rPr>
        <w:t>| PMM-INT-021 | Ningún modelo de proceso puede modificar entidades importadas de GOEI-BSL-ONT-0001. |</w:t>
      </w:r>
    </w:p>
    <w:p>
      <w:pPr>
        <w:spacing w:after="20" w:line="240" w:lineRule="auto"/>
      </w:pPr>
      <w:r>
        <w:rPr>
          <w:rFonts w:ascii="Consolas" w:hAnsi="Consolas"/>
          <w:sz w:val="14"/>
        </w:rPr>
        <w:t>| PMM-INT-022 | Cambiar el metamodelo o sus mapeos requiere Issue formal y nueva versión. |</w:t>
      </w:r>
    </w:p>
    <w:p>
      <w:pPr>
        <w:spacing w:after="20" w:line="240" w:lineRule="auto"/>
      </w:pPr>
      <w:r>
        <w:rPr>
          <w:rFonts w:ascii="Consolas" w:hAnsi="Consolas"/>
          <w:sz w:val="14"/>
        </w:rPr>
        <w:t>| PMM-INT-023 | Las cardinalidades se validan en la versión publicada del modelo, no por apariencia del diagrama. |</w:t>
      </w:r>
    </w:p>
    <w:p>
      <w:pPr>
        <w:spacing w:after="20" w:line="240" w:lineRule="auto"/>
      </w:pPr>
      <w:r>
        <w:rPr>
          <w:rFonts w:ascii="Consolas" w:hAnsi="Consolas"/>
          <w:sz w:val="14"/>
        </w:rPr>
        <w:t>| PMM-INT-024 | Toda inferencia derivada de BPMN/ArchiMate declara el mapeo que la produjo. |</w:t>
      </w:r>
    </w:p>
    <w:p>
      <w:pPr>
        <w:spacing w:after="40"/>
      </w:pPr>
    </w:p>
    <w:p>
      <w:pPr>
        <w:pStyle w:val="Heading3"/>
      </w:pPr>
      <w:r>
        <w:t>Niveles de conformidad</w:t>
      </w:r>
    </w:p>
    <w:p>
      <w:pPr>
        <w:spacing w:after="40"/>
      </w:pPr>
    </w:p>
    <w:p>
      <w:pPr>
        <w:pStyle w:val="ListBullet"/>
      </w:pPr>
      <w:r>
        <w:t>Estructural: clases, relaciones y cardinalidades válidas.</w:t>
      </w:r>
    </w:p>
    <w:p>
      <w:pPr>
        <w:pStyle w:val="ListBullet"/>
      </w:pPr>
      <w:r>
        <w:t>Semántica: significados, type/token y roles correctos.</w:t>
      </w:r>
    </w:p>
    <w:p>
      <w:pPr>
        <w:pStyle w:val="ListBullet"/>
      </w:pPr>
      <w:r>
        <w:t>Trazabilidad: versiones, procedencia y decisiones enlazadas.</w:t>
      </w:r>
    </w:p>
    <w:p>
      <w:pPr>
        <w:pStyle w:val="ListBullet"/>
      </w:pPr>
      <w:r>
        <w:t>Intercambio: serialización conforme a esquema futuro.</w:t>
      </w:r>
    </w:p>
    <w:p>
      <w:pPr>
        <w:spacing w:after="40"/>
      </w:pPr>
    </w:p>
    <w:p>
      <w:r>
        <w:t>Un modelo no se declara conforme si falla cualquiera de los niveles aplicables.</w:t>
      </w:r>
    </w:p>
    <w:p>
      <w:r>
        <w:br w:type="page"/>
      </w:r>
    </w:p>
    <w:p>
      <w:pPr>
        <w:pStyle w:val="Heading1"/>
        <w:keepNext/>
      </w:pPr>
      <w:r>
        <w:t>Fuente 91: 04_Procesos_gastronomicos/EPIC-002_MetaModelo_Universal/05_Compatibilidad_BPMN.md</w:t>
      </w:r>
    </w:p>
    <w:p>
      <w:pPr>
        <w:spacing w:after="200"/>
      </w:pPr>
      <w:r>
        <w:rPr>
          <w:rFonts w:ascii="Consolas" w:hAnsi="Consolas"/>
          <w:color w:val="595959"/>
          <w:sz w:val="16"/>
        </w:rPr>
        <w:t>Ruta: 04_Procesos_gastronomicos/EPIC-002_MetaModelo_Universal/05_Compatibilidad_BPMN.md</w:t>
        <w:br/>
        <w:t>Tamaño: 2898 bytes</w:t>
        <w:br/>
        <w:t>SHA-256: 79a3da7a71ba100182fa541c4e9a73ec70d0fb2be1652bab556de1fb3027c8c0</w:t>
      </w:r>
    </w:p>
    <w:p>
      <w:pPr>
        <w:pStyle w:val="Heading2"/>
      </w:pPr>
      <w:r>
        <w:t>Compatibilidad con BPMN</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GOEI-PMM-BPMN-0001 |</w:t>
      </w:r>
    </w:p>
    <w:p>
      <w:pPr>
        <w:spacing w:after="20" w:line="240" w:lineRule="auto"/>
      </w:pPr>
      <w:r>
        <w:rPr>
          <w:rFonts w:ascii="Consolas" w:hAnsi="Consolas"/>
          <w:sz w:val="14"/>
        </w:rPr>
        <w:t>| Versión | 0.1.0-draft |</w:t>
      </w:r>
    </w:p>
    <w:p>
      <w:pPr>
        <w:spacing w:after="20" w:line="240" w:lineRule="auto"/>
      </w:pPr>
      <w:r>
        <w:rPr>
          <w:rFonts w:ascii="Consolas" w:hAnsi="Consolas"/>
          <w:sz w:val="14"/>
        </w:rPr>
        <w:t>| Alcance | Mapeo conceptual; no adopción normativa de una edición BPMN |</w:t>
      </w:r>
    </w:p>
    <w:p>
      <w:pPr>
        <w:spacing w:after="40"/>
      </w:pPr>
    </w:p>
    <w:p>
      <w:pPr>
        <w:pStyle w:val="Heading3"/>
      </w:pPr>
      <w:r>
        <w:t>1. Principio</w:t>
      </w:r>
    </w:p>
    <w:p>
      <w:pPr>
        <w:spacing w:after="40"/>
      </w:pPr>
    </w:p>
    <w:p>
      <w:r>
        <w:t>BPMN es una notación de procesos; el MetaModelo GOEI es la semántica canónica. Una representación BPMN es una vista y debe conservar IDs GOEI en extensiones o metadatos.</w:t>
      </w:r>
    </w:p>
    <w:p>
      <w:pPr>
        <w:spacing w:after="40"/>
      </w:pPr>
    </w:p>
    <w:p>
      <w:pPr>
        <w:spacing w:after="20" w:line="240" w:lineRule="auto"/>
      </w:pPr>
      <w:r>
        <w:rPr>
          <w:rFonts w:ascii="Consolas" w:hAnsi="Consolas"/>
          <w:sz w:val="14"/>
        </w:rPr>
        <w:t>| GOEI PMM | BPMN candidato | Calidad del mapeo | Observación |</w:t>
      </w:r>
    </w:p>
    <w:p>
      <w:pPr>
        <w:spacing w:after="20" w:line="240" w:lineRule="auto"/>
      </w:pPr>
      <w:r>
        <w:rPr>
          <w:rFonts w:ascii="Consolas" w:hAnsi="Consolas"/>
          <w:sz w:val="14"/>
        </w:rPr>
        <w:t>|---|---|---|---|</w:t>
      </w:r>
    </w:p>
    <w:p>
      <w:pPr>
        <w:spacing w:after="20" w:line="240" w:lineRule="auto"/>
      </w:pPr>
      <w:r>
        <w:rPr>
          <w:rFonts w:ascii="Consolas" w:hAnsi="Consolas"/>
          <w:sz w:val="14"/>
        </w:rPr>
        <w:t>| Proceso | Process | directa | distinguir definición de instancia |</w:t>
      </w:r>
    </w:p>
    <w:p>
      <w:pPr>
        <w:spacing w:after="20" w:line="240" w:lineRule="auto"/>
      </w:pPr>
      <w:r>
        <w:rPr>
          <w:rFonts w:ascii="Consolas" w:hAnsi="Consolas"/>
          <w:sz w:val="14"/>
        </w:rPr>
        <w:t>| Subproceso | Sub-Process / Call Activity | contextual | Call Activity favorece reutilización |</w:t>
      </w:r>
    </w:p>
    <w:p>
      <w:pPr>
        <w:spacing w:after="20" w:line="240" w:lineRule="auto"/>
      </w:pPr>
      <w:r>
        <w:rPr>
          <w:rFonts w:ascii="Consolas" w:hAnsi="Consolas"/>
          <w:sz w:val="14"/>
        </w:rPr>
        <w:t>| Actividad | Task / Activity | directa | tipo específico de Task es perfil de presentación |</w:t>
      </w:r>
    </w:p>
    <w:p>
      <w:pPr>
        <w:spacing w:after="20" w:line="240" w:lineRule="auto"/>
      </w:pPr>
      <w:r>
        <w:rPr>
          <w:rFonts w:ascii="Consolas" w:hAnsi="Consolas"/>
          <w:sz w:val="14"/>
        </w:rPr>
        <w:t>| Evento | Start, Intermediate, End Event | directa con especialización | trigger y posición se conservan |</w:t>
      </w:r>
    </w:p>
    <w:p>
      <w:pPr>
        <w:spacing w:after="20" w:line="240" w:lineRule="auto"/>
      </w:pPr>
      <w:r>
        <w:rPr>
          <w:rFonts w:ascii="Consolas" w:hAnsi="Consolas"/>
          <w:sz w:val="14"/>
        </w:rPr>
        <w:t>| Entrada/Salida | Data Input, Data Output, Data Object | parcial | GOEI modela rol y entidad subyacente |</w:t>
      </w:r>
    </w:p>
    <w:p>
      <w:pPr>
        <w:spacing w:after="20" w:line="240" w:lineRule="auto"/>
      </w:pPr>
      <w:r>
        <w:rPr>
          <w:rFonts w:ascii="Consolas" w:hAnsi="Consolas"/>
          <w:sz w:val="14"/>
        </w:rPr>
        <w:t>| Recurso | ResourceRole/Resource | parcial | BPMN no cubre toda semántica D-006 |</w:t>
      </w:r>
    </w:p>
    <w:p>
      <w:pPr>
        <w:spacing w:after="20" w:line="240" w:lineRule="auto"/>
      </w:pPr>
      <w:r>
        <w:rPr>
          <w:rFonts w:ascii="Consolas" w:hAnsi="Consolas"/>
          <w:sz w:val="14"/>
        </w:rPr>
        <w:t>| Agente | Participant, Lane, ResourceRole | parcial | Pool/Lane no equivale automáticamente a persona/organización |</w:t>
      </w:r>
    </w:p>
    <w:p>
      <w:pPr>
        <w:spacing w:after="20" w:line="240" w:lineRule="auto"/>
      </w:pPr>
      <w:r>
        <w:rPr>
          <w:rFonts w:ascii="Consolas" w:hAnsi="Consolas"/>
          <w:sz w:val="14"/>
        </w:rPr>
        <w:t>| Restricción | TextAnnotation/extension/formalExpression | débil | requiere extensión GOEI, no solo texto |</w:t>
      </w:r>
    </w:p>
    <w:p>
      <w:pPr>
        <w:spacing w:after="20" w:line="240" w:lineRule="auto"/>
      </w:pPr>
      <w:r>
        <w:rPr>
          <w:rFonts w:ascii="Consolas" w:hAnsi="Consolas"/>
          <w:sz w:val="14"/>
        </w:rPr>
        <w:t>| Evidencia | DataObject/Artifact | parcial | procedencia e integridad requieren extensión |</w:t>
      </w:r>
    </w:p>
    <w:p>
      <w:pPr>
        <w:spacing w:after="20" w:line="240" w:lineRule="auto"/>
      </w:pPr>
      <w:r>
        <w:rPr>
          <w:rFonts w:ascii="Consolas" w:hAnsi="Consolas"/>
          <w:sz w:val="14"/>
        </w:rPr>
        <w:t>| Observación | DataObject producido por Activity/Event | parcial | AX-11 debe añadirse como metadatos |</w:t>
      </w:r>
    </w:p>
    <w:p>
      <w:pPr>
        <w:spacing w:after="20" w:line="240" w:lineRule="auto"/>
      </w:pPr>
      <w:r>
        <w:rPr>
          <w:rFonts w:ascii="Consolas" w:hAnsi="Consolas"/>
          <w:sz w:val="14"/>
        </w:rPr>
        <w:t>| Riesgo | extensión/Artifact | sin elemento nativo suficiente | no inventar iconografía normativa |</w:t>
      </w:r>
    </w:p>
    <w:p>
      <w:pPr>
        <w:spacing w:after="20" w:line="240" w:lineRule="auto"/>
      </w:pPr>
      <w:r>
        <w:rPr>
          <w:rFonts w:ascii="Consolas" w:hAnsi="Consolas"/>
          <w:sz w:val="14"/>
        </w:rPr>
        <w:t>| Control | Task/Sub-Process + extensión | contextual | separar definición y ejecución |</w:t>
      </w:r>
    </w:p>
    <w:p>
      <w:pPr>
        <w:spacing w:after="20" w:line="240" w:lineRule="auto"/>
      </w:pPr>
      <w:r>
        <w:rPr>
          <w:rFonts w:ascii="Consolas" w:hAnsi="Consolas"/>
          <w:sz w:val="14"/>
        </w:rPr>
        <w:t>| Documento | DataObject/DataStore | parcial | distinguir type, archivo e instancia |</w:t>
      </w:r>
    </w:p>
    <w:p>
      <w:pPr>
        <w:spacing w:after="20" w:line="240" w:lineRule="auto"/>
      </w:pPr>
      <w:r>
        <w:rPr>
          <w:rFonts w:ascii="Consolas" w:hAnsi="Consolas"/>
          <w:sz w:val="14"/>
        </w:rPr>
        <w:t>| Registro | DataObject/DataStore instance | parcial | cierre, integridad y retención son extensiones |</w:t>
      </w:r>
    </w:p>
    <w:p>
      <w:pPr>
        <w:spacing w:after="20" w:line="240" w:lineRule="auto"/>
      </w:pPr>
      <w:r>
        <w:rPr>
          <w:rFonts w:ascii="Consolas" w:hAnsi="Consolas"/>
          <w:sz w:val="14"/>
        </w:rPr>
        <w:t>| Indicador | extensión GOEI | sin elemento nativo | vínculo por ID al objeto medido |</w:t>
      </w:r>
    </w:p>
    <w:p>
      <w:pPr>
        <w:spacing w:after="40"/>
      </w:pPr>
    </w:p>
    <w:p>
      <w:pPr>
        <w:pStyle w:val="Heading3"/>
      </w:pPr>
      <w:r>
        <w:t>2. Elementos BPMN no equivalentes automáticamente</w:t>
      </w:r>
    </w:p>
    <w:p>
      <w:pPr>
        <w:spacing w:after="40"/>
      </w:pPr>
    </w:p>
    <w:p>
      <w:pPr>
        <w:pStyle w:val="ListBullet"/>
      </w:pPr>
      <w:r>
        <w:t>Sequence Flow expresa flujo, no parte_de.</w:t>
      </w:r>
    </w:p>
    <w:p>
      <w:pPr>
        <w:pStyle w:val="ListBullet"/>
      </w:pPr>
      <w:r>
        <w:t>Message Flow no equivale a transferencia de recurso sin mapeo.</w:t>
      </w:r>
    </w:p>
    <w:p>
      <w:pPr>
        <w:pStyle w:val="ListBullet"/>
      </w:pPr>
      <w:r>
        <w:t>Gateway es control de flujo, no Control de riesgo.</w:t>
      </w:r>
    </w:p>
    <w:p>
      <w:pPr>
        <w:pStyle w:val="ListBullet"/>
      </w:pPr>
      <w:r>
        <w:t>Data Object no distingue por sí mismo Entrada, Salida, Documento, Registro o Evidencia.</w:t>
      </w:r>
    </w:p>
    <w:p>
      <w:pPr>
        <w:pStyle w:val="ListBullet"/>
      </w:pPr>
      <w:r>
        <w:t>Lane representa responsabilidad visual/contextual, no autoridad normativa.</w:t>
      </w:r>
    </w:p>
    <w:p>
      <w:pPr>
        <w:spacing w:after="40"/>
      </w:pPr>
    </w:p>
    <w:p>
      <w:pPr>
        <w:pStyle w:val="Heading3"/>
      </w:pPr>
      <w:r>
        <w:t>3. Reglas de intercambio futuro</w:t>
      </w:r>
    </w:p>
    <w:p>
      <w:pPr>
        <w:spacing w:after="40"/>
      </w:pPr>
    </w:p>
    <w:p>
      <w:pPr>
        <w:pStyle w:val="ListBullet"/>
      </w:pPr>
      <w:r>
        <w:t>Conservar ID y versión GOEI en extensionElements.</w:t>
      </w:r>
    </w:p>
    <w:p>
      <w:pPr>
        <w:pStyle w:val="ListBullet"/>
      </w:pPr>
      <w:r>
        <w:t>Declarar la versión exacta BPMN usada.</w:t>
      </w:r>
    </w:p>
    <w:p>
      <w:pPr>
        <w:pStyle w:val="ListBullet"/>
      </w:pPr>
      <w:r>
        <w:t>Validar el modelo GOEI después de importar; un archivo BPMN válido puede no ser conforme al PMM.</w:t>
      </w:r>
    </w:p>
    <w:p>
      <w:pPr>
        <w:pStyle w:val="ListBullet"/>
      </w:pPr>
      <w:r>
        <w:t>Exportar solo relaciones representables; las restantes permanecen como extensiones sin pérdida.</w:t>
      </w:r>
    </w:p>
    <w:p>
      <w:pPr>
        <w:pStyle w:val="ListBullet"/>
      </w:pPr>
      <w:r>
        <w:t>No inferir KPI, riesgos, controles o restricciones desde nombres de tareas.</w:t>
      </w:r>
    </w:p>
    <w:p>
      <w:pPr>
        <w:spacing w:after="40"/>
      </w:pPr>
    </w:p>
    <w:p>
      <w:r>
        <w:t>La edición normativa concreta de BPMN queda pendiente de verificación técnica y decisión de interoperabilidad; no afecta el metamodelo conceptual.</w:t>
      </w:r>
    </w:p>
    <w:p>
      <w:r>
        <w:br w:type="page"/>
      </w:r>
    </w:p>
    <w:p>
      <w:pPr>
        <w:pStyle w:val="Heading1"/>
        <w:keepNext/>
      </w:pPr>
      <w:r>
        <w:t>Fuente 92: 04_Procesos_gastronomicos/EPIC-002_MetaModelo_Universal/06_Compatibilidad_ArchiMate.md</w:t>
      </w:r>
    </w:p>
    <w:p>
      <w:pPr>
        <w:spacing w:after="200"/>
      </w:pPr>
      <w:r>
        <w:rPr>
          <w:rFonts w:ascii="Consolas" w:hAnsi="Consolas"/>
          <w:color w:val="595959"/>
          <w:sz w:val="16"/>
        </w:rPr>
        <w:t>Ruta: 04_Procesos_gastronomicos/EPIC-002_MetaModelo_Universal/06_Compatibilidad_ArchiMate.md</w:t>
        <w:br/>
        <w:t>Tamaño: 2530 bytes</w:t>
        <w:br/>
        <w:t>SHA-256: 779a85fb9121b4c1e5a087e392e6191274e69909a4a1fc904193fe2759998120</w:t>
      </w:r>
    </w:p>
    <w:p>
      <w:pPr>
        <w:pStyle w:val="Heading2"/>
      </w:pPr>
      <w:r>
        <w:t>Compatibilidad con ArchiMate</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GOEI-PMM-ARCHI-0001 |</w:t>
      </w:r>
    </w:p>
    <w:p>
      <w:pPr>
        <w:spacing w:after="20" w:line="240" w:lineRule="auto"/>
      </w:pPr>
      <w:r>
        <w:rPr>
          <w:rFonts w:ascii="Consolas" w:hAnsi="Consolas"/>
          <w:sz w:val="14"/>
        </w:rPr>
        <w:t>| Versión | 0.1.0-draft |</w:t>
      </w:r>
    </w:p>
    <w:p>
      <w:pPr>
        <w:spacing w:after="20" w:line="240" w:lineRule="auto"/>
      </w:pPr>
      <w:r>
        <w:rPr>
          <w:rFonts w:ascii="Consolas" w:hAnsi="Consolas"/>
          <w:sz w:val="14"/>
        </w:rPr>
        <w:t>| Alcance | Mapeo conceptual; no adopción normativa de una edición ArchiMate |</w:t>
      </w:r>
    </w:p>
    <w:p>
      <w:pPr>
        <w:spacing w:after="40"/>
      </w:pPr>
    </w:p>
    <w:p>
      <w:pPr>
        <w:pStyle w:val="Heading3"/>
      </w:pPr>
      <w:r>
        <w:t>1. Principio</w:t>
      </w:r>
    </w:p>
    <w:p>
      <w:pPr>
        <w:spacing w:after="40"/>
      </w:pPr>
    </w:p>
    <w:p>
      <w:r>
        <w:t>ArchiMate ofrece vistas de estructura, comportamiento e información compatibles con CO-4 y CO-7. El mapeo es una proyección y no reemplaza el metamodelo GOEI.</w:t>
      </w:r>
    </w:p>
    <w:p>
      <w:pPr>
        <w:spacing w:after="40"/>
      </w:pPr>
    </w:p>
    <w:p>
      <w:pPr>
        <w:spacing w:after="20" w:line="240" w:lineRule="auto"/>
      </w:pPr>
      <w:r>
        <w:rPr>
          <w:rFonts w:ascii="Consolas" w:hAnsi="Consolas"/>
          <w:sz w:val="14"/>
        </w:rPr>
        <w:t>| GOEI PMM | ArchiMate candidato | Calidad | Observación |</w:t>
      </w:r>
    </w:p>
    <w:p>
      <w:pPr>
        <w:spacing w:after="20" w:line="240" w:lineRule="auto"/>
      </w:pPr>
      <w:r>
        <w:rPr>
          <w:rFonts w:ascii="Consolas" w:hAnsi="Consolas"/>
          <w:sz w:val="14"/>
        </w:rPr>
        <w:t>|---|---|---|---|</w:t>
      </w:r>
    </w:p>
    <w:p>
      <w:pPr>
        <w:spacing w:after="20" w:line="240" w:lineRule="auto"/>
      </w:pPr>
      <w:r>
        <w:rPr>
          <w:rFonts w:ascii="Consolas" w:hAnsi="Consolas"/>
          <w:sz w:val="14"/>
        </w:rPr>
        <w:t>| Proceso/Subproceso | Business Process | directa | composición mediante Composition |</w:t>
      </w:r>
    </w:p>
    <w:p>
      <w:pPr>
        <w:spacing w:after="20" w:line="240" w:lineRule="auto"/>
      </w:pPr>
      <w:r>
        <w:rPr>
          <w:rFonts w:ascii="Consolas" w:hAnsi="Consolas"/>
          <w:sz w:val="14"/>
        </w:rPr>
        <w:t>| Actividad | Business Process/Function/Interaction | contextual | decidir por semántica, no granularidad visual |</w:t>
      </w:r>
    </w:p>
    <w:p>
      <w:pPr>
        <w:spacing w:after="20" w:line="240" w:lineRule="auto"/>
      </w:pPr>
      <w:r>
        <w:rPr>
          <w:rFonts w:ascii="Consolas" w:hAnsi="Consolas"/>
          <w:sz w:val="14"/>
        </w:rPr>
        <w:t>| Evento | Business Event | directa | disparo mediante Triggering |</w:t>
      </w:r>
    </w:p>
    <w:p>
      <w:pPr>
        <w:spacing w:after="20" w:line="240" w:lineRule="auto"/>
      </w:pPr>
      <w:r>
        <w:rPr>
          <w:rFonts w:ascii="Consolas" w:hAnsi="Consolas"/>
          <w:sz w:val="14"/>
        </w:rPr>
        <w:t>| Entrada/Salida | Business Object/Data Object + Access | parcial | rol entrada/salida depende de la relación |</w:t>
      </w:r>
    </w:p>
    <w:p>
      <w:pPr>
        <w:spacing w:after="20" w:line="240" w:lineRule="auto"/>
      </w:pPr>
      <w:r>
        <w:rPr>
          <w:rFonts w:ascii="Consolas" w:hAnsi="Consolas"/>
          <w:sz w:val="14"/>
        </w:rPr>
        <w:t>| Recurso | Resource/Equipment/Facility/Artifact según capa | parcial | conservar tipo GOEI original |</w:t>
      </w:r>
    </w:p>
    <w:p>
      <w:pPr>
        <w:spacing w:after="20" w:line="240" w:lineRule="auto"/>
      </w:pPr>
      <w:r>
        <w:rPr>
          <w:rFonts w:ascii="Consolas" w:hAnsi="Consolas"/>
          <w:sz w:val="14"/>
        </w:rPr>
        <w:t>| Agente | Business Actor/Role/Collaboration | directa contextual | persona y rol separados |</w:t>
      </w:r>
    </w:p>
    <w:p>
      <w:pPr>
        <w:spacing w:after="20" w:line="240" w:lineRule="auto"/>
      </w:pPr>
      <w:r>
        <w:rPr>
          <w:rFonts w:ascii="Consolas" w:hAnsi="Consolas"/>
          <w:sz w:val="14"/>
        </w:rPr>
        <w:t>| Restricción | Constraint | directa | fuente y versión como propiedades GOEI |</w:t>
      </w:r>
    </w:p>
    <w:p>
      <w:pPr>
        <w:spacing w:after="20" w:line="240" w:lineRule="auto"/>
      </w:pPr>
      <w:r>
        <w:rPr>
          <w:rFonts w:ascii="Consolas" w:hAnsi="Consolas"/>
          <w:sz w:val="14"/>
        </w:rPr>
        <w:t>| Evidencia | Business Object/Artifact | parcial | procedencia requiere extensión |</w:t>
      </w:r>
    </w:p>
    <w:p>
      <w:pPr>
        <w:spacing w:after="20" w:line="240" w:lineRule="auto"/>
      </w:pPr>
      <w:r>
        <w:rPr>
          <w:rFonts w:ascii="Consolas" w:hAnsi="Consolas"/>
          <w:sz w:val="14"/>
        </w:rPr>
        <w:t>| Observación | Data Object/Business Object | parcial | AX-11 fuera del metamodelo base |</w:t>
      </w:r>
    </w:p>
    <w:p>
      <w:pPr>
        <w:spacing w:after="20" w:line="240" w:lineRule="auto"/>
      </w:pPr>
      <w:r>
        <w:rPr>
          <w:rFonts w:ascii="Consolas" w:hAnsi="Consolas"/>
          <w:sz w:val="14"/>
        </w:rPr>
        <w:t>| Riesgo | Assessment | parcial | riesgo no es idéntico a evaluación del riesgo |</w:t>
      </w:r>
    </w:p>
    <w:p>
      <w:pPr>
        <w:spacing w:after="20" w:line="240" w:lineRule="auto"/>
      </w:pPr>
      <w:r>
        <w:rPr>
          <w:rFonts w:ascii="Consolas" w:hAnsi="Consolas"/>
          <w:sz w:val="14"/>
        </w:rPr>
        <w:t>| Control | Business Process/Function + Requirement/Constraint | contextual | no existe equivalencia única |</w:t>
      </w:r>
    </w:p>
    <w:p>
      <w:pPr>
        <w:spacing w:after="20" w:line="240" w:lineRule="auto"/>
      </w:pPr>
      <w:r>
        <w:rPr>
          <w:rFonts w:ascii="Consolas" w:hAnsi="Consolas"/>
          <w:sz w:val="14"/>
        </w:rPr>
        <w:t>| Documento | Business Object/Artifact | directa contextual | lógico frente a realización física |</w:t>
      </w:r>
    </w:p>
    <w:p>
      <w:pPr>
        <w:spacing w:after="20" w:line="240" w:lineRule="auto"/>
      </w:pPr>
      <w:r>
        <w:rPr>
          <w:rFonts w:ascii="Consolas" w:hAnsi="Consolas"/>
          <w:sz w:val="14"/>
        </w:rPr>
        <w:t>| Registro | Data Object/Business Object | parcial | estado e integridad GOEI adicionales |</w:t>
      </w:r>
    </w:p>
    <w:p>
      <w:pPr>
        <w:spacing w:after="20" w:line="240" w:lineRule="auto"/>
      </w:pPr>
      <w:r>
        <w:rPr>
          <w:rFonts w:ascii="Consolas" w:hAnsi="Consolas"/>
          <w:sz w:val="14"/>
        </w:rPr>
        <w:t>| Indicador | Assessment/Outcome/Value + extensión | parcial | no inferir fórmula |</w:t>
      </w:r>
    </w:p>
    <w:p>
      <w:pPr>
        <w:spacing w:after="40"/>
      </w:pPr>
    </w:p>
    <w:p>
      <w:pPr>
        <w:pStyle w:val="Heading3"/>
      </w:pPr>
      <w:r>
        <w:t>2. Relaciones</w:t>
      </w:r>
    </w:p>
    <w:p>
      <w:pPr>
        <w:spacing w:after="40"/>
      </w:pPr>
    </w:p>
    <w:p>
      <w:pPr>
        <w:pStyle w:val="ListBullet"/>
      </w:pPr>
      <w:r>
        <w:t>parte_de → Composition/Aggregation según identidad y ciclo de vida.</w:t>
      </w:r>
    </w:p>
    <w:p>
      <w:pPr>
        <w:pStyle w:val="ListBullet"/>
      </w:pPr>
      <w:r>
        <w:t>precede/dispara → Triggering.</w:t>
      </w:r>
    </w:p>
    <w:p>
      <w:pPr>
        <w:pStyle w:val="ListBullet"/>
      </w:pPr>
      <w:r>
        <w:t>usa/consume/produce → Access, Serving o Association según semántica; no son intercambiables.</w:t>
      </w:r>
    </w:p>
    <w:p>
      <w:pPr>
        <w:pStyle w:val="ListBullet"/>
      </w:pPr>
      <w:r>
        <w:t>ejecuta → Assignment.</w:t>
      </w:r>
    </w:p>
    <w:p>
      <w:pPr>
        <w:pStyle w:val="ListBullet"/>
      </w:pPr>
      <w:r>
        <w:t>documenta → Association/Realization según caso.</w:t>
      </w:r>
    </w:p>
    <w:p>
      <w:pPr>
        <w:pStyle w:val="ListBullet"/>
      </w:pPr>
      <w:r>
        <w:t>mide → Association con estereotipo GOEI.</w:t>
      </w:r>
    </w:p>
    <w:p>
      <w:pPr>
        <w:spacing w:after="40"/>
      </w:pPr>
    </w:p>
    <w:p>
      <w:pPr>
        <w:pStyle w:val="Heading3"/>
      </w:pPr>
      <w:r>
        <w:t>3. Restricciones</w:t>
      </w:r>
    </w:p>
    <w:p>
      <w:pPr>
        <w:spacing w:after="40"/>
      </w:pPr>
    </w:p>
    <w:p>
      <w:pPr>
        <w:pStyle w:val="ListBullet"/>
      </w:pPr>
      <w:r>
        <w:t>No mapear una misma relación GOEI a varias relaciones ArchiMate sin regla determinista.</w:t>
      </w:r>
    </w:p>
    <w:p>
      <w:pPr>
        <w:pStyle w:val="ListBullet"/>
      </w:pPr>
      <w:r>
        <w:t>Preservar IDs y versiones como propiedades.</w:t>
      </w:r>
    </w:p>
    <w:p>
      <w:pPr>
        <w:pStyle w:val="ListBullet"/>
      </w:pPr>
      <w:r>
        <w:t>Mantener vista estructural y dinámica en el mismo modelo, conforme CO-7.</w:t>
      </w:r>
    </w:p>
    <w:p>
      <w:pPr>
        <w:pStyle w:val="ListBullet"/>
      </w:pPr>
      <w:r>
        <w:t>Un modelo ArchiMate válido no es automáticamente conforme al PMM.</w:t>
      </w:r>
    </w:p>
    <w:p>
      <w:pPr>
        <w:spacing w:after="40"/>
      </w:pPr>
    </w:p>
    <w:p>
      <w:r>
        <w:t>La edición concreta y el perfil oficial de ArchiMate requieren ADR/Issue futuro.</w:t>
      </w:r>
    </w:p>
    <w:p>
      <w:r>
        <w:br w:type="page"/>
      </w:r>
    </w:p>
    <w:p>
      <w:pPr>
        <w:pStyle w:val="Heading1"/>
        <w:keepNext/>
      </w:pPr>
      <w:r>
        <w:t>Fuente 93: 04_Procesos_gastronomicos/EPIC-002_MetaModelo_Universal/07_Compatibilidad_software.md</w:t>
      </w:r>
    </w:p>
    <w:p>
      <w:pPr>
        <w:spacing w:after="200"/>
      </w:pPr>
      <w:r>
        <w:rPr>
          <w:rFonts w:ascii="Consolas" w:hAnsi="Consolas"/>
          <w:color w:val="595959"/>
          <w:sz w:val="16"/>
        </w:rPr>
        <w:t>Ruta: 04_Procesos_gastronomicos/EPIC-002_MetaModelo_Universal/07_Compatibilidad_software.md</w:t>
        <w:br/>
        <w:t>Tamaño: 2604 bytes</w:t>
        <w:br/>
        <w:t>SHA-256: 966ea3854157fe8479b054311bdda90d1c8440f2b2a3a875c799c6ce671901e3</w:t>
      </w:r>
    </w:p>
    <w:p>
      <w:pPr>
        <w:pStyle w:val="Heading2"/>
      </w:pPr>
      <w:r>
        <w:t>Compatibilidad con futura implementación en software</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GOEI-PMM-SW-0001 |</w:t>
      </w:r>
    </w:p>
    <w:p>
      <w:pPr>
        <w:spacing w:after="20" w:line="240" w:lineRule="auto"/>
      </w:pPr>
      <w:r>
        <w:rPr>
          <w:rFonts w:ascii="Consolas" w:hAnsi="Consolas"/>
          <w:sz w:val="14"/>
        </w:rPr>
        <w:t>| Versión | 0.1.0-draft |</w:t>
      </w:r>
    </w:p>
    <w:p>
      <w:pPr>
        <w:spacing w:after="40"/>
      </w:pPr>
    </w:p>
    <w:p>
      <w:pPr>
        <w:pStyle w:val="Heading3"/>
      </w:pPr>
      <w:r>
        <w:t>1. Modelo lógico recomendado</w:t>
      </w:r>
    </w:p>
    <w:p>
      <w:pPr>
        <w:spacing w:after="40"/>
      </w:pPr>
    </w:p>
    <w:p>
      <w:r>
        <w:t>Separar:</w:t>
      </w:r>
    </w:p>
    <w:p>
      <w:pPr>
        <w:spacing w:after="40"/>
      </w:pPr>
    </w:p>
    <w:p>
      <w:pPr>
        <w:pStyle w:val="ListBullet"/>
      </w:pPr>
      <w:r>
        <w:t>ProcessDefinition, ActivityDefinition, EventType y demás types;</w:t>
      </w:r>
    </w:p>
    <w:p>
      <w:pPr>
        <w:pStyle w:val="ListBullet"/>
      </w:pPr>
      <w:r>
        <w:t>ProcessExecution, ActivityExecution, EventOccurrence y demás tokens;</w:t>
      </w:r>
    </w:p>
    <w:p>
      <w:pPr>
        <w:pStyle w:val="ListBullet"/>
      </w:pPr>
      <w:r>
        <w:t>ArtifactVersion y BaselineReference;</w:t>
      </w:r>
    </w:p>
    <w:p>
      <w:pPr>
        <w:pStyle w:val="ListBullet"/>
      </w:pPr>
      <w:r>
        <w:t>relaciones de composición, flujo, participación, información y control.</w:t>
      </w:r>
    </w:p>
    <w:p>
      <w:pPr>
        <w:spacing w:after="40"/>
      </w:pPr>
    </w:p>
    <w:p>
      <w:r>
        <w:t>Nunca guardar la definición y la ejecución en la misma tabla o documento polimórfico sin discriminación obligatoria.</w:t>
      </w:r>
    </w:p>
    <w:p>
      <w:pPr>
        <w:spacing w:after="40"/>
      </w:pPr>
    </w:p>
    <w:p>
      <w:pPr>
        <w:pStyle w:val="Heading3"/>
      </w:pPr>
      <w:r>
        <w:t>2. Contratos mínimos</w:t>
      </w:r>
    </w:p>
    <w:p>
      <w:pPr>
        <w:spacing w:after="40"/>
      </w:pPr>
    </w:p>
    <w:p>
      <w:r>
        <w:t>Cada definición debe ser serializable con:</w:t>
      </w:r>
    </w:p>
    <w:p>
      <w:pPr>
        <w:spacing w:after="40"/>
      </w:pPr>
    </w:p>
    <w:p>
      <w:r>
        <w:t>id, type, version, status, label, definition, relationships, constraints, sourceDecision, ontologyBaseline y extensions.</w:t>
      </w:r>
    </w:p>
    <w:p>
      <w:pPr>
        <w:spacing w:after="40"/>
      </w:pPr>
    </w:p>
    <w:p>
      <w:r>
        <w:t>Cada ejecución debe añadir:</w:t>
      </w:r>
    </w:p>
    <w:p>
      <w:pPr>
        <w:spacing w:after="40"/>
      </w:pPr>
    </w:p>
    <w:p>
      <w:r>
        <w:t>instanceId, definitionId, definitionVersion, startedAt, endedAt, actors, resources, events, inputs, outputs, records y provenance.</w:t>
      </w:r>
    </w:p>
    <w:p>
      <w:pPr>
        <w:spacing w:after="40"/>
      </w:pPr>
    </w:p>
    <w:p>
      <w:pPr>
        <w:pStyle w:val="Heading3"/>
      </w:pPr>
      <w:r>
        <w:t>3. Representaciones futuras</w:t>
      </w:r>
    </w:p>
    <w:p>
      <w:pPr>
        <w:spacing w:after="40"/>
      </w:pPr>
    </w:p>
    <w:p>
      <w:pPr>
        <w:pStyle w:val="ListBullet"/>
      </w:pPr>
      <w:r>
        <w:t>JSON-LD/RDF para interoperabilidad semántica.</w:t>
      </w:r>
    </w:p>
    <w:p>
      <w:pPr>
        <w:pStyle w:val="ListBullet"/>
      </w:pPr>
      <w:r>
        <w:t>SHACL o equivalente para cardinalidades e integridad.</w:t>
      </w:r>
    </w:p>
    <w:p>
      <w:pPr>
        <w:pStyle w:val="ListBullet"/>
      </w:pPr>
      <w:r>
        <w:t>BPMN XML como vista intercambiable con extensiones GOEI.</w:t>
      </w:r>
    </w:p>
    <w:p>
      <w:pPr>
        <w:pStyle w:val="ListBullet"/>
      </w:pPr>
      <w:r>
        <w:t>ArchiMate Exchange Format como vista arquitectónica.</w:t>
      </w:r>
    </w:p>
    <w:p>
      <w:pPr>
        <w:pStyle w:val="ListBullet"/>
      </w:pPr>
      <w:r>
        <w:t>Mermaid/PlantUML solo para documentación, no como fuente canónica.</w:t>
      </w:r>
    </w:p>
    <w:p>
      <w:pPr>
        <w:spacing w:after="40"/>
      </w:pPr>
    </w:p>
    <w:p>
      <w:r>
        <w:t>La selección definitiva requiere Issue y ADR técnico.</w:t>
      </w:r>
    </w:p>
    <w:p>
      <w:pPr>
        <w:spacing w:after="40"/>
      </w:pPr>
    </w:p>
    <w:p>
      <w:pPr>
        <w:pStyle w:val="Heading3"/>
      </w:pPr>
      <w:r>
        <w:t>4. Servicios futuros</w:t>
      </w:r>
    </w:p>
    <w:p>
      <w:pPr>
        <w:spacing w:after="40"/>
      </w:pPr>
    </w:p>
    <w:p>
      <w:pPr>
        <w:pStyle w:val="ListBullet"/>
      </w:pPr>
      <w:r>
        <w:t>catálogo versionado de definiciones;</w:t>
      </w:r>
    </w:p>
    <w:p>
      <w:pPr>
        <w:pStyle w:val="ListBullet"/>
      </w:pPr>
      <w:r>
        <w:t>editor con validación en tiempo real;</w:t>
      </w:r>
    </w:p>
    <w:p>
      <w:pPr>
        <w:pStyle w:val="ListBullet"/>
      </w:pPr>
      <w:r>
        <w:t>importación/exportación BPMN y ArchiMate con reporte de pérdida;</w:t>
      </w:r>
    </w:p>
    <w:p>
      <w:pPr>
        <w:pStyle w:val="ListBullet"/>
      </w:pPr>
      <w:r>
        <w:t>instancia y seguimiento de ejecuciones;</w:t>
      </w:r>
    </w:p>
    <w:p>
      <w:pPr>
        <w:pStyle w:val="ListBullet"/>
      </w:pPr>
      <w:r>
        <w:t>captura de observaciones AX-11;</w:t>
      </w:r>
    </w:p>
    <w:p>
      <w:pPr>
        <w:pStyle w:val="ListBullet"/>
      </w:pPr>
      <w:r>
        <w:t>gestión de documentos, registros y evidencia;</w:t>
      </w:r>
    </w:p>
    <w:p>
      <w:pPr>
        <w:pStyle w:val="ListBullet"/>
      </w:pPr>
      <w:r>
        <w:t>análisis de impacto entre versiones;</w:t>
      </w:r>
    </w:p>
    <w:p>
      <w:pPr>
        <w:pStyle w:val="ListBullet"/>
      </w:pPr>
      <w:r>
        <w:t>consulta de linaje desde Indicador hasta Observaciones;</w:t>
      </w:r>
    </w:p>
    <w:p>
      <w:pPr>
        <w:pStyle w:val="ListBullet"/>
      </w:pPr>
      <w:r>
        <w:t>validación contra baseline ontológico y PMM.</w:t>
      </w:r>
    </w:p>
    <w:p>
      <w:pPr>
        <w:spacing w:after="40"/>
      </w:pPr>
    </w:p>
    <w:p>
      <w:pPr>
        <w:pStyle w:val="Heading3"/>
      </w:pPr>
      <w:r>
        <w:t>5. Requisitos no funcionales</w:t>
      </w:r>
    </w:p>
    <w:p>
      <w:pPr>
        <w:spacing w:after="40"/>
      </w:pPr>
    </w:p>
    <w:p>
      <w:pPr>
        <w:pStyle w:val="ListBullet"/>
      </w:pPr>
      <w:r>
        <w:t>IDs independientes de proveedor;</w:t>
      </w:r>
    </w:p>
    <w:p>
      <w:pPr>
        <w:pStyle w:val="ListBullet"/>
      </w:pPr>
      <w:r>
        <w:t>historial append-only;</w:t>
      </w:r>
    </w:p>
    <w:p>
      <w:pPr>
        <w:pStyle w:val="ListBullet"/>
      </w:pPr>
      <w:r>
        <w:t>reconstrucción temporal;</w:t>
      </w:r>
    </w:p>
    <w:p>
      <w:pPr>
        <w:pStyle w:val="ListBullet"/>
      </w:pPr>
      <w:r>
        <w:t>control de acceso y privacidad;</w:t>
      </w:r>
    </w:p>
    <w:p>
      <w:pPr>
        <w:pStyle w:val="ListBullet"/>
      </w:pPr>
      <w:r>
        <w:t>internacionalización de etiquetas sin cambiar identidad;</w:t>
      </w:r>
    </w:p>
    <w:p>
      <w:pPr>
        <w:pStyle w:val="ListBullet"/>
      </w:pPr>
      <w:r>
        <w:t>exportación completa y estrategia de migración;</w:t>
      </w:r>
    </w:p>
    <w:p>
      <w:pPr>
        <w:pStyle w:val="ListBullet"/>
      </w:pPr>
      <w:r>
        <w:t>pruebas automatizadas de round-trip entre formatos;</w:t>
      </w:r>
    </w:p>
    <w:p>
      <w:pPr>
        <w:pStyle w:val="ListBullet"/>
      </w:pPr>
      <w:r>
        <w:t>determinismo en validadores.</w:t>
      </w:r>
    </w:p>
    <w:p>
      <w:pPr>
        <w:spacing w:after="40"/>
      </w:pPr>
    </w:p>
    <w:p>
      <w:pPr>
        <w:pStyle w:val="Heading3"/>
      </w:pPr>
      <w:r>
        <w:t>6. Pruebas de conformidad futuras</w:t>
      </w:r>
    </w:p>
    <w:p>
      <w:pPr>
        <w:spacing w:after="40"/>
      </w:pPr>
    </w:p>
    <w:p>
      <w:pPr>
        <w:pStyle w:val="ListNumber"/>
      </w:pPr>
      <w:r>
        <w:t>modelo mínimo válido;</w:t>
      </w:r>
    </w:p>
    <w:p>
      <w:pPr>
        <w:pStyle w:val="ListNumber"/>
      </w:pPr>
      <w:r>
        <w:t>ciclo de composición inválido;</w:t>
      </w:r>
    </w:p>
    <w:p>
      <w:pPr>
        <w:pStyle w:val="ListNumber"/>
      </w:pPr>
      <w:r>
        <w:t>actividad huérfana;</w:t>
      </w:r>
    </w:p>
    <w:p>
      <w:pPr>
        <w:pStyle w:val="ListNumber"/>
      </w:pPr>
      <w:r>
        <w:t>observación sin AX-11;</w:t>
      </w:r>
    </w:p>
    <w:p>
      <w:pPr>
        <w:pStyle w:val="ListNumber"/>
      </w:pPr>
      <w:r>
        <w:t>registro sin versión de esquema;</w:t>
      </w:r>
    </w:p>
    <w:p>
      <w:pPr>
        <w:pStyle w:val="ListNumber"/>
      </w:pPr>
      <w:r>
        <w:t>indicador con fórmula no autorizada;</w:t>
      </w:r>
    </w:p>
    <w:p>
      <w:pPr>
        <w:pStyle w:val="ListNumber"/>
      </w:pPr>
      <w:r>
        <w:t>importación BPMN con extensión preservada;</w:t>
      </w:r>
    </w:p>
    <w:p>
      <w:pPr>
        <w:pStyle w:val="ListNumber"/>
      </w:pPr>
      <w:r>
        <w:t>exportación/importación sin pérdida semántica crítica;</w:t>
      </w:r>
    </w:p>
    <w:p>
      <w:pPr>
        <w:pStyle w:val="ListNumber"/>
      </w:pPr>
      <w:r>
        <w:t>reconstrucción de una versión retirada;</w:t>
      </w:r>
    </w:p>
    <w:p>
      <w:pPr>
        <w:pStyle w:val="ListNumber"/>
      </w:pPr>
      <w:r>
        <w:t>intento de modificar baseline sin Issue.</w:t>
      </w:r>
    </w:p>
    <w:p>
      <w:r>
        <w:br w:type="page"/>
      </w:r>
    </w:p>
    <w:p>
      <w:pPr>
        <w:pStyle w:val="Heading1"/>
        <w:keepNext/>
      </w:pPr>
      <w:r>
        <w:t>Fuente 94: 04_Procesos_gastronomicos/EPIC-002_MetaModelo_Universal/08_Registro_de_issues.md</w:t>
      </w:r>
    </w:p>
    <w:p>
      <w:pPr>
        <w:spacing w:after="200"/>
      </w:pPr>
      <w:r>
        <w:rPr>
          <w:rFonts w:ascii="Consolas" w:hAnsi="Consolas"/>
          <w:color w:val="595959"/>
          <w:sz w:val="16"/>
        </w:rPr>
        <w:t>Ruta: 04_Procesos_gastronomicos/EPIC-002_MetaModelo_Universal/08_Registro_de_issues.md</w:t>
        <w:br/>
        <w:t>Tamaño: 1774 bytes</w:t>
        <w:br/>
        <w:t>SHA-256: 539d99712c931895084a7421cb77413f2c7db76528c0c3ab666b2826d672db08</w:t>
      </w:r>
    </w:p>
    <w:p>
      <w:pPr>
        <w:pStyle w:val="Heading2"/>
      </w:pPr>
      <w:r>
        <w:t>Issues — EPIC-002</w:t>
      </w:r>
    </w:p>
    <w:p>
      <w:pPr>
        <w:spacing w:after="40"/>
      </w:pPr>
    </w:p>
    <w:p>
      <w:pPr>
        <w:spacing w:after="20" w:line="240" w:lineRule="auto"/>
      </w:pPr>
      <w:r>
        <w:rPr>
          <w:rFonts w:ascii="Consolas" w:hAnsi="Consolas"/>
          <w:sz w:val="14"/>
        </w:rPr>
        <w:t>| ID | Dependencia no resuelta | Rama bloqueada | Criterio de cierre | Estado |</w:t>
      </w:r>
    </w:p>
    <w:p>
      <w:pPr>
        <w:spacing w:after="20" w:line="240" w:lineRule="auto"/>
      </w:pPr>
      <w:r>
        <w:rPr>
          <w:rFonts w:ascii="Consolas" w:hAnsi="Consolas"/>
          <w:sz w:val="14"/>
        </w:rPr>
        <w:t>|---|---|---|---|---|</w:t>
      </w:r>
    </w:p>
    <w:p>
      <w:pPr>
        <w:spacing w:after="20" w:line="240" w:lineRule="auto"/>
      </w:pPr>
      <w:r>
        <w:rPr>
          <w:rFonts w:ascii="Consolas" w:hAnsi="Consolas"/>
          <w:sz w:val="14"/>
        </w:rPr>
        <w:t>| GOEI-ISS-019 | Ratificación formal del MetaModelo Universal de Procesos. | promoción de candidato a oficial | revisión técnica y aprobación de autoridad definida | Abierto |</w:t>
      </w:r>
    </w:p>
    <w:p>
      <w:pPr>
        <w:spacing w:after="20" w:line="240" w:lineRule="auto"/>
      </w:pPr>
      <w:r>
        <w:rPr>
          <w:rFonts w:ascii="Consolas" w:hAnsi="Consolas"/>
          <w:sz w:val="14"/>
        </w:rPr>
        <w:t>| GOEI-ISS-020 | Determinar relación formal entre `Indicador` abstracto y `KPI-def` de D-006. | especialización `Indicador → KPI` | decisión que apruebe equivalencia, subclase o separación | Abierto |</w:t>
      </w:r>
    </w:p>
    <w:p>
      <w:pPr>
        <w:spacing w:after="20" w:line="240" w:lineRule="auto"/>
      </w:pPr>
      <w:r>
        <w:rPr>
          <w:rFonts w:ascii="Consolas" w:hAnsi="Consolas"/>
          <w:sz w:val="14"/>
        </w:rPr>
        <w:t>| GOEI-ISS-021 | Definir si un Subproceso reutilizado puede tener múltiples padres normativos o solo múltiples contextos de composición. | regla exacta de identidad/reutilización | decisión arquitectónica aprobada con casos de prueba | Abierto |</w:t>
      </w:r>
    </w:p>
    <w:p>
      <w:pPr>
        <w:spacing w:after="20" w:line="240" w:lineRule="auto"/>
      </w:pPr>
      <w:r>
        <w:rPr>
          <w:rFonts w:ascii="Consolas" w:hAnsi="Consolas"/>
          <w:sz w:val="14"/>
        </w:rPr>
        <w:t>| GOEI-ISS-022 | Elegir edición y perfil oficial BPMN. | intercambio BPMN oficial | ADR aprobada tras pruebas de pérdida | Abierto |</w:t>
      </w:r>
    </w:p>
    <w:p>
      <w:pPr>
        <w:spacing w:after="20" w:line="240" w:lineRule="auto"/>
      </w:pPr>
      <w:r>
        <w:rPr>
          <w:rFonts w:ascii="Consolas" w:hAnsi="Consolas"/>
          <w:sz w:val="14"/>
        </w:rPr>
        <w:t>| GOEI-ISS-023 | Elegir edición y perfil oficial ArchiMate. | intercambio ArchiMate oficial | ADR aprobada tras pruebas de mapeo | Abierto |</w:t>
      </w:r>
    </w:p>
    <w:p>
      <w:pPr>
        <w:spacing w:after="20" w:line="240" w:lineRule="auto"/>
      </w:pPr>
      <w:r>
        <w:rPr>
          <w:rFonts w:ascii="Consolas" w:hAnsi="Consolas"/>
          <w:sz w:val="14"/>
        </w:rPr>
        <w:t>| GOEI-ISS-024 | Elegir esquema ejecutable y namespace persistente. | serialización oficial y API | ADR y gobernanza de namespace aprobadas | Abierto |</w:t>
      </w:r>
    </w:p>
    <w:p>
      <w:pPr>
        <w:spacing w:after="20" w:line="240" w:lineRule="auto"/>
      </w:pPr>
      <w:r>
        <w:rPr>
          <w:rFonts w:ascii="Consolas" w:hAnsi="Consolas"/>
          <w:sz w:val="14"/>
        </w:rPr>
        <w:t>| GOEI-ISS-025 | Definir taxonomías de tipos de evento, restricción, riesgo y control. | vocabularios especializados | decisiones científicas/técnicas competentes | Abierto |</w:t>
      </w:r>
    </w:p>
    <w:p>
      <w:pPr>
        <w:spacing w:after="20" w:line="240" w:lineRule="auto"/>
      </w:pPr>
      <w:r>
        <w:rPr>
          <w:rFonts w:ascii="Consolas" w:hAnsi="Consolas"/>
          <w:sz w:val="14"/>
        </w:rPr>
        <w:t>| GOEI-ISS-026 | Definir política de retención, acceso e integridad de registros/evidencias. | ciclo operacional completo | política de datos aprobada | Abierto |</w:t>
      </w:r>
    </w:p>
    <w:p>
      <w:pPr>
        <w:spacing w:after="40"/>
      </w:pPr>
    </w:p>
    <w:p>
      <w:pPr>
        <w:pStyle w:val="Heading3"/>
      </w:pPr>
      <w:r>
        <w:t>Bloqueo selectivo</w:t>
      </w:r>
    </w:p>
    <w:p>
      <w:pPr>
        <w:spacing w:after="40"/>
      </w:pPr>
    </w:p>
    <w:p>
      <w:r>
        <w:t>Ningún Issue anterior impide usar el metamodelo como lenguaje conceptual candidato. Sí impiden declarar oficial la rama específica indicada. No se incluyen respuestas provisionales como si fueran decisiones.</w:t>
      </w:r>
    </w:p>
    <w:p>
      <w:r>
        <w:br w:type="page"/>
      </w:r>
    </w:p>
    <w:p>
      <w:pPr>
        <w:pStyle w:val="Heading1"/>
        <w:keepNext/>
      </w:pPr>
      <w:r>
        <w:t>Fuente 95: 04_Procesos_gastronomicos/EPIC-002_MetaModelo_Universal/README.md</w:t>
      </w:r>
    </w:p>
    <w:p>
      <w:pPr>
        <w:spacing w:after="200"/>
      </w:pPr>
      <w:r>
        <w:rPr>
          <w:rFonts w:ascii="Consolas" w:hAnsi="Consolas"/>
          <w:color w:val="595959"/>
          <w:sz w:val="16"/>
        </w:rPr>
        <w:t>Ruta: 04_Procesos_gastronomicos/EPIC-002_MetaModelo_Universal/README.md</w:t>
        <w:br/>
        <w:t>Tamaño: 991 bytes</w:t>
        <w:br/>
        <w:t>SHA-256: e5b7366ef246c162993ae661f3d677d869846b776feacc5199db57d2d60ca065</w:t>
      </w:r>
    </w:p>
    <w:p>
      <w:pPr>
        <w:pStyle w:val="Heading2"/>
      </w:pPr>
      <w:r>
        <w:t>EPIC-002 — GOEI Universal Process MetaModel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GOEI-EPIC-0002 |</w:t>
      </w:r>
    </w:p>
    <w:p>
      <w:pPr>
        <w:spacing w:after="20" w:line="240" w:lineRule="auto"/>
      </w:pPr>
      <w:r>
        <w:rPr>
          <w:rFonts w:ascii="Consolas" w:hAnsi="Consolas"/>
          <w:sz w:val="14"/>
        </w:rPr>
        <w:t>| Estado | Candidato a MetaModelo Oficial de Procesos |</w:t>
      </w:r>
    </w:p>
    <w:p>
      <w:pPr>
        <w:spacing w:after="20" w:line="240" w:lineRule="auto"/>
      </w:pPr>
      <w:r>
        <w:rPr>
          <w:rFonts w:ascii="Consolas" w:hAnsi="Consolas"/>
          <w:sz w:val="14"/>
        </w:rPr>
        <w:t>| Versión | 0.1.0-draft |</w:t>
      </w:r>
    </w:p>
    <w:p>
      <w:pPr>
        <w:spacing w:after="20" w:line="240" w:lineRule="auto"/>
      </w:pPr>
      <w:r>
        <w:rPr>
          <w:rFonts w:ascii="Consolas" w:hAnsi="Consolas"/>
          <w:sz w:val="14"/>
        </w:rPr>
        <w:t>| Base ontológica | GOEI Ontology Baseline v0.1 |</w:t>
      </w:r>
    </w:p>
    <w:p>
      <w:pPr>
        <w:spacing w:after="20" w:line="240" w:lineRule="auto"/>
      </w:pPr>
      <w:r>
        <w:rPr>
          <w:rFonts w:ascii="Consolas" w:hAnsi="Consolas"/>
          <w:sz w:val="14"/>
        </w:rPr>
        <w:t>| Alcance | Lenguaje universal para modelar procesos |</w:t>
      </w:r>
    </w:p>
    <w:p>
      <w:pPr>
        <w:spacing w:after="20" w:line="240" w:lineRule="auto"/>
      </w:pPr>
      <w:r>
        <w:rPr>
          <w:rFonts w:ascii="Consolas" w:hAnsi="Consolas"/>
          <w:sz w:val="14"/>
        </w:rPr>
        <w:t>| Exclusiones | Procesos gastronómicos concretos, KPI, fórmulas y decisiones científicas nuevas |</w:t>
      </w:r>
    </w:p>
    <w:p>
      <w:pPr>
        <w:spacing w:after="40"/>
      </w:pPr>
    </w:p>
    <w:p>
      <w:pPr>
        <w:pStyle w:val="Heading3"/>
      </w:pPr>
      <w:r>
        <w:t>Entregables</w:t>
      </w:r>
    </w:p>
    <w:p>
      <w:pPr>
        <w:spacing w:after="40"/>
      </w:pPr>
    </w:p>
    <w:p>
      <w:pPr>
        <w:pStyle w:val="ListBullet"/>
      </w:pPr>
      <w:r>
        <w:t>[MetaModelo Universal](01_MetaModelo_Universal_de_Procesos.md)</w:t>
      </w:r>
    </w:p>
    <w:p>
      <w:pPr>
        <w:pStyle w:val="ListBullet"/>
      </w:pPr>
      <w:r>
        <w:t>[Diagrama UML conceptual](02_Diagrama_UML.md)</w:t>
      </w:r>
    </w:p>
    <w:p>
      <w:pPr>
        <w:pStyle w:val="ListBullet"/>
      </w:pPr>
      <w:r>
        <w:t>[Matriz de relaciones](03_Matriz_de_relaciones.md)</w:t>
      </w:r>
    </w:p>
    <w:p>
      <w:pPr>
        <w:pStyle w:val="ListBullet"/>
      </w:pPr>
      <w:r>
        <w:t>[Reglas de integridad](04_Reglas_de_integridad.md)</w:t>
      </w:r>
    </w:p>
    <w:p>
      <w:pPr>
        <w:pStyle w:val="ListBullet"/>
      </w:pPr>
      <w:r>
        <w:t>[Compatibilidad BPMN](05_Compatibilidad_BPMN.md)</w:t>
      </w:r>
    </w:p>
    <w:p>
      <w:pPr>
        <w:pStyle w:val="ListBullet"/>
      </w:pPr>
      <w:r>
        <w:t>[Compatibilidad ArchiMate](06_Compatibilidad_ArchiMate.md)</w:t>
      </w:r>
    </w:p>
    <w:p>
      <w:pPr>
        <w:pStyle w:val="ListBullet"/>
      </w:pPr>
      <w:r>
        <w:t>[Compatibilidad con software](07_Compatibilidad_software.md)</w:t>
      </w:r>
    </w:p>
    <w:p>
      <w:pPr>
        <w:pStyle w:val="ListBullet"/>
      </w:pPr>
      <w:r>
        <w:t>[Issues](08_Registro_de_issues.md)</w:t>
      </w:r>
    </w:p>
    <w:p>
      <w:pPr>
        <w:spacing w:after="40"/>
      </w:pPr>
    </w:p>
    <w:p>
      <w:r>
        <w:t>El calificativo “oficial” queda como estado objetivo. Su promoción exige revisión y autoridad formal; este paquete no se autoaprueba.</w:t>
      </w:r>
    </w:p>
    <w:p>
      <w:r>
        <w:br w:type="page"/>
      </w:r>
    </w:p>
    <w:p>
      <w:pPr>
        <w:pStyle w:val="Heading1"/>
        <w:keepNext/>
      </w:pPr>
      <w:r>
        <w:t>Fuente 96: 04_Procesos_gastronomicos/Fase4_Nucleo_universal_de_macroprocesos.md</w:t>
      </w:r>
    </w:p>
    <w:p>
      <w:pPr>
        <w:spacing w:after="200"/>
      </w:pPr>
      <w:r>
        <w:rPr>
          <w:rFonts w:ascii="Consolas" w:hAnsi="Consolas"/>
          <w:color w:val="595959"/>
          <w:sz w:val="16"/>
        </w:rPr>
        <w:t>Ruta: 04_Procesos_gastronomicos/Fase4_Nucleo_universal_de_macroprocesos.md</w:t>
        <w:br/>
        <w:t>Tamaño: 13565 bytes</w:t>
        <w:br/>
        <w:t>SHA-256: 86216828285bbb885538e097af21eb0094a883ecd274302110e005c8b18ac591</w:t>
      </w:r>
    </w:p>
    <w:p>
      <w:pPr>
        <w:pStyle w:val="Heading2"/>
      </w:pPr>
      <w:r>
        <w:t>FASE 4 — Núcleo universal de macroprocesos gastronómicos</w:t>
      </w:r>
    </w:p>
    <w:p>
      <w:pPr>
        <w:pStyle w:val="Heading3"/>
      </w:pPr>
      <w:r>
        <w:t>Revisión comparativa de modelos de procesos por tipo de establecimiento</w:t>
      </w:r>
    </w:p>
    <w:p>
      <w:pPr>
        <w:spacing w:after="40"/>
      </w:pPr>
    </w:p>
    <w:p>
      <w:r>
        <w:t>Pregunta de investigación: ¿existe un conjunto universal de macroprocesos presente en cualquier establecimiento gastronómico, con independencia de su categoría, que pueda servir de base al GOEI?</w:t>
      </w:r>
    </w:p>
    <w:p>
      <w:r>
        <w:t>Regla de la fase: NO se diseña el GOEI. No se definen dimensiones, KPI ni pesos. Se mapea el paisaje de procesos y se prueba la hipótesis de un núcleo común.</w:t>
      </w:r>
    </w:p>
    <w:p>
      <w:r>
        <w:t>Fecha: 2026-08-04.</w:t>
      </w:r>
    </w:p>
    <w:p>
      <w:r>
        <w:t>Vínculo ontológico (D-006-REV): los "macroprocesos" son Tipos de proceso del estrato Norma; se realizan como Ejecuciones de proceso / Eventos en el estrato Realidad.</w:t>
      </w:r>
    </w:p>
    <w:p>
      <w:pPr>
        <w:spacing w:after="40"/>
      </w:pPr>
    </w:p>
    <w:p>
      <w:pPr>
        <w:spacing w:after="100"/>
        <w:ind w:left="360" w:right="216"/>
      </w:pPr>
      <w:r>
        <w:rPr>
          <w:i/>
          <w:color w:val="595959"/>
        </w:rPr>
        <w:t>Etiquetas: [EVIDENCIA] (literatura), [ANÁLISIS] (síntesis del comité), [PROPUESTA/PENDIENTE].</w:t>
      </w:r>
    </w:p>
    <w:p>
      <w:pPr>
        <w:spacing w:after="100"/>
        <w:ind w:left="360" w:right="216"/>
      </w:pPr>
      <w:r>
        <w:rPr>
          <w:i/>
          <w:color w:val="595959"/>
        </w:rPr>
        <w:t>Nota de alcance: revisión amplia y estructurada, no PRISMA-formal. La revisión sistemática completa sigue siendo tarea de Fase 1. Ninguna conclusión se cierra aquí.</w:t>
      </w:r>
    </w:p>
    <w:p>
      <w:pPr>
        <w:spacing w:after="40"/>
      </w:pPr>
    </w:p>
    <w:p>
      <w:r>
        <w:t>---</w:t>
      </w:r>
    </w:p>
    <w:p>
      <w:pPr>
        <w:spacing w:after="40"/>
      </w:pPr>
    </w:p>
    <w:p>
      <w:pPr>
        <w:pStyle w:val="Heading3"/>
      </w:pPr>
      <w:r>
        <w:t>1. Modelos de referencia identificados</w:t>
      </w:r>
    </w:p>
    <w:p>
      <w:pPr>
        <w:spacing w:after="40"/>
      </w:pPr>
    </w:p>
    <w:p>
      <w:pPr>
        <w:pStyle w:val="Heading4"/>
      </w:pPr>
      <w:r>
        <w:t>1.1 Modelo canónico académico — Foodservice Systems Model (Spears &amp; Gregoire)</w:t>
      </w:r>
    </w:p>
    <w:p>
      <w:r>
        <w:t>El modelo de sistemas de foodservice (Spears &amp; Gregoire, Foodservice Organizations: A Managerial and Systems Approach) es la referencia académica dominante. [EVIDENCIA] Estructura entrada→transformación→salida:</w:t>
      </w:r>
    </w:p>
    <w:p>
      <w:pPr>
        <w:pStyle w:val="ListBullet"/>
      </w:pPr>
      <w:r>
        <w:t>Entradas: recursos humanos, materiales, instalaciones, operacionales.</w:t>
      </w:r>
    </w:p>
    <w:p>
      <w:pPr>
        <w:pStyle w:val="ListBullet"/>
      </w:pPr>
      <w:r>
        <w:t>Subsistemas funcionales de la transformación: (1) aprovisionamiento (procurement); (2) producción; (3) distribución y servicio; (4) inocuidad, sanitización y mantenimiento.</w:t>
      </w:r>
    </w:p>
    <w:p>
      <w:pPr>
        <w:pStyle w:val="ListBullet"/>
      </w:pPr>
      <w:r>
        <w:t>Funciones de gestión y procesos de enlace: planificación, liderazgo, comunicación, decisión, RRHH, gestión financiera, marketing.</w:t>
      </w:r>
    </w:p>
    <w:p>
      <w:pPr>
        <w:pStyle w:val="ListBullet"/>
      </w:pPr>
      <w:r>
        <w:t>Salidas: comidas, satisfacción del cliente, satisfacción del empleado, responsabilidad financiera; con control/retroalimentación.</w:t>
      </w:r>
    </w:p>
    <w:p>
      <w:pPr>
        <w:spacing w:after="40"/>
      </w:pPr>
    </w:p>
    <w:p>
      <w:r>
        <w:t>Relevancia: propone que los subsistemas funcionales son invariantes, aunque su realización concreta varíe. Es la hipótesis del "núcleo común" ya formulada en la literatura.</w:t>
      </w:r>
    </w:p>
    <w:p>
      <w:pPr>
        <w:spacing w:after="40"/>
      </w:pPr>
    </w:p>
    <w:p>
      <w:pPr>
        <w:pStyle w:val="Heading4"/>
      </w:pPr>
      <w:r>
        <w:t>1.2 Ciclo de control de A&amp;B (hoteles / F&amp;B)</w:t>
      </w:r>
    </w:p>
    <w:p>
      <w:r>
        <w:t>Ciclo de 8 pasos: compra → recepción → almacenamiento → requisición (issuing) → preparación/producción → servicio → venta → contabilidad/control. [EVIDENCIA] Añade explícitamente la venta y la contabilidad como pasos, y cierra con control de costos.</w:t>
      </w:r>
    </w:p>
    <w:p>
      <w:pPr>
        <w:spacing w:after="40"/>
      </w:pPr>
    </w:p>
    <w:p>
      <w:pPr>
        <w:pStyle w:val="Heading4"/>
      </w:pPr>
      <w:r>
        <w:t>1.3 Cadena de valor del restaurante (full service)</w:t>
      </w:r>
    </w:p>
    <w:p>
      <w:r>
        <w:t>Proveedores → compra → recepción → almacenamiento → preparación/cocción → servicio (emplatado/mesa) → experiencia ; con lazo de control de food cost. [EVIDENCIA]</w:t>
      </w:r>
    </w:p>
    <w:p>
      <w:pPr>
        <w:spacing w:after="40"/>
      </w:pPr>
    </w:p>
    <w:p>
      <w:pPr>
        <w:pStyle w:val="Heading4"/>
      </w:pPr>
      <w:r>
        <w:t>1.4 Catering / banquetes</w:t>
      </w:r>
    </w:p>
    <w:p>
      <w:r>
        <w:t>Planificación y menú → aprovisionamiento → producción → transporte/montaje → servicio del evento → desmontaje/limpieza, con puntos de inocuidad en cada etapa. [EVIDENCIA] Introduce transporte, montaje y desmontaje como variantes del "servicio/distribución".</w:t>
      </w:r>
    </w:p>
    <w:p>
      <w:pPr>
        <w:spacing w:after="40"/>
      </w:pPr>
    </w:p>
    <w:p>
      <w:pPr>
        <w:pStyle w:val="Heading4"/>
      </w:pPr>
      <w:r>
        <w:t>1.5 Dark kitchen / cloud / ghost</w:t>
      </w:r>
    </w:p>
    <w:p>
      <w:r>
        <w:t>Ingreso de pedido (digital) → preparación → cocción → empaque → despacho/entrega. Sin sala ni servicio de mesa; el "servicio" se transforma en cumplimiento/entrega (fulfillment) y la toma de pedido es digital. [EVIDENCIA]</w:t>
      </w:r>
    </w:p>
    <w:p>
      <w:pPr>
        <w:spacing w:after="40"/>
      </w:pPr>
    </w:p>
    <w:p>
      <w:pPr>
        <w:pStyle w:val="Heading4"/>
      </w:pPr>
      <w:r>
        <w:t>1.6 Tipos de sistema de producción (fuente de variación)</w:t>
      </w:r>
    </w:p>
    <w:p>
      <w:r>
        <w:t>Cuatro tipos clásicos (Spears): convencional (cocina in situ y sirve), ready-prepared/cook-chill (cocina y enfría para regenerar), commissary (producción centralizada y distribución a satélites), assembly-serve (compra preparado y solo ensambla/calienta). [EVIDENCIA] Muestran que el subproceso de PRODUCCIÓN varía en forma, no en existencia.</w:t>
      </w:r>
    </w:p>
    <w:p>
      <w:pPr>
        <w:spacing w:after="40"/>
      </w:pPr>
    </w:p>
    <w:p>
      <w:r>
        <w:t>---</w:t>
      </w:r>
    </w:p>
    <w:p>
      <w:pPr>
        <w:spacing w:after="40"/>
      </w:pPr>
    </w:p>
    <w:p>
      <w:pPr>
        <w:pStyle w:val="Heading3"/>
      </w:pPr>
      <w:r>
        <w:t>2. Matriz comparativa de macroprocesos por tipo de establecimiento</w:t>
      </w:r>
    </w:p>
    <w:p>
      <w:pPr>
        <w:spacing w:after="40"/>
      </w:pPr>
    </w:p>
    <w:p>
      <w:r>
        <w:t>Leyenda: ● presente y central · ◑ presente con variación fuerte de modo · ○ reducido/ tercerizado · — ausente en sentido literal (subsumido en otro).</w:t>
      </w:r>
    </w:p>
    <w:p>
      <w:pPr>
        <w:spacing w:after="40"/>
      </w:pPr>
    </w:p>
    <w:p>
      <w:pPr>
        <w:spacing w:after="20" w:line="240" w:lineRule="auto"/>
      </w:pPr>
      <w:r>
        <w:rPr>
          <w:rFonts w:ascii="Consolas" w:hAnsi="Consolas"/>
          <w:sz w:val="14"/>
        </w:rPr>
        <w:t>| Macroproceso candidato | Restaurante full-service | Fast food / QSR | Hotel F&amp;B / banquete | Catering | Cafetería / institucional | Dark kitchen | Commissary / central |</w:t>
      </w:r>
    </w:p>
    <w:p>
      <w:pPr>
        <w:spacing w:after="20" w:line="240" w:lineRule="auto"/>
      </w:pPr>
      <w:r>
        <w:rPr>
          <w:rFonts w:ascii="Consolas" w:hAnsi="Consolas"/>
          <w:sz w:val="14"/>
        </w:rPr>
        <w:t>|---|---|---|---|---|---|---|---|</w:t>
      </w:r>
    </w:p>
    <w:p>
      <w:pPr>
        <w:spacing w:after="20" w:line="240" w:lineRule="auto"/>
      </w:pPr>
      <w:r>
        <w:rPr>
          <w:rFonts w:ascii="Consolas" w:hAnsi="Consolas"/>
          <w:sz w:val="14"/>
        </w:rPr>
        <w:t>| **P1 Planificación y menú / pronóstico de demanda** | ● | ● | ● | ● | ● | ● | ● |</w:t>
      </w:r>
    </w:p>
    <w:p>
      <w:pPr>
        <w:spacing w:after="20" w:line="240" w:lineRule="auto"/>
      </w:pPr>
      <w:r>
        <w:rPr>
          <w:rFonts w:ascii="Consolas" w:hAnsi="Consolas"/>
          <w:sz w:val="14"/>
        </w:rPr>
        <w:t>| **P2 Aprovisionamiento (compra/proveedores)** | ● | ● | ● | ● | ● | ● | ● |</w:t>
      </w:r>
    </w:p>
    <w:p>
      <w:pPr>
        <w:spacing w:after="20" w:line="240" w:lineRule="auto"/>
      </w:pPr>
      <w:r>
        <w:rPr>
          <w:rFonts w:ascii="Consolas" w:hAnsi="Consolas"/>
          <w:sz w:val="14"/>
        </w:rPr>
        <w:t>| **P3 Recepción, almacenamiento e inventario** | ● | ● | ● | ● | ● | ● | ● |</w:t>
      </w:r>
    </w:p>
    <w:p>
      <w:pPr>
        <w:spacing w:after="20" w:line="240" w:lineRule="auto"/>
      </w:pPr>
      <w:r>
        <w:rPr>
          <w:rFonts w:ascii="Consolas" w:hAnsi="Consolas"/>
          <w:sz w:val="14"/>
        </w:rPr>
        <w:t>| **P4 Producción / preparación** | ● | ● | ● | ● | ● | ● | ● (centralizada) |</w:t>
      </w:r>
    </w:p>
    <w:p>
      <w:pPr>
        <w:spacing w:after="20" w:line="240" w:lineRule="auto"/>
      </w:pPr>
      <w:r>
        <w:rPr>
          <w:rFonts w:ascii="Consolas" w:hAnsi="Consolas"/>
          <w:sz w:val="14"/>
        </w:rPr>
        <w:t>| **P5 Distribución / servicio / cumplimiento** | ◑ (mesa) | ◑ (mostrador) | ◑ (mesa/banquete) | ◑ (transporte/evento) | ◑ (línea/self) | ◑ (despacho/entrega) | ◑ (transporte a satélites) |</w:t>
      </w:r>
    </w:p>
    <w:p>
      <w:pPr>
        <w:spacing w:after="20" w:line="240" w:lineRule="auto"/>
      </w:pPr>
      <w:r>
        <w:rPr>
          <w:rFonts w:ascii="Consolas" w:hAnsi="Consolas"/>
          <w:sz w:val="14"/>
        </w:rPr>
        <w:t>| **P6 Venta / transacción / gestión de pedido** | ● | ● | ● | ● | ◑ (cargo/no comercial) | ● | ○ (requisición interna) |</w:t>
      </w:r>
    </w:p>
    <w:p>
      <w:pPr>
        <w:spacing w:after="20" w:line="240" w:lineRule="auto"/>
      </w:pPr>
      <w:r>
        <w:rPr>
          <w:rFonts w:ascii="Consolas" w:hAnsi="Consolas"/>
          <w:sz w:val="14"/>
        </w:rPr>
        <w:t>| **P7 Inocuidad, higiene y sanitización** (transversal) | ● | ● | ● | ● | ● | ● | ● |</w:t>
      </w:r>
    </w:p>
    <w:p>
      <w:pPr>
        <w:spacing w:after="20" w:line="240" w:lineRule="auto"/>
      </w:pPr>
      <w:r>
        <w:rPr>
          <w:rFonts w:ascii="Consolas" w:hAnsi="Consolas"/>
          <w:sz w:val="14"/>
        </w:rPr>
        <w:t>| **P8 Mantenimiento (equipos/instalación)** | ● | ● | ● | ● | ● | ● | ● |</w:t>
      </w:r>
    </w:p>
    <w:p>
      <w:pPr>
        <w:spacing w:after="20" w:line="240" w:lineRule="auto"/>
      </w:pPr>
      <w:r>
        <w:rPr>
          <w:rFonts w:ascii="Consolas" w:hAnsi="Consolas"/>
          <w:sz w:val="14"/>
        </w:rPr>
        <w:t>| **P9 Gestión (finanzas/costos, RRHH, marketing, calidad/control)** (transversal) | ● | ● | ● | ● | ● | ● | ● |</w:t>
      </w:r>
    </w:p>
    <w:p>
      <w:pPr>
        <w:spacing w:after="40"/>
      </w:pPr>
    </w:p>
    <w:p>
      <w:r>
        <w:t>Lectura ([ANÁLISIS]): ninguna columna omite P1–P4, P7–P9. La variación se concentra en P5 (modo de entrega del valor) y parcialmente en P6 (venta vs. requisición no comercial). Es decir, lo que varía no es la existencia del proceso sino su realización, tal como predice el modelo de Spears.</w:t>
      </w:r>
    </w:p>
    <w:p>
      <w:pPr>
        <w:spacing w:after="40"/>
      </w:pPr>
    </w:p>
    <w:p>
      <w:r>
        <w:t>---</w:t>
      </w:r>
    </w:p>
    <w:p>
      <w:pPr>
        <w:spacing w:after="40"/>
      </w:pPr>
    </w:p>
    <w:p>
      <w:pPr>
        <w:pStyle w:val="Heading3"/>
      </w:pPr>
      <w:r>
        <w:t>3. Análisis de invariancia</w:t>
      </w:r>
    </w:p>
    <w:p>
      <w:pPr>
        <w:spacing w:after="40"/>
      </w:pPr>
    </w:p>
    <w:p>
      <w:r>
        <w:t>Procesos casi perfectamente invariantes (existencia): P2 aprovisionamiento, P3 recepción/almacenamiento, P4 producción, P7 inocuidad. Aparecen en el 100% de los modelos y en las cuatro tradiciones (académica, hotelera, catering, delivery). [ANÁLISIS, alta confianza]</w:t>
      </w:r>
    </w:p>
    <w:p>
      <w:pPr>
        <w:spacing w:after="40"/>
      </w:pPr>
    </w:p>
    <w:p>
      <w:r>
        <w:t>Procesos invariantes en existencia pero variables en forma:</w:t>
      </w:r>
    </w:p>
    <w:p>
      <w:pPr>
        <w:pStyle w:val="ListBullet"/>
      </w:pPr>
      <w:r>
        <w:t>P5 Distribución/servicio/cumplimiento — es el proceso con mayor divergencia de modo: servicio de mesa, mostrador, línea de autoservicio, banquete, transporte a evento, despacho a domicilio. Solo es universal si se define en un nivel de abstracción alto: "entrega del producto/servicio al consumidor" (la relación Establecimiento→Producto/Servicio→Cliente de la ontología D-006-REV). A nivel de actividad concreta, NO es universal (una dark kitchen no tiene servicio de mesa). [ANÁLISIS crítico]</w:t>
      </w:r>
    </w:p>
    <w:p>
      <w:pPr>
        <w:pStyle w:val="ListBullet"/>
      </w:pPr>
      <w:r>
        <w:t>P6 Venta/transacción — universal en foodservice comercial; en foodservice no comercial/institucional (hospital, escuela, comedor) se transforma en requisición/cargo interno, no venta. Universal solo como "transacción/entrega de la comida al comensal", no como "venta". [ANÁLISIS]</w:t>
      </w:r>
    </w:p>
    <w:p>
      <w:pPr>
        <w:spacing w:after="40"/>
      </w:pPr>
    </w:p>
    <w:p>
      <w:r>
        <w:t>Procesos transversales (no secuenciales): P7 inocuidad, P8 mantenimiento y P9 gestión atraviesan todas las etapas (la inocuidad tiene puntos de control en cada paso, según catering y HACCP). No son "eslabones" sino planos que envuelven la cadena. [ANÁLISIS]</w:t>
      </w:r>
    </w:p>
    <w:p>
      <w:pPr>
        <w:spacing w:after="40"/>
      </w:pPr>
    </w:p>
    <w:p>
      <w:r>
        <w:t>*El determinante de la variación es el tipo de sistema de producción (§1.6), no la categoría comercial: convencional, cook-chill, commissary y assembly-serve reconfiguran P4–P5 (dónde y cuándo se produce y se entrega), pero preservan P1–P3 y P6–P9. [ANÁLISIS]*</w:t>
      </w:r>
    </w:p>
    <w:p>
      <w:pPr>
        <w:spacing w:after="40"/>
      </w:pPr>
    </w:p>
    <w:p>
      <w:r>
        <w:t>---</w:t>
      </w:r>
    </w:p>
    <w:p>
      <w:pPr>
        <w:spacing w:after="40"/>
      </w:pPr>
    </w:p>
    <w:p>
      <w:pPr>
        <w:pStyle w:val="Heading3"/>
      </w:pPr>
      <w:r>
        <w:t>4. Núcleo universal candidato</w:t>
      </w:r>
    </w:p>
    <w:p>
      <w:pPr>
        <w:spacing w:after="40"/>
      </w:pPr>
    </w:p>
    <w:p>
      <w:r>
        <w:t>Al nivel de abstracción de subsistemas funcionales (no de actividades concretas), la literatura sostiene un núcleo común. Se propone —como hipótesis a validar, no como diseño— el siguiente núcleo ([PROPUESTA/PENDIENTE]):</w:t>
      </w:r>
    </w:p>
    <w:p>
      <w:pPr>
        <w:spacing w:after="40"/>
      </w:pPr>
    </w:p>
    <w:p>
      <w:r>
        <w:t>Cadena primaria de valor (secuencial):</w:t>
      </w:r>
    </w:p>
    <w:p>
      <w:pPr>
        <w:pStyle w:val="ListNumber"/>
      </w:pPr>
      <w:r>
        <w:t>Planificación y menú / demanda (P1)</w:t>
      </w:r>
    </w:p>
    <w:p>
      <w:pPr>
        <w:pStyle w:val="ListNumber"/>
      </w:pPr>
      <w:r>
        <w:t>Aprovisionamiento (P2)</w:t>
      </w:r>
    </w:p>
    <w:p>
      <w:pPr>
        <w:pStyle w:val="ListNumber"/>
      </w:pPr>
      <w:r>
        <w:t>Recepción, almacenamiento e inventario (P3)</w:t>
      </w:r>
    </w:p>
    <w:p>
      <w:pPr>
        <w:pStyle w:val="ListNumber"/>
      </w:pPr>
      <w:r>
        <w:t>Producción / preparación (P4)</w:t>
      </w:r>
    </w:p>
    <w:p>
      <w:pPr>
        <w:pStyle w:val="ListNumber"/>
      </w:pPr>
      <w:r>
        <w:t>Distribución / servicio / cumplimiento (P5) — definido en abstracto como "entrega de valor al consumidor"</w:t>
      </w:r>
    </w:p>
    <w:p>
      <w:pPr>
        <w:pStyle w:val="ListNumber"/>
      </w:pPr>
      <w:r>
        <w:t>Transacción / cierre (P6) — venta o requisición según comercial/no comercial</w:t>
      </w:r>
    </w:p>
    <w:p>
      <w:pPr>
        <w:spacing w:after="40"/>
      </w:pPr>
    </w:p>
    <w:p>
      <w:r>
        <w:t>Planos transversales (envuelven la cadena):</w:t>
      </w:r>
    </w:p>
    <w:p>
      <w:pPr>
        <w:pStyle w:val="ListBullet"/>
      </w:pPr>
      <w:r>
        <w:t>A. Inocuidad, higiene y sanitización (P7) — con puntos de control en cada eslabón.</w:t>
      </w:r>
    </w:p>
    <w:p>
      <w:pPr>
        <w:pStyle w:val="ListBullet"/>
      </w:pPr>
      <w:r>
        <w:t>B. Mantenimiento de equipos e instalación (P8).</w:t>
      </w:r>
    </w:p>
    <w:p>
      <w:pPr>
        <w:pStyle w:val="ListBullet"/>
      </w:pPr>
      <w:r>
        <w:t>C. Gestión y control (P9): finanzas/costos, personas (RRHH), marketing/cliente, calidad/retroalimentación.</w:t>
      </w:r>
    </w:p>
    <w:p>
      <w:pPr>
        <w:spacing w:after="40"/>
      </w:pPr>
    </w:p>
    <w:p>
      <w:r>
        <w:t>Este núcleo es consistente con las cuatro tradiciones revisadas y reproduce, generalizándolo, el modelo de Spears &amp; Gregoire (aprovisionamiento / producción / distribución-servicio / inocuidad-sanitización-mantenimiento + funciones de gestión). Su solidez proviene de que coincide de forma independiente en fuentes académicas, hoteleras, de catering y de delivery. [ANÁLISIS]</w:t>
      </w:r>
    </w:p>
    <w:p>
      <w:pPr>
        <w:spacing w:after="40"/>
      </w:pPr>
    </w:p>
    <w:p>
      <w:r>
        <w:t>---</w:t>
      </w:r>
    </w:p>
    <w:p>
      <w:pPr>
        <w:spacing w:after="40"/>
      </w:pPr>
    </w:p>
    <w:p>
      <w:pPr>
        <w:pStyle w:val="Heading3"/>
      </w:pPr>
      <w:r>
        <w:t>5. Dictamen: ¿existe un núcleo universal que pueda ser base del GOEI?</w:t>
      </w:r>
    </w:p>
    <w:p>
      <w:pPr>
        <w:spacing w:after="40"/>
      </w:pPr>
    </w:p>
    <w:p>
      <w:r>
        <w:t>Sí, condicionado al nivel de abstracción. ([ANÁLISIS])</w:t>
      </w:r>
    </w:p>
    <w:p>
      <w:pPr>
        <w:spacing w:after="40"/>
      </w:pPr>
    </w:p>
    <w:p>
      <w:pPr>
        <w:pStyle w:val="ListBullet"/>
      </w:pPr>
      <w:r>
        <w:t>A nivel de subsistema funcional: existe un núcleo común robusto (P1–P4, P7–P9 casi perfectos; P5–P6 universales bajo abstracción adecuada). Es defendible como columna vertebral de procesos del GOEI y tiene respaldo en un modelo académico consolidado (Spears &amp; Gregoire). [ANÁLISIS]</w:t>
      </w:r>
    </w:p>
    <w:p>
      <w:pPr>
        <w:pStyle w:val="ListBullet"/>
      </w:pPr>
      <w:r>
        <w:t>A nivel de actividad concreta: NO existe universalidad —el servicio de mesa, la entrega a domicilio o el transporte de banquete son mutuamente excluyentes. Un GOEI que fije procesos a nivel de actividad fracasaría en comparabilidad entre categorías (viola el propósito). [ANÁLISIS crítico]</w:t>
      </w:r>
    </w:p>
    <w:p>
      <w:pPr>
        <w:spacing w:after="40"/>
      </w:pPr>
    </w:p>
    <w:p>
      <w:r>
        <w:t>Consecuencia de diseño (para fases posteriores, sin ejecutarla aún): la matriz de procesos del GOEI debería definirse en dos niveles: un núcleo universal a nivel de subsistema (invariante, base de comparabilidad entre categorías) y realizaciones específicas por categoría/tipo de sistema de producción (variables). Esto encaja con la arquitectura D-005 (núcleo universal + KPI específicos por categoría) y con la ontología D-006 (Tipo de proceso → Ejecución de proceso).</w:t>
      </w:r>
    </w:p>
    <w:p>
      <w:pPr>
        <w:spacing w:after="40"/>
      </w:pPr>
    </w:p>
    <w:p>
      <w:r>
        <w:t>Riesgos y límites del hallazgo (honestidad metodológica):</w:t>
      </w:r>
    </w:p>
    <w:p>
      <w:pPr>
        <w:pStyle w:val="ListNumber"/>
      </w:pPr>
      <w:r>
        <w:t>Revisión amplia, no PRISMA-formal: el núcleo es una hipótesis fundamentada, no un hecho cerrado. Requiere revisión sistemática + consenso de expertos (Fase 1 / Fase de validación).</w:t>
      </w:r>
    </w:p>
    <w:p>
      <w:pPr>
        <w:pStyle w:val="ListNumber"/>
      </w:pPr>
      <w:r>
        <w:t>Fuentes en parte profesionales/de industria junto a la académica; hay que elevar la proporción de fuentes primarias revisadas.</w:t>
      </w:r>
    </w:p>
    <w:p>
      <w:pPr>
        <w:pStyle w:val="ListNumber"/>
      </w:pPr>
      <w:r>
        <w:t>P5 y P6 son los puntos frágiles de la universalidad; su definición abstracta debe validarse para no vaciarse de contenido.</w:t>
      </w:r>
    </w:p>
    <w:p>
      <w:pPr>
        <w:pStyle w:val="ListNumber"/>
      </w:pPr>
      <w:r>
        <w:t>El foodservice no comercial (hospital, escuela, penitenciario, aéreo) puede tensionar P6 y parte de P9 (marketing): confirmar si entra en el alcance del GOEI (decisión de taxonomía, N2).</w:t>
      </w:r>
    </w:p>
    <w:p>
      <w:pPr>
        <w:spacing w:after="40"/>
      </w:pPr>
    </w:p>
    <w:p>
      <w:r>
        <w:t>Veredicto: hay base suficiente para hipotetizar un núcleo universal de macroprocesos al nivel de subsistema funcional, apto como fundamento del GOEI, siempre que se defina en dos niveles (universal + específico) y se someta a validación sistemática y de expertos antes de fijarse como normativo.</w:t>
      </w:r>
    </w:p>
    <w:p>
      <w:pPr>
        <w:spacing w:after="40"/>
      </w:pPr>
    </w:p>
    <w:p>
      <w:r>
        <w:t>---</w:t>
      </w:r>
    </w:p>
    <w:p>
      <w:pPr>
        <w:spacing w:after="40"/>
      </w:pPr>
    </w:p>
    <w:p>
      <w:pPr>
        <w:pStyle w:val="Heading3"/>
      </w:pPr>
      <w:r>
        <w:t>6. Preguntas que hereda la fase de taxonomía/procesos</w:t>
      </w:r>
    </w:p>
    <w:p>
      <w:pPr>
        <w:spacing w:after="40"/>
      </w:pPr>
    </w:p>
    <w:p>
      <w:pPr>
        <w:pStyle w:val="ListNumber"/>
      </w:pPr>
      <w:r>
        <w:t>¿El alcance del GOEI incluye foodservice no comercial (institucional)? Decide si P6 se define como "venta" o como "transacción/entrega".</w:t>
      </w:r>
    </w:p>
    <w:p>
      <w:pPr>
        <w:pStyle w:val="ListNumber"/>
      </w:pPr>
      <w:r>
        <w:t>¿La matriz de procesos se estructura en dos niveles (núcleo de subsistema + realización por categoría), como sugiere el análisis?</w:t>
      </w:r>
    </w:p>
    <w:p>
      <w:pPr>
        <w:pStyle w:val="ListNumber"/>
      </w:pPr>
      <w:r>
        <w:t>¿El tipo de sistema de producción (convencional/cook-chill/commissary/assembly-serve) es un eje de la taxonomía (N2), dado que es el principal determinante de variación de P4–P5?</w:t>
      </w:r>
    </w:p>
    <w:p>
      <w:pPr>
        <w:pStyle w:val="ListNumber"/>
      </w:pPr>
      <w:r>
        <w:t>¿P7 (inocuidad) se modela como proceso transversal y además como regla crítica no compensatoria (coherente con AX-4)? Doble rol a resolver.</w:t>
      </w:r>
    </w:p>
    <w:p>
      <w:pPr>
        <w:spacing w:after="40"/>
      </w:pPr>
    </w:p>
    <w:p>
      <w:r>
        <w:t>---</w:t>
      </w:r>
    </w:p>
    <w:p>
      <w:pPr>
        <w:spacing w:after="40"/>
      </w:pPr>
    </w:p>
    <w:p>
      <w:pPr>
        <w:pStyle w:val="Heading4"/>
      </w:pPr>
      <w:r>
        <w:t>Fuentes</w:t>
      </w:r>
    </w:p>
    <w:p>
      <w:pPr>
        <w:spacing w:after="40"/>
      </w:pPr>
    </w:p>
    <w:p>
      <w:pPr>
        <w:pStyle w:val="ListBullet"/>
      </w:pPr>
      <w:r>
        <w:t>Spears, M. &amp; Gregoire, M., Foodservice Organizations: A Managerial and Systems Approach — modelo de sistemas de foodservice y subsistemas funcionales. https://www.amazon.com/Foodservice-Organizations-Managerial-Systems-Approach/dp/0134038940 · https://www.semanticscholar.org/paper/Foodservice-Organizations:-A-Managerial-and-Systems-Gregoire/39440d81540bee8224eed8b189deb9cbe4ed32db</w:t>
      </w:r>
    </w:p>
    <w:p>
      <w:pPr>
        <w:pStyle w:val="ListBullet"/>
      </w:pPr>
      <w:r>
        <w:t>Tipos de sistema de foodservice (convencional, ready-prepared, commissary, assembly-serve). https://ecampusontario.pressbooks.pub/facilitiesmgmtfoodservice/chapter/2-3-food-production-systems/</w:t>
      </w:r>
    </w:p>
    <w:p>
      <w:pPr>
        <w:pStyle w:val="ListBullet"/>
      </w:pPr>
      <w:r>
        <w:t>Ciclo de control de A&amp;B (hoteles): compra→recepción→almacenamiento→requisición→producción→servicio→venta→contabilidad. https://www.tutorialspoint.com/food_and_beverage_services/food_and_beverage_services_operations.htm · https://www.goodfellowpublishers.com/free_files/Chapter%201-0f65228346ab6a401eb5193068256e5b.pdf</w:t>
      </w:r>
    </w:p>
    <w:p>
      <w:pPr>
        <w:pStyle w:val="ListBullet"/>
      </w:pPr>
      <w:r>
        <w:t>Cadena de valor del restaurante / flujo de operaciones. https://umbrex.com/resources/how-industries-work/how-the-full-service-restaurant-industry-works/</w:t>
      </w:r>
    </w:p>
    <w:p>
      <w:pPr>
        <w:pStyle w:val="ListBullet"/>
      </w:pPr>
      <w:r>
        <w:t>Operaciones de catering (planificación→aprovisionamiento→producción→transporte/montaje→servicio→desmontaje; inocuidad en cada etapa). https://fsm.how/catering-facility/catering-systems-hospitality-industry/</w:t>
      </w:r>
    </w:p>
    <w:p>
      <w:pPr>
        <w:pStyle w:val="ListBullet"/>
      </w:pPr>
      <w:r>
        <w:t>Operaciones de dark kitchen / cloud / ghost (pedido→prep→cocción→empaque→despacho). https://cloudkitchens.com/blog/ultimate-guide-to-ghost-kitchens · https://www.deliverect.com/en/blog/dark-kitchens/dark-kitchen-business-models-and-how-they-work</w:t>
      </w:r>
    </w:p>
    <w:p>
      <w:pPr>
        <w:spacing w:after="40"/>
      </w:pPr>
    </w:p>
    <w:p>
      <w:r>
        <w:t>Verificación pendiente (Fase 1): elevar proporción de fuentes primarias revisadas por pares; confirmar edición vigente de Spears &amp; Gregoire; ejecutar revisión sistemática PRISMA de modelos de procesos en foodservice antes de fijar el núcleo como normativo.</w:t>
      </w:r>
    </w:p>
    <w:p>
      <w:r>
        <w:br w:type="page"/>
      </w:r>
    </w:p>
    <w:p>
      <w:pPr>
        <w:pStyle w:val="Heading1"/>
        <w:keepNext/>
      </w:pPr>
      <w:r>
        <w:t>Fuente 97: 04_Procesos_gastronomicos/README.md</w:t>
      </w:r>
    </w:p>
    <w:p>
      <w:pPr>
        <w:spacing w:after="200"/>
      </w:pPr>
      <w:r>
        <w:rPr>
          <w:rFonts w:ascii="Consolas" w:hAnsi="Consolas"/>
          <w:color w:val="595959"/>
          <w:sz w:val="16"/>
        </w:rPr>
        <w:t>Ruta: 04_Procesos_gastronomicos/README.md</w:t>
        <w:br/>
        <w:t>Tamaño: 160 bytes</w:t>
        <w:br/>
        <w:t>SHA-256: 237509a44b6f56d23f2d3753650791f2ab5c3542a9aa02e5b8c3c25e596bf73b</w:t>
      </w:r>
    </w:p>
    <w:p>
      <w:pPr>
        <w:pStyle w:val="Heading2"/>
      </w:pPr>
      <w:r>
        <w:t>Procesos gastronómicos</w:t>
      </w:r>
    </w:p>
    <w:p>
      <w:pPr>
        <w:spacing w:after="40"/>
      </w:pPr>
    </w:p>
    <w:p>
      <w:r>
        <w:t>Contenedor del componente N3 propuesto en D-005. Bloqueado: requiere alcance y método de descomposición de procesos aprobados.</w:t>
      </w:r>
    </w:p>
    <w:p>
      <w:r>
        <w:br w:type="page"/>
      </w:r>
    </w:p>
    <w:p>
      <w:pPr>
        <w:pStyle w:val="Heading1"/>
        <w:keepNext/>
      </w:pPr>
      <w:r>
        <w:t>Fuente 98: 05_Catalogo_KPI/GOEI_Catalogo_KPI_Candidatos_B3.md</w:t>
      </w:r>
    </w:p>
    <w:p>
      <w:pPr>
        <w:spacing w:after="200"/>
      </w:pPr>
      <w:r>
        <w:rPr>
          <w:rFonts w:ascii="Consolas" w:hAnsi="Consolas"/>
          <w:color w:val="595959"/>
          <w:sz w:val="16"/>
        </w:rPr>
        <w:t>Ruta: 05_Catalogo_KPI/GOEI_Catalogo_KPI_Candidatos_B3.md</w:t>
        <w:br/>
        <w:t>Tamaño: 36174 bytes</w:t>
        <w:br/>
        <w:t>SHA-256: 6a32e14583c883e243bbddd4fafc68de301449f82824e34bfacbd4e6f21c3106</w:t>
      </w:r>
    </w:p>
    <w:p>
      <w:pPr>
        <w:pStyle w:val="Heading2"/>
      </w:pPr>
      <w:r>
        <w:t>GOEI · Catálogo de KPI Candidatos (B3)</w:t>
      </w:r>
    </w:p>
    <w:p>
      <w:pPr>
        <w:pStyle w:val="Heading3"/>
      </w:pPr>
      <w:r>
        <w:t>Inventario trazable, no normativo, del universo candidato de indicadores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`GOEI-CAT-KPI-C-0001` |</w:t>
      </w:r>
    </w:p>
    <w:p>
      <w:pPr>
        <w:spacing w:after="20" w:line="240" w:lineRule="auto"/>
      </w:pPr>
      <w:r>
        <w:rPr>
          <w:rFonts w:ascii="Consolas" w:hAnsi="Consolas"/>
          <w:sz w:val="14"/>
        </w:rPr>
        <w:t>| Subfase | B3 — Universo y catálogo candidato de KPI |</w:t>
      </w:r>
    </w:p>
    <w:p>
      <w:pPr>
        <w:spacing w:after="20" w:line="240" w:lineRule="auto"/>
      </w:pPr>
      <w:r>
        <w:rPr>
          <w:rFonts w:ascii="Consolas" w:hAnsi="Consolas"/>
          <w:sz w:val="14"/>
        </w:rPr>
        <w:t>| Versión | 0.1.0 (candidata) |</w:t>
      </w:r>
    </w:p>
    <w:p>
      <w:pPr>
        <w:spacing w:after="20" w:line="240" w:lineRule="auto"/>
      </w:pPr>
      <w:r>
        <w:rPr>
          <w:rFonts w:ascii="Consolas" w:hAnsi="Consolas"/>
          <w:sz w:val="14"/>
        </w:rPr>
        <w:t>| Fecha | 2026-08-04 |</w:t>
      </w:r>
    </w:p>
    <w:p>
      <w:pPr>
        <w:spacing w:after="20" w:line="240" w:lineRule="auto"/>
      </w:pPr>
      <w:r>
        <w:rPr>
          <w:rFonts w:ascii="Consolas" w:hAnsi="Consolas"/>
          <w:sz w:val="14"/>
        </w:rPr>
        <w:t>| Estado de todos los registros | **CANDIDATO** |</w:t>
      </w:r>
    </w:p>
    <w:p>
      <w:pPr>
        <w:spacing w:after="20" w:line="240" w:lineRule="auto"/>
      </w:pPr>
      <w:r>
        <w:rPr>
          <w:rFonts w:ascii="Consolas" w:hAnsi="Consolas"/>
          <w:sz w:val="14"/>
        </w:rPr>
        <w:t>| Autoría | Comité Científico GOEI |</w:t>
      </w:r>
    </w:p>
    <w:p>
      <w:pPr>
        <w:spacing w:after="20" w:line="240" w:lineRule="auto"/>
      </w:pPr>
      <w:r>
        <w:rPr>
          <w:rFonts w:ascii="Consolas" w:hAnsi="Consolas"/>
          <w:sz w:val="14"/>
        </w:rPr>
        <w:t>| Dependencias | `GOEI-BSL-PROC-0001 v0.1.0` (P1–P9); `GOEI-BSL-TAX-0001 v0.1.0` (FX-1/2/3); D-006/D-006-REV; `GOEI-PMM-0001` (PM16) |</w:t>
      </w:r>
    </w:p>
    <w:p>
      <w:pPr>
        <w:spacing w:after="40"/>
      </w:pPr>
    </w:p>
    <w:p>
      <w:pPr>
        <w:spacing w:after="100"/>
        <w:ind w:left="360" w:right="216"/>
      </w:pPr>
      <w:r>
        <w:rPr>
          <w:i/>
          <w:color w:val="595959"/>
        </w:rPr>
        <w:t>Naturaleza. Inventario documental. No declara admisibilidad, no crea fórmula GOEI, pesos, puntajes, referencias GTRM, umbrales ni rangos. Numerador/denominador se transcriben sólo cuando la fuente los provee; en caso contrario se declara no provisto por la fuente. No se fabrican definiciones faltantes.</w:t>
      </w:r>
    </w:p>
    <w:p>
      <w:pPr>
        <w:spacing w:after="100"/>
        <w:ind w:left="360" w:right="216"/>
      </w:pPr>
      <w:r>
        <w:rPr>
          <w:i/>
          <w:color w:val="595959"/>
        </w:rPr>
        <w:t>Unidad de referencia. Establecimiento (token, D-006). Agregación multiunidad/multi-marca/flujo: BLOQUEADA (GOEI-ISS-008).</w:t>
      </w:r>
    </w:p>
    <w:p>
      <w:pPr>
        <w:spacing w:after="100"/>
        <w:ind w:left="360" w:right="216"/>
      </w:pPr>
      <w:r>
        <w:rPr>
          <w:i/>
          <w:color w:val="595959"/>
        </w:rPr>
        <w:t>Alcance taxonómico. Sólo se declara la faceta que condiciona la realización (identidad FX-1/2/3). Los valores concretos de faceta están BLOQUEADOS (GOEI-ISS-054).</w:t>
      </w:r>
    </w:p>
    <w:p>
      <w:pPr>
        <w:spacing w:after="100"/>
        <w:ind w:left="360" w:right="216"/>
      </w:pPr>
      <w:r>
        <w:rPr>
          <w:i/>
          <w:color w:val="595959"/>
        </w:rPr>
        <w:t>Etiquetas de evidencia: [NORMA] · [EVIDENCIA] · [MARCO] · [ANÁLISIS].</w:t>
      </w:r>
    </w:p>
    <w:p>
      <w:pPr>
        <w:spacing w:after="40"/>
      </w:pPr>
    </w:p>
    <w:p>
      <w:pPr>
        <w:pStyle w:val="Heading3"/>
      </w:pPr>
      <w:r>
        <w:t>Esquema de cada ficha</w:t>
      </w:r>
    </w:p>
    <w:p>
      <w:pPr>
        <w:spacing w:after="40"/>
      </w:pPr>
    </w:p>
    <w:p>
      <w:r>
        <w:t>ID · Nombre fuente · Definición encontrada · Unidad declarada · Numerador/Denominador (si la fuente los da) · Proceso P1–P9 · Alcance taxonómico permitido (faceta) · Fuente APA 7 (DOI/URL) · Requisitos de datos · Frecuencia (si consta) · Limitaciones · Duplicados/Sinónimos · Evidencia · Estado.</w:t>
      </w:r>
    </w:p>
    <w:p>
      <w:pPr>
        <w:spacing w:after="40"/>
      </w:pPr>
    </w:p>
    <w:p>
      <w:r>
        <w:t>---</w:t>
      </w:r>
    </w:p>
    <w:p>
      <w:pPr>
        <w:spacing w:after="40"/>
      </w:pPr>
    </w:p>
    <w:p>
      <w:pPr>
        <w:pStyle w:val="Heading3"/>
      </w:pPr>
      <w:r>
        <w:t>P1 — Planificación y menú / demanda</w:t>
      </w:r>
    </w:p>
    <w:p>
      <w:pPr>
        <w:spacing w:after="40"/>
      </w:pPr>
    </w:p>
    <w:p>
      <w:pPr>
        <w:pStyle w:val="Heading4"/>
      </w:pPr>
      <w:r>
        <w:t>GOEI-KPI-C-001 — Margen de contribución por ítem de menú</w:t>
      </w:r>
    </w:p>
    <w:p>
      <w:pPr>
        <w:pStyle w:val="ListBullet"/>
      </w:pPr>
      <w:r>
        <w:t>Nombre fuente: Contribution margin (menu engineering).</w:t>
      </w:r>
    </w:p>
    <w:p>
      <w:pPr>
        <w:pStyle w:val="ListBullet"/>
      </w:pPr>
      <w:r>
        <w:t>Definición encontrada: ganancia unitaria de un ítem del menú, base del análisis de ingeniería de menú que clasifica ítems por margen y popularidad.</w:t>
      </w:r>
    </w:p>
    <w:p>
      <w:pPr>
        <w:pStyle w:val="ListBullet"/>
      </w:pPr>
      <w:r>
        <w:t>Unidad declarada: moneda por ítem.</w:t>
      </w:r>
    </w:p>
    <w:p>
      <w:pPr>
        <w:pStyle w:val="ListBullet"/>
      </w:pPr>
      <w:r>
        <w:t>Numerador/Denominador: la fuente provee el cálculo: margen de contribución = precio de venta − costo de alimento del ítem (diferencia, no cociente).</w:t>
      </w:r>
    </w:p>
    <w:p>
      <w:pPr>
        <w:pStyle w:val="ListBullet"/>
      </w:pPr>
      <w:r>
        <w:t>Proceso: P1 (también insumo de P6).</w:t>
      </w:r>
    </w:p>
    <w:p>
      <w:pPr>
        <w:pStyle w:val="ListBullet"/>
      </w:pPr>
      <w:r>
        <w:t>Alcance taxonómico permitido: transversal a facetas; ligado a la existencia de menú/carta.</w:t>
      </w:r>
    </w:p>
    <w:p>
      <w:pPr>
        <w:pStyle w:val="ListBullet"/>
      </w:pPr>
      <w:r>
        <w:t>Fuente APA 7: Kasavana, M. L., &amp; Smith, D. J. (1982). Menu engineering: A practical guide to menu analysis. Hospitality Publishers.</w:t>
      </w:r>
    </w:p>
    <w:p>
      <w:pPr>
        <w:pStyle w:val="ListBullet"/>
      </w:pPr>
      <w:r>
        <w:t>Requisitos de datos: precio de venta y costo estandarizado de receta por ítem.</w:t>
      </w:r>
    </w:p>
    <w:p>
      <w:pPr>
        <w:pStyle w:val="ListBullet"/>
      </w:pPr>
      <w:r>
        <w:t>Frecuencia: no provista por la fuente (uso típico por ciclo de menú; no normativo).</w:t>
      </w:r>
    </w:p>
    <w:p>
      <w:pPr>
        <w:pStyle w:val="ListBullet"/>
      </w:pPr>
      <w:r>
        <w:t>Limitaciones: depende de costeo de recetas consistente; no captura demanda futura.</w:t>
      </w:r>
    </w:p>
    <w:p>
      <w:pPr>
        <w:pStyle w:val="ListBullet"/>
      </w:pPr>
      <w:r>
        <w:t>Duplicados/Sinónimos: componente de food cost % (C-009).</w:t>
      </w:r>
    </w:p>
    <w:p>
      <w:pPr>
        <w:pStyle w:val="ListBullet"/>
      </w:pPr>
      <w:r>
        <w:t>Evidencia: [EVIDENCIA]. Estado: CANDIDATO.</w:t>
      </w:r>
    </w:p>
    <w:p>
      <w:pPr>
        <w:spacing w:after="40"/>
      </w:pPr>
    </w:p>
    <w:p>
      <w:pPr>
        <w:pStyle w:val="Heading4"/>
      </w:pPr>
      <w:r>
        <w:t>GOEI-KPI-C-002 — Mezcla/popularidad del ítem de menú (menu mix %)</w:t>
      </w:r>
    </w:p>
    <w:p>
      <w:pPr>
        <w:pStyle w:val="ListBullet"/>
      </w:pPr>
      <w:r>
        <w:t>Nombre fuente: Menu mix percentage / popularity index.</w:t>
      </w:r>
    </w:p>
    <w:p>
      <w:pPr>
        <w:pStyle w:val="ListBullet"/>
      </w:pPr>
      <w:r>
        <w:t>Definición encontrada: participación relativa de cada ítem en las unidades vendidas; segundo eje de la ingeniería de menú.</w:t>
      </w:r>
    </w:p>
    <w:p>
      <w:pPr>
        <w:pStyle w:val="ListBullet"/>
      </w:pPr>
      <w:r>
        <w:t>Unidad declarada: porcentaje.</w:t>
      </w:r>
    </w:p>
    <w:p>
      <w:pPr>
        <w:pStyle w:val="ListBullet"/>
      </w:pPr>
      <w:r>
        <w:t>Numerador/Denominador: la fuente provee: unidades vendidas del ítem / unidades totales vendidas de la categoría.</w:t>
      </w:r>
    </w:p>
    <w:p>
      <w:pPr>
        <w:pStyle w:val="ListBullet"/>
      </w:pPr>
      <w:r>
        <w:t>Proceso: P1.</w:t>
      </w:r>
    </w:p>
    <w:p>
      <w:pPr>
        <w:pStyle w:val="ListBullet"/>
      </w:pPr>
      <w:r>
        <w:t>Alcance taxonómico permitido: transversal; requiere oferta con ítems discretos.</w:t>
      </w:r>
    </w:p>
    <w:p>
      <w:pPr>
        <w:pStyle w:val="ListBullet"/>
      </w:pPr>
      <w:r>
        <w:t>Fuente APA 7: Kasavana, M. L., &amp; Smith, D. J. (1982). Menu engineering: A practical guide to menu analysis. Hospitality Publishers.</w:t>
      </w:r>
    </w:p>
    <w:p>
      <w:pPr>
        <w:pStyle w:val="ListBullet"/>
      </w:pPr>
      <w:r>
        <w:t>Requisitos de datos: conteo de ventas por ítem.</w:t>
      </w:r>
    </w:p>
    <w:p>
      <w:pPr>
        <w:pStyle w:val="ListBullet"/>
      </w:pPr>
      <w:r>
        <w:t>Frecuencia: no provista por la fuente.</w:t>
      </w:r>
    </w:p>
    <w:p>
      <w:pPr>
        <w:pStyle w:val="ListBullet"/>
      </w:pPr>
      <w:r>
        <w:t>Limitaciones: sensible al periodo y a cambios de carta; no aplica a menú fijo/bandeja única.</w:t>
      </w:r>
    </w:p>
    <w:p>
      <w:pPr>
        <w:pStyle w:val="ListBullet"/>
      </w:pPr>
      <w:r>
        <w:t>Duplicados/Sinónimos: —.</w:t>
      </w:r>
    </w:p>
    <w:p>
      <w:pPr>
        <w:pStyle w:val="ListBullet"/>
      </w:pPr>
      <w:r>
        <w:t>Evidencia: [EVIDENCIA]. Estado: CANDIDATO.</w:t>
      </w:r>
    </w:p>
    <w:p>
      <w:pPr>
        <w:spacing w:after="40"/>
      </w:pPr>
    </w:p>
    <w:p>
      <w:pPr>
        <w:pStyle w:val="Heading4"/>
      </w:pPr>
      <w:r>
        <w:t>GOEI-KPI-C-003 — Pronóstico de demanda de producción (forecasting)</w:t>
      </w:r>
    </w:p>
    <w:p>
      <w:pPr>
        <w:pStyle w:val="ListBullet"/>
      </w:pPr>
      <w:r>
        <w:t>Nombre fuente: Production/demand forecasting (foodservice systems).</w:t>
      </w:r>
    </w:p>
    <w:p>
      <w:pPr>
        <w:pStyle w:val="ListBullet"/>
      </w:pPr>
      <w:r>
        <w:t>Definición encontrada: estimación de la cantidad a producir/servir para un periodo, función del subsistema de planificación del modelo de sistemas de foodservice.</w:t>
      </w:r>
    </w:p>
    <w:p>
      <w:pPr>
        <w:pStyle w:val="ListBullet"/>
      </w:pPr>
      <w:r>
        <w:t>Unidad declarada: unidades de producción/cubiertos (según el texto), sin métrica de exactitud cerrada.</w:t>
      </w:r>
    </w:p>
    <w:p>
      <w:pPr>
        <w:pStyle w:val="ListBullet"/>
      </w:pPr>
      <w:r>
        <w:t>Numerador/Denominador: no provisto por la fuente (el texto describe la función de pronóstico, no una fórmula de exactitud a nivel de establecimiento).</w:t>
      </w:r>
    </w:p>
    <w:p>
      <w:pPr>
        <w:pStyle w:val="ListBullet"/>
      </w:pPr>
      <w:r>
        <w:t>Proceso: P1.</w:t>
      </w:r>
    </w:p>
    <w:p>
      <w:pPr>
        <w:pStyle w:val="ListBullet"/>
      </w:pPr>
      <w:r>
        <w:t>Alcance taxonómico permitido: transversal; condicionado por FX-2 en su realización productiva.</w:t>
      </w:r>
    </w:p>
    <w:p>
      <w:pPr>
        <w:pStyle w:val="ListBullet"/>
      </w:pPr>
      <w:r>
        <w:t>Fuente APA 7: Gregoire, M. B., &amp; Spears, M. C. (2007). Foodservice organizations: A managerial and systems approach (6th ed.). Pearson.</w:t>
      </w:r>
    </w:p>
    <w:p>
      <w:pPr>
        <w:pStyle w:val="ListBullet"/>
      </w:pPr>
      <w:r>
        <w:t>Requisitos de datos: históricos de demanda/producción.</w:t>
      </w:r>
    </w:p>
    <w:p>
      <w:pPr>
        <w:pStyle w:val="ListBullet"/>
      </w:pPr>
      <w:r>
        <w:t>Frecuencia: no provista por la fuente.</w:t>
      </w:r>
    </w:p>
    <w:p>
      <w:pPr>
        <w:pStyle w:val="ListBullet"/>
      </w:pPr>
      <w:r>
        <w:t>Limitaciones: vacío: falta un indicador documentado y cerrado de "exactitud de pronóstico" específico de foodservice → GOEI-ISS-056.</w:t>
      </w:r>
    </w:p>
    <w:p>
      <w:pPr>
        <w:pStyle w:val="ListBullet"/>
      </w:pPr>
      <w:r>
        <w:t>Duplicados/Sinónimos: —.</w:t>
      </w:r>
    </w:p>
    <w:p>
      <w:pPr>
        <w:pStyle w:val="ListBullet"/>
      </w:pPr>
      <w:r>
        <w:t>Evidencia: [EVIDENCIA] (parcial). Estado: CANDIDATO (con vacío registrado).</w:t>
      </w:r>
    </w:p>
    <w:p>
      <w:pPr>
        <w:spacing w:after="40"/>
      </w:pPr>
    </w:p>
    <w:p>
      <w:pPr>
        <w:pStyle w:val="Heading3"/>
      </w:pPr>
      <w:r>
        <w:t>P2 — Aprovisionamiento</w:t>
      </w:r>
    </w:p>
    <w:p>
      <w:pPr>
        <w:spacing w:after="40"/>
      </w:pPr>
    </w:p>
    <w:p>
      <w:pPr>
        <w:pStyle w:val="Heading4"/>
      </w:pPr>
      <w:r>
        <w:t>GOEI-KPI-C-004 — Variación de precio de compra (purchase price variance)</w:t>
      </w:r>
    </w:p>
    <w:p>
      <w:pPr>
        <w:pStyle w:val="ListBullet"/>
      </w:pPr>
      <w:r>
        <w:t>Nombre fuente: Purchase price variance (PPV).</w:t>
      </w:r>
    </w:p>
    <w:p>
      <w:pPr>
        <w:pStyle w:val="ListBullet"/>
      </w:pPr>
      <w:r>
        <w:t>Definición encontrada: desviación entre el precio real de compra y el precio estándar, aplicada a la cantidad comprada.</w:t>
      </w:r>
    </w:p>
    <w:p>
      <w:pPr>
        <w:pStyle w:val="ListBullet"/>
      </w:pPr>
      <w:r>
        <w:t>Unidad declarada: moneda.</w:t>
      </w:r>
    </w:p>
    <w:p>
      <w:pPr>
        <w:pStyle w:val="ListBullet"/>
      </w:pPr>
      <w:r>
        <w:t>Numerador/Denominador: la fuente provee: PPV = (precio real − precio estándar) × cantidad real comprada (producto, no cociente).</w:t>
      </w:r>
    </w:p>
    <w:p>
      <w:pPr>
        <w:pStyle w:val="ListBullet"/>
      </w:pPr>
      <w:r>
        <w:t>Proceso: P2.</w:t>
      </w:r>
    </w:p>
    <w:p>
      <w:pPr>
        <w:pStyle w:val="ListBullet"/>
      </w:pPr>
      <w:r>
        <w:t>Alcance taxonómico permitido: transversal.</w:t>
      </w:r>
    </w:p>
    <w:p>
      <w:pPr>
        <w:pStyle w:val="ListBullet"/>
      </w:pPr>
      <w:r>
        <w:t>Fuente APA 7: Horngren, C. T., Datar, S. M., &amp; Rajan, M. V. (2015). Cost accounting: A managerial emphasis (15th ed.). Pearson.</w:t>
      </w:r>
    </w:p>
    <w:p>
      <w:pPr>
        <w:pStyle w:val="ListBullet"/>
      </w:pPr>
      <w:r>
        <w:t>Requisitos de datos: precios estándar definidos y registro de compras.</w:t>
      </w:r>
    </w:p>
    <w:p>
      <w:pPr>
        <w:pStyle w:val="ListBullet"/>
      </w:pPr>
      <w:r>
        <w:t>Frecuencia: no provista por la fuente.</w:t>
      </w:r>
    </w:p>
    <w:p>
      <w:pPr>
        <w:pStyle w:val="ListBullet"/>
      </w:pPr>
      <w:r>
        <w:t>Limitaciones: requiere un sistema de costos estándar; genérico de manufactura/gestión.</w:t>
      </w:r>
    </w:p>
    <w:p>
      <w:pPr>
        <w:pStyle w:val="ListBullet"/>
      </w:pPr>
      <w:r>
        <w:t>Duplicados/Sinónimos: insumo de food cost % (C-009).</w:t>
      </w:r>
    </w:p>
    <w:p>
      <w:pPr>
        <w:pStyle w:val="ListBullet"/>
      </w:pPr>
      <w:r>
        <w:t>Evidencia: [EVIDENCIA]. Estado: CANDIDATO.</w:t>
      </w:r>
    </w:p>
    <w:p>
      <w:pPr>
        <w:spacing w:after="40"/>
      </w:pPr>
    </w:p>
    <w:p>
      <w:pPr>
        <w:pStyle w:val="Heading4"/>
      </w:pPr>
      <w:r>
        <w:t>GOEI-KPI-C-005 — Tiempo de ciclo de cumplimiento de pedido (aprovisionamiento)</w:t>
      </w:r>
    </w:p>
    <w:p>
      <w:pPr>
        <w:pStyle w:val="ListBullet"/>
      </w:pPr>
      <w:r>
        <w:t>Nombre fuente: Order Fulfillment Cycle Time (SCOR, responsiveness).</w:t>
      </w:r>
    </w:p>
    <w:p>
      <w:pPr>
        <w:pStyle w:val="ListBullet"/>
      </w:pPr>
      <w:r>
        <w:t>Definición encontrada: tiempo promedio desde la colocación del pedido hasta la entrega.</w:t>
      </w:r>
    </w:p>
    <w:p>
      <w:pPr>
        <w:pStyle w:val="ListBullet"/>
      </w:pPr>
      <w:r>
        <w:t>Unidad declarada: tiempo (días/horas).</w:t>
      </w:r>
    </w:p>
    <w:p>
      <w:pPr>
        <w:pStyle w:val="ListBullet"/>
      </w:pPr>
      <w:r>
        <w:t>Numerador/Denominador: la fuente describe promedio de tiempos; sin cociente numerador/denominador explícito adicional.</w:t>
      </w:r>
    </w:p>
    <w:p>
      <w:pPr>
        <w:pStyle w:val="ListBullet"/>
      </w:pPr>
      <w:r>
        <w:t>Proceso: P2 (lado abastecimiento).</w:t>
      </w:r>
    </w:p>
    <w:p>
      <w:pPr>
        <w:pStyle w:val="ListBullet"/>
      </w:pPr>
      <w:r>
        <w:t>Alcance taxonómico permitido: transversal.</w:t>
      </w:r>
    </w:p>
    <w:p>
      <w:pPr>
        <w:pStyle w:val="ListBullet"/>
      </w:pPr>
      <w:r>
        <w:t>Fuente APA 7: Association for Supply Chain Management. (2022). SCOR Digital Standard (Version 14.0). ASCM. https://scor.ascm.org/</w:t>
      </w:r>
    </w:p>
    <w:p>
      <w:pPr>
        <w:pStyle w:val="ListBullet"/>
      </w:pPr>
      <w:r>
        <w:t>Requisitos de datos: marcas de tiempo de pedido y recepción.</w:t>
      </w:r>
    </w:p>
    <w:p>
      <w:pPr>
        <w:pStyle w:val="ListBullet"/>
      </w:pPr>
      <w:r>
        <w:t>Frecuencia: no provista por la fuente.</w:t>
      </w:r>
    </w:p>
    <w:p>
      <w:pPr>
        <w:pStyle w:val="ListBullet"/>
      </w:pPr>
      <w:r>
        <w:t>Limitaciones: genérico de cadena de suministro, no específico de foodservice → GOEI-ISS-057.</w:t>
      </w:r>
    </w:p>
    <w:p>
      <w:pPr>
        <w:pStyle w:val="ListBullet"/>
      </w:pPr>
      <w:r>
        <w:t>Duplicados/Sinónimos: relacionado con C-014 (mismo indicador en lado cliente/P5).</w:t>
      </w:r>
    </w:p>
    <w:p>
      <w:pPr>
        <w:pStyle w:val="ListBullet"/>
      </w:pPr>
      <w:r>
        <w:t>Evidencia: [NORMA/MARCO]. Estado: CANDIDATO.</w:t>
      </w:r>
    </w:p>
    <w:p>
      <w:pPr>
        <w:spacing w:after="40"/>
      </w:pPr>
    </w:p>
    <w:p>
      <w:pPr>
        <w:pStyle w:val="Heading3"/>
      </w:pPr>
      <w:r>
        <w:t>P3 — Recepción, almacenamiento e inventario</w:t>
      </w:r>
    </w:p>
    <w:p>
      <w:pPr>
        <w:spacing w:after="40"/>
      </w:pPr>
    </w:p>
    <w:p>
      <w:pPr>
        <w:pStyle w:val="Heading4"/>
      </w:pPr>
      <w:r>
        <w:t>GOEI-KPI-C-006 — Rotación de inventario (inventory turnover)</w:t>
      </w:r>
    </w:p>
    <w:p>
      <w:pPr>
        <w:pStyle w:val="ListBullet"/>
      </w:pPr>
      <w:r>
        <w:t>Nombre fuente: Inventory turnover ratio.</w:t>
      </w:r>
    </w:p>
    <w:p>
      <w:pPr>
        <w:pStyle w:val="ListBullet"/>
      </w:pPr>
      <w:r>
        <w:t>Definición encontrada: número de veces que el inventario se consume/renueva en un periodo.</w:t>
      </w:r>
    </w:p>
    <w:p>
      <w:pPr>
        <w:pStyle w:val="ListBullet"/>
      </w:pPr>
      <w:r>
        <w:t>Unidad declarada: veces (turns) por periodo.</w:t>
      </w:r>
    </w:p>
    <w:p>
      <w:pPr>
        <w:pStyle w:val="ListBullet"/>
      </w:pPr>
      <w:r>
        <w:t>Numerador/Denominador: la fuente provee: costo de ventas (COGS) / inventario promedio.</w:t>
      </w:r>
    </w:p>
    <w:p>
      <w:pPr>
        <w:pStyle w:val="ListBullet"/>
      </w:pPr>
      <w:r>
        <w:t>Proceso: P3.</w:t>
      </w:r>
    </w:p>
    <w:p>
      <w:pPr>
        <w:pStyle w:val="ListBullet"/>
      </w:pPr>
      <w:r>
        <w:t>Alcance taxonómico permitido: transversal.</w:t>
      </w:r>
    </w:p>
    <w:p>
      <w:pPr>
        <w:pStyle w:val="ListBullet"/>
      </w:pPr>
      <w:r>
        <w:t>Fuente APA 7: Horngren, C. T., Datar, S. M., &amp; Rajan, M. V. (2015). Cost accounting: A managerial emphasis (15th ed.). Pearson. · National Restaurant Association. (2012). Uniform system of accounts for restaurants (8th ed.).</w:t>
      </w:r>
    </w:p>
    <w:p>
      <w:pPr>
        <w:pStyle w:val="ListBullet"/>
      </w:pPr>
      <w:r>
        <w:t>Requisitos de datos: COGS del periodo e inventarios inicial y final.</w:t>
      </w:r>
    </w:p>
    <w:p>
      <w:pPr>
        <w:pStyle w:val="ListBullet"/>
      </w:pPr>
      <w:r>
        <w:t>Frecuencia: no provista por la fuente (uso periódico).</w:t>
      </w:r>
    </w:p>
    <w:p>
      <w:pPr>
        <w:pStyle w:val="ListBullet"/>
      </w:pPr>
      <w:r>
        <w:t>Limitaciones: sensible a estacionalidad y a la política de conteo.</w:t>
      </w:r>
    </w:p>
    <w:p>
      <w:pPr>
        <w:pStyle w:val="ListBullet"/>
      </w:pPr>
      <w:r>
        <w:t>Duplicados/Sinónimos: días de inventario (inverso, no incluido por falta de ficha-fuente separada).</w:t>
      </w:r>
    </w:p>
    <w:p>
      <w:pPr>
        <w:pStyle w:val="ListBullet"/>
      </w:pPr>
      <w:r>
        <w:t>Evidencia: [EVIDENCIA/NORMA]. Estado: CANDIDATO.</w:t>
      </w:r>
    </w:p>
    <w:p>
      <w:pPr>
        <w:spacing w:after="40"/>
      </w:pPr>
    </w:p>
    <w:p>
      <w:pPr>
        <w:pStyle w:val="Heading4"/>
      </w:pPr>
      <w:r>
        <w:t>GOEI-KPI-C-007 — Índice de pérdida / desperdicio de alimentos (Food Loss/Waste Index)</w:t>
      </w:r>
    </w:p>
    <w:p>
      <w:pPr>
        <w:pStyle w:val="ListBullet"/>
      </w:pPr>
      <w:r>
        <w:t>Nombre fuente: Food Loss Index (SDG 12.3.1.a) / Food Waste Index (SDG 12.3.1.b).</w:t>
      </w:r>
    </w:p>
    <w:p>
      <w:pPr>
        <w:pStyle w:val="ListBullet"/>
      </w:pPr>
      <w:r>
        <w:t>Definición encontrada: cambio porcentual de las pérdidas/desperdicio de alimentos respecto de un periodo base; el FLI cubre de producción hasta antes de venta minorista, el FWI cubre venta minorista, servicio de alimentos y hogares.</w:t>
      </w:r>
    </w:p>
    <w:p>
      <w:pPr>
        <w:pStyle w:val="ListBullet"/>
      </w:pPr>
      <w:r>
        <w:t>Unidad declarada: porcentaje (FLI) / masa (kg per cápita o toneladas, FWI).</w:t>
      </w:r>
    </w:p>
    <w:p>
      <w:pPr>
        <w:pStyle w:val="ListBullet"/>
      </w:pPr>
      <w:r>
        <w:t>Numerador/Denominador: el FLI se define como cambio porcentual de pérdidas para una canasta de productos; la fuente no fija un cociente aplicable a nivel de un solo establecimiento.</w:t>
      </w:r>
    </w:p>
    <w:p>
      <w:pPr>
        <w:pStyle w:val="ListBullet"/>
      </w:pPr>
      <w:r>
        <w:t>Proceso: P3 (y P4).</w:t>
      </w:r>
    </w:p>
    <w:p>
      <w:pPr>
        <w:pStyle w:val="ListBullet"/>
      </w:pPr>
      <w:r>
        <w:t>Alcance taxonómico permitido: transversal.</w:t>
      </w:r>
    </w:p>
    <w:p>
      <w:pPr>
        <w:pStyle w:val="ListBullet"/>
      </w:pPr>
      <w:r>
        <w:t>Fuente APA 7: Food and Agriculture Organization of the United Nations. (2019). The state of food and agriculture 2019: Moving forward on food loss and waste reduction. FAO. https://www.fao.org/sustainable-development-goals-data-portal/data/indicators/1231-global-food-losses/en</w:t>
      </w:r>
    </w:p>
    <w:p>
      <w:pPr>
        <w:pStyle w:val="ListBullet"/>
      </w:pPr>
      <w:r>
        <w:t>Requisitos de datos: cuantificación de flujos de alimento y pérdidas.</w:t>
      </w:r>
    </w:p>
    <w:p>
      <w:pPr>
        <w:pStyle w:val="ListBullet"/>
      </w:pPr>
      <w:r>
        <w:t>Frecuencia: anual (marco SDG).</w:t>
      </w:r>
    </w:p>
    <w:p>
      <w:pPr>
        <w:pStyle w:val="ListBullet"/>
      </w:pPr>
      <w:r>
        <w:t>Limitaciones: marco macro (país/sector), no de establecimiento; la merma como macroproceso está fuera de la baseline (GOEI-ISS-043), por lo que su uso como indicador de eficiencia no reabre esa clasificación.</w:t>
      </w:r>
    </w:p>
    <w:p>
      <w:pPr>
        <w:pStyle w:val="ListBullet"/>
      </w:pPr>
      <w:r>
        <w:t>Duplicados/Sinónimos: FLI y FWI son sub-indicadores del mismo objetivo.</w:t>
      </w:r>
    </w:p>
    <w:p>
      <w:pPr>
        <w:pStyle w:val="ListBullet"/>
      </w:pPr>
      <w:r>
        <w:t>Evidencia: [NORMA]. Estado: CANDIDATO (con reserva ISS-043).</w:t>
      </w:r>
    </w:p>
    <w:p>
      <w:pPr>
        <w:spacing w:after="40"/>
      </w:pPr>
    </w:p>
    <w:p>
      <w:pPr>
        <w:pStyle w:val="Heading3"/>
      </w:pPr>
      <w:r>
        <w:t>P4 — Producción / preparación</w:t>
      </w:r>
    </w:p>
    <w:p>
      <w:pPr>
        <w:spacing w:after="40"/>
      </w:pPr>
    </w:p>
    <w:p>
      <w:pPr>
        <w:pStyle w:val="Heading4"/>
      </w:pPr>
      <w:r>
        <w:t>GOEI-KPI-C-008 — Efectividad global del equipo (OEE)</w:t>
      </w:r>
    </w:p>
    <w:p>
      <w:pPr>
        <w:pStyle w:val="ListBullet"/>
      </w:pPr>
      <w:r>
        <w:t>Nombre fuente: Overall Equipment Effectiveness (OEE).</w:t>
      </w:r>
    </w:p>
    <w:p>
      <w:pPr>
        <w:pStyle w:val="ListBullet"/>
      </w:pPr>
      <w:r>
        <w:t>Definición encontrada: medida integrada de la efectividad de un equipo, producto de disponibilidad, desempeño y calidad, en el marco TPM.</w:t>
      </w:r>
    </w:p>
    <w:p>
      <w:pPr>
        <w:pStyle w:val="ListBullet"/>
      </w:pPr>
      <w:r>
        <w:t>Unidad declarada: porcentaje.</w:t>
      </w:r>
    </w:p>
    <w:p>
      <w:pPr>
        <w:pStyle w:val="ListBullet"/>
      </w:pPr>
      <w:r>
        <w:t>Numerador/Denominador: la fuente provee: OEE = Disponibilidad × Desempeño × Calidad (producto de tres razones).</w:t>
      </w:r>
    </w:p>
    <w:p>
      <w:pPr>
        <w:pStyle w:val="ListBullet"/>
      </w:pPr>
      <w:r>
        <w:t>Proceso: P4 (y P8).</w:t>
      </w:r>
    </w:p>
    <w:p>
      <w:pPr>
        <w:pStyle w:val="ListBullet"/>
      </w:pPr>
      <w:r>
        <w:t>Alcance taxonómico permitido: condicionado por FX-2 (sistema de producción).</w:t>
      </w:r>
    </w:p>
    <w:p>
      <w:pPr>
        <w:pStyle w:val="ListBullet"/>
      </w:pPr>
      <w:r>
        <w:t>Fuente APA 7: Nakajima, S. (1988). Introduction to TPM: Total productive maintenance. Productivity Press.</w:t>
      </w:r>
    </w:p>
    <w:p>
      <w:pPr>
        <w:pStyle w:val="ListBullet"/>
      </w:pPr>
      <w:r>
        <w:t>Requisitos de datos: tiempos de operación/paro, ritmo real vs. teórico, unidades conformes.</w:t>
      </w:r>
    </w:p>
    <w:p>
      <w:pPr>
        <w:pStyle w:val="ListBullet"/>
      </w:pPr>
      <w:r>
        <w:t>Frecuencia: no provista por la fuente (uso continuo/por turno).</w:t>
      </w:r>
    </w:p>
    <w:p>
      <w:pPr>
        <w:pStyle w:val="ListBullet"/>
      </w:pPr>
      <w:r>
        <w:t>Limitaciones: concebido para manufactura de equipos; adaptación a cocina requiere definir "equipo".</w:t>
      </w:r>
    </w:p>
    <w:p>
      <w:pPr>
        <w:pStyle w:val="ListBullet"/>
      </w:pPr>
      <w:r>
        <w:t>Duplicados/Sinónimos: comparte disponibilidad con C-027 (EN 15341).</w:t>
      </w:r>
    </w:p>
    <w:p>
      <w:pPr>
        <w:pStyle w:val="ListBullet"/>
      </w:pPr>
      <w:r>
        <w:t>Evidencia: [EVIDENCIA]. Estado: CANDIDATO.</w:t>
      </w:r>
    </w:p>
    <w:p>
      <w:pPr>
        <w:spacing w:after="40"/>
      </w:pPr>
    </w:p>
    <w:p>
      <w:pPr>
        <w:pStyle w:val="Heading4"/>
      </w:pPr>
      <w:r>
        <w:t>GOEI-KPI-C-009 — Porcentaje de costo de alimento (food cost %)</w:t>
      </w:r>
    </w:p>
    <w:p>
      <w:pPr>
        <w:pStyle w:val="ListBullet"/>
      </w:pPr>
      <w:r>
        <w:t>Nombre fuente: Food cost percentage.</w:t>
      </w:r>
    </w:p>
    <w:p>
      <w:pPr>
        <w:pStyle w:val="ListBullet"/>
      </w:pPr>
      <w:r>
        <w:t>Definición encontrada: proporción del costo de los alimentos sobre las ventas de alimentos.</w:t>
      </w:r>
    </w:p>
    <w:p>
      <w:pPr>
        <w:pStyle w:val="ListBullet"/>
      </w:pPr>
      <w:r>
        <w:t>Unidad declarada: porcentaje.</w:t>
      </w:r>
    </w:p>
    <w:p>
      <w:pPr>
        <w:pStyle w:val="ListBullet"/>
      </w:pPr>
      <w:r>
        <w:t>Numerador/Denominador: la fuente provee: costo de alimentos (COGS de alimentos) / ventas de alimentos.</w:t>
      </w:r>
    </w:p>
    <w:p>
      <w:pPr>
        <w:pStyle w:val="ListBullet"/>
      </w:pPr>
      <w:r>
        <w:t>Proceso: P4 (y P9).</w:t>
      </w:r>
    </w:p>
    <w:p>
      <w:pPr>
        <w:pStyle w:val="ListBullet"/>
      </w:pPr>
      <w:r>
        <w:t>Alcance taxonómico permitido: transversal; realización condicionada por FX-2/FX-3.</w:t>
      </w:r>
    </w:p>
    <w:p>
      <w:pPr>
        <w:pStyle w:val="ListBullet"/>
      </w:pPr>
      <w:r>
        <w:t>Fuente APA 7: National Restaurant Association. (2012). Uniform system of accounts for restaurants (8th ed.).</w:t>
      </w:r>
    </w:p>
    <w:p>
      <w:pPr>
        <w:pStyle w:val="ListBullet"/>
      </w:pPr>
      <w:r>
        <w:t>Requisitos de datos: COGS de alimentos y ventas de alimentos del periodo.</w:t>
      </w:r>
    </w:p>
    <w:p>
      <w:pPr>
        <w:pStyle w:val="ListBullet"/>
      </w:pPr>
      <w:r>
        <w:t>Frecuencia: no provista por la fuente (periódico).</w:t>
      </w:r>
    </w:p>
    <w:p>
      <w:pPr>
        <w:pStyle w:val="ListBullet"/>
      </w:pPr>
      <w:r>
        <w:t>Limitaciones: sensible a la política de inventario y a transferencias.</w:t>
      </w:r>
    </w:p>
    <w:p>
      <w:pPr>
        <w:pStyle w:val="ListBullet"/>
      </w:pPr>
      <w:r>
        <w:t>Duplicados/Sinónimos: componente de prime cost % (C-028).</w:t>
      </w:r>
    </w:p>
    <w:p>
      <w:pPr>
        <w:pStyle w:val="ListBullet"/>
      </w:pPr>
      <w:r>
        <w:t>Evidencia: [NORMA]. Estado: CANDIDATO.</w:t>
      </w:r>
    </w:p>
    <w:p>
      <w:pPr>
        <w:spacing w:after="40"/>
      </w:pPr>
    </w:p>
    <w:p>
      <w:pPr>
        <w:pStyle w:val="Heading4"/>
      </w:pPr>
      <w:r>
        <w:t>GOEI-KPI-C-010 — Rendimiento de producción (yield %)</w:t>
      </w:r>
    </w:p>
    <w:p>
      <w:pPr>
        <w:pStyle w:val="ListBullet"/>
      </w:pPr>
      <w:r>
        <w:t>Nombre fuente: Production/recipe yield percentage.</w:t>
      </w:r>
    </w:p>
    <w:p>
      <w:pPr>
        <w:pStyle w:val="ListBullet"/>
      </w:pPr>
      <w:r>
        <w:t>Definición encontrada: proporción de producto utilizable obtenido respecto del insumo, en el subsistema de producción.</w:t>
      </w:r>
    </w:p>
    <w:p>
      <w:pPr>
        <w:pStyle w:val="ListBullet"/>
      </w:pPr>
      <w:r>
        <w:t>Unidad declarada: porcentaje.</w:t>
      </w:r>
    </w:p>
    <w:p>
      <w:pPr>
        <w:pStyle w:val="ListBullet"/>
      </w:pPr>
      <w:r>
        <w:t>Numerador/Denominador: la fuente describe rendimiento como producto utilizable / cantidad de insumo (cociente).</w:t>
      </w:r>
    </w:p>
    <w:p>
      <w:pPr>
        <w:pStyle w:val="ListBullet"/>
      </w:pPr>
      <w:r>
        <w:t>Proceso: P4.</w:t>
      </w:r>
    </w:p>
    <w:p>
      <w:pPr>
        <w:pStyle w:val="ListBullet"/>
      </w:pPr>
      <w:r>
        <w:t>Alcance taxonómico permitido: condicionado por FX-2.</w:t>
      </w:r>
    </w:p>
    <w:p>
      <w:pPr>
        <w:pStyle w:val="ListBullet"/>
      </w:pPr>
      <w:r>
        <w:t>Fuente APA 7: Gregoire, M. B., &amp; Spears, M. C. (2007). Foodservice organizations (6th ed.). Pearson.</w:t>
      </w:r>
    </w:p>
    <w:p>
      <w:pPr>
        <w:pStyle w:val="ListBullet"/>
      </w:pPr>
      <w:r>
        <w:t>Requisitos de datos: pesos/cantidades de insumo y de producto utilizable.</w:t>
      </w:r>
    </w:p>
    <w:p>
      <w:pPr>
        <w:pStyle w:val="ListBullet"/>
      </w:pPr>
      <w:r>
        <w:t>Frecuencia: no provista por la fuente.</w:t>
      </w:r>
    </w:p>
    <w:p>
      <w:pPr>
        <w:pStyle w:val="ListBullet"/>
      </w:pPr>
      <w:r>
        <w:t>Limitaciones: definición de "utilizable" varía por producto y proceso.</w:t>
      </w:r>
    </w:p>
    <w:p>
      <w:pPr>
        <w:pStyle w:val="ListBullet"/>
      </w:pPr>
      <w:r>
        <w:t>Duplicados/Sinónimos: —.</w:t>
      </w:r>
    </w:p>
    <w:p>
      <w:pPr>
        <w:pStyle w:val="ListBullet"/>
      </w:pPr>
      <w:r>
        <w:t>Evidencia: [EVIDENCIA]. Estado: CANDIDATO.</w:t>
      </w:r>
    </w:p>
    <w:p>
      <w:pPr>
        <w:spacing w:after="40"/>
      </w:pPr>
    </w:p>
    <w:p>
      <w:pPr>
        <w:pStyle w:val="Heading4"/>
      </w:pPr>
      <w:r>
        <w:t>GOEI-KPI-C-011 — Cubiertos por hora-hombre (meals per labor hour)</w:t>
      </w:r>
    </w:p>
    <w:p>
      <w:pPr>
        <w:pStyle w:val="ListBullet"/>
      </w:pPr>
      <w:r>
        <w:t>Nombre fuente: Meals (covers) per labor hour / labor productivity.</w:t>
      </w:r>
    </w:p>
    <w:p>
      <w:pPr>
        <w:pStyle w:val="ListBullet"/>
      </w:pPr>
      <w:r>
        <w:t>Definición encontrada: productividad laboral del subsistema de producción/servicio expresada como comidas servidas por hora de trabajo.</w:t>
      </w:r>
    </w:p>
    <w:p>
      <w:pPr>
        <w:pStyle w:val="ListBullet"/>
      </w:pPr>
      <w:r>
        <w:t>Unidad declarada: cubiertos por hora-hombre.</w:t>
      </w:r>
    </w:p>
    <w:p>
      <w:pPr>
        <w:pStyle w:val="ListBullet"/>
      </w:pPr>
      <w:r>
        <w:t>Numerador/Denominador: la fuente provee: comidas servidas / horas de trabajo.</w:t>
      </w:r>
    </w:p>
    <w:p>
      <w:pPr>
        <w:pStyle w:val="ListBullet"/>
      </w:pPr>
      <w:r>
        <w:t>Proceso: P4 (y P5).</w:t>
      </w:r>
    </w:p>
    <w:p>
      <w:pPr>
        <w:pStyle w:val="ListBullet"/>
      </w:pPr>
      <w:r>
        <w:t>Alcance taxonómico permitido: condicionado por FX-2.</w:t>
      </w:r>
    </w:p>
    <w:p>
      <w:pPr>
        <w:pStyle w:val="ListBullet"/>
      </w:pPr>
      <w:r>
        <w:t>Fuente APA 7: Gregoire, M. B., &amp; Spears, M. C. (2007). Foodservice organizations (6th ed.). Pearson.</w:t>
      </w:r>
    </w:p>
    <w:p>
      <w:pPr>
        <w:pStyle w:val="ListBullet"/>
      </w:pPr>
      <w:r>
        <w:t>Requisitos de datos: conteo de comidas y horas laborales registradas.</w:t>
      </w:r>
    </w:p>
    <w:p>
      <w:pPr>
        <w:pStyle w:val="ListBullet"/>
      </w:pPr>
      <w:r>
        <w:t>Frecuencia: no provista por la fuente.</w:t>
      </w:r>
    </w:p>
    <w:p>
      <w:pPr>
        <w:pStyle w:val="ListBullet"/>
      </w:pPr>
      <w:r>
        <w:t>Limitaciones: no distingue complejidad de la comida ni calidad.</w:t>
      </w:r>
    </w:p>
    <w:p>
      <w:pPr>
        <w:pStyle w:val="ListBullet"/>
      </w:pPr>
      <w:r>
        <w:t>Duplicados/Sinónimos: relacionado con labor cost % (C-029) por el eje trabajo.</w:t>
      </w:r>
    </w:p>
    <w:p>
      <w:pPr>
        <w:pStyle w:val="ListBullet"/>
      </w:pPr>
      <w:r>
        <w:t>Evidencia: [EVIDENCIA]. Estado: CANDIDATO.</w:t>
      </w:r>
    </w:p>
    <w:p>
      <w:pPr>
        <w:spacing w:after="40"/>
      </w:pPr>
    </w:p>
    <w:p>
      <w:pPr>
        <w:pStyle w:val="Heading3"/>
      </w:pPr>
      <w:r>
        <w:t>P5 — Distribución / servicio / cumplimiento</w:t>
      </w:r>
    </w:p>
    <w:p>
      <w:pPr>
        <w:spacing w:after="40"/>
      </w:pPr>
    </w:p>
    <w:p>
      <w:pPr>
        <w:pStyle w:val="Heading4"/>
      </w:pPr>
      <w:r>
        <w:t>GOEI-KPI-C-012 — RevPASH (ingreso por asiento-hora disponible)</w:t>
      </w:r>
    </w:p>
    <w:p>
      <w:pPr>
        <w:pStyle w:val="ListBullet"/>
      </w:pPr>
      <w:r>
        <w:t>Nombre fuente: Revenue per Available Seat Hour (RevPASH).</w:t>
      </w:r>
    </w:p>
    <w:p>
      <w:pPr>
        <w:pStyle w:val="ListBullet"/>
      </w:pPr>
      <w:r>
        <w:t>Definición encontrada: ingreso generado en un intervalo dividido por la capacidad de asientos disponible durante ese intervalo; integra la duración de la comida en la medición de la utilización de capacidad.</w:t>
      </w:r>
    </w:p>
    <w:p>
      <w:pPr>
        <w:pStyle w:val="ListBullet"/>
      </w:pPr>
      <w:r>
        <w:t>Unidad declarada: moneda por asiento-hora.</w:t>
      </w:r>
    </w:p>
    <w:p>
      <w:pPr>
        <w:pStyle w:val="ListBullet"/>
      </w:pPr>
      <w:r>
        <w:t>Numerador/Denominador: la fuente provee: ingreso del periodo / (número de asientos disponibles × horas del periodo).</w:t>
      </w:r>
    </w:p>
    <w:p>
      <w:pPr>
        <w:pStyle w:val="ListBullet"/>
      </w:pPr>
      <w:r>
        <w:t>Proceso: P5 (y P6).</w:t>
      </w:r>
    </w:p>
    <w:p>
      <w:pPr>
        <w:pStyle w:val="ListBullet"/>
      </w:pPr>
      <w:r>
        <w:t>Alcance taxonómico permitido: condicionado por FX-1 (modalidad con asientos/servicio en sitio).</w:t>
      </w:r>
    </w:p>
    <w:p>
      <w:pPr>
        <w:pStyle w:val="ListBullet"/>
      </w:pPr>
      <w:r>
        <w:t>Fuente APA 7: Kimes, S. E., Chase, R. B., Choi, S., Lee, P. Y., &amp; Ngonzi, E. N. (1998). Restaurant revenue management. Cornell Hotel and Restaurant Administration Quarterly, 39(3), 32–39. https://doi.org/10.1177/001088049803900308</w:t>
      </w:r>
    </w:p>
    <w:p>
      <w:pPr>
        <w:pStyle w:val="ListBullet"/>
      </w:pPr>
      <w:r>
        <w:t>Requisitos de datos: ingresos por franja, número de asientos, horas de operación.</w:t>
      </w:r>
    </w:p>
    <w:p>
      <w:pPr>
        <w:pStyle w:val="ListBullet"/>
      </w:pPr>
      <w:r>
        <w:t>Frecuencia: por franja horaria/daypart (según la fuente).</w:t>
      </w:r>
    </w:p>
    <w:p>
      <w:pPr>
        <w:pStyle w:val="ListBullet"/>
      </w:pPr>
      <w:r>
        <w:t>Limitaciones: no aplica a modalidades sin asientos (delivery-only, bandeja institucional sin asignación de asiento).</w:t>
      </w:r>
    </w:p>
    <w:p>
      <w:pPr>
        <w:pStyle w:val="ListBullet"/>
      </w:pPr>
      <w:r>
        <w:t>Duplicados/Sinónimos: solapa con ventas por asiento (C-018) añadiendo el eje temporal.</w:t>
      </w:r>
    </w:p>
    <w:p>
      <w:pPr>
        <w:pStyle w:val="ListBullet"/>
      </w:pPr>
      <w:r>
        <w:t>Evidencia: [EVIDENCIA]. Estado: CANDIDATO.</w:t>
      </w:r>
    </w:p>
    <w:p>
      <w:pPr>
        <w:spacing w:after="40"/>
      </w:pPr>
    </w:p>
    <w:p>
      <w:pPr>
        <w:pStyle w:val="Heading4"/>
      </w:pPr>
      <w:r>
        <w:t>GOEI-KPI-C-013 — Rotación de mesas (table turnover)</w:t>
      </w:r>
    </w:p>
    <w:p>
      <w:pPr>
        <w:pStyle w:val="ListBullet"/>
      </w:pPr>
      <w:r>
        <w:t>Nombre fuente: Table turnover rate.</w:t>
      </w:r>
    </w:p>
    <w:p>
      <w:pPr>
        <w:pStyle w:val="ListBullet"/>
      </w:pPr>
      <w:r>
        <w:t>Definición encontrada: número de veces que una mesa se ocupa por grupos distintos en un periodo, indicador de utilización de capacidad en servicio de mesa.</w:t>
      </w:r>
    </w:p>
    <w:p>
      <w:pPr>
        <w:pStyle w:val="ListBullet"/>
      </w:pPr>
      <w:r>
        <w:t>Unidad declarada: veces por mesa por periodo.</w:t>
      </w:r>
    </w:p>
    <w:p>
      <w:pPr>
        <w:pStyle w:val="ListBullet"/>
      </w:pPr>
      <w:r>
        <w:t>Numerador/Denominador: la fuente describe grupos atendidos / número de mesas en el periodo.</w:t>
      </w:r>
    </w:p>
    <w:p>
      <w:pPr>
        <w:pStyle w:val="ListBullet"/>
      </w:pPr>
      <w:r>
        <w:t>Proceso: P5.</w:t>
      </w:r>
    </w:p>
    <w:p>
      <w:pPr>
        <w:pStyle w:val="ListBullet"/>
      </w:pPr>
      <w:r>
        <w:t>Alcance taxonómico permitido: condicionado por FX-1 (servicio de mesa).</w:t>
      </w:r>
    </w:p>
    <w:p>
      <w:pPr>
        <w:pStyle w:val="ListBullet"/>
      </w:pPr>
      <w:r>
        <w:t>Fuente APA 7: Kimes, S. E., Chase, R. B., Choi, S., Lee, P. Y., &amp; Ngonzi, E. N. (1998). Restaurant revenue management. Cornell Hotel and Restaurant Administration Quarterly, 39(3), 32–39. https://doi.org/10.1177/001088049803900308</w:t>
      </w:r>
    </w:p>
    <w:p>
      <w:pPr>
        <w:pStyle w:val="ListBullet"/>
      </w:pPr>
      <w:r>
        <w:t>Requisitos de datos: conteo de grupos por mesa y periodo.</w:t>
      </w:r>
    </w:p>
    <w:p>
      <w:pPr>
        <w:pStyle w:val="ListBullet"/>
      </w:pPr>
      <w:r>
        <w:t>Frecuencia: por servicio/daypart.</w:t>
      </w:r>
    </w:p>
    <w:p>
      <w:pPr>
        <w:pStyle w:val="ListBullet"/>
      </w:pPr>
      <w:r>
        <w:t>Limitaciones: no aplica sin mesas; sensible a duración de la comida.</w:t>
      </w:r>
    </w:p>
    <w:p>
      <w:pPr>
        <w:pStyle w:val="ListBullet"/>
      </w:pPr>
      <w:r>
        <w:t>Duplicados/Sinónimos: insumo conceptual de RevPASH (C-012).</w:t>
      </w:r>
    </w:p>
    <w:p>
      <w:pPr>
        <w:pStyle w:val="ListBullet"/>
      </w:pPr>
      <w:r>
        <w:t>Evidencia: [EVIDENCIA]. Estado: CANDIDATO.</w:t>
      </w:r>
    </w:p>
    <w:p>
      <w:pPr>
        <w:spacing w:after="40"/>
      </w:pPr>
    </w:p>
    <w:p>
      <w:pPr>
        <w:pStyle w:val="Heading4"/>
      </w:pPr>
      <w:r>
        <w:t>GOEI-KPI-C-014 — Tiempo de ciclo de cumplimiento de pedido (cliente)</w:t>
      </w:r>
    </w:p>
    <w:p>
      <w:pPr>
        <w:pStyle w:val="ListBullet"/>
      </w:pPr>
      <w:r>
        <w:t>Nombre fuente: Order Fulfillment Cycle Time (SCOR, responsiveness).</w:t>
      </w:r>
    </w:p>
    <w:p>
      <w:pPr>
        <w:pStyle w:val="ListBullet"/>
      </w:pPr>
      <w:r>
        <w:t>Definición encontrada: tiempo promedio desde la colocación del pedido hasta su entrega al cliente.</w:t>
      </w:r>
    </w:p>
    <w:p>
      <w:pPr>
        <w:pStyle w:val="ListBullet"/>
      </w:pPr>
      <w:r>
        <w:t>Unidad declarada: tiempo.</w:t>
      </w:r>
    </w:p>
    <w:p>
      <w:pPr>
        <w:pStyle w:val="ListBullet"/>
      </w:pPr>
      <w:r>
        <w:t>Numerador/Denominador: promedio de tiempos (la fuente no añade cociente adicional).</w:t>
      </w:r>
    </w:p>
    <w:p>
      <w:pPr>
        <w:pStyle w:val="ListBullet"/>
      </w:pPr>
      <w:r>
        <w:t>Proceso: P5.</w:t>
      </w:r>
    </w:p>
    <w:p>
      <w:pPr>
        <w:pStyle w:val="ListBullet"/>
      </w:pPr>
      <w:r>
        <w:t>Alcance taxonómico permitido: condicionado por FX-1 (entrega/delivery).</w:t>
      </w:r>
    </w:p>
    <w:p>
      <w:pPr>
        <w:pStyle w:val="ListBullet"/>
      </w:pPr>
      <w:r>
        <w:t>Fuente APA 7: Association for Supply Chain Management. (2022). SCOR Digital Standard (Version 14.0). ASCM. https://scor.ascm.org/</w:t>
      </w:r>
    </w:p>
    <w:p>
      <w:pPr>
        <w:pStyle w:val="ListBullet"/>
      </w:pPr>
      <w:r>
        <w:t>Requisitos de datos: marcas de tiempo de pedido y entrega.</w:t>
      </w:r>
    </w:p>
    <w:p>
      <w:pPr>
        <w:pStyle w:val="ListBullet"/>
      </w:pPr>
      <w:r>
        <w:t>Frecuencia: no provista por la fuente.</w:t>
      </w:r>
    </w:p>
    <w:p>
      <w:pPr>
        <w:pStyle w:val="ListBullet"/>
      </w:pPr>
      <w:r>
        <w:t>Limitaciones: genérico de cadena de suministro → GOEI-ISS-057.</w:t>
      </w:r>
    </w:p>
    <w:p>
      <w:pPr>
        <w:pStyle w:val="ListBullet"/>
      </w:pPr>
      <w:r>
        <w:t>Duplicados/Sinónimos: C-005 (mismo indicador, lado aprovisionamiento).</w:t>
      </w:r>
    </w:p>
    <w:p>
      <w:pPr>
        <w:pStyle w:val="ListBullet"/>
      </w:pPr>
      <w:r>
        <w:t>Evidencia: [NORMA/MARCO]. Estado: CANDIDATO.</w:t>
      </w:r>
    </w:p>
    <w:p>
      <w:pPr>
        <w:spacing w:after="40"/>
      </w:pPr>
    </w:p>
    <w:p>
      <w:pPr>
        <w:pStyle w:val="Heading4"/>
      </w:pPr>
      <w:r>
        <w:t>GOEI-KPI-C-015 — Cumplimiento de pedido perfecto (perfect order fulfillment)</w:t>
      </w:r>
    </w:p>
    <w:p>
      <w:pPr>
        <w:pStyle w:val="ListBullet"/>
      </w:pPr>
      <w:r>
        <w:t>Nombre fuente: Perfect Order Fulfillment (SCOR, reliability RL.1.1).</w:t>
      </w:r>
    </w:p>
    <w:p>
      <w:pPr>
        <w:pStyle w:val="ListBullet"/>
      </w:pPr>
      <w:r>
        <w:t>Definición encontrada: porcentaje de pedidos entregados cumpliendo simultáneamente cantidad completa, a tiempo, con documentación correcta y en condición perfecta.</w:t>
      </w:r>
    </w:p>
    <w:p>
      <w:pPr>
        <w:pStyle w:val="ListBullet"/>
      </w:pPr>
      <w:r>
        <w:t>Unidad declarada: porcentaje.</w:t>
      </w:r>
    </w:p>
    <w:p>
      <w:pPr>
        <w:pStyle w:val="ListBullet"/>
      </w:pPr>
      <w:r>
        <w:t>Numerador/Denominador: la fuente provee: pedidos perfectos / pedidos totales.</w:t>
      </w:r>
    </w:p>
    <w:p>
      <w:pPr>
        <w:pStyle w:val="ListBullet"/>
      </w:pPr>
      <w:r>
        <w:t>Proceso: P5.</w:t>
      </w:r>
    </w:p>
    <w:p>
      <w:pPr>
        <w:pStyle w:val="ListBullet"/>
      </w:pPr>
      <w:r>
        <w:t>Alcance taxonómico permitido: condicionado por FX-1.</w:t>
      </w:r>
    </w:p>
    <w:p>
      <w:pPr>
        <w:pStyle w:val="ListBullet"/>
      </w:pPr>
      <w:r>
        <w:t>Fuente APA 7: Association for Supply Chain Management. (2022). SCOR Digital Standard (Version 14.0). ASCM. https://scor.ascm.org/performance/reliability/</w:t>
      </w:r>
    </w:p>
    <w:p>
      <w:pPr>
        <w:pStyle w:val="ListBullet"/>
      </w:pPr>
      <w:r>
        <w:t>Requisitos de datos: registro de pedidos con estado de las cuatro condiciones.</w:t>
      </w:r>
    </w:p>
    <w:p>
      <w:pPr>
        <w:pStyle w:val="ListBullet"/>
      </w:pPr>
      <w:r>
        <w:t>Frecuencia: no provista por la fuente.</w:t>
      </w:r>
    </w:p>
    <w:p>
      <w:pPr>
        <w:pStyle w:val="ListBullet"/>
      </w:pPr>
      <w:r>
        <w:t>Limitaciones: genérico; "documentación correcta" requiere adaptación a foodservice → GOEI-ISS-057.</w:t>
      </w:r>
    </w:p>
    <w:p>
      <w:pPr>
        <w:pStyle w:val="ListBullet"/>
      </w:pPr>
      <w:r>
        <w:t>Duplicados/Sinónimos: engloba exactitud de pedido y puntualidad.</w:t>
      </w:r>
    </w:p>
    <w:p>
      <w:pPr>
        <w:pStyle w:val="ListBullet"/>
      </w:pPr>
      <w:r>
        <w:t>Evidencia: [NORMA/MARCO]. Estado: CANDIDATO.</w:t>
      </w:r>
    </w:p>
    <w:p>
      <w:pPr>
        <w:spacing w:after="40"/>
      </w:pPr>
    </w:p>
    <w:p>
      <w:pPr>
        <w:pStyle w:val="Heading4"/>
      </w:pPr>
      <w:r>
        <w:t>GOEI-KPI-C-016 — Calidad de servicio percibida (DINESERV)</w:t>
      </w:r>
    </w:p>
    <w:p>
      <w:pPr>
        <w:pStyle w:val="ListBullet"/>
      </w:pPr>
      <w:r>
        <w:t>Nombre fuente: DINESERV.</w:t>
      </w:r>
    </w:p>
    <w:p>
      <w:pPr>
        <w:pStyle w:val="ListBullet"/>
      </w:pPr>
      <w:r>
        <w:t>Definición encontrada: escala de 29 ítems para medir calidad de servicio en restaurantes en cinco dimensiones (tangibles, fiabilidad, capacidad de respuesta, seguridad, empatía), adaptación de SERVQUAL.</w:t>
      </w:r>
    </w:p>
    <w:p>
      <w:pPr>
        <w:pStyle w:val="ListBullet"/>
      </w:pPr>
      <w:r>
        <w:t>Unidad declarada: puntuación de escala tipo Likert (no monetaria).</w:t>
      </w:r>
    </w:p>
    <w:p>
      <w:pPr>
        <w:pStyle w:val="ListBullet"/>
      </w:pPr>
      <w:r>
        <w:t>Numerador/Denominador: no aplica (instrumento de escala; la fuente no define un cociente).</w:t>
      </w:r>
    </w:p>
    <w:p>
      <w:pPr>
        <w:pStyle w:val="ListBullet"/>
      </w:pPr>
      <w:r>
        <w:t>Proceso: P5.</w:t>
      </w:r>
    </w:p>
    <w:p>
      <w:pPr>
        <w:pStyle w:val="ListBullet"/>
      </w:pPr>
      <w:r>
        <w:t>Alcance taxonómico permitido: condicionado por FX-1 (servicio con interacción de cliente).</w:t>
      </w:r>
    </w:p>
    <w:p>
      <w:pPr>
        <w:pStyle w:val="ListBullet"/>
      </w:pPr>
      <w:r>
        <w:t>Fuente APA 7: Stevens, P., Knutson, B., &amp; Patton, M. (1995). DINESERV: A tool for measuring service quality in restaurants. Cornell Hotel and Restaurant Administration Quarterly, 36(2), 56–60. https://doi.org/10.1177/001088049503600226</w:t>
      </w:r>
    </w:p>
    <w:p>
      <w:pPr>
        <w:pStyle w:val="ListBullet"/>
      </w:pPr>
      <w:r>
        <w:t>Requisitos de datos: encuesta a clientes con el cuestionario de 29 ítems.</w:t>
      </w:r>
    </w:p>
    <w:p>
      <w:pPr>
        <w:pStyle w:val="ListBullet"/>
      </w:pPr>
      <w:r>
        <w:t>Frecuencia: no provista por la fuente.</w:t>
      </w:r>
    </w:p>
    <w:p>
      <w:pPr>
        <w:pStyle w:val="ListBullet"/>
      </w:pPr>
      <w:r>
        <w:t>Limitaciones: percepción autorreportada; no aplica a modalidades sin interacción de cliente.</w:t>
      </w:r>
    </w:p>
    <w:p>
      <w:pPr>
        <w:pStyle w:val="ListBullet"/>
      </w:pPr>
      <w:r>
        <w:t>Duplicados/Sinónimos: deriva de SERVQUAL.</w:t>
      </w:r>
    </w:p>
    <w:p>
      <w:pPr>
        <w:pStyle w:val="ListBullet"/>
      </w:pPr>
      <w:r>
        <w:t>Evidencia: [EVIDENCIA]. Estado: CANDIDATO.</w:t>
      </w:r>
    </w:p>
    <w:p>
      <w:pPr>
        <w:spacing w:after="40"/>
      </w:pPr>
    </w:p>
    <w:p>
      <w:pPr>
        <w:pStyle w:val="Heading3"/>
      </w:pPr>
      <w:r>
        <w:t>P6 — Transacción / cierre</w:t>
      </w:r>
    </w:p>
    <w:p>
      <w:pPr>
        <w:spacing w:after="40"/>
      </w:pPr>
    </w:p>
    <w:p>
      <w:pPr>
        <w:pStyle w:val="Heading4"/>
      </w:pPr>
      <w:r>
        <w:t>GOEI-KPI-C-017 — Cheque promedio (average guest check)</w:t>
      </w:r>
    </w:p>
    <w:p>
      <w:pPr>
        <w:pStyle w:val="ListBullet"/>
      </w:pPr>
      <w:r>
        <w:t>Nombre fuente: Average guest check / average cover.</w:t>
      </w:r>
    </w:p>
    <w:p>
      <w:pPr>
        <w:pStyle w:val="ListBullet"/>
      </w:pPr>
      <w:r>
        <w:t>Definición encontrada: gasto promedio por cliente/cubierto atendido.</w:t>
      </w:r>
    </w:p>
    <w:p>
      <w:pPr>
        <w:pStyle w:val="ListBullet"/>
      </w:pPr>
      <w:r>
        <w:t>Unidad declarada: moneda por cubierto.</w:t>
      </w:r>
    </w:p>
    <w:p>
      <w:pPr>
        <w:pStyle w:val="ListBullet"/>
      </w:pPr>
      <w:r>
        <w:t>Numerador/Denominador: la fuente provee: ventas totales / número de cubiertos (clientes).</w:t>
      </w:r>
    </w:p>
    <w:p>
      <w:pPr>
        <w:pStyle w:val="ListBullet"/>
      </w:pPr>
      <w:r>
        <w:t>Proceso: P6.</w:t>
      </w:r>
    </w:p>
    <w:p>
      <w:pPr>
        <w:pStyle w:val="ListBullet"/>
      </w:pPr>
      <w:r>
        <w:t>Alcance taxonómico permitido: condicionado por FX-3 (naturaleza comercial: venta).</w:t>
      </w:r>
    </w:p>
    <w:p>
      <w:pPr>
        <w:pStyle w:val="ListBullet"/>
      </w:pPr>
      <w:r>
        <w:t>Fuente APA 7: National Restaurant Association. (2012). Uniform system of accounts for restaurants (8th ed.).</w:t>
      </w:r>
    </w:p>
    <w:p>
      <w:pPr>
        <w:pStyle w:val="ListBullet"/>
      </w:pPr>
      <w:r>
        <w:t>Requisitos de datos: ventas y conteo de cubiertos.</w:t>
      </w:r>
    </w:p>
    <w:p>
      <w:pPr>
        <w:pStyle w:val="ListBullet"/>
      </w:pPr>
      <w:r>
        <w:t>Frecuencia: no provista por la fuente (periódico).</w:t>
      </w:r>
    </w:p>
    <w:p>
      <w:pPr>
        <w:pStyle w:val="ListBullet"/>
      </w:pPr>
      <w:r>
        <w:t>Limitaciones: no aplica a no comercial con requisición sin venta.</w:t>
      </w:r>
    </w:p>
    <w:p>
      <w:pPr>
        <w:pStyle w:val="ListBullet"/>
      </w:pPr>
      <w:r>
        <w:t>Duplicados/Sinónimos: comparte numerador con ventas por asiento (C-018).</w:t>
      </w:r>
    </w:p>
    <w:p>
      <w:pPr>
        <w:pStyle w:val="ListBullet"/>
      </w:pPr>
      <w:r>
        <w:t>Evidencia: [NORMA]. Estado: CANDIDATO.</w:t>
      </w:r>
    </w:p>
    <w:p>
      <w:pPr>
        <w:spacing w:after="40"/>
      </w:pPr>
    </w:p>
    <w:p>
      <w:pPr>
        <w:pStyle w:val="Heading4"/>
      </w:pPr>
      <w:r>
        <w:t>GOEI-KPI-C-018 — Ventas por asiento (sales per seat)</w:t>
      </w:r>
    </w:p>
    <w:p>
      <w:pPr>
        <w:pStyle w:val="ListBullet"/>
      </w:pPr>
      <w:r>
        <w:t>Nombre fuente: Sales per seat.</w:t>
      </w:r>
    </w:p>
    <w:p>
      <w:pPr>
        <w:pStyle w:val="ListBullet"/>
      </w:pPr>
      <w:r>
        <w:t>Definición encontrada: ventas generadas por asiento disponible en un periodo.</w:t>
      </w:r>
    </w:p>
    <w:p>
      <w:pPr>
        <w:pStyle w:val="ListBullet"/>
      </w:pPr>
      <w:r>
        <w:t>Unidad declarada: moneda por asiento.</w:t>
      </w:r>
    </w:p>
    <w:p>
      <w:pPr>
        <w:pStyle w:val="ListBullet"/>
      </w:pPr>
      <w:r>
        <w:t>Numerador/Denominador: la fuente provee: ventas totales / número de asientos.</w:t>
      </w:r>
    </w:p>
    <w:p>
      <w:pPr>
        <w:pStyle w:val="ListBullet"/>
      </w:pPr>
      <w:r>
        <w:t>Proceso: P6.</w:t>
      </w:r>
    </w:p>
    <w:p>
      <w:pPr>
        <w:pStyle w:val="ListBullet"/>
      </w:pPr>
      <w:r>
        <w:t>Alcance taxonómico permitido: condicionado por FX-3 y FX-1 (existencia de asientos).</w:t>
      </w:r>
    </w:p>
    <w:p>
      <w:pPr>
        <w:pStyle w:val="ListBullet"/>
      </w:pPr>
      <w:r>
        <w:t>Fuente APA 7: National Restaurant Association. (2012). Uniform system of accounts for restaurants (8th ed.).</w:t>
      </w:r>
    </w:p>
    <w:p>
      <w:pPr>
        <w:pStyle w:val="ListBullet"/>
      </w:pPr>
      <w:r>
        <w:t>Requisitos de datos: ventas y número de asientos.</w:t>
      </w:r>
    </w:p>
    <w:p>
      <w:pPr>
        <w:pStyle w:val="ListBullet"/>
      </w:pPr>
      <w:r>
        <w:t>Frecuencia: no provista por la fuente.</w:t>
      </w:r>
    </w:p>
    <w:p>
      <w:pPr>
        <w:pStyle w:val="ListBullet"/>
      </w:pPr>
      <w:r>
        <w:t>Limitaciones: no aplica sin asientos.</w:t>
      </w:r>
    </w:p>
    <w:p>
      <w:pPr>
        <w:pStyle w:val="ListBullet"/>
      </w:pPr>
      <w:r>
        <w:t>Duplicados/Sinónimos: solapa con RevPASH (C-012) sin eje temporal.</w:t>
      </w:r>
    </w:p>
    <w:p>
      <w:pPr>
        <w:pStyle w:val="ListBullet"/>
      </w:pPr>
      <w:r>
        <w:t>Evidencia: [NORMA]. Estado: CANDIDATO.</w:t>
      </w:r>
    </w:p>
    <w:p>
      <w:pPr>
        <w:spacing w:after="40"/>
      </w:pPr>
    </w:p>
    <w:p>
      <w:pPr>
        <w:pStyle w:val="Heading4"/>
      </w:pPr>
      <w:r>
        <w:t>GOEI-KPI-C-019 — Margen bruto (gross profit margin)</w:t>
      </w:r>
    </w:p>
    <w:p>
      <w:pPr>
        <w:pStyle w:val="ListBullet"/>
      </w:pPr>
      <w:r>
        <w:t>Nombre fuente: Gross profit margin.</w:t>
      </w:r>
    </w:p>
    <w:p>
      <w:pPr>
        <w:pStyle w:val="ListBullet"/>
      </w:pPr>
      <w:r>
        <w:t>Definición encontrada: proporción de las ventas que queda tras el costo de ventas.</w:t>
      </w:r>
    </w:p>
    <w:p>
      <w:pPr>
        <w:pStyle w:val="ListBullet"/>
      </w:pPr>
      <w:r>
        <w:t>Unidad declarada: porcentaje.</w:t>
      </w:r>
    </w:p>
    <w:p>
      <w:pPr>
        <w:pStyle w:val="ListBullet"/>
      </w:pPr>
      <w:r>
        <w:t>Numerador/Denominador: la fuente provee: (ventas − COGS) / ventas.</w:t>
      </w:r>
    </w:p>
    <w:p>
      <w:pPr>
        <w:pStyle w:val="ListBullet"/>
      </w:pPr>
      <w:r>
        <w:t>Proceso: P6 (y P9).</w:t>
      </w:r>
    </w:p>
    <w:p>
      <w:pPr>
        <w:pStyle w:val="ListBullet"/>
      </w:pPr>
      <w:r>
        <w:t>Alcance taxonómico permitido: condicionado por FX-3.</w:t>
      </w:r>
    </w:p>
    <w:p>
      <w:pPr>
        <w:pStyle w:val="ListBullet"/>
      </w:pPr>
      <w:r>
        <w:t>Fuente APA 7: National Restaurant Association. (2012). Uniform system of accounts for restaurants (8th ed.). · Horngren, C. T., Datar, S. M., &amp; Rajan, M. V. (2015). Cost accounting (15th ed.). Pearson.</w:t>
      </w:r>
    </w:p>
    <w:p>
      <w:pPr>
        <w:pStyle w:val="ListBullet"/>
      </w:pPr>
      <w:r>
        <w:t>Requisitos de datos: ventas y COGS.</w:t>
      </w:r>
    </w:p>
    <w:p>
      <w:pPr>
        <w:pStyle w:val="ListBullet"/>
      </w:pPr>
      <w:r>
        <w:t>Frecuencia: no provista por la fuente.</w:t>
      </w:r>
    </w:p>
    <w:p>
      <w:pPr>
        <w:pStyle w:val="ListBullet"/>
      </w:pPr>
      <w:r>
        <w:t>Limitaciones: agregado; no distingue centros de costo.</w:t>
      </w:r>
    </w:p>
    <w:p>
      <w:pPr>
        <w:pStyle w:val="ListBullet"/>
      </w:pPr>
      <w:r>
        <w:t>Duplicados/Sinónimos: relacionado con food cost % (C-009).</w:t>
      </w:r>
    </w:p>
    <w:p>
      <w:pPr>
        <w:pStyle w:val="ListBullet"/>
      </w:pPr>
      <w:r>
        <w:t>Evidencia: [NORMA/EVIDENCIA]. Estado: CANDIDATO.</w:t>
      </w:r>
    </w:p>
    <w:p>
      <w:pPr>
        <w:spacing w:after="40"/>
      </w:pPr>
    </w:p>
    <w:p>
      <w:pPr>
        <w:pStyle w:val="Heading4"/>
      </w:pPr>
      <w:r>
        <w:t>GOEI-KPI-C-020 — Costo por comida servida (cost per meal)</w:t>
      </w:r>
    </w:p>
    <w:p>
      <w:pPr>
        <w:pStyle w:val="ListBullet"/>
      </w:pPr>
      <w:r>
        <w:t>Nombre fuente: Cost per meal served (institutional/non-commercial foodservice).</w:t>
      </w:r>
    </w:p>
    <w:p>
      <w:pPr>
        <w:pStyle w:val="ListBullet"/>
      </w:pPr>
      <w:r>
        <w:t>Definición encontrada: costo total del servicio de alimentos por comida servida, indicador de gestión en foodservice no comercial.</w:t>
      </w:r>
    </w:p>
    <w:p>
      <w:pPr>
        <w:pStyle w:val="ListBullet"/>
      </w:pPr>
      <w:r>
        <w:t>Unidad declarada: moneda por comida.</w:t>
      </w:r>
    </w:p>
    <w:p>
      <w:pPr>
        <w:pStyle w:val="ListBullet"/>
      </w:pPr>
      <w:r>
        <w:t>Numerador/Denominador: la fuente describe: costo total del servicio / número de comidas servidas.</w:t>
      </w:r>
    </w:p>
    <w:p>
      <w:pPr>
        <w:pStyle w:val="ListBullet"/>
      </w:pPr>
      <w:r>
        <w:t>Proceso: P6.</w:t>
      </w:r>
    </w:p>
    <w:p>
      <w:pPr>
        <w:pStyle w:val="ListBullet"/>
      </w:pPr>
      <w:r>
        <w:t>Alcance taxonómico permitido: condicionado por FX-3 (naturaleza no comercial/institucional: requisición).</w:t>
      </w:r>
    </w:p>
    <w:p>
      <w:pPr>
        <w:pStyle w:val="ListBullet"/>
      </w:pPr>
      <w:r>
        <w:t>Fuente APA 7: Gregoire, M. B., &amp; Spears, M. C. (2007). Foodservice organizations (6th ed.). Pearson.</w:t>
      </w:r>
    </w:p>
    <w:p>
      <w:pPr>
        <w:pStyle w:val="ListBullet"/>
      </w:pPr>
      <w:r>
        <w:t>Requisitos de datos: costos totales del servicio y conteo de comidas.</w:t>
      </w:r>
    </w:p>
    <w:p>
      <w:pPr>
        <w:pStyle w:val="ListBullet"/>
      </w:pPr>
      <w:r>
        <w:t>Frecuencia: no provista por la fuente.</w:t>
      </w:r>
    </w:p>
    <w:p>
      <w:pPr>
        <w:pStyle w:val="ListBullet"/>
      </w:pPr>
      <w:r>
        <w:t>Limitaciones: definición de "costo total" varía por institución.</w:t>
      </w:r>
    </w:p>
    <w:p>
      <w:pPr>
        <w:pStyle w:val="ListBullet"/>
      </w:pPr>
      <w:r>
        <w:t>Duplicados/Sinónimos: contraparte no comercial de cheque promedio (C-017).</w:t>
      </w:r>
    </w:p>
    <w:p>
      <w:pPr>
        <w:pStyle w:val="ListBullet"/>
      </w:pPr>
      <w:r>
        <w:t>Evidencia: [EVIDENCIA]. Estado: CANDIDATO.</w:t>
      </w:r>
    </w:p>
    <w:p>
      <w:pPr>
        <w:spacing w:after="40"/>
      </w:pPr>
    </w:p>
    <w:p>
      <w:pPr>
        <w:pStyle w:val="Heading3"/>
      </w:pPr>
      <w:r>
        <w:t>P7 — Inocuidad, higiene y sanitización</w:t>
      </w:r>
    </w:p>
    <w:p>
      <w:pPr>
        <w:spacing w:after="40"/>
      </w:pPr>
    </w:p>
    <w:p>
      <w:pPr>
        <w:pStyle w:val="Heading4"/>
      </w:pPr>
      <w:r>
        <w:t>GOEI-KPI-C-021 — Puntaje de inspección sanitaria (food safety inspection score)</w:t>
      </w:r>
    </w:p>
    <w:p>
      <w:pPr>
        <w:pStyle w:val="ListBullet"/>
      </w:pPr>
      <w:r>
        <w:t>Nombre fuente: Retail food inspection score / rating.</w:t>
      </w:r>
    </w:p>
    <w:p>
      <w:pPr>
        <w:pStyle w:val="ListBullet"/>
      </w:pPr>
      <w:r>
        <w:t>Definición encontrada: resultado de la inspección regulatoria de establecimientos de alimentos según factores de riesgo y prácticas de manipulación; base del Food Code de referencia.</w:t>
      </w:r>
    </w:p>
    <w:p>
      <w:pPr>
        <w:pStyle w:val="ListBullet"/>
      </w:pPr>
      <w:r>
        <w:t>Unidad declarada: puntos/clasificación (según jurisdicción).</w:t>
      </w:r>
    </w:p>
    <w:p>
      <w:pPr>
        <w:pStyle w:val="ListBullet"/>
      </w:pPr>
      <w:r>
        <w:t>Numerador/Denominador: no provisto de forma uniforme (los esquemas de puntaje varían por jurisdicción).</w:t>
      </w:r>
    </w:p>
    <w:p>
      <w:pPr>
        <w:pStyle w:val="ListBullet"/>
      </w:pPr>
      <w:r>
        <w:t>Proceso: P7.</w:t>
      </w:r>
    </w:p>
    <w:p>
      <w:pPr>
        <w:pStyle w:val="ListBullet"/>
      </w:pPr>
      <w:r>
        <w:t>Alcance taxonómico permitido: transversal.</w:t>
      </w:r>
    </w:p>
    <w:p>
      <w:pPr>
        <w:pStyle w:val="ListBullet"/>
      </w:pPr>
      <w:r>
        <w:t>Fuente APA 7: U.S. Food and Drug Administration. (2022). Food Code 2022. FDA. https://www.fda.gov/food/fda-food-code/food-code-2022</w:t>
      </w:r>
    </w:p>
    <w:p>
      <w:pPr>
        <w:pStyle w:val="ListBullet"/>
      </w:pPr>
      <w:r>
        <w:t>Requisitos de datos: inspección formal por autoridad competente.</w:t>
      </w:r>
    </w:p>
    <w:p>
      <w:pPr>
        <w:pStyle w:val="ListBullet"/>
      </w:pPr>
      <w:r>
        <w:t>Frecuencia: según régimen regulatorio (no fijada por la fuente).</w:t>
      </w:r>
    </w:p>
    <w:p>
      <w:pPr>
        <w:pStyle w:val="ListBullet"/>
      </w:pPr>
      <w:r>
        <w:t>Limitaciones: no comparable entre jurisdicciones → GOEI-ISS-058; recuérdese doble rol de inocuidad (GOEI-ISS-015).</w:t>
      </w:r>
    </w:p>
    <w:p>
      <w:pPr>
        <w:pStyle w:val="ListBullet"/>
      </w:pPr>
      <w:r>
        <w:t>Duplicados/Sinónimos: relacionado con C-022/C-023.</w:t>
      </w:r>
    </w:p>
    <w:p>
      <w:pPr>
        <w:pStyle w:val="ListBullet"/>
      </w:pPr>
      <w:r>
        <w:t>Evidencia: [NORMA]. Estado: CANDIDATO.</w:t>
      </w:r>
    </w:p>
    <w:p>
      <w:pPr>
        <w:spacing w:after="40"/>
      </w:pPr>
    </w:p>
    <w:p>
      <w:pPr>
        <w:pStyle w:val="Heading4"/>
      </w:pPr>
      <w:r>
        <w:t>GOEI-KPI-C-022 — Conformidad de límites críticos / monitoreo de CCP (HACCP)</w:t>
      </w:r>
    </w:p>
    <w:p>
      <w:pPr>
        <w:pStyle w:val="ListBullet"/>
      </w:pPr>
      <w:r>
        <w:t>Nombre fuente: Critical limit / CCP monitoring conformance (HACCP).</w:t>
      </w:r>
    </w:p>
    <w:p>
      <w:pPr>
        <w:pStyle w:val="ListBullet"/>
      </w:pPr>
      <w:r>
        <w:t>Definición encontrada: cumplimiento de los límites críticos monitoreados en los puntos críticos de control del sistema HACCP, conforme a los principios generales de higiene de los alimentos.</w:t>
      </w:r>
    </w:p>
    <w:p>
      <w:pPr>
        <w:pStyle w:val="ListBullet"/>
      </w:pPr>
      <w:r>
        <w:t>Unidad declarada: porcentaje de conformidad (o conteo de desviaciones).</w:t>
      </w:r>
    </w:p>
    <w:p>
      <w:pPr>
        <w:pStyle w:val="ListBullet"/>
      </w:pPr>
      <w:r>
        <w:t>Numerador/Denominador: la fuente define el principio (monitorear CCP y actuar ante desviación); no fija un cociente numérico universal.</w:t>
      </w:r>
    </w:p>
    <w:p>
      <w:pPr>
        <w:pStyle w:val="ListBullet"/>
      </w:pPr>
      <w:r>
        <w:t>Proceso: P7.</w:t>
      </w:r>
    </w:p>
    <w:p>
      <w:pPr>
        <w:pStyle w:val="ListBullet"/>
      </w:pPr>
      <w:r>
        <w:t>Alcance taxonómico permitido: transversal.</w:t>
      </w:r>
    </w:p>
    <w:p>
      <w:pPr>
        <w:pStyle w:val="ListBullet"/>
      </w:pPr>
      <w:r>
        <w:t>Fuente APA 7: Codex Alimentarius Commission. (2020). General principles of food hygiene (CXC 1-1969, Rev. 2020). FAO/WHO. https://www.fao.org/fao-who-codexalimentarius/</w:t>
      </w:r>
    </w:p>
    <w:p>
      <w:pPr>
        <w:pStyle w:val="ListBullet"/>
      </w:pPr>
      <w:r>
        <w:t>Requisitos de datos: plan HACCP con CCP y registros de monitoreo.</w:t>
      </w:r>
    </w:p>
    <w:p>
      <w:pPr>
        <w:pStyle w:val="ListBullet"/>
      </w:pPr>
      <w:r>
        <w:t>Frecuencia: continua por CCP (según el plan).</w:t>
      </w:r>
    </w:p>
    <w:p>
      <w:pPr>
        <w:pStyle w:val="ListBullet"/>
      </w:pPr>
      <w:r>
        <w:t>Limitaciones: requiere HACCP implementado; puede operar como restricción crítica (AX-4), no sólo indicador.</w:t>
      </w:r>
    </w:p>
    <w:p>
      <w:pPr>
        <w:pStyle w:val="ListBullet"/>
      </w:pPr>
      <w:r>
        <w:t>Duplicados/Sinónimos: C-023 es un CCP típico.</w:t>
      </w:r>
    </w:p>
    <w:p>
      <w:pPr>
        <w:pStyle w:val="ListBullet"/>
      </w:pPr>
      <w:r>
        <w:t>Evidencia: [NORMA]. Estado: CANDIDATO.</w:t>
      </w:r>
    </w:p>
    <w:p>
      <w:pPr>
        <w:spacing w:after="40"/>
      </w:pPr>
    </w:p>
    <w:p>
      <w:pPr>
        <w:pStyle w:val="Heading4"/>
      </w:pPr>
      <w:r>
        <w:t>GOEI-KPI-C-023 — Conformidad de control de temperatura (holding en frío/caliente)</w:t>
      </w:r>
    </w:p>
    <w:p>
      <w:pPr>
        <w:pStyle w:val="ListBullet"/>
      </w:pPr>
      <w:r>
        <w:t>Nombre fuente: Temperature control conformance.</w:t>
      </w:r>
    </w:p>
    <w:p>
      <w:pPr>
        <w:pStyle w:val="ListBullet"/>
      </w:pPr>
      <w:r>
        <w:t>Definición encontrada: cumplimiento de rangos de temperatura seguros en almacenamiento y mantenimiento de alimentos, control clave de higiene.</w:t>
      </w:r>
    </w:p>
    <w:p>
      <w:pPr>
        <w:pStyle w:val="ListBullet"/>
      </w:pPr>
      <w:r>
        <w:t>Unidad declarada: porcentaje de lecturas en rango.</w:t>
      </w:r>
    </w:p>
    <w:p>
      <w:pPr>
        <w:pStyle w:val="ListBullet"/>
      </w:pPr>
      <w:r>
        <w:t>Numerador/Denominador: la fuente prescribe rangos; el cociente (lecturas en rango / lecturas totales) es de uso operativo, no fijado explícitamente por la fuente.</w:t>
      </w:r>
    </w:p>
    <w:p>
      <w:pPr>
        <w:pStyle w:val="ListBullet"/>
      </w:pPr>
      <w:r>
        <w:t>Proceso: P7.</w:t>
      </w:r>
    </w:p>
    <w:p>
      <w:pPr>
        <w:pStyle w:val="ListBullet"/>
      </w:pPr>
      <w:r>
        <w:t>Alcance taxonómico permitido: transversal.</w:t>
      </w:r>
    </w:p>
    <w:p>
      <w:pPr>
        <w:pStyle w:val="ListBullet"/>
      </w:pPr>
      <w:r>
        <w:t>Fuente APA 7: U.S. Food and Drug Administration. (2022). Food Code 2022. FDA. https://www.fda.gov/food/fda-food-code/food-code-2022 · Codex Alimentarius Commission. (2020). CXC 1-1969. FAO/WHO.</w:t>
      </w:r>
    </w:p>
    <w:p>
      <w:pPr>
        <w:pStyle w:val="ListBullet"/>
      </w:pPr>
      <w:r>
        <w:t>Requisitos de datos: registros de temperatura con marca temporal.</w:t>
      </w:r>
    </w:p>
    <w:p>
      <w:pPr>
        <w:pStyle w:val="ListBullet"/>
      </w:pPr>
      <w:r>
        <w:t>Frecuencia: según plan de monitoreo.</w:t>
      </w:r>
    </w:p>
    <w:p>
      <w:pPr>
        <w:pStyle w:val="ListBullet"/>
      </w:pPr>
      <w:r>
        <w:t>Limitaciones: puede ser restricción crítica; depende de instrumentación.</w:t>
      </w:r>
    </w:p>
    <w:p>
      <w:pPr>
        <w:pStyle w:val="ListBullet"/>
      </w:pPr>
      <w:r>
        <w:t>Duplicados/Sinónimos: CCP específico bajo C-022.</w:t>
      </w:r>
    </w:p>
    <w:p>
      <w:pPr>
        <w:pStyle w:val="ListBullet"/>
      </w:pPr>
      <w:r>
        <w:t>Evidencia: [NORMA]. Estado: CANDIDATO.</w:t>
      </w:r>
    </w:p>
    <w:p>
      <w:pPr>
        <w:spacing w:after="40"/>
      </w:pPr>
    </w:p>
    <w:p>
      <w:pPr>
        <w:pStyle w:val="Heading4"/>
      </w:pPr>
      <w:r>
        <w:t>GOEI-KPI-C-024 — Cumplimiento de higiene de manipuladores (hand hygiene)</w:t>
      </w:r>
    </w:p>
    <w:p>
      <w:pPr>
        <w:pStyle w:val="ListBullet"/>
      </w:pPr>
      <w:r>
        <w:t>Nombre fuente: Food handler hygiene / handwashing compliance.</w:t>
      </w:r>
    </w:p>
    <w:p>
      <w:pPr>
        <w:pStyle w:val="ListBullet"/>
      </w:pPr>
      <w:r>
        <w:t>Definición encontrada: cumplimiento de prácticas de higiene personal y lavado de manos de los manipuladores de alimentos, requisito de los principios generales de higiene.</w:t>
      </w:r>
    </w:p>
    <w:p>
      <w:pPr>
        <w:pStyle w:val="ListBullet"/>
      </w:pPr>
      <w:r>
        <w:t>Unidad declarada: porcentaje de cumplimiento observado.</w:t>
      </w:r>
    </w:p>
    <w:p>
      <w:pPr>
        <w:pStyle w:val="ListBullet"/>
      </w:pPr>
      <w:r>
        <w:t>Numerador/Denominador: la fuente prescribe la práctica; no fija un cociente de observación estandarizado.</w:t>
      </w:r>
    </w:p>
    <w:p>
      <w:pPr>
        <w:pStyle w:val="ListBullet"/>
      </w:pPr>
      <w:r>
        <w:t>Proceso: P7.</w:t>
      </w:r>
    </w:p>
    <w:p>
      <w:pPr>
        <w:pStyle w:val="ListBullet"/>
      </w:pPr>
      <w:r>
        <w:t>Alcance taxonómico permitido: transversal.</w:t>
      </w:r>
    </w:p>
    <w:p>
      <w:pPr>
        <w:pStyle w:val="ListBullet"/>
      </w:pPr>
      <w:r>
        <w:t>Fuente APA 7: Codex Alimentarius Commission. (2020). General principles of food hygiene (CXC 1-1969, Rev. 2020). FAO/WHO. https://www.fao.org/fao-who-codexalimentarius/</w:t>
      </w:r>
    </w:p>
    <w:p>
      <w:pPr>
        <w:pStyle w:val="ListBullet"/>
      </w:pPr>
      <w:r>
        <w:t>Requisitos de datos: observación estructurada o auditoría de higiene.</w:t>
      </w:r>
    </w:p>
    <w:p>
      <w:pPr>
        <w:pStyle w:val="ListBullet"/>
      </w:pPr>
      <w:r>
        <w:t>Frecuencia: no provista por la fuente.</w:t>
      </w:r>
    </w:p>
    <w:p>
      <w:pPr>
        <w:pStyle w:val="ListBullet"/>
      </w:pPr>
      <w:r>
        <w:t>Limitaciones: medición observacional sujeta a sesgo; sin protocolo único.</w:t>
      </w:r>
    </w:p>
    <w:p>
      <w:pPr>
        <w:pStyle w:val="ListBullet"/>
      </w:pPr>
      <w:r>
        <w:t>Duplicados/Sinónimos: —.</w:t>
      </w:r>
    </w:p>
    <w:p>
      <w:pPr>
        <w:pStyle w:val="ListBullet"/>
      </w:pPr>
      <w:r>
        <w:t>Evidencia: [NORMA]. Estado: CANDIDATO.</w:t>
      </w:r>
    </w:p>
    <w:p>
      <w:pPr>
        <w:spacing w:after="40"/>
      </w:pPr>
    </w:p>
    <w:p>
      <w:pPr>
        <w:pStyle w:val="Heading3"/>
      </w:pPr>
      <w:r>
        <w:t>P8 — Mantenimiento de equipos e instalación</w:t>
      </w:r>
    </w:p>
    <w:p>
      <w:pPr>
        <w:spacing w:after="40"/>
      </w:pPr>
    </w:p>
    <w:p>
      <w:pPr>
        <w:pStyle w:val="Heading4"/>
      </w:pPr>
      <w:r>
        <w:t>GOEI-KPI-C-025 — Tiempo medio entre fallas (MTBF)</w:t>
      </w:r>
    </w:p>
    <w:p>
      <w:pPr>
        <w:pStyle w:val="ListBullet"/>
      </w:pPr>
      <w:r>
        <w:t>Nombre fuente: Mean Time Between Failures (EN 15341, KPI E5).</w:t>
      </w:r>
    </w:p>
    <w:p>
      <w:pPr>
        <w:pStyle w:val="ListBullet"/>
      </w:pPr>
      <w:r>
        <w:t>Definición encontrada: tiempo medio entre fallas de un activo, KPI técnico de la función de mantenimiento.</w:t>
      </w:r>
    </w:p>
    <w:p>
      <w:pPr>
        <w:pStyle w:val="ListBullet"/>
      </w:pPr>
      <w:r>
        <w:t>Unidad declarada: horas.</w:t>
      </w:r>
    </w:p>
    <w:p>
      <w:pPr>
        <w:pStyle w:val="ListBullet"/>
      </w:pPr>
      <w:r>
        <w:t>Numerador/Denominador: la norma provee el KPI; el cálculo estándar es tiempo operativo / número de fallas (según la norma).</w:t>
      </w:r>
    </w:p>
    <w:p>
      <w:pPr>
        <w:pStyle w:val="ListBullet"/>
      </w:pPr>
      <w:r>
        <w:t>Proceso: P8.</w:t>
      </w:r>
    </w:p>
    <w:p>
      <w:pPr>
        <w:pStyle w:val="ListBullet"/>
      </w:pPr>
      <w:r>
        <w:t>Alcance taxonómico permitido: transversal.</w:t>
      </w:r>
    </w:p>
    <w:p>
      <w:pPr>
        <w:pStyle w:val="ListBullet"/>
      </w:pPr>
      <w:r>
        <w:t>Fuente APA 7: European Committee for Standardization. (2019). EN 15341:2019 — Maintenance — Maintenance key performance indicators. CEN.</w:t>
      </w:r>
    </w:p>
    <w:p>
      <w:pPr>
        <w:pStyle w:val="ListBullet"/>
      </w:pPr>
      <w:r>
        <w:t>Requisitos de datos: registro de fallas y tiempos operativos.</w:t>
      </w:r>
    </w:p>
    <w:p>
      <w:pPr>
        <w:pStyle w:val="ListBullet"/>
      </w:pPr>
      <w:r>
        <w:t>Frecuencia: no provista por la fuente.</w:t>
      </w:r>
    </w:p>
    <w:p>
      <w:pPr>
        <w:pStyle w:val="ListBullet"/>
      </w:pPr>
      <w:r>
        <w:t>Limitaciones: requiere historial de fallas confiable.</w:t>
      </w:r>
    </w:p>
    <w:p>
      <w:pPr>
        <w:pStyle w:val="ListBullet"/>
      </w:pPr>
      <w:r>
        <w:t>Duplicados/Sinónimos: complementario de MTTR (C-026).</w:t>
      </w:r>
    </w:p>
    <w:p>
      <w:pPr>
        <w:pStyle w:val="ListBullet"/>
      </w:pPr>
      <w:r>
        <w:t>Evidencia: [NORMA]. Estado: CANDIDATO.</w:t>
      </w:r>
    </w:p>
    <w:p>
      <w:pPr>
        <w:spacing w:after="40"/>
      </w:pPr>
    </w:p>
    <w:p>
      <w:pPr>
        <w:pStyle w:val="Heading4"/>
      </w:pPr>
      <w:r>
        <w:t>GOEI-KPI-C-026 — Tiempo medio de reparación/restauración (MTTR)</w:t>
      </w:r>
    </w:p>
    <w:p>
      <w:pPr>
        <w:pStyle w:val="ListBullet"/>
      </w:pPr>
      <w:r>
        <w:t>Nombre fuente: Mean Time To Repair/Restore (EN 15341).</w:t>
      </w:r>
    </w:p>
    <w:p>
      <w:pPr>
        <w:pStyle w:val="ListBullet"/>
      </w:pPr>
      <w:r>
        <w:t>Definición encontrada: tiempo medio para restaurar un activo tras una falla, KPI técnico de mantenimiento.</w:t>
      </w:r>
    </w:p>
    <w:p>
      <w:pPr>
        <w:pStyle w:val="ListBullet"/>
      </w:pPr>
      <w:r>
        <w:t>Unidad declarada: horas.</w:t>
      </w:r>
    </w:p>
    <w:p>
      <w:pPr>
        <w:pStyle w:val="ListBullet"/>
      </w:pPr>
      <w:r>
        <w:t>Numerador/Denominador: cálculo estándar tiempo total de reparación / número de reparaciones (según la norma).</w:t>
      </w:r>
    </w:p>
    <w:p>
      <w:pPr>
        <w:pStyle w:val="ListBullet"/>
      </w:pPr>
      <w:r>
        <w:t>Proceso: P8.</w:t>
      </w:r>
    </w:p>
    <w:p>
      <w:pPr>
        <w:pStyle w:val="ListBullet"/>
      </w:pPr>
      <w:r>
        <w:t>Alcance taxonómico permitido: transversal.</w:t>
      </w:r>
    </w:p>
    <w:p>
      <w:pPr>
        <w:pStyle w:val="ListBullet"/>
      </w:pPr>
      <w:r>
        <w:t>Fuente APA 7: European Committee for Standardization. (2019). EN 15341:2019 — Maintenance — Maintenance key performance indicators. CEN.</w:t>
      </w:r>
    </w:p>
    <w:p>
      <w:pPr>
        <w:pStyle w:val="ListBullet"/>
      </w:pPr>
      <w:r>
        <w:t>Requisitos de datos: registro de intervenciones y su duración.</w:t>
      </w:r>
    </w:p>
    <w:p>
      <w:pPr>
        <w:pStyle w:val="ListBullet"/>
      </w:pPr>
      <w:r>
        <w:t>Frecuencia: no provista por la fuente.</w:t>
      </w:r>
    </w:p>
    <w:p>
      <w:pPr>
        <w:pStyle w:val="ListBullet"/>
      </w:pPr>
      <w:r>
        <w:t>Limitaciones: depende de la definición de inicio/fin de reparación.</w:t>
      </w:r>
    </w:p>
    <w:p>
      <w:pPr>
        <w:pStyle w:val="ListBullet"/>
      </w:pPr>
      <w:r>
        <w:t>Duplicados/Sinónimos: complementario de MTBF (C-025); insumo de disponibilidad (C-027).</w:t>
      </w:r>
    </w:p>
    <w:p>
      <w:pPr>
        <w:pStyle w:val="ListBullet"/>
      </w:pPr>
      <w:r>
        <w:t>Evidencia: [NORMA]. Estado: CANDIDATO.</w:t>
      </w:r>
    </w:p>
    <w:p>
      <w:pPr>
        <w:spacing w:after="40"/>
      </w:pPr>
    </w:p>
    <w:p>
      <w:pPr>
        <w:pStyle w:val="Heading4"/>
      </w:pPr>
      <w:r>
        <w:t>GOEI-KPI-C-027 — Disponibilidad de activo/equipo (availability)</w:t>
      </w:r>
    </w:p>
    <w:p>
      <w:pPr>
        <w:pStyle w:val="ListBullet"/>
      </w:pPr>
      <w:r>
        <w:t>Nombre fuente: Availability (EN 15341).</w:t>
      </w:r>
    </w:p>
    <w:p>
      <w:pPr>
        <w:pStyle w:val="ListBullet"/>
      </w:pPr>
      <w:r>
        <w:t>Definición encontrada: proporción de tiempo en que el equipo/instalación está disponible para operar; indicador principal de desempeño de mantenimiento.</w:t>
      </w:r>
    </w:p>
    <w:p>
      <w:pPr>
        <w:pStyle w:val="ListBullet"/>
      </w:pPr>
      <w:r>
        <w:t>Unidad declarada: porcentaje.</w:t>
      </w:r>
    </w:p>
    <w:p>
      <w:pPr>
        <w:pStyle w:val="ListBullet"/>
      </w:pPr>
      <w:r>
        <w:t>Numerador/Denominador: la norma define disponibilidad a partir de tiempos de operación y paro (relación tiempo disponible / tiempo total requerido).</w:t>
      </w:r>
    </w:p>
    <w:p>
      <w:pPr>
        <w:pStyle w:val="ListBullet"/>
      </w:pPr>
      <w:r>
        <w:t>Proceso: P8.</w:t>
      </w:r>
    </w:p>
    <w:p>
      <w:pPr>
        <w:pStyle w:val="ListBullet"/>
      </w:pPr>
      <w:r>
        <w:t>Alcance taxonómico permitido: transversal.</w:t>
      </w:r>
    </w:p>
    <w:p>
      <w:pPr>
        <w:pStyle w:val="ListBullet"/>
      </w:pPr>
      <w:r>
        <w:t>Fuente APA 7: European Committee for Standardization. (2019). EN 15341:2019 — Maintenance — Maintenance key performance indicators. CEN.</w:t>
      </w:r>
    </w:p>
    <w:p>
      <w:pPr>
        <w:pStyle w:val="ListBullet"/>
      </w:pPr>
      <w:r>
        <w:t>Requisitos de datos: tiempos de disponibilidad y de paro.</w:t>
      </w:r>
    </w:p>
    <w:p>
      <w:pPr>
        <w:pStyle w:val="ListBullet"/>
      </w:pPr>
      <w:r>
        <w:t>Frecuencia: no provista por la fuente.</w:t>
      </w:r>
    </w:p>
    <w:p>
      <w:pPr>
        <w:pStyle w:val="ListBullet"/>
      </w:pPr>
      <w:r>
        <w:t>Limitaciones: depende de la definición de "tiempo requerido".</w:t>
      </w:r>
    </w:p>
    <w:p>
      <w:pPr>
        <w:pStyle w:val="ListBullet"/>
      </w:pPr>
      <w:r>
        <w:t>Duplicados/Sinónimos: componente de OEE (C-008).</w:t>
      </w:r>
    </w:p>
    <w:p>
      <w:pPr>
        <w:pStyle w:val="ListBullet"/>
      </w:pPr>
      <w:r>
        <w:t>Evidencia: [NORMA]. Estado: CANDIDATO.</w:t>
      </w:r>
    </w:p>
    <w:p>
      <w:pPr>
        <w:spacing w:after="40"/>
      </w:pPr>
    </w:p>
    <w:p>
      <w:pPr>
        <w:pStyle w:val="Heading3"/>
      </w:pPr>
      <w:r>
        <w:t>P9 — Gestión y control</w:t>
      </w:r>
    </w:p>
    <w:p>
      <w:pPr>
        <w:spacing w:after="40"/>
      </w:pPr>
    </w:p>
    <w:p>
      <w:pPr>
        <w:pStyle w:val="Heading4"/>
      </w:pPr>
      <w:r>
        <w:t>GOEI-KPI-C-028 — Costo primo (prime cost %)</w:t>
      </w:r>
    </w:p>
    <w:p>
      <w:pPr>
        <w:pStyle w:val="ListBullet"/>
      </w:pPr>
      <w:r>
        <w:t>Nombre fuente: Prime cost percentage.</w:t>
      </w:r>
    </w:p>
    <w:p>
      <w:pPr>
        <w:pStyle w:val="ListBullet"/>
      </w:pPr>
      <w:r>
        <w:t>Definición encontrada: suma del costo de ventas (alimentos y bebidas) y el costo total de mano de obra, como proporción de las ventas.</w:t>
      </w:r>
    </w:p>
    <w:p>
      <w:pPr>
        <w:pStyle w:val="ListBullet"/>
      </w:pPr>
      <w:r>
        <w:t>Unidad declarada: porcentaje.</w:t>
      </w:r>
    </w:p>
    <w:p>
      <w:pPr>
        <w:pStyle w:val="ListBullet"/>
      </w:pPr>
      <w:r>
        <w:t>Numerador/Denominador: la fuente provee: (COGS alimentos+bebidas + costo total de mano de obra) / ventas totales.</w:t>
      </w:r>
    </w:p>
    <w:p>
      <w:pPr>
        <w:pStyle w:val="ListBullet"/>
      </w:pPr>
      <w:r>
        <w:t>Proceso: P9.</w:t>
      </w:r>
    </w:p>
    <w:p>
      <w:pPr>
        <w:pStyle w:val="ListBullet"/>
      </w:pPr>
      <w:r>
        <w:t>Alcance taxonómico permitido: transversal; realización condicionada por FX-3.</w:t>
      </w:r>
    </w:p>
    <w:p>
      <w:pPr>
        <w:pStyle w:val="ListBullet"/>
      </w:pPr>
      <w:r>
        <w:t>Fuente APA 7: National Restaurant Association. (2012). Uniform system of accounts for restaurants (8th ed.).</w:t>
      </w:r>
    </w:p>
    <w:p>
      <w:pPr>
        <w:pStyle w:val="ListBullet"/>
      </w:pPr>
      <w:r>
        <w:t>Requisitos de datos: COGS, costo de mano de obra y ventas.</w:t>
      </w:r>
    </w:p>
    <w:p>
      <w:pPr>
        <w:pStyle w:val="ListBullet"/>
      </w:pPr>
      <w:r>
        <w:t>Frecuencia: no provista por la fuente (periódico).</w:t>
      </w:r>
    </w:p>
    <w:p>
      <w:pPr>
        <w:pStyle w:val="ListBullet"/>
      </w:pPr>
      <w:r>
        <w:t>Limitaciones: agrega dos familias de costo; oculta su composición.</w:t>
      </w:r>
    </w:p>
    <w:p>
      <w:pPr>
        <w:pStyle w:val="ListBullet"/>
      </w:pPr>
      <w:r>
        <w:t>Duplicados/Sinónimos: engloba food cost % (C-009) y labor cost % (C-029).</w:t>
      </w:r>
    </w:p>
    <w:p>
      <w:pPr>
        <w:pStyle w:val="ListBullet"/>
      </w:pPr>
      <w:r>
        <w:t>Evidencia: [NORMA]. Estado: CANDIDATO.</w:t>
      </w:r>
    </w:p>
    <w:p>
      <w:pPr>
        <w:spacing w:after="40"/>
      </w:pPr>
    </w:p>
    <w:p>
      <w:pPr>
        <w:pStyle w:val="Heading4"/>
      </w:pPr>
      <w:r>
        <w:t>GOEI-KPI-C-029 — Costo de mano de obra (labor cost %)</w:t>
      </w:r>
    </w:p>
    <w:p>
      <w:pPr>
        <w:pStyle w:val="ListBullet"/>
      </w:pPr>
      <w:r>
        <w:t>Nombre fuente: Labor cost percentage.</w:t>
      </w:r>
    </w:p>
    <w:p>
      <w:pPr>
        <w:pStyle w:val="ListBullet"/>
      </w:pPr>
      <w:r>
        <w:t>Definición encontrada: costo total de mano de obra como proporción de las ventas.</w:t>
      </w:r>
    </w:p>
    <w:p>
      <w:pPr>
        <w:pStyle w:val="ListBullet"/>
      </w:pPr>
      <w:r>
        <w:t>Unidad declarada: porcentaje.</w:t>
      </w:r>
    </w:p>
    <w:p>
      <w:pPr>
        <w:pStyle w:val="ListBullet"/>
      </w:pPr>
      <w:r>
        <w:t>Numerador/Denominador: la fuente provee: costo total de mano de obra / ventas totales.</w:t>
      </w:r>
    </w:p>
    <w:p>
      <w:pPr>
        <w:pStyle w:val="ListBullet"/>
      </w:pPr>
      <w:r>
        <w:t>Proceso: P9.</w:t>
      </w:r>
    </w:p>
    <w:p>
      <w:pPr>
        <w:pStyle w:val="ListBullet"/>
      </w:pPr>
      <w:r>
        <w:t>Alcance taxonómico permitido: transversal.</w:t>
      </w:r>
    </w:p>
    <w:p>
      <w:pPr>
        <w:pStyle w:val="ListBullet"/>
      </w:pPr>
      <w:r>
        <w:t>Fuente APA 7: National Restaurant Association. (2012). Uniform system of accounts for restaurants (8th ed.).</w:t>
      </w:r>
    </w:p>
    <w:p>
      <w:pPr>
        <w:pStyle w:val="ListBullet"/>
      </w:pPr>
      <w:r>
        <w:t>Requisitos de datos: nómina total (sueldos, cargas, beneficios) y ventas.</w:t>
      </w:r>
    </w:p>
    <w:p>
      <w:pPr>
        <w:pStyle w:val="ListBullet"/>
      </w:pPr>
      <w:r>
        <w:t>Frecuencia: no provista por la fuente.</w:t>
      </w:r>
    </w:p>
    <w:p>
      <w:pPr>
        <w:pStyle w:val="ListBullet"/>
      </w:pPr>
      <w:r>
        <w:t>Limitaciones: sensible a la definición de costo laboral incluido.</w:t>
      </w:r>
    </w:p>
    <w:p>
      <w:pPr>
        <w:pStyle w:val="ListBullet"/>
      </w:pPr>
      <w:r>
        <w:t>Duplicados/Sinónimos: componente de prime cost % (C-028).</w:t>
      </w:r>
    </w:p>
    <w:p>
      <w:pPr>
        <w:pStyle w:val="ListBullet"/>
      </w:pPr>
      <w:r>
        <w:t>Evidencia: [NORMA]. Estado: CANDIDATO.</w:t>
      </w:r>
    </w:p>
    <w:p>
      <w:pPr>
        <w:spacing w:after="40"/>
      </w:pPr>
    </w:p>
    <w:p>
      <w:pPr>
        <w:pStyle w:val="Heading4"/>
      </w:pPr>
      <w:r>
        <w:t>GOEI-KPI-C-030 — Rotación de personal (employee turnover rate)</w:t>
      </w:r>
    </w:p>
    <w:p>
      <w:pPr>
        <w:pStyle w:val="ListBullet"/>
      </w:pPr>
      <w:r>
        <w:t>Nombre fuente: Turnover rate (ISO 30414, capital humano).</w:t>
      </w:r>
    </w:p>
    <w:p>
      <w:pPr>
        <w:pStyle w:val="ListBullet"/>
      </w:pPr>
      <w:r>
        <w:t>Definición encontrada: tasa de rotación de personal como métrica de capital humano en el reporte interno/externo de recursos humanos.</w:t>
      </w:r>
    </w:p>
    <w:p>
      <w:pPr>
        <w:pStyle w:val="ListBullet"/>
      </w:pPr>
      <w:r>
        <w:t>Unidad declarada: porcentaje.</w:t>
      </w:r>
    </w:p>
    <w:p>
      <w:pPr>
        <w:pStyle w:val="ListBullet"/>
      </w:pPr>
      <w:r>
        <w:t>Numerador/Denominador: la norma define la rotación a partir de separaciones sobre plantilla promedio (separaciones / número promedio de empleados).</w:t>
      </w:r>
    </w:p>
    <w:p>
      <w:pPr>
        <w:pStyle w:val="ListBullet"/>
      </w:pPr>
      <w:r>
        <w:t>Proceso: P9.</w:t>
      </w:r>
    </w:p>
    <w:p>
      <w:pPr>
        <w:pStyle w:val="ListBullet"/>
      </w:pPr>
      <w:r>
        <w:t>Alcance taxonómico permitido: transversal.</w:t>
      </w:r>
    </w:p>
    <w:p>
      <w:pPr>
        <w:pStyle w:val="ListBullet"/>
      </w:pPr>
      <w:r>
        <w:t>Fuente APA 7: International Organization for Standardization. (2018). ISO 30414:2018 — Human resource management — Guidelines for internal and external human capital reporting. ISO. https://www.iso.org/standard/69338.html</w:t>
      </w:r>
    </w:p>
    <w:p>
      <w:pPr>
        <w:pStyle w:val="ListBullet"/>
      </w:pPr>
      <w:r>
        <w:t>Requisitos de datos: altas/bajas y plantilla promedio del periodo.</w:t>
      </w:r>
    </w:p>
    <w:p>
      <w:pPr>
        <w:pStyle w:val="ListBullet"/>
      </w:pPr>
      <w:r>
        <w:t>Frecuencia: no provista por la fuente (típicamente anual).</w:t>
      </w:r>
    </w:p>
    <w:p>
      <w:pPr>
        <w:pStyle w:val="ListBullet"/>
      </w:pPr>
      <w:r>
        <w:t>Limitaciones: genérico de RRHH → GOEI-ISS-057; alta estacionalidad en foodservice.</w:t>
      </w:r>
    </w:p>
    <w:p>
      <w:pPr>
        <w:pStyle w:val="ListBullet"/>
      </w:pPr>
      <w:r>
        <w:t>Duplicados/Sinónimos: —.</w:t>
      </w:r>
    </w:p>
    <w:p>
      <w:pPr>
        <w:pStyle w:val="ListBullet"/>
      </w:pPr>
      <w:r>
        <w:t>Evidencia: [NORMA]. Estado: CANDIDATO.</w:t>
      </w:r>
    </w:p>
    <w:p>
      <w:pPr>
        <w:spacing w:after="40"/>
      </w:pPr>
    </w:p>
    <w:p>
      <w:pPr>
        <w:pStyle w:val="Heading4"/>
      </w:pPr>
      <w:r>
        <w:t>GOEI-KPI-C-031 — Margen operativo / EBITDA</w:t>
      </w:r>
    </w:p>
    <w:p>
      <w:pPr>
        <w:pStyle w:val="ListBullet"/>
      </w:pPr>
      <w:r>
        <w:t>Nombre fuente: Operating profit margin / EBITDA.</w:t>
      </w:r>
    </w:p>
    <w:p>
      <w:pPr>
        <w:pStyle w:val="ListBullet"/>
      </w:pPr>
      <w:r>
        <w:t>Definición encontrada: rentabilidad operativa del establecimiento en el estado de resultados del sistema uniforme de cuentas.</w:t>
      </w:r>
    </w:p>
    <w:p>
      <w:pPr>
        <w:pStyle w:val="ListBullet"/>
      </w:pPr>
      <w:r>
        <w:t>Unidad declarada: porcentaje (margen) o moneda (EBITDA).</w:t>
      </w:r>
    </w:p>
    <w:p>
      <w:pPr>
        <w:pStyle w:val="ListBullet"/>
      </w:pPr>
      <w:r>
        <w:t>Numerador/Denominador: para el margen operativo, la fuente provee: resultado operativo / ventas totales.</w:t>
      </w:r>
    </w:p>
    <w:p>
      <w:pPr>
        <w:pStyle w:val="ListBullet"/>
      </w:pPr>
      <w:r>
        <w:t>Proceso: P9.</w:t>
      </w:r>
    </w:p>
    <w:p>
      <w:pPr>
        <w:pStyle w:val="ListBullet"/>
      </w:pPr>
      <w:r>
        <w:t>Alcance taxonómico permitido: transversal; realización condicionada por FX-3.</w:t>
      </w:r>
    </w:p>
    <w:p>
      <w:pPr>
        <w:pStyle w:val="ListBullet"/>
      </w:pPr>
      <w:r>
        <w:t>Fuente APA 7: National Restaurant Association. (2012). Uniform system of accounts for restaurants (8th ed.).</w:t>
      </w:r>
    </w:p>
    <w:p>
      <w:pPr>
        <w:pStyle w:val="ListBullet"/>
      </w:pPr>
      <w:r>
        <w:t>Requisitos de datos: estado de resultados del periodo.</w:t>
      </w:r>
    </w:p>
    <w:p>
      <w:pPr>
        <w:pStyle w:val="ListBullet"/>
      </w:pPr>
      <w:r>
        <w:t>Frecuencia: no provista por la fuente (periódico).</w:t>
      </w:r>
    </w:p>
    <w:p>
      <w:pPr>
        <w:pStyle w:val="ListBullet"/>
      </w:pPr>
      <w:r>
        <w:t>Limitaciones: afectado por estructura de propiedad/arrendamiento.</w:t>
      </w:r>
    </w:p>
    <w:p>
      <w:pPr>
        <w:pStyle w:val="ListBullet"/>
      </w:pPr>
      <w:r>
        <w:t>Duplicados/Sinónimos: relacionado con margen bruto (C-019).</w:t>
      </w:r>
    </w:p>
    <w:p>
      <w:pPr>
        <w:pStyle w:val="ListBullet"/>
      </w:pPr>
      <w:r>
        <w:t>Evidencia: [NORMA]. Estado: CANDIDATO.</w:t>
      </w:r>
    </w:p>
    <w:p>
      <w:pPr>
        <w:spacing w:after="40"/>
      </w:pPr>
    </w:p>
    <w:p>
      <w:pPr>
        <w:pStyle w:val="Heading4"/>
      </w:pPr>
      <w:r>
        <w:t>GOEI-KPI-C-032 — Balanced Scorecard (marco de referencia, no KPI único)</w:t>
      </w:r>
    </w:p>
    <w:p>
      <w:pPr>
        <w:pStyle w:val="ListBullet"/>
      </w:pPr>
      <w:r>
        <w:t>Tipo de registro: MARCO CONTEXTUAL; excluido de la cola de evaluación de KPI de B4.</w:t>
      </w:r>
    </w:p>
    <w:p>
      <w:pPr>
        <w:pStyle w:val="ListBullet"/>
      </w:pPr>
      <w:r>
        <w:t>Nombre fuente: Balanced Scorecard (BSC).</w:t>
      </w:r>
    </w:p>
    <w:p>
      <w:pPr>
        <w:pStyle w:val="ListBullet"/>
      </w:pPr>
      <w:r>
        <w:t>Definición encontrada: marco de medición de desempeño con cuatro perspectivas (financiera, cliente, procesos internos, aprendizaje y crecimiento); es un marco, no un indicador único.</w:t>
      </w:r>
    </w:p>
    <w:p>
      <w:pPr>
        <w:pStyle w:val="ListBullet"/>
      </w:pPr>
      <w:r>
        <w:t>Unidad declarada: no aplica (marco).</w:t>
      </w:r>
    </w:p>
    <w:p>
      <w:pPr>
        <w:pStyle w:val="ListBullet"/>
      </w:pPr>
      <w:r>
        <w:t>Numerador/Denominador: no aplica.</w:t>
      </w:r>
    </w:p>
    <w:p>
      <w:pPr>
        <w:pStyle w:val="ListBullet"/>
      </w:pPr>
      <w:r>
        <w:t>Proceso: P9 (transversal a todos).</w:t>
      </w:r>
    </w:p>
    <w:p>
      <w:pPr>
        <w:pStyle w:val="ListBullet"/>
      </w:pPr>
      <w:r>
        <w:t>Alcance taxonómico permitido: transversal.</w:t>
      </w:r>
    </w:p>
    <w:p>
      <w:pPr>
        <w:pStyle w:val="ListBullet"/>
      </w:pPr>
      <w:r>
        <w:t>Fuente APA 7: Kaplan, R. S., &amp; Norton, D. P. (1992). The balanced scorecard—Measures that drive performance. Harvard Business Review, 70(1), 71–79.</w:t>
      </w:r>
    </w:p>
    <w:p>
      <w:pPr>
        <w:pStyle w:val="ListBullet"/>
      </w:pPr>
      <w:r>
        <w:t>Requisitos de datos: depende de los KPI que se instancien.</w:t>
      </w:r>
    </w:p>
    <w:p>
      <w:pPr>
        <w:pStyle w:val="ListBullet"/>
      </w:pPr>
      <w:r>
        <w:t>Frecuencia: no aplica.</w:t>
      </w:r>
    </w:p>
    <w:p>
      <w:pPr>
        <w:pStyle w:val="ListBullet"/>
      </w:pPr>
      <w:r>
        <w:t>Limitaciones: no es puntuable como métrica; se registra por trazabilidad, no como candidato a KPI-def.</w:t>
      </w:r>
    </w:p>
    <w:p>
      <w:pPr>
        <w:pStyle w:val="ListBullet"/>
      </w:pPr>
      <w:r>
        <w:t>Duplicados/Sinónimos: engloba conceptualmente a los demás.</w:t>
      </w:r>
    </w:p>
    <w:p>
      <w:pPr>
        <w:pStyle w:val="ListBullet"/>
      </w:pPr>
      <w:r>
        <w:t>Evidencia: [MARCO]. Estado: CANDIDATO CONTEXTUAL (marco, no métrica ni candidato a KPI-def).</w:t>
      </w:r>
    </w:p>
    <w:p>
      <w:pPr>
        <w:spacing w:after="40"/>
      </w:pPr>
    </w:p>
    <w:p>
      <w:r>
        <w:t>---</w:t>
      </w:r>
    </w:p>
    <w:p>
      <w:pPr>
        <w:spacing w:after="40"/>
      </w:pPr>
    </w:p>
    <w:p>
      <w:pPr>
        <w:pStyle w:val="Heading3"/>
      </w:pPr>
      <w:r>
        <w:t>Resumen de cobertura por proceso</w:t>
      </w:r>
    </w:p>
    <w:p>
      <w:pPr>
        <w:spacing w:after="40"/>
      </w:pPr>
    </w:p>
    <w:p>
      <w:pPr>
        <w:spacing w:after="20" w:line="240" w:lineRule="auto"/>
      </w:pPr>
      <w:r>
        <w:rPr>
          <w:rFonts w:ascii="Consolas" w:hAnsi="Consolas"/>
          <w:sz w:val="14"/>
        </w:rPr>
        <w:t>| Proceso | Candidatos | Nivel de cobertura |</w:t>
      </w:r>
    </w:p>
    <w:p>
      <w:pPr>
        <w:spacing w:after="20" w:line="240" w:lineRule="auto"/>
      </w:pPr>
      <w:r>
        <w:rPr>
          <w:rFonts w:ascii="Consolas" w:hAnsi="Consolas"/>
          <w:sz w:val="14"/>
        </w:rPr>
        <w:t>|---|---|---|</w:t>
      </w:r>
    </w:p>
    <w:p>
      <w:pPr>
        <w:spacing w:after="20" w:line="240" w:lineRule="auto"/>
      </w:pPr>
      <w:r>
        <w:rPr>
          <w:rFonts w:ascii="Consolas" w:hAnsi="Consolas"/>
          <w:sz w:val="14"/>
        </w:rPr>
        <w:t>| P1 | C-001, C-002, C-003 | Parcial (vacío en exactitud de pronóstico) |</w:t>
      </w:r>
    </w:p>
    <w:p>
      <w:pPr>
        <w:spacing w:after="20" w:line="240" w:lineRule="auto"/>
      </w:pPr>
      <w:r>
        <w:rPr>
          <w:rFonts w:ascii="Consolas" w:hAnsi="Consolas"/>
          <w:sz w:val="14"/>
        </w:rPr>
        <w:t>| P2 | C-004, C-005 | Media (fuentes genéricas) |</w:t>
      </w:r>
    </w:p>
    <w:p>
      <w:pPr>
        <w:spacing w:after="20" w:line="240" w:lineRule="auto"/>
      </w:pPr>
      <w:r>
        <w:rPr>
          <w:rFonts w:ascii="Consolas" w:hAnsi="Consolas"/>
          <w:sz w:val="14"/>
        </w:rPr>
        <w:t>| P3 | C-006, C-007 | Media (merma bajo ISS-043) |</w:t>
      </w:r>
    </w:p>
    <w:p>
      <w:pPr>
        <w:spacing w:after="20" w:line="240" w:lineRule="auto"/>
      </w:pPr>
      <w:r>
        <w:rPr>
          <w:rFonts w:ascii="Consolas" w:hAnsi="Consolas"/>
          <w:sz w:val="14"/>
        </w:rPr>
        <w:t>| P4 | C-008, C-009, C-010, C-011 | Alta |</w:t>
      </w:r>
    </w:p>
    <w:p>
      <w:pPr>
        <w:spacing w:after="20" w:line="240" w:lineRule="auto"/>
      </w:pPr>
      <w:r>
        <w:rPr>
          <w:rFonts w:ascii="Consolas" w:hAnsi="Consolas"/>
          <w:sz w:val="14"/>
        </w:rPr>
        <w:t>| P5 | C-012, C-013, C-014, C-015, C-016 | Alta |</w:t>
      </w:r>
    </w:p>
    <w:p>
      <w:pPr>
        <w:spacing w:after="20" w:line="240" w:lineRule="auto"/>
      </w:pPr>
      <w:r>
        <w:rPr>
          <w:rFonts w:ascii="Consolas" w:hAnsi="Consolas"/>
          <w:sz w:val="14"/>
        </w:rPr>
        <w:t>| P6 | C-017, C-018, C-019, C-020 | Alta |</w:t>
      </w:r>
    </w:p>
    <w:p>
      <w:pPr>
        <w:spacing w:after="20" w:line="240" w:lineRule="auto"/>
      </w:pPr>
      <w:r>
        <w:rPr>
          <w:rFonts w:ascii="Consolas" w:hAnsi="Consolas"/>
          <w:sz w:val="14"/>
        </w:rPr>
        <w:t>| P7 | C-021, C-022, C-023, C-024 | Media-alta (heterogeneidad jurisdiccional) |</w:t>
      </w:r>
    </w:p>
    <w:p>
      <w:pPr>
        <w:spacing w:after="20" w:line="240" w:lineRule="auto"/>
      </w:pPr>
      <w:r>
        <w:rPr>
          <w:rFonts w:ascii="Consolas" w:hAnsi="Consolas"/>
          <w:sz w:val="14"/>
        </w:rPr>
        <w:t>| P8 | C-025, C-026, C-027 (+ C-008) | Alta (norma dedicada) |</w:t>
      </w:r>
    </w:p>
    <w:p>
      <w:pPr>
        <w:spacing w:after="20" w:line="240" w:lineRule="auto"/>
      </w:pPr>
      <w:r>
        <w:rPr>
          <w:rFonts w:ascii="Consolas" w:hAnsi="Consolas"/>
          <w:sz w:val="14"/>
        </w:rPr>
        <w:t>| P9 | C-028, C-029, C-030, C-031, C-032 | Alta en lo económico; BSC no puntuable |</w:t>
      </w:r>
    </w:p>
    <w:p>
      <w:pPr>
        <w:spacing w:after="40"/>
      </w:pPr>
    </w:p>
    <w:p>
      <w:r>
        <w:t>Total: 32 registros controlados (31 indicadores con estado CANDIDATO que integran la cola B4 + 1 marco con estado CANDIDATO CONTEXTUAL, excluido de dicha cola).</w:t>
      </w:r>
    </w:p>
    <w:p>
      <w:pPr>
        <w:spacing w:after="40"/>
      </w:pPr>
    </w:p>
    <w:p>
      <w:r>
        <w:t>Ningún registro de este catálogo es admisible, normativo ni puntuable. La admisibilidad, la de-duplicación, la fórmula GOEI, las referencias, los pesos y los umbrales son materia de B4 en adelante. Aceptar este universo candidato no aprueba ningún KPI.</w:t>
      </w:r>
    </w:p>
    <w:p>
      <w:r>
        <w:br w:type="page"/>
      </w:r>
    </w:p>
    <w:p>
      <w:pPr>
        <w:pStyle w:val="Heading1"/>
        <w:keepNext/>
      </w:pPr>
      <w:r>
        <w:t>Fuente 99: 05_Catalogo_KPI/GOEI_Matriz_Cobertura_KPI_Candidatos_B3.md</w:t>
      </w:r>
    </w:p>
    <w:p>
      <w:pPr>
        <w:spacing w:after="200"/>
      </w:pPr>
      <w:r>
        <w:rPr>
          <w:rFonts w:ascii="Consolas" w:hAnsi="Consolas"/>
          <w:color w:val="595959"/>
          <w:sz w:val="16"/>
        </w:rPr>
        <w:t>Ruta: 05_Catalogo_KPI/GOEI_Matriz_Cobertura_KPI_Candidatos_B3.md</w:t>
        <w:br/>
        <w:t>Tamaño: 6241 bytes</w:t>
        <w:br/>
        <w:t>SHA-256: 13ab765920c2402f2da1861c01b4968eb87ba098516b6c91ef3bec5f0c5b2045</w:t>
      </w:r>
    </w:p>
    <w:p>
      <w:pPr>
        <w:pStyle w:val="Heading2"/>
      </w:pPr>
      <w:r>
        <w:t>GOEI · Matriz de Cobertura del Universo Candidato de KPI (B3)</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`GOEI-MTZ-KPI-C-0001` |</w:t>
      </w:r>
    </w:p>
    <w:p>
      <w:pPr>
        <w:spacing w:after="20" w:line="240" w:lineRule="auto"/>
      </w:pPr>
      <w:r>
        <w:rPr>
          <w:rFonts w:ascii="Consolas" w:hAnsi="Consolas"/>
          <w:sz w:val="14"/>
        </w:rPr>
        <w:t>| Subfase | B3 — Universo y catálogo candidato de KPI |</w:t>
      </w:r>
    </w:p>
    <w:p>
      <w:pPr>
        <w:spacing w:after="20" w:line="240" w:lineRule="auto"/>
      </w:pPr>
      <w:r>
        <w:rPr>
          <w:rFonts w:ascii="Consolas" w:hAnsi="Consolas"/>
          <w:sz w:val="14"/>
        </w:rPr>
        <w:t>| Versión | 0.1.0 (candidata) |</w:t>
      </w:r>
    </w:p>
    <w:p>
      <w:pPr>
        <w:spacing w:after="20" w:line="240" w:lineRule="auto"/>
      </w:pPr>
      <w:r>
        <w:rPr>
          <w:rFonts w:ascii="Consolas" w:hAnsi="Consolas"/>
          <w:sz w:val="14"/>
        </w:rPr>
        <w:t>| Fecha | 2026-08-04 |</w:t>
      </w:r>
    </w:p>
    <w:p>
      <w:pPr>
        <w:spacing w:after="20" w:line="240" w:lineRule="auto"/>
      </w:pPr>
      <w:r>
        <w:rPr>
          <w:rFonts w:ascii="Consolas" w:hAnsi="Consolas"/>
          <w:sz w:val="14"/>
        </w:rPr>
        <w:t>| Fuente de candidatos | `GOEI-CAT-KPI-C-0001` (`GOEI_Catalogo_KPI_Candidatos_B3.md`) |</w:t>
      </w:r>
    </w:p>
    <w:p>
      <w:pPr>
        <w:spacing w:after="20" w:line="240" w:lineRule="auto"/>
      </w:pPr>
      <w:r>
        <w:rPr>
          <w:rFonts w:ascii="Consolas" w:hAnsi="Consolas"/>
          <w:sz w:val="14"/>
        </w:rPr>
        <w:t>| Marco de cobertura | `P1–P9` (`GOEI-BSL-PROC-0001 v0.1.0`) × `{FX-1, FX-2, FX-3, transversal}` (`GOEI-BSL-TAX-0001 v0.1.0`) |</w:t>
      </w:r>
    </w:p>
    <w:p>
      <w:pPr>
        <w:spacing w:after="40"/>
      </w:pPr>
    </w:p>
    <w:p>
      <w:pPr>
        <w:spacing w:after="100"/>
        <w:ind w:left="360" w:right="216"/>
      </w:pPr>
      <w:r>
        <w:rPr>
          <w:i/>
          <w:color w:val="595959"/>
        </w:rPr>
        <w:t>Naturaleza. Instrumento de trazabilidad de cobertura. No evalúa pertinencia, admisibilidad ni calidad de los candidatos. La faceta indica condicionamiento de realización (identidad FX), nunca valores concretos (BLOQUEADOS por GOEI-ISS-054). Toda agregación multiunidad está BLOQUEADA por GOEI-ISS-008.</w:t>
      </w:r>
    </w:p>
    <w:p>
      <w:pPr>
        <w:spacing w:after="100"/>
        <w:ind w:left="360" w:right="216"/>
      </w:pPr>
      <w:r>
        <w:rPr>
          <w:i/>
          <w:color w:val="595959"/>
        </w:rPr>
        <w:t>Leyenda de densidad: ● alta · ◐ media · ○ parcial/escasa · ✕ vacío.</w:t>
      </w:r>
    </w:p>
    <w:p>
      <w:pPr>
        <w:spacing w:after="40"/>
      </w:pPr>
    </w:p>
    <w:p>
      <w:pPr>
        <w:pStyle w:val="Heading3"/>
      </w:pPr>
      <w:r>
        <w:t>1. Matriz proceso × candidato</w:t>
      </w:r>
    </w:p>
    <w:p>
      <w:pPr>
        <w:spacing w:after="40"/>
      </w:pPr>
    </w:p>
    <w:p>
      <w:pPr>
        <w:spacing w:after="20" w:line="240" w:lineRule="auto"/>
      </w:pPr>
      <w:r>
        <w:rPr>
          <w:rFonts w:ascii="Consolas" w:hAnsi="Consolas"/>
          <w:sz w:val="14"/>
        </w:rPr>
        <w:t>| Proceso | Descripción (baseline) | Candidatos asociados | Densidad |</w:t>
      </w:r>
    </w:p>
    <w:p>
      <w:pPr>
        <w:spacing w:after="20" w:line="240" w:lineRule="auto"/>
      </w:pPr>
      <w:r>
        <w:rPr>
          <w:rFonts w:ascii="Consolas" w:hAnsi="Consolas"/>
          <w:sz w:val="14"/>
        </w:rPr>
        <w:t>|---|---|---|---|</w:t>
      </w:r>
    </w:p>
    <w:p>
      <w:pPr>
        <w:spacing w:after="20" w:line="240" w:lineRule="auto"/>
      </w:pPr>
      <w:r>
        <w:rPr>
          <w:rFonts w:ascii="Consolas" w:hAnsi="Consolas"/>
          <w:sz w:val="14"/>
        </w:rPr>
        <w:t>| P1 | Planificación y menú / demanda | C-001, C-002, C-003 | ○ |</w:t>
      </w:r>
    </w:p>
    <w:p>
      <w:pPr>
        <w:spacing w:after="20" w:line="240" w:lineRule="auto"/>
      </w:pPr>
      <w:r>
        <w:rPr>
          <w:rFonts w:ascii="Consolas" w:hAnsi="Consolas"/>
          <w:sz w:val="14"/>
        </w:rPr>
        <w:t>| P2 | Aprovisionamiento | C-004, C-005 | ◐ |</w:t>
      </w:r>
    </w:p>
    <w:p>
      <w:pPr>
        <w:spacing w:after="20" w:line="240" w:lineRule="auto"/>
      </w:pPr>
      <w:r>
        <w:rPr>
          <w:rFonts w:ascii="Consolas" w:hAnsi="Consolas"/>
          <w:sz w:val="14"/>
        </w:rPr>
        <w:t>| P3 | Recepción, almacenamiento e inventario | C-006, C-007 | ◐ |</w:t>
      </w:r>
    </w:p>
    <w:p>
      <w:pPr>
        <w:spacing w:after="20" w:line="240" w:lineRule="auto"/>
      </w:pPr>
      <w:r>
        <w:rPr>
          <w:rFonts w:ascii="Consolas" w:hAnsi="Consolas"/>
          <w:sz w:val="14"/>
        </w:rPr>
        <w:t>| P4 | Producción / preparación | C-008, C-009, C-010, C-011 | ● |</w:t>
      </w:r>
    </w:p>
    <w:p>
      <w:pPr>
        <w:spacing w:after="20" w:line="240" w:lineRule="auto"/>
      </w:pPr>
      <w:r>
        <w:rPr>
          <w:rFonts w:ascii="Consolas" w:hAnsi="Consolas"/>
          <w:sz w:val="14"/>
        </w:rPr>
        <w:t>| P5 | Distribución / servicio / cumplimiento | C-012, C-013, C-014, C-015, C-016 | ● |</w:t>
      </w:r>
    </w:p>
    <w:p>
      <w:pPr>
        <w:spacing w:after="20" w:line="240" w:lineRule="auto"/>
      </w:pPr>
      <w:r>
        <w:rPr>
          <w:rFonts w:ascii="Consolas" w:hAnsi="Consolas"/>
          <w:sz w:val="14"/>
        </w:rPr>
        <w:t>| P6 | Transacción / cierre | C-017, C-018, C-019, C-020 | ● |</w:t>
      </w:r>
    </w:p>
    <w:p>
      <w:pPr>
        <w:spacing w:after="20" w:line="240" w:lineRule="auto"/>
      </w:pPr>
      <w:r>
        <w:rPr>
          <w:rFonts w:ascii="Consolas" w:hAnsi="Consolas"/>
          <w:sz w:val="14"/>
        </w:rPr>
        <w:t>| P7 | Inocuidad, higiene y sanitización | C-021, C-022, C-023, C-024 | ◐ |</w:t>
      </w:r>
    </w:p>
    <w:p>
      <w:pPr>
        <w:spacing w:after="20" w:line="240" w:lineRule="auto"/>
      </w:pPr>
      <w:r>
        <w:rPr>
          <w:rFonts w:ascii="Consolas" w:hAnsi="Consolas"/>
          <w:sz w:val="14"/>
        </w:rPr>
        <w:t>| P8 | Mantenimiento de equipos e instalación | C-025, C-026, C-027 (+ C-008) | ● |</w:t>
      </w:r>
    </w:p>
    <w:p>
      <w:pPr>
        <w:spacing w:after="20" w:line="240" w:lineRule="auto"/>
      </w:pPr>
      <w:r>
        <w:rPr>
          <w:rFonts w:ascii="Consolas" w:hAnsi="Consolas"/>
          <w:sz w:val="14"/>
        </w:rPr>
        <w:t>| P9 | Gestión y control | C-028, C-029, C-030, C-031; C-032 solo como marco contextual | ● |</w:t>
      </w:r>
    </w:p>
    <w:p>
      <w:pPr>
        <w:spacing w:after="40"/>
      </w:pPr>
    </w:p>
    <w:p>
      <w:pPr>
        <w:pStyle w:val="Heading3"/>
      </w:pPr>
      <w:r>
        <w:t>2. Matriz proceso × faceta (condicionamiento de realización)</w:t>
      </w:r>
    </w:p>
    <w:p>
      <w:pPr>
        <w:spacing w:after="40"/>
      </w:pPr>
    </w:p>
    <w:p>
      <w:r>
        <w:t>Conforme a GOEI-DIR-RES-0002: FX-1 condiciona P5; FX-2 condiciona P4–P5; FX-3 condiciona P6. Las demás celdas son transversales (T) al alcance facetado.</w:t>
      </w:r>
    </w:p>
    <w:p>
      <w:pPr>
        <w:spacing w:after="40"/>
      </w:pPr>
    </w:p>
    <w:p>
      <w:pPr>
        <w:spacing w:after="20" w:line="240" w:lineRule="auto"/>
      </w:pPr>
      <w:r>
        <w:rPr>
          <w:rFonts w:ascii="Consolas" w:hAnsi="Consolas"/>
          <w:sz w:val="14"/>
        </w:rPr>
        <w:t>| Proceso | FX-1 (servicio/entrega) | FX-2 (sistema de producción) | FX-3 (naturaleza económica) | Transversal (T) |</w:t>
      </w:r>
    </w:p>
    <w:p>
      <w:pPr>
        <w:spacing w:after="20" w:line="240" w:lineRule="auto"/>
      </w:pPr>
      <w:r>
        <w:rPr>
          <w:rFonts w:ascii="Consolas" w:hAnsi="Consolas"/>
          <w:sz w:val="14"/>
        </w:rPr>
        <w:t>|---|---|---|---|---|</w:t>
      </w:r>
    </w:p>
    <w:p>
      <w:pPr>
        <w:spacing w:after="20" w:line="240" w:lineRule="auto"/>
      </w:pPr>
      <w:r>
        <w:rPr>
          <w:rFonts w:ascii="Consolas" w:hAnsi="Consolas"/>
          <w:sz w:val="14"/>
        </w:rPr>
        <w:t>| P1 | — | C-003 (realización) | — | C-001, C-002, C-003 |</w:t>
      </w:r>
    </w:p>
    <w:p>
      <w:pPr>
        <w:spacing w:after="20" w:line="240" w:lineRule="auto"/>
      </w:pPr>
      <w:r>
        <w:rPr>
          <w:rFonts w:ascii="Consolas" w:hAnsi="Consolas"/>
          <w:sz w:val="14"/>
        </w:rPr>
        <w:t>| P2 | — | — | — | C-004, C-005 |</w:t>
      </w:r>
    </w:p>
    <w:p>
      <w:pPr>
        <w:spacing w:after="20" w:line="240" w:lineRule="auto"/>
      </w:pPr>
      <w:r>
        <w:rPr>
          <w:rFonts w:ascii="Consolas" w:hAnsi="Consolas"/>
          <w:sz w:val="14"/>
        </w:rPr>
        <w:t>| P3 | — | — | — | C-006, C-007 |</w:t>
      </w:r>
    </w:p>
    <w:p>
      <w:pPr>
        <w:spacing w:after="20" w:line="240" w:lineRule="auto"/>
      </w:pPr>
      <w:r>
        <w:rPr>
          <w:rFonts w:ascii="Consolas" w:hAnsi="Consolas"/>
          <w:sz w:val="14"/>
        </w:rPr>
        <w:t>| P4 | — | C-008, C-010, C-011 | — | C-009 |</w:t>
      </w:r>
    </w:p>
    <w:p>
      <w:pPr>
        <w:spacing w:after="20" w:line="240" w:lineRule="auto"/>
      </w:pPr>
      <w:r>
        <w:rPr>
          <w:rFonts w:ascii="Consolas" w:hAnsi="Consolas"/>
          <w:sz w:val="14"/>
        </w:rPr>
        <w:t>| P5 | C-012, C-013, C-014, C-015, C-016 | C-011 | — | — |</w:t>
      </w:r>
    </w:p>
    <w:p>
      <w:pPr>
        <w:spacing w:after="20" w:line="240" w:lineRule="auto"/>
      </w:pPr>
      <w:r>
        <w:rPr>
          <w:rFonts w:ascii="Consolas" w:hAnsi="Consolas"/>
          <w:sz w:val="14"/>
        </w:rPr>
        <w:t>| P6 | C-018 (asientos) | — | C-017, C-018, C-019, C-020 | — |</w:t>
      </w:r>
    </w:p>
    <w:p>
      <w:pPr>
        <w:spacing w:after="20" w:line="240" w:lineRule="auto"/>
      </w:pPr>
      <w:r>
        <w:rPr>
          <w:rFonts w:ascii="Consolas" w:hAnsi="Consolas"/>
          <w:sz w:val="14"/>
        </w:rPr>
        <w:t>| P7 | — | — | — | C-021, C-022, C-023, C-024 |</w:t>
      </w:r>
    </w:p>
    <w:p>
      <w:pPr>
        <w:spacing w:after="20" w:line="240" w:lineRule="auto"/>
      </w:pPr>
      <w:r>
        <w:rPr>
          <w:rFonts w:ascii="Consolas" w:hAnsi="Consolas"/>
          <w:sz w:val="14"/>
        </w:rPr>
        <w:t>| P8 | — | — | — | C-008, C-025, C-026, C-027 |</w:t>
      </w:r>
    </w:p>
    <w:p>
      <w:pPr>
        <w:spacing w:after="20" w:line="240" w:lineRule="auto"/>
      </w:pPr>
      <w:r>
        <w:rPr>
          <w:rFonts w:ascii="Consolas" w:hAnsi="Consolas"/>
          <w:sz w:val="14"/>
        </w:rPr>
        <w:t>| P9 | — | — | C-028, C-031 (realización) | C-028, C-029, C-030, C-031, C-032 |</w:t>
      </w:r>
    </w:p>
    <w:p>
      <w:pPr>
        <w:spacing w:after="40"/>
      </w:pPr>
    </w:p>
    <w:p>
      <w:pPr>
        <w:pStyle w:val="Heading3"/>
      </w:pPr>
      <w:r>
        <w:t>3. Cobertura por faceta (identidad, no valores)</w:t>
      </w:r>
    </w:p>
    <w:p>
      <w:pPr>
        <w:spacing w:after="40"/>
      </w:pPr>
    </w:p>
    <w:p>
      <w:pPr>
        <w:spacing w:after="20" w:line="240" w:lineRule="auto"/>
      </w:pPr>
      <w:r>
        <w:rPr>
          <w:rFonts w:ascii="Consolas" w:hAnsi="Consolas"/>
          <w:sz w:val="14"/>
        </w:rPr>
        <w:t>| Faceta | Proceso condicionado | Candidatos que dependen de la faceta | Densidad | Reserva |</w:t>
      </w:r>
    </w:p>
    <w:p>
      <w:pPr>
        <w:spacing w:after="20" w:line="240" w:lineRule="auto"/>
      </w:pPr>
      <w:r>
        <w:rPr>
          <w:rFonts w:ascii="Consolas" w:hAnsi="Consolas"/>
          <w:sz w:val="14"/>
        </w:rPr>
        <w:t>|---|---|---|---|---|</w:t>
      </w:r>
    </w:p>
    <w:p>
      <w:pPr>
        <w:spacing w:after="20" w:line="240" w:lineRule="auto"/>
      </w:pPr>
      <w:r>
        <w:rPr>
          <w:rFonts w:ascii="Consolas" w:hAnsi="Consolas"/>
          <w:sz w:val="14"/>
        </w:rPr>
        <w:t>| FX-1 modalidad de servicio/entrega | P5 | C-012, C-013, C-014, C-015, C-016, C-018 | ● | Valores bajo `GOEI-ISS-054`; sin asientos/mesa varios no aplican |</w:t>
      </w:r>
    </w:p>
    <w:p>
      <w:pPr>
        <w:spacing w:after="20" w:line="240" w:lineRule="auto"/>
      </w:pPr>
      <w:r>
        <w:rPr>
          <w:rFonts w:ascii="Consolas" w:hAnsi="Consolas"/>
          <w:sz w:val="14"/>
        </w:rPr>
        <w:t>| FX-2 sistema de producción | P4–P5 | C-008, C-010, C-011 | ◐ | Comparabilidad entre sistemas → B4/validación |</w:t>
      </w:r>
    </w:p>
    <w:p>
      <w:pPr>
        <w:spacing w:after="20" w:line="240" w:lineRule="auto"/>
      </w:pPr>
      <w:r>
        <w:rPr>
          <w:rFonts w:ascii="Consolas" w:hAnsi="Consolas"/>
          <w:sz w:val="14"/>
        </w:rPr>
        <w:t>| FX-3 naturaleza económica | P6 | C-017, C-018, C-019, C-020, C-028, C-031 | ● | Dualidad venta/requisición separa familias comercial/no comercial |</w:t>
      </w:r>
    </w:p>
    <w:p>
      <w:pPr>
        <w:spacing w:after="40"/>
      </w:pPr>
    </w:p>
    <w:p>
      <w:pPr>
        <w:pStyle w:val="Heading3"/>
      </w:pPr>
      <w:r>
        <w:t>4. Vacíos de cobertura registrados</w:t>
      </w:r>
    </w:p>
    <w:p>
      <w:pPr>
        <w:spacing w:after="40"/>
      </w:pPr>
    </w:p>
    <w:p>
      <w:pPr>
        <w:spacing w:after="20" w:line="240" w:lineRule="auto"/>
      </w:pPr>
      <w:r>
        <w:rPr>
          <w:rFonts w:ascii="Consolas" w:hAnsi="Consolas"/>
          <w:sz w:val="14"/>
        </w:rPr>
        <w:t>| ID vacío | Ubicación | Descripción | Issue propuesto |</w:t>
      </w:r>
    </w:p>
    <w:p>
      <w:pPr>
        <w:spacing w:after="20" w:line="240" w:lineRule="auto"/>
      </w:pPr>
      <w:r>
        <w:rPr>
          <w:rFonts w:ascii="Consolas" w:hAnsi="Consolas"/>
          <w:sz w:val="14"/>
        </w:rPr>
        <w:t>|---|---|---|---|</w:t>
      </w:r>
    </w:p>
    <w:p>
      <w:pPr>
        <w:spacing w:after="20" w:line="240" w:lineRule="auto"/>
      </w:pPr>
      <w:r>
        <w:rPr>
          <w:rFonts w:ascii="Consolas" w:hAnsi="Consolas"/>
          <w:sz w:val="14"/>
        </w:rPr>
        <w:t>| V-B3-01 | P1 | Ausencia de indicador documentado y cerrado de **exactitud de pronóstico de demanda** específico de foodservice; sólo existe la función de pronóstico descrita (C-003). | `GOEI-ISS-056` |</w:t>
      </w:r>
    </w:p>
    <w:p>
      <w:pPr>
        <w:spacing w:after="20" w:line="240" w:lineRule="auto"/>
      </w:pPr>
      <w:r>
        <w:rPr>
          <w:rFonts w:ascii="Consolas" w:hAnsi="Consolas"/>
          <w:sz w:val="14"/>
        </w:rPr>
        <w:t>| V-B3-02 | Global (método) | Búsqueda **estructurada pero no exhaustiva** (no PRISMA); riesgo de omisión de indicadores. | `GOEI-ISS-055` |</w:t>
      </w:r>
    </w:p>
    <w:p>
      <w:pPr>
        <w:spacing w:after="20" w:line="240" w:lineRule="auto"/>
      </w:pPr>
      <w:r>
        <w:rPr>
          <w:rFonts w:ascii="Consolas" w:hAnsi="Consolas"/>
          <w:sz w:val="14"/>
        </w:rPr>
        <w:t>| V-B3-03 | P2, P5, P9 | Dependencia de **fuentes genéricas** (SCOR, ISO 30414) no específicas de gastronomía; requieren adaptación de dominio (C-005, C-014, C-015, C-030). | `GOEI-ISS-057` |</w:t>
      </w:r>
    </w:p>
    <w:p>
      <w:pPr>
        <w:spacing w:after="20" w:line="240" w:lineRule="auto"/>
      </w:pPr>
      <w:r>
        <w:rPr>
          <w:rFonts w:ascii="Consolas" w:hAnsi="Consolas"/>
          <w:sz w:val="14"/>
        </w:rPr>
        <w:t>| V-B3-04 | P7 | **Heterogeneidad jurisdiccional** de los puntajes de inspección (C-021); no comparables entre jurisdicciones. | `GOEI-ISS-058` |</w:t>
      </w:r>
    </w:p>
    <w:p>
      <w:pPr>
        <w:spacing w:after="20" w:line="240" w:lineRule="auto"/>
      </w:pPr>
      <w:r>
        <w:rPr>
          <w:rFonts w:ascii="Consolas" w:hAnsi="Consolas"/>
          <w:sz w:val="14"/>
        </w:rPr>
        <w:t>| V-B3-05 | P3/P4 | Indicadores de **merma** (C-007) provienen de marco macro y tocan un área **fuera de la baseline** de procesos. | Reserva `GOEI-ISS-043` (existente) |</w:t>
      </w:r>
    </w:p>
    <w:p>
      <w:pPr>
        <w:spacing w:after="20" w:line="240" w:lineRule="auto"/>
      </w:pPr>
      <w:r>
        <w:rPr>
          <w:rFonts w:ascii="Consolas" w:hAnsi="Consolas"/>
          <w:sz w:val="14"/>
        </w:rPr>
        <w:t>| V-B3-06 | P7 | **Doble rol** de inocuidad (indicador vs. restricción crítica AX-4) sin resolver. | Reserva `GOEI-ISS-015` (existente) |</w:t>
      </w:r>
    </w:p>
    <w:p>
      <w:pPr>
        <w:spacing w:after="40"/>
      </w:pPr>
    </w:p>
    <w:p>
      <w:pPr>
        <w:pStyle w:val="Heading3"/>
      </w:pPr>
      <w:r>
        <w:t>5. Duplicados y solapamientos registrados</w:t>
      </w:r>
    </w:p>
    <w:p>
      <w:pPr>
        <w:spacing w:after="40"/>
      </w:pPr>
    </w:p>
    <w:p>
      <w:pPr>
        <w:spacing w:after="20" w:line="240" w:lineRule="auto"/>
      </w:pPr>
      <w:r>
        <w:rPr>
          <w:rFonts w:ascii="Consolas" w:hAnsi="Consolas"/>
          <w:sz w:val="14"/>
        </w:rPr>
        <w:t>| Relación | Candidatos | Naturaleza |</w:t>
      </w:r>
    </w:p>
    <w:p>
      <w:pPr>
        <w:spacing w:after="20" w:line="240" w:lineRule="auto"/>
      </w:pPr>
      <w:r>
        <w:rPr>
          <w:rFonts w:ascii="Consolas" w:hAnsi="Consolas"/>
          <w:sz w:val="14"/>
        </w:rPr>
        <w:t>|---|---|---|</w:t>
      </w:r>
    </w:p>
    <w:p>
      <w:pPr>
        <w:spacing w:after="20" w:line="240" w:lineRule="auto"/>
      </w:pPr>
      <w:r>
        <w:rPr>
          <w:rFonts w:ascii="Consolas" w:hAnsi="Consolas"/>
          <w:sz w:val="14"/>
        </w:rPr>
        <w:t>| Contención de costo | C-028 ⊇ {C-009, C-029} | Prime cost % engloba food cost % y labor cost % |</w:t>
      </w:r>
    </w:p>
    <w:p>
      <w:pPr>
        <w:spacing w:after="20" w:line="240" w:lineRule="auto"/>
      </w:pPr>
      <w:r>
        <w:rPr>
          <w:rFonts w:ascii="Consolas" w:hAnsi="Consolas"/>
          <w:sz w:val="14"/>
        </w:rPr>
        <w:t>| Solapamiento temporal | C-012 ↔ C-018 | RevPASH añade el eje tiempo a ventas por asiento |</w:t>
      </w:r>
    </w:p>
    <w:p>
      <w:pPr>
        <w:spacing w:after="20" w:line="240" w:lineRule="auto"/>
      </w:pPr>
      <w:r>
        <w:rPr>
          <w:rFonts w:ascii="Consolas" w:hAnsi="Consolas"/>
          <w:sz w:val="14"/>
        </w:rPr>
        <w:t>| Numerador compartido | C-017 ↔ C-018 | Cheque promedio y ventas por asiento comparten "ventas" |</w:t>
      </w:r>
    </w:p>
    <w:p>
      <w:pPr>
        <w:spacing w:after="20" w:line="240" w:lineRule="auto"/>
      </w:pPr>
      <w:r>
        <w:rPr>
          <w:rFonts w:ascii="Consolas" w:hAnsi="Consolas"/>
          <w:sz w:val="14"/>
        </w:rPr>
        <w:t>| Mismo indicador, dos lados | C-005 ↔ C-014 | Order Fulfillment Cycle Time en aprovisionamiento vs. cliente |</w:t>
      </w:r>
    </w:p>
    <w:p>
      <w:pPr>
        <w:spacing w:after="20" w:line="240" w:lineRule="auto"/>
      </w:pPr>
      <w:r>
        <w:rPr>
          <w:rFonts w:ascii="Consolas" w:hAnsi="Consolas"/>
          <w:sz w:val="14"/>
        </w:rPr>
        <w:t>| Componente compartido | C-008 ⊃ C-027 | OEE incorpora la disponibilidad de EN 15341 |</w:t>
      </w:r>
    </w:p>
    <w:p>
      <w:pPr>
        <w:spacing w:after="20" w:line="240" w:lineRule="auto"/>
      </w:pPr>
      <w:r>
        <w:rPr>
          <w:rFonts w:ascii="Consolas" w:hAnsi="Consolas"/>
          <w:sz w:val="14"/>
        </w:rPr>
        <w:t>| Sub-indicadores del mismo objetivo | C-007 (FLI ↔ FWI) | SDG 12.3.1.a y 12.3.1.b |</w:t>
      </w:r>
    </w:p>
    <w:p>
      <w:pPr>
        <w:spacing w:after="20" w:line="240" w:lineRule="auto"/>
      </w:pPr>
      <w:r>
        <w:rPr>
          <w:rFonts w:ascii="Consolas" w:hAnsi="Consolas"/>
          <w:sz w:val="14"/>
        </w:rPr>
        <w:t>| Constructo doble proceso | C-008 en P4 y P8 | OEE se lee como efectividad de producción y disponibilidad de equipo |</w:t>
      </w:r>
    </w:p>
    <w:p>
      <w:pPr>
        <w:spacing w:after="40"/>
      </w:pPr>
    </w:p>
    <w:p>
      <w:pPr>
        <w:pStyle w:val="Heading3"/>
      </w:pPr>
      <w:r>
        <w:t>6. Bloqueos selectivos aplicables a la matriz</w:t>
      </w:r>
    </w:p>
    <w:p>
      <w:pPr>
        <w:spacing w:after="40"/>
      </w:pPr>
    </w:p>
    <w:p>
      <w:pPr>
        <w:pStyle w:val="ListBullet"/>
      </w:pPr>
      <w:r>
        <w:t>GOEI-ISS-008 — BLOQUEA toda celda o lectura que dependa de agregación multiunidad, multi-marca o por flujo. Todos los candidatos se declaran a nivel de Establecimiento (token); cualquier rollup a cadena/marca queda fuera de B3.</w:t>
      </w:r>
    </w:p>
    <w:p>
      <w:pPr>
        <w:pStyle w:val="ListBullet"/>
      </w:pPr>
      <w:r>
        <w:t>GOEI-ISS-054 — BLOQUEA el uso de valores concretos de faceta. La matriz sólo asocia candidatos a la identidad FX-1/FX-2/FX-3.</w:t>
      </w:r>
    </w:p>
    <w:p>
      <w:pPr>
        <w:spacing w:after="40"/>
      </w:pPr>
    </w:p>
    <w:p>
      <w:pPr>
        <w:pStyle w:val="Heading3"/>
      </w:pPr>
      <w:r>
        <w:t>7. Síntesis</w:t>
      </w:r>
    </w:p>
    <w:p>
      <w:pPr>
        <w:spacing w:after="40"/>
      </w:pPr>
    </w:p>
    <w:p>
      <w:r>
        <w:t>Cobertura alta en P4, P5, P6, P8; media en P2, P3, P7 y en la porción no económica de P9; parcial en P1 (único vacío de proceso propiamente dicho). Las facetas indispensables quedan cubiertas al nivel de identidad. Seis vacíos registrados con cuatro Issues nuevos propuestos (GOEI-ISS-055 a 058) y dos reservas heredadas (GOEI-ISS-043, GOEI-ISS-015).</w:t>
      </w:r>
    </w:p>
    <w:p>
      <w:pPr>
        <w:spacing w:after="40"/>
      </w:pPr>
    </w:p>
    <w:p>
      <w:r>
        <w:t>La cobertura describe presencia de indicadores documentados, no idoneidad. Aceptar esta matriz no aprueba ningún KPI ni cierra los vacíos: sólo los hace trazables para B4. C-032 no integra la cola de evaluación de KPI porque el propio expediente lo identifica como marco y no como indicador.</w:t>
      </w:r>
    </w:p>
    <w:p>
      <w:r>
        <w:br w:type="page"/>
      </w:r>
    </w:p>
    <w:p>
      <w:pPr>
        <w:pStyle w:val="Heading1"/>
        <w:keepNext/>
      </w:pPr>
      <w:r>
        <w:t>Fuente 100: 05_Catalogo_KPI/README.md</w:t>
      </w:r>
    </w:p>
    <w:p>
      <w:pPr>
        <w:spacing w:after="200"/>
      </w:pPr>
      <w:r>
        <w:rPr>
          <w:rFonts w:ascii="Consolas" w:hAnsi="Consolas"/>
          <w:color w:val="595959"/>
          <w:sz w:val="16"/>
        </w:rPr>
        <w:t>Ruta: 05_Catalogo_KPI/README.md</w:t>
        <w:br/>
        <w:t>Tamaño: 190 bytes</w:t>
        <w:br/>
        <w:t>SHA-256: 223eddf3baa171d8964fff30183276932e4ce474022cc8031969f014e867cdbb</w:t>
      </w:r>
    </w:p>
    <w:p>
      <w:pPr>
        <w:pStyle w:val="Heading2"/>
      </w:pPr>
      <w:r>
        <w:t>Catálogo de KPI</w:t>
      </w:r>
    </w:p>
    <w:p>
      <w:pPr>
        <w:spacing w:after="40"/>
      </w:pPr>
    </w:p>
    <w:p>
      <w:r>
        <w:t>Contenedor del componente N4 propuesto en D-005. Bloqueado: no se incorporarán dimensiones, KPI ni criterios de admisibilidad sin decisiones científicas aprobadas.</w:t>
      </w:r>
    </w:p>
    <w:p>
      <w:r>
        <w:br w:type="page"/>
      </w:r>
    </w:p>
    <w:p>
      <w:pPr>
        <w:pStyle w:val="Heading1"/>
        <w:keepNext/>
      </w:pPr>
      <w:r>
        <w:t>Fuente 101: 06_Normalizacion/arquitectura/GOEI_ARQ_B5_B6_GTRM_candidate.md</w:t>
      </w:r>
    </w:p>
    <w:p>
      <w:pPr>
        <w:spacing w:after="200"/>
      </w:pPr>
      <w:r>
        <w:rPr>
          <w:rFonts w:ascii="Consolas" w:hAnsi="Consolas"/>
          <w:color w:val="595959"/>
          <w:sz w:val="16"/>
        </w:rPr>
        <w:t>Ruta: 06_Normalizacion/arquitectura/GOEI_ARQ_B5_B6_GTRM_candidate.md</w:t>
        <w:br/>
        <w:t>Tamaño: 1938 bytes</w:t>
        <w:br/>
        <w:t>SHA-256: 538be170ca9b9ce25698b3e09554df1297c100078f43c58556cda771c992e460</w:t>
      </w:r>
    </w:p>
    <w:p>
      <w:pPr>
        <w:pStyle w:val="Heading2"/>
      </w:pPr>
      <w:r>
        <w:t>Arquitectura candidata B5–B6 para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GOEI-ARQ-GTRM-0001 |</w:t>
      </w:r>
    </w:p>
    <w:p>
      <w:pPr>
        <w:spacing w:after="20" w:line="240" w:lineRule="auto"/>
      </w:pPr>
      <w:r>
        <w:rPr>
          <w:rFonts w:ascii="Consolas" w:hAnsi="Consolas"/>
          <w:sz w:val="14"/>
        </w:rPr>
        <w:t>| Estado | Candidata técnica no normativa |</w:t>
      </w:r>
    </w:p>
    <w:p>
      <w:pPr>
        <w:spacing w:after="20" w:line="240" w:lineRule="auto"/>
      </w:pPr>
      <w:r>
        <w:rPr>
          <w:rFonts w:ascii="Consolas" w:hAnsi="Consolas"/>
          <w:sz w:val="14"/>
        </w:rPr>
        <w:t>| Origen | D-009–D-016; GOEI-AUDIT-0004 |</w:t>
      </w:r>
    </w:p>
    <w:p>
      <w:pPr>
        <w:spacing w:after="20" w:line="240" w:lineRule="auto"/>
      </w:pPr>
      <w:r>
        <w:rPr>
          <w:rFonts w:ascii="Consolas" w:hAnsi="Consolas"/>
          <w:sz w:val="14"/>
        </w:rPr>
        <w:t>| Alcance | Contratos y compuertas; sin contenido científico concreto |</w:t>
      </w:r>
    </w:p>
    <w:p>
      <w:pPr>
        <w:spacing w:after="40"/>
      </w:pPr>
    </w:p>
    <w:p>
      <w:pPr>
        <w:pStyle w:val="Heading3"/>
      </w:pPr>
      <w:r>
        <w:t>Pipeline autorizado como arquitectura</w:t>
      </w:r>
    </w:p>
    <w:p>
      <w:pPr>
        <w:spacing w:after="40"/>
      </w:pPr>
    </w:p>
    <w:p>
      <w:pPr>
        <w:spacing w:after="20" w:line="240" w:lineRule="auto"/>
        <w:ind w:left="259"/>
      </w:pPr>
      <w:r>
        <w:rPr>
          <w:rFonts w:ascii="Consolas" w:hAnsi="Consolas"/>
          <w:sz w:val="15"/>
        </w:rPr>
        <w:t>B5 Especificación de medición</w:t>
      </w:r>
    </w:p>
    <w:p>
      <w:pPr>
        <w:spacing w:after="20" w:line="240" w:lineRule="auto"/>
        <w:ind w:left="259"/>
      </w:pPr>
      <w:r>
        <w:rPr>
          <w:rFonts w:ascii="Consolas" w:hAnsi="Consolas"/>
          <w:sz w:val="15"/>
        </w:rPr>
        <w:t>→ observación y medición registrada preservadas</w:t>
      </w:r>
    </w:p>
    <w:p>
      <w:pPr>
        <w:spacing w:after="20" w:line="240" w:lineRule="auto"/>
        <w:ind w:left="259"/>
      </w:pPr>
      <w:r>
        <w:rPr>
          <w:rFonts w:ascii="Consolas" w:hAnsi="Consolas"/>
          <w:sz w:val="15"/>
        </w:rPr>
        <w:t>→ derivación versionada del valor KPI</w:t>
      </w:r>
    </w:p>
    <w:p>
      <w:pPr>
        <w:spacing w:after="20" w:line="240" w:lineRule="auto"/>
        <w:ind w:left="259"/>
      </w:pPr>
      <w:r>
        <w:rPr>
          <w:rFonts w:ascii="Consolas" w:hAnsi="Consolas"/>
          <w:sz w:val="15"/>
        </w:rPr>
        <w:t>→ referencia/benchmark aplicable y trazable</w:t>
      </w:r>
    </w:p>
    <w:p>
      <w:pPr>
        <w:spacing w:after="20" w:line="240" w:lineRule="auto"/>
        <w:ind w:left="259"/>
      </w:pPr>
      <w:r>
        <w:rPr>
          <w:rFonts w:ascii="Consolas" w:hAnsi="Consolas"/>
          <w:sz w:val="15"/>
        </w:rPr>
        <w:t>B6 Especificación GTRM</w:t>
      </w:r>
    </w:p>
    <w:p>
      <w:pPr>
        <w:spacing w:after="20" w:line="240" w:lineRule="auto"/>
        <w:ind w:left="259"/>
      </w:pPr>
      <w:r>
        <w:rPr>
          <w:rFonts w:ascii="Consolas" w:hAnsi="Consolas"/>
          <w:sz w:val="15"/>
        </w:rPr>
        <w:t>→ aplicación única de función normativa parametrizada</w:t>
      </w:r>
    </w:p>
    <w:p>
      <w:pPr>
        <w:spacing w:after="20" w:line="240" w:lineRule="auto"/>
        <w:ind w:left="259"/>
      </w:pPr>
      <w:r>
        <w:rPr>
          <w:rFonts w:ascii="Consolas" w:hAnsi="Consolas"/>
          <w:sz w:val="15"/>
        </w:rPr>
        <w:t>→ puntuación normalizada e incertidumbre declarada</w:t>
      </w:r>
    </w:p>
    <w:p>
      <w:pPr>
        <w:spacing w:after="20" w:line="240" w:lineRule="auto"/>
        <w:ind w:left="259"/>
      </w:pPr>
      <w:r>
        <w:rPr>
          <w:rFonts w:ascii="Consolas" w:hAnsi="Consolas"/>
          <w:sz w:val="15"/>
        </w:rPr>
        <w:t>→ salida admisible para agregación</w:t>
      </w:r>
    </w:p>
    <w:p>
      <w:pPr>
        <w:spacing w:after="40"/>
      </w:pPr>
    </w:p>
    <w:p>
      <w:r>
        <w:t>GTRM y normalización son un único paso lógico. Está prohibido aplicar una segunda normalización a su salida.</w:t>
      </w:r>
    </w:p>
    <w:p>
      <w:pPr>
        <w:spacing w:after="40"/>
      </w:pPr>
    </w:p>
    <w:p>
      <w:pPr>
        <w:pStyle w:val="Heading3"/>
      </w:pPr>
      <w:r>
        <w:t>Contrato B5 candidato</w:t>
      </w:r>
    </w:p>
    <w:p>
      <w:pPr>
        <w:spacing w:after="40"/>
      </w:pPr>
    </w:p>
    <w:p>
      <w:r>
        <w:t>B5 deberá conservar instrumento, unidad, método, agente, periodo, entradas originales, regla de derivación, procedencia, incertidumbre de medición y muestreo, y distinción entre condición de referencia y benchmark. No seleccionará referencias por cercanía ni inferencia.</w:t>
      </w:r>
    </w:p>
    <w:p>
      <w:pPr>
        <w:spacing w:after="40"/>
      </w:pPr>
    </w:p>
    <w:p>
      <w:pPr>
        <w:pStyle w:val="Heading3"/>
      </w:pPr>
      <w:r>
        <w:t>Contrato B6 candidato</w:t>
      </w:r>
    </w:p>
    <w:p>
      <w:pPr>
        <w:spacing w:after="40"/>
      </w:pPr>
    </w:p>
    <w:p>
      <w:r>
        <w:t>B6 recibirá un valor KPI válido y una especificación GTRM vigente. Deberá conservar identidad, versión, dominio, jurisdicción, unidad, vigencia, referencia, parámetros aprobados, incertidumbre y estado. Producirá la puntuación normalizada del KPI o un estado no calculable; nunca fabricará un fallback.</w:t>
      </w:r>
    </w:p>
    <w:p>
      <w:pPr>
        <w:spacing w:after="40"/>
      </w:pPr>
    </w:p>
    <w:p>
      <w:pPr>
        <w:pStyle w:val="Heading3"/>
      </w:pPr>
      <w:r>
        <w:t>Representaciones conformes</w:t>
      </w:r>
    </w:p>
    <w:p>
      <w:pPr>
        <w:spacing w:after="40"/>
      </w:pPr>
    </w:p>
    <w:p>
      <w:r>
        <w:t>La especificación de la función es la fuente normativa única. Tabla manual y software son representaciones derivadas, versionadas y verificadas mediante casos canónicos. La tolerancia y los casos finales requieren aprobación científica por familia y no se establecen aquí.</w:t>
      </w:r>
    </w:p>
    <w:p>
      <w:pPr>
        <w:spacing w:after="40"/>
      </w:pPr>
    </w:p>
    <w:p>
      <w:pPr>
        <w:pStyle w:val="Heading3"/>
      </w:pPr>
      <w:r>
        <w:t>Bloqueos</w:t>
      </w:r>
    </w:p>
    <w:p>
      <w:pPr>
        <w:spacing w:after="40"/>
      </w:pPr>
    </w:p>
    <w:p>
      <w:r>
        <w:t>Esta arquitectura no habilita ninguna instancia GTRM. La implementación concreta depende de B2, B4, B5 y B6 y del eventual cambio ontológico gestionado mediante GOEI-ISS-053.</w:t>
      </w:r>
    </w:p>
    <w:p>
      <w:r>
        <w:br w:type="page"/>
      </w:r>
    </w:p>
    <w:p>
      <w:pPr>
        <w:pStyle w:val="Heading1"/>
        <w:keepNext/>
      </w:pPr>
      <w:r>
        <w:t>Fuente 102: 06_Normalizacion/README.md</w:t>
      </w:r>
    </w:p>
    <w:p>
      <w:pPr>
        <w:spacing w:after="200"/>
      </w:pPr>
      <w:r>
        <w:rPr>
          <w:rFonts w:ascii="Consolas" w:hAnsi="Consolas"/>
          <w:color w:val="595959"/>
          <w:sz w:val="16"/>
        </w:rPr>
        <w:t>Ruta: 06_Normalizacion/README.md</w:t>
        <w:br/>
        <w:t>Tamaño: 173 bytes</w:t>
        <w:br/>
        <w:t>SHA-256: 44cc8737fe348d7d033c819085d66365299789f535a413e7a0d26121ca813896</w:t>
      </w:r>
    </w:p>
    <w:p>
      <w:pPr>
        <w:pStyle w:val="Heading2"/>
      </w:pPr>
      <w:r>
        <w:t>Normalización</w:t>
      </w:r>
    </w:p>
    <w:p>
      <w:pPr>
        <w:spacing w:after="40"/>
      </w:pPr>
    </w:p>
    <w:p>
      <w:r>
        <w:t>Contenedor del componente N5 propuesto en D-005. Bloqueado: no se definirán escalas, transformaciones, anclas ni referencias por inferencia técnica.</w:t>
      </w:r>
    </w:p>
    <w:p>
      <w:r>
        <w:br w:type="page"/>
      </w:r>
    </w:p>
    <w:p>
      <w:pPr>
        <w:pStyle w:val="Heading1"/>
        <w:keepNext/>
      </w:pPr>
      <w:r>
        <w:t>Fuente 103: 07_Ponderacion_y_formula/README.md</w:t>
      </w:r>
    </w:p>
    <w:p>
      <w:pPr>
        <w:spacing w:after="200"/>
      </w:pPr>
      <w:r>
        <w:rPr>
          <w:rFonts w:ascii="Consolas" w:hAnsi="Consolas"/>
          <w:color w:val="595959"/>
          <w:sz w:val="16"/>
        </w:rPr>
        <w:t>Ruta: 07_Ponderacion_y_formula/README.md</w:t>
        <w:br/>
        <w:t>Tamaño: 215 bytes</w:t>
        <w:br/>
        <w:t>SHA-256: 935180d88e8466f01bd317fa5f04c3d73cc2628c5266b04e289e50402ea1567d</w:t>
      </w:r>
    </w:p>
    <w:p>
      <w:pPr>
        <w:pStyle w:val="Heading2"/>
      </w:pPr>
      <w:r>
        <w:t>Ponderación, agregación y reglas de cálculo</w:t>
      </w:r>
    </w:p>
    <w:p>
      <w:pPr>
        <w:spacing w:after="40"/>
      </w:pPr>
    </w:p>
    <w:p>
      <w:r>
        <w:t>Contenedor de N6 y N7 propuestos en D-005. Bloqueado: no se crearán pesos, fórmulas, umbrales ni reglas no compensatorias sin aprobación científica expresa.</w:t>
      </w:r>
    </w:p>
    <w:p>
      <w:r>
        <w:br w:type="page"/>
      </w:r>
    </w:p>
    <w:p>
      <w:pPr>
        <w:pStyle w:val="Heading1"/>
        <w:keepNext/>
      </w:pPr>
      <w:r>
        <w:t>Fuente 104: 08_Interpretacion/README.md</w:t>
      </w:r>
    </w:p>
    <w:p>
      <w:pPr>
        <w:spacing w:after="200"/>
      </w:pPr>
      <w:r>
        <w:rPr>
          <w:rFonts w:ascii="Consolas" w:hAnsi="Consolas"/>
          <w:color w:val="595959"/>
          <w:sz w:val="16"/>
        </w:rPr>
        <w:t>Ruta: 08_Interpretacion/README.md</w:t>
        <w:br/>
        <w:t>Tamaño: 160 bytes</w:t>
        <w:br/>
        <w:t>SHA-256: da5912be77c8da6b795b6e52a4eba14e6f03a6ff0ddb79d2a06e3291156d4719</w:t>
      </w:r>
    </w:p>
    <w:p>
      <w:pPr>
        <w:pStyle w:val="Heading2"/>
      </w:pPr>
      <w:r>
        <w:t>Interpretación</w:t>
      </w:r>
    </w:p>
    <w:p>
      <w:pPr>
        <w:spacing w:after="40"/>
      </w:pPr>
    </w:p>
    <w:p>
      <w:r>
        <w:t>Contenedor del componente N8 propuesto en D-005. Bloqueado: bandas, clasificaciones y límites de uso requieren decisión y validación.</w:t>
      </w:r>
    </w:p>
    <w:p>
      <w:r>
        <w:br w:type="page"/>
      </w:r>
    </w:p>
    <w:p>
      <w:pPr>
        <w:pStyle w:val="Heading1"/>
        <w:keepNext/>
      </w:pPr>
      <w:r>
        <w:t>Fuente 105: 09_Manual_tecnico_general/candidatos/GOEI_ONT_v0.2.0_candidate_GTRM.md</w:t>
      </w:r>
    </w:p>
    <w:p>
      <w:pPr>
        <w:spacing w:after="200"/>
      </w:pPr>
      <w:r>
        <w:rPr>
          <w:rFonts w:ascii="Consolas" w:hAnsi="Consolas"/>
          <w:color w:val="595959"/>
          <w:sz w:val="16"/>
        </w:rPr>
        <w:t>Ruta: 09_Manual_tecnico_general/candidatos/GOEI_ONT_v0.2.0_candidate_GTRM.md</w:t>
        <w:br/>
        <w:t>Tamaño: 2171 bytes</w:t>
        <w:br/>
        <w:t>SHA-256: 06ab745e07ddc89a572b6267fe7c53e85b3a44518a4b0bb836ea80b8ea759cac</w:t>
      </w:r>
    </w:p>
    <w:p>
      <w:pPr>
        <w:pStyle w:val="Heading2"/>
      </w:pPr>
      <w:r>
        <w:t>Especificación candidata de cambio ontológico GOEI v0.2.0 — GTRM</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GOEI-ONT-CAND-0001 |</w:t>
      </w:r>
    </w:p>
    <w:p>
      <w:pPr>
        <w:spacing w:after="20" w:line="240" w:lineRule="auto"/>
      </w:pPr>
      <w:r>
        <w:rPr>
          <w:rFonts w:ascii="Consolas" w:hAnsi="Consolas"/>
          <w:sz w:val="14"/>
        </w:rPr>
        <w:t>| Estado | Candidata no normativa; análisis de delta |</w:t>
      </w:r>
    </w:p>
    <w:p>
      <w:pPr>
        <w:spacing w:after="20" w:line="240" w:lineRule="auto"/>
      </w:pPr>
      <w:r>
        <w:rPr>
          <w:rFonts w:ascii="Consolas" w:hAnsi="Consolas"/>
          <w:sz w:val="14"/>
        </w:rPr>
        <w:t>| Baseline de origen | GOEI-BSL-ONT-0001 / D-006 Ontology Baseline v0.1 |</w:t>
      </w:r>
    </w:p>
    <w:p>
      <w:pPr>
        <w:spacing w:after="20" w:line="240" w:lineRule="auto"/>
      </w:pPr>
      <w:r>
        <w:rPr>
          <w:rFonts w:ascii="Consolas" w:hAnsi="Consolas"/>
          <w:sz w:val="14"/>
        </w:rPr>
        <w:t>| Decisiones habilitantes | D-009–D-016 |</w:t>
      </w:r>
    </w:p>
    <w:p>
      <w:pPr>
        <w:spacing w:after="20" w:line="240" w:lineRule="auto"/>
      </w:pPr>
      <w:r>
        <w:rPr>
          <w:rFonts w:ascii="Consolas" w:hAnsi="Consolas"/>
          <w:sz w:val="14"/>
        </w:rPr>
        <w:t>| Issue de cambio | GOEI-ISS-053 |</w:t>
      </w:r>
    </w:p>
    <w:p>
      <w:pPr>
        <w:spacing w:after="20" w:line="240" w:lineRule="auto"/>
      </w:pPr>
      <w:r>
        <w:rPr>
          <w:rFonts w:ascii="Consolas" w:hAnsi="Consolas"/>
          <w:sz w:val="14"/>
        </w:rPr>
        <w:t>| Regla | No modifica, sustituye ni reinterpreta la baseline vigente |</w:t>
      </w:r>
    </w:p>
    <w:p>
      <w:pPr>
        <w:spacing w:after="40"/>
      </w:pPr>
    </w:p>
    <w:p>
      <w:pPr>
        <w:pStyle w:val="Heading3"/>
      </w:pPr>
      <w:r>
        <w:t>Delta candidato</w:t>
      </w:r>
    </w:p>
    <w:p>
      <w:pPr>
        <w:spacing w:after="40"/>
      </w:pPr>
    </w:p>
    <w:p>
      <w:r>
        <w:t>La futura revisión deberá representar explícitamente, sin fusionarlos:</w:t>
      </w:r>
    </w:p>
    <w:p>
      <w:pPr>
        <w:spacing w:after="40"/>
      </w:pPr>
    </w:p>
    <w:p>
      <w:pPr>
        <w:pStyle w:val="ListBullet"/>
      </w:pPr>
      <w:r>
        <w:t>Observación;</w:t>
      </w:r>
    </w:p>
    <w:p>
      <w:pPr>
        <w:pStyle w:val="ListBullet"/>
      </w:pPr>
      <w:r>
        <w:t>Medición registrada;</w:t>
      </w:r>
    </w:p>
    <w:p>
      <w:pPr>
        <w:pStyle w:val="ListBullet"/>
      </w:pPr>
      <w:r>
        <w:t>Valor de KPI;</w:t>
      </w:r>
    </w:p>
    <w:p>
      <w:pPr>
        <w:pStyle w:val="ListBullet"/>
      </w:pPr>
      <w:r>
        <w:t>Condición de referencia;</w:t>
      </w:r>
    </w:p>
    <w:p>
      <w:pPr>
        <w:pStyle w:val="ListBullet"/>
      </w:pPr>
      <w:r>
        <w:t>Benchmark;</w:t>
      </w:r>
    </w:p>
    <w:p>
      <w:pPr>
        <w:pStyle w:val="ListBullet"/>
      </w:pPr>
      <w:r>
        <w:t>Especificación GTRM o función normativa parametrizada;</w:t>
      </w:r>
    </w:p>
    <w:p>
      <w:pPr>
        <w:pStyle w:val="ListBullet"/>
      </w:pPr>
      <w:r>
        <w:t>Puntuación normalizada;</w:t>
      </w:r>
    </w:p>
    <w:p>
      <w:pPr>
        <w:pStyle w:val="ListBullet"/>
      </w:pPr>
      <w:r>
        <w:t>Representación manual derivada;</w:t>
      </w:r>
    </w:p>
    <w:p>
      <w:pPr>
        <w:pStyle w:val="ListBullet"/>
      </w:pPr>
      <w:r>
        <w:t>Implementación software derivada;</w:t>
      </w:r>
    </w:p>
    <w:p>
      <w:pPr>
        <w:pStyle w:val="ListBullet"/>
      </w:pPr>
      <w:r>
        <w:t>Declaración de incertidumbre;</w:t>
      </w:r>
    </w:p>
    <w:p>
      <w:pPr>
        <w:pStyle w:val="ListBullet"/>
      </w:pPr>
      <w:r>
        <w:t>autoridad científica y normativa;</w:t>
      </w:r>
    </w:p>
    <w:p>
      <w:pPr>
        <w:pStyle w:val="ListBullet"/>
      </w:pPr>
      <w:r>
        <w:t>versión, vigencia y sucesión.</w:t>
      </w:r>
    </w:p>
    <w:p>
      <w:pPr>
        <w:spacing w:after="40"/>
      </w:pPr>
    </w:p>
    <w:p>
      <w:r>
        <w:t>Relaciones mínimas candidatas:</w:t>
      </w:r>
    </w:p>
    <w:p>
      <w:pPr>
        <w:spacing w:after="40"/>
      </w:pPr>
    </w:p>
    <w:p>
      <w:pPr>
        <w:spacing w:after="20" w:line="240" w:lineRule="auto"/>
        <w:ind w:left="259"/>
      </w:pPr>
      <w:r>
        <w:rPr>
          <w:rFonts w:ascii="Consolas" w:hAnsi="Consolas"/>
          <w:sz w:val="15"/>
        </w:rPr>
        <w:t>Observación → origina → Medición registrada</w:t>
      </w:r>
    </w:p>
    <w:p>
      <w:pPr>
        <w:spacing w:after="20" w:line="240" w:lineRule="auto"/>
        <w:ind w:left="259"/>
      </w:pPr>
      <w:r>
        <w:rPr>
          <w:rFonts w:ascii="Consolas" w:hAnsi="Consolas"/>
          <w:sz w:val="15"/>
        </w:rPr>
        <w:t>Medición registrada → sustenta derivación de → Valor de KPI</w:t>
      </w:r>
    </w:p>
    <w:p>
      <w:pPr>
        <w:spacing w:after="20" w:line="240" w:lineRule="auto"/>
        <w:ind w:left="259"/>
      </w:pPr>
      <w:r>
        <w:rPr>
          <w:rFonts w:ascii="Consolas" w:hAnsi="Consolas"/>
          <w:sz w:val="15"/>
        </w:rPr>
        <w:t>Benchmark → puede informar mediante decisión → Condición de referencia</w:t>
      </w:r>
    </w:p>
    <w:p>
      <w:pPr>
        <w:spacing w:after="20" w:line="240" w:lineRule="auto"/>
        <w:ind w:left="259"/>
      </w:pPr>
      <w:r>
        <w:rPr>
          <w:rFonts w:ascii="Consolas" w:hAnsi="Consolas"/>
          <w:sz w:val="15"/>
        </w:rPr>
        <w:t>GTRM → recibe → Valor de KPI</w:t>
      </w:r>
    </w:p>
    <w:p>
      <w:pPr>
        <w:spacing w:after="20" w:line="240" w:lineRule="auto"/>
        <w:ind w:left="259"/>
      </w:pPr>
      <w:r>
        <w:rPr>
          <w:rFonts w:ascii="Consolas" w:hAnsi="Consolas"/>
          <w:sz w:val="15"/>
        </w:rPr>
        <w:t>GTRM → utiliza → Condición de referencia</w:t>
      </w:r>
    </w:p>
    <w:p>
      <w:pPr>
        <w:spacing w:after="20" w:line="240" w:lineRule="auto"/>
        <w:ind w:left="259"/>
      </w:pPr>
      <w:r>
        <w:rPr>
          <w:rFonts w:ascii="Consolas" w:hAnsi="Consolas"/>
          <w:sz w:val="15"/>
        </w:rPr>
        <w:t>GTRM → produce → Puntuación normalizada</w:t>
      </w:r>
    </w:p>
    <w:p>
      <w:pPr>
        <w:spacing w:after="20" w:line="240" w:lineRule="auto"/>
        <w:ind w:left="259"/>
      </w:pPr>
      <w:r>
        <w:rPr>
          <w:rFonts w:ascii="Consolas" w:hAnsi="Consolas"/>
          <w:sz w:val="15"/>
        </w:rPr>
        <w:t>Tabla manual / Software → representan → Especificación GTRM</w:t>
      </w:r>
    </w:p>
    <w:p>
      <w:pPr>
        <w:spacing w:after="20" w:line="240" w:lineRule="auto"/>
        <w:ind w:left="259"/>
      </w:pPr>
      <w:r>
        <w:rPr>
          <w:rFonts w:ascii="Consolas" w:hAnsi="Consolas"/>
          <w:sz w:val="15"/>
        </w:rPr>
        <w:t>Evaluación → conserva versión exacta de → GTRM</w:t>
      </w:r>
    </w:p>
    <w:p>
      <w:pPr>
        <w:spacing w:after="40"/>
      </w:pPr>
    </w:p>
    <w:p>
      <w:pPr>
        <w:pStyle w:val="Heading3"/>
      </w:pPr>
      <w:r>
        <w:t>Restricciones candidatas</w:t>
      </w:r>
    </w:p>
    <w:p>
      <w:pPr>
        <w:spacing w:after="40"/>
      </w:pPr>
    </w:p>
    <w:p>
      <w:pPr>
        <w:pStyle w:val="ListBullet"/>
      </w:pPr>
      <w:r>
        <w:t>una observación o medición aislada no es entrada puntuable de GTRM;</w:t>
      </w:r>
    </w:p>
    <w:p>
      <w:pPr>
        <w:pStyle w:val="ListBullet"/>
      </w:pPr>
      <w:r>
        <w:t>referencia y benchmark no son equivalentes;</w:t>
      </w:r>
    </w:p>
    <w:p>
      <w:pPr>
        <w:pStyle w:val="ListBullet"/>
      </w:pPr>
      <w:r>
        <w:t>una GTRM sin declaración de incertidumbre no es admisible;</w:t>
      </w:r>
    </w:p>
    <w:p>
      <w:pPr>
        <w:pStyle w:val="ListBullet"/>
      </w:pPr>
      <w:r>
        <w:t>tabla y software no son fuentes independientes de verdad;</w:t>
      </w:r>
    </w:p>
    <w:p>
      <w:pPr>
        <w:pStyle w:val="ListBullet"/>
      </w:pPr>
      <w:r>
        <w:t>no se sobrescriben versiones utilizadas históricamente;</w:t>
      </w:r>
    </w:p>
    <w:p>
      <w:pPr>
        <w:pStyle w:val="ListBullet"/>
      </w:pPr>
      <w:r>
        <w:t>ausencia o conflicto no resuelto bloquea solo la rama afectada;</w:t>
      </w:r>
    </w:p>
    <w:p>
      <w:pPr>
        <w:pStyle w:val="ListBullet"/>
      </w:pPr>
      <w:r>
        <w:t>ninguna aplicación selecciona referencias o precedencias por inferencia.</w:t>
      </w:r>
    </w:p>
    <w:p>
      <w:pPr>
        <w:spacing w:after="40"/>
      </w:pPr>
    </w:p>
    <w:p>
      <w:pPr>
        <w:pStyle w:val="Heading3"/>
      </w:pPr>
      <w:r>
        <w:t>Criterio de promoción</w:t>
      </w:r>
    </w:p>
    <w:p>
      <w:pPr>
        <w:spacing w:after="40"/>
      </w:pPr>
    </w:p>
    <w:p>
      <w:r>
        <w:t>Solo podrá convertirse en nueva baseline después del análisis de impacto completo de GOEI-ISS-053, resolución competente, migración trazable, validación de consistencia y publicación de una versión distinta. Este documento no contiene instancias, fórmulas, parámetros, tolerancias ni referencias concretas.</w:t>
      </w:r>
    </w:p>
    <w:p>
      <w:r>
        <w:br w:type="page"/>
      </w:r>
    </w:p>
    <w:p>
      <w:pPr>
        <w:pStyle w:val="Heading1"/>
        <w:keepNext/>
      </w:pPr>
      <w:r>
        <w:t>Fuente 106: 09_Manual_tecnico_general/EPIC-001_GOEI_Knowledge_Graph/01_GOEI_MetaModel.md</w:t>
      </w:r>
    </w:p>
    <w:p>
      <w:pPr>
        <w:spacing w:after="200"/>
      </w:pPr>
      <w:r>
        <w:rPr>
          <w:rFonts w:ascii="Consolas" w:hAnsi="Consolas"/>
          <w:color w:val="595959"/>
          <w:sz w:val="16"/>
        </w:rPr>
        <w:t>Ruta: 09_Manual_tecnico_general/EPIC-001_GOEI_Knowledge_Graph/01_GOEI_MetaModel.md</w:t>
        <w:br/>
        <w:t>Tamaño: 5630 bytes</w:t>
        <w:br/>
        <w:t>SHA-256: e5efe0a08b6becbc044f4e629a72fc40ecc27f179e4afa63deb73d0e06d127ed</w:t>
      </w:r>
    </w:p>
    <w:p>
      <w:pPr>
        <w:pStyle w:val="Heading2"/>
      </w:pPr>
      <w:r>
        <w:t>GOEI MetaModel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GOEI-MM-0001 |</w:t>
      </w:r>
    </w:p>
    <w:p>
      <w:pPr>
        <w:spacing w:after="20" w:line="240" w:lineRule="auto"/>
      </w:pPr>
      <w:r>
        <w:rPr>
          <w:rFonts w:ascii="Consolas" w:hAnsi="Consolas"/>
          <w:sz w:val="14"/>
        </w:rPr>
        <w:t>| Estado | Propuesta arquitectónica |</w:t>
      </w:r>
    </w:p>
    <w:p>
      <w:pPr>
        <w:spacing w:after="20" w:line="240" w:lineRule="auto"/>
      </w:pPr>
      <w:r>
        <w:rPr>
          <w:rFonts w:ascii="Consolas" w:hAnsi="Consolas"/>
          <w:sz w:val="14"/>
        </w:rPr>
        <w:t>| Versión | 0.1.0-draft |</w:t>
      </w:r>
    </w:p>
    <w:p>
      <w:pPr>
        <w:spacing w:after="20" w:line="240" w:lineRule="auto"/>
      </w:pPr>
      <w:r>
        <w:rPr>
          <w:rFonts w:ascii="Consolas" w:hAnsi="Consolas"/>
          <w:sz w:val="14"/>
        </w:rPr>
        <w:t>| Dependencias | D-006, D-006-REV, GOEI-ARCH-001 y GOEI-ARCH-002 |</w:t>
      </w:r>
    </w:p>
    <w:p>
      <w:pPr>
        <w:spacing w:after="20" w:line="240" w:lineRule="auto"/>
      </w:pPr>
      <w:r>
        <w:rPr>
          <w:rFonts w:ascii="Consolas" w:hAnsi="Consolas"/>
          <w:sz w:val="14"/>
        </w:rPr>
        <w:t>| Naturaleza | Metamodelo de gestión de conocimiento; no es ontología científica del dominio |</w:t>
      </w:r>
    </w:p>
    <w:p>
      <w:pPr>
        <w:spacing w:after="40"/>
      </w:pPr>
    </w:p>
    <w:p>
      <w:pPr>
        <w:pStyle w:val="Heading3"/>
      </w:pPr>
      <w:r>
        <w:t>1. Propósito</w:t>
      </w:r>
    </w:p>
    <w:p>
      <w:pPr>
        <w:spacing w:after="40"/>
      </w:pPr>
    </w:p>
    <w:p>
      <w:r>
        <w:t>Definir las clases de conocimiento que puede administrar el GOEI, sus contratos, relaciones, restricciones y trazabilidad. El metamodelo gobierna cómo se registra un elemento; no decide qué afirma científicamente ese elemento.</w:t>
      </w:r>
    </w:p>
    <w:p>
      <w:pPr>
        <w:spacing w:after="40"/>
      </w:pPr>
    </w:p>
    <w:p>
      <w:pPr>
        <w:pStyle w:val="Heading3"/>
      </w:pPr>
      <w:r>
        <w:t>2. Frontera con D-006/D-006-REV</w:t>
      </w:r>
    </w:p>
    <w:p>
      <w:pPr>
        <w:spacing w:after="40"/>
      </w:pPr>
    </w:p>
    <w:p>
      <w:pPr>
        <w:spacing w:after="20" w:line="240" w:lineRule="auto"/>
        <w:ind w:left="259"/>
      </w:pPr>
      <w:r>
        <w:rPr>
          <w:rFonts w:ascii="Consolas" w:hAnsi="Consolas"/>
          <w:sz w:val="15"/>
        </w:rPr>
        <w:t>Metamodelo de conocimiento EPIC-001</w:t>
      </w:r>
    </w:p>
    <w:p>
      <w:pPr>
        <w:spacing w:after="20" w:line="240" w:lineRule="auto"/>
        <w:ind w:left="259"/>
      </w:pPr>
      <w:r>
        <w:rPr>
          <w:rFonts w:ascii="Consolas" w:hAnsi="Consolas"/>
          <w:sz w:val="15"/>
        </w:rPr>
        <w:t xml:space="preserve">  └─ describe artefactos, autoridad, procedencia, versiones y dependencias</w:t>
      </w:r>
    </w:p>
    <w:p>
      <w:pPr>
        <w:spacing w:after="40"/>
      </w:pPr>
    </w:p>
    <w:p>
      <w:pPr>
        <w:spacing w:after="20" w:line="240" w:lineRule="auto"/>
        <w:ind w:left="259"/>
      </w:pPr>
      <w:r>
        <w:rPr>
          <w:rFonts w:ascii="Consolas" w:hAnsi="Consolas"/>
          <w:sz w:val="15"/>
        </w:rPr>
        <w:t>Ontología científica D-006/D-006-REV</w:t>
      </w:r>
    </w:p>
    <w:p>
      <w:pPr>
        <w:spacing w:after="20" w:line="240" w:lineRule="auto"/>
        <w:ind w:left="259"/>
      </w:pPr>
      <w:r>
        <w:rPr>
          <w:rFonts w:ascii="Consolas" w:hAnsi="Consolas"/>
          <w:sz w:val="15"/>
        </w:rPr>
        <w:t xml:space="preserve">  └─ describe realidad gastronómica, norma y datos R/N/D</w:t>
      </w:r>
    </w:p>
    <w:p>
      <w:pPr>
        <w:spacing w:after="40"/>
      </w:pPr>
    </w:p>
    <w:p>
      <w:r>
        <w:t>La entidad Ontología del grafo apunta al artefacto D-006/D-006-REV. No redefine sus clases Establecimiento, Recurso, Evento, Agente ni sus axiomas.</w:t>
      </w:r>
    </w:p>
    <w:p>
      <w:pPr>
        <w:spacing w:after="40"/>
      </w:pPr>
    </w:p>
    <w:p>
      <w:pPr>
        <w:pStyle w:val="Heading3"/>
      </w:pPr>
      <w:r>
        <w:t>3. Capas del metamodelo</w:t>
      </w:r>
    </w:p>
    <w:p>
      <w:pPr>
        <w:spacing w:after="40"/>
      </w:pPr>
    </w:p>
    <w:p>
      <w:pPr>
        <w:spacing w:after="20" w:line="240" w:lineRule="auto"/>
      </w:pPr>
      <w:r>
        <w:rPr>
          <w:rFonts w:ascii="Consolas" w:hAnsi="Consolas"/>
          <w:sz w:val="14"/>
        </w:rPr>
        <w:t>| Capa | Entidades | Responsabilidad |</w:t>
      </w:r>
    </w:p>
    <w:p>
      <w:pPr>
        <w:spacing w:after="20" w:line="240" w:lineRule="auto"/>
      </w:pPr>
      <w:r>
        <w:rPr>
          <w:rFonts w:ascii="Consolas" w:hAnsi="Consolas"/>
          <w:sz w:val="14"/>
        </w:rPr>
        <w:t>|---|---|---|</w:t>
      </w:r>
    </w:p>
    <w:p>
      <w:pPr>
        <w:spacing w:after="20" w:line="240" w:lineRule="auto"/>
      </w:pPr>
      <w:r>
        <w:rPr>
          <w:rFonts w:ascii="Consolas" w:hAnsi="Consolas"/>
          <w:sz w:val="14"/>
        </w:rPr>
        <w:t>| K0 Identidad y autoridad | Agente, Organización, Constitución, Decisión, Issue | quién puede crear, revisar, aprobar o bloquear |</w:t>
      </w:r>
    </w:p>
    <w:p>
      <w:pPr>
        <w:spacing w:after="20" w:line="240" w:lineRule="auto"/>
      </w:pPr>
      <w:r>
        <w:rPr>
          <w:rFonts w:ascii="Consolas" w:hAnsi="Consolas"/>
          <w:sz w:val="14"/>
        </w:rPr>
        <w:t>| K1 Procedencia epistémica | Fuente, Evidencia, Investigación, Hipótesis, Observación, Debate | de dónde proviene una afirmación y cuál es su estado |</w:t>
      </w:r>
    </w:p>
    <w:p>
      <w:pPr>
        <w:spacing w:after="20" w:line="240" w:lineRule="auto"/>
      </w:pPr>
      <w:r>
        <w:rPr>
          <w:rFonts w:ascii="Consolas" w:hAnsi="Consolas"/>
          <w:sz w:val="14"/>
        </w:rPr>
        <w:t>| K2 Ingeniería del estándar | Revisión técnica, Componente, Requisito, Regla, Ontología, Taxonomía, Proceso, KPI, Fórmula | traducción controlada de decisiones a artefactos técnicos |</w:t>
      </w:r>
    </w:p>
    <w:p>
      <w:pPr>
        <w:spacing w:after="20" w:line="240" w:lineRule="auto"/>
      </w:pPr>
      <w:r>
        <w:rPr>
          <w:rFonts w:ascii="Consolas" w:hAnsi="Consolas"/>
          <w:sz w:val="14"/>
        </w:rPr>
        <w:t>| K3 Empaquetado documental | Documento, Manual, Formulario, Anexo, GOEI Standard, GOEI BOK | dónde se expresa o distribuye el conocimiento |</w:t>
      </w:r>
    </w:p>
    <w:p>
      <w:pPr>
        <w:spacing w:after="20" w:line="240" w:lineRule="auto"/>
      </w:pPr>
      <w:r>
        <w:rPr>
          <w:rFonts w:ascii="Consolas" w:hAnsi="Consolas"/>
          <w:sz w:val="14"/>
        </w:rPr>
        <w:t>| K4 Validación y difusión | Validación, Publicación, Tesis | cómo se comprueba o comunica, sin adquirir autoridad automática |</w:t>
      </w:r>
    </w:p>
    <w:p>
      <w:pPr>
        <w:spacing w:after="20" w:line="240" w:lineRule="auto"/>
      </w:pPr>
      <w:r>
        <w:rPr>
          <w:rFonts w:ascii="Consolas" w:hAnsi="Consolas"/>
          <w:sz w:val="14"/>
        </w:rPr>
        <w:t>| K5 Evolución | Versión, Línea base, Release, Registro de cambio | vigencia, compatibilidad, publicación e historia |</w:t>
      </w:r>
    </w:p>
    <w:p>
      <w:pPr>
        <w:spacing w:after="40"/>
      </w:pPr>
    </w:p>
    <w:p>
      <w:pPr>
        <w:pStyle w:val="Heading3"/>
      </w:pPr>
      <w:r>
        <w:t>4. Superclases arquitectónicas</w:t>
      </w:r>
    </w:p>
    <w:p>
      <w:pPr>
        <w:spacing w:after="40"/>
      </w:pPr>
    </w:p>
    <w:p>
      <w:pPr>
        <w:spacing w:after="20" w:line="240" w:lineRule="auto"/>
      </w:pPr>
      <w:r>
        <w:rPr>
          <w:rFonts w:ascii="Consolas" w:hAnsi="Consolas"/>
          <w:sz w:val="14"/>
        </w:rPr>
        <w:t>| Superclase | Especializaciones | Regla |</w:t>
      </w:r>
    </w:p>
    <w:p>
      <w:pPr>
        <w:spacing w:after="20" w:line="240" w:lineRule="auto"/>
      </w:pPr>
      <w:r>
        <w:rPr>
          <w:rFonts w:ascii="Consolas" w:hAnsi="Consolas"/>
          <w:sz w:val="14"/>
        </w:rPr>
        <w:t>|---|---|---|</w:t>
      </w:r>
    </w:p>
    <w:p>
      <w:pPr>
        <w:spacing w:after="20" w:line="240" w:lineRule="auto"/>
      </w:pPr>
      <w:r>
        <w:rPr>
          <w:rFonts w:ascii="Consolas" w:hAnsi="Consolas"/>
          <w:sz w:val="14"/>
        </w:rPr>
        <w:t>| `ElementoGOEI` | todas las entidades controladas | posee ID, estado, procedencia y versión o declara por qué no aplica |</w:t>
      </w:r>
    </w:p>
    <w:p>
      <w:pPr>
        <w:spacing w:after="20" w:line="240" w:lineRule="auto"/>
      </w:pPr>
      <w:r>
        <w:rPr>
          <w:rFonts w:ascii="Consolas" w:hAnsi="Consolas"/>
          <w:sz w:val="14"/>
        </w:rPr>
        <w:t>| `ArtefactoInformacional` | Fuente, Evidencia, Documento, Decisión, Revisión, Componente, Validación, Publicación, Tesis, BOK | puede tener representación física y checksum |</w:t>
      </w:r>
    </w:p>
    <w:p>
      <w:pPr>
        <w:spacing w:after="20" w:line="240" w:lineRule="auto"/>
      </w:pPr>
      <w:r>
        <w:rPr>
          <w:rFonts w:ascii="Consolas" w:hAnsi="Consolas"/>
          <w:sz w:val="14"/>
        </w:rPr>
        <w:t>| `ActividadConocimiento` | Investigación, Debate, Validación, Revisión técnica | produce artefactos y tiene responsables y periodo |</w:t>
      </w:r>
    </w:p>
    <w:p>
      <w:pPr>
        <w:spacing w:after="20" w:line="240" w:lineRule="auto"/>
      </w:pPr>
      <w:r>
        <w:rPr>
          <w:rFonts w:ascii="Consolas" w:hAnsi="Consolas"/>
          <w:sz w:val="14"/>
        </w:rPr>
        <w:t>| `ArtefactoNormativo` | Constitución, Requisito, Regla aprobada, Standard, anexos normativos | exige autoridad y decisión habilitante |</w:t>
      </w:r>
    </w:p>
    <w:p>
      <w:pPr>
        <w:spacing w:after="20" w:line="240" w:lineRule="auto"/>
      </w:pPr>
      <w:r>
        <w:rPr>
          <w:rFonts w:ascii="Consolas" w:hAnsi="Consolas"/>
          <w:sz w:val="14"/>
        </w:rPr>
        <w:t>| `ArtefactoDerivado` | Manual, Formulario, Publicación, Tesis, BOK | no puede originar reglas por sí mismo |</w:t>
      </w:r>
    </w:p>
    <w:p>
      <w:pPr>
        <w:spacing w:after="20" w:line="240" w:lineRule="auto"/>
      </w:pPr>
      <w:r>
        <w:rPr>
          <w:rFonts w:ascii="Consolas" w:hAnsi="Consolas"/>
          <w:sz w:val="14"/>
        </w:rPr>
        <w:t>| `ArtefactoVersionable` | Documento, Componente, ontología, taxonomía, KPI-def, fórmula, Standard, BOK | conserva identidad conceptual separada de sus versiones |</w:t>
      </w:r>
    </w:p>
    <w:p>
      <w:pPr>
        <w:spacing w:after="20" w:line="240" w:lineRule="auto"/>
      </w:pPr>
      <w:r>
        <w:rPr>
          <w:rFonts w:ascii="Consolas" w:hAnsi="Consolas"/>
          <w:sz w:val="14"/>
        </w:rPr>
        <w:t>| `RegistroGobernanza` | Decisión, Issue, Registro de cambio, Línea base, Release | conserva historia y no se elimina físicamente |</w:t>
      </w:r>
    </w:p>
    <w:p>
      <w:pPr>
        <w:spacing w:after="40"/>
      </w:pPr>
    </w:p>
    <w:p>
      <w:pPr>
        <w:pStyle w:val="Heading3"/>
      </w:pPr>
      <w:r>
        <w:t>5. Identidad</w:t>
      </w:r>
    </w:p>
    <w:p>
      <w:pPr>
        <w:spacing w:after="40"/>
      </w:pPr>
    </w:p>
    <w:p>
      <w:r>
        <w:t>Todo nodo controlado utiliza un IRI lógico futuro y un ID humano inmutable:</w:t>
      </w:r>
    </w:p>
    <w:p>
      <w:pPr>
        <w:spacing w:after="40"/>
      </w:pPr>
    </w:p>
    <w:p>
      <w:r>
        <w:t>GOEI-{CLASE}-{NNNN}</w:t>
      </w:r>
    </w:p>
    <w:p>
      <w:pPr>
        <w:spacing w:after="40"/>
      </w:pPr>
    </w:p>
    <w:p>
      <w:r>
        <w:t>La identidad conceptual no contiene versión. Una Versión identifica una realización concreta del nodo. Cambiar una etiqueta no crea identidad nueva; cambiar el significado más allá de compatibilidad exige nueva versión o nueva identidad según la decisión de cambio.</w:t>
      </w:r>
    </w:p>
    <w:p>
      <w:pPr>
        <w:spacing w:after="40"/>
      </w:pPr>
    </w:p>
    <w:p>
      <w:pPr>
        <w:pStyle w:val="Heading3"/>
      </w:pPr>
      <w:r>
        <w:t>6. Estado, autoridad y vigencia</w:t>
      </w:r>
    </w:p>
    <w:p>
      <w:pPr>
        <w:spacing w:after="40"/>
      </w:pPr>
    </w:p>
    <w:p>
      <w:r>
        <w:t>Se separan tres dimensiones:</w:t>
      </w:r>
    </w:p>
    <w:p>
      <w:pPr>
        <w:spacing w:after="40"/>
      </w:pPr>
    </w:p>
    <w:p>
      <w:pPr>
        <w:pStyle w:val="ListBullet"/>
      </w:pPr>
      <w:r>
        <w:t>estado de trabajo: borrador, revisión, aprobado, rechazado, sustituido, retirado;</w:t>
      </w:r>
    </w:p>
    <w:p>
      <w:pPr>
        <w:pStyle w:val="ListBullet"/>
      </w:pPr>
      <w:r>
        <w:t>estado epistémico: evidencia, dato, hipótesis, propuesta, consenso, decisión;</w:t>
      </w:r>
    </w:p>
    <w:p>
      <w:pPr>
        <w:pStyle w:val="ListBullet"/>
      </w:pPr>
      <w:r>
        <w:t>vigencia normativa: no aplicable, futura, vigente, suspendida, expirada.</w:t>
      </w:r>
    </w:p>
    <w:p>
      <w:pPr>
        <w:spacing w:after="40"/>
      </w:pPr>
    </w:p>
    <w:p>
      <w:r>
        <w:t>Nunca se infiere una dimensión desde otra. Publicado no significa aprobado; aprobado no significa vigente; citado no significa aceptado.</w:t>
      </w:r>
    </w:p>
    <w:p>
      <w:pPr>
        <w:spacing w:after="40"/>
      </w:pPr>
    </w:p>
    <w:p>
      <w:pPr>
        <w:pStyle w:val="Heading3"/>
      </w:pPr>
      <w:r>
        <w:t>7. Patrón obligatorio de procedencia</w:t>
      </w:r>
    </w:p>
    <w:p>
      <w:pPr>
        <w:spacing w:after="40"/>
      </w:pPr>
    </w:p>
    <w:p>
      <w:pPr>
        <w:spacing w:after="20" w:line="240" w:lineRule="auto"/>
        <w:ind w:left="259"/>
      </w:pPr>
      <w:r>
        <w:rPr>
          <w:rFonts w:ascii="Consolas" w:hAnsi="Consolas"/>
          <w:sz w:val="15"/>
        </w:rPr>
        <w:t>Fuente Bibliográfica ─es_fuente_de→ Evidencia</w:t>
      </w:r>
    </w:p>
    <w:p>
      <w:pPr>
        <w:spacing w:after="20" w:line="240" w:lineRule="auto"/>
        <w:ind w:left="259"/>
      </w:pPr>
      <w:r>
        <w:rPr>
          <w:rFonts w:ascii="Consolas" w:hAnsi="Consolas"/>
          <w:sz w:val="15"/>
        </w:rPr>
        <w:t>Investigación ─produce→ {Evidencia, Observación, Hipótesis}</w:t>
      </w:r>
    </w:p>
    <w:p>
      <w:pPr>
        <w:spacing w:after="20" w:line="240" w:lineRule="auto"/>
        <w:ind w:left="259"/>
      </w:pPr>
      <w:r>
        <w:rPr>
          <w:rFonts w:ascii="Consolas" w:hAnsi="Consolas"/>
          <w:sz w:val="15"/>
        </w:rPr>
        <w:t>{Evidencia, Debate, Hipótesis} ─informa→ Decisión Científica</w:t>
      </w:r>
    </w:p>
    <w:p>
      <w:pPr>
        <w:spacing w:after="20" w:line="240" w:lineRule="auto"/>
        <w:ind w:left="259"/>
      </w:pPr>
      <w:r>
        <w:rPr>
          <w:rFonts w:ascii="Consolas" w:hAnsi="Consolas"/>
          <w:sz w:val="15"/>
        </w:rPr>
        <w:t>Decisión Científica ─autoriza_creacion_o_cambio→ Componente</w:t>
      </w:r>
    </w:p>
    <w:p>
      <w:pPr>
        <w:spacing w:after="20" w:line="240" w:lineRule="auto"/>
        <w:ind w:left="259"/>
      </w:pPr>
      <w:r>
        <w:rPr>
          <w:rFonts w:ascii="Consolas" w:hAnsi="Consolas"/>
          <w:sz w:val="15"/>
        </w:rPr>
        <w:t>Componente ─se_expresa_en→ Documento</w:t>
      </w:r>
    </w:p>
    <w:p>
      <w:pPr>
        <w:spacing w:after="20" w:line="240" w:lineRule="auto"/>
        <w:ind w:left="259"/>
      </w:pPr>
      <w:r>
        <w:rPr>
          <w:rFonts w:ascii="Consolas" w:hAnsi="Consolas"/>
          <w:sz w:val="15"/>
        </w:rPr>
        <w:t>Documento ─es_incluido_en→ Versión</w:t>
      </w:r>
    </w:p>
    <w:p>
      <w:pPr>
        <w:spacing w:after="20" w:line="240" w:lineRule="auto"/>
        <w:ind w:left="259"/>
      </w:pPr>
      <w:r>
        <w:rPr>
          <w:rFonts w:ascii="Consolas" w:hAnsi="Consolas"/>
          <w:sz w:val="15"/>
        </w:rPr>
        <w:t>Versión ─es_congelada_en→ Línea Base</w:t>
      </w:r>
    </w:p>
    <w:p>
      <w:pPr>
        <w:spacing w:after="20" w:line="240" w:lineRule="auto"/>
        <w:ind w:left="259"/>
      </w:pPr>
      <w:r>
        <w:rPr>
          <w:rFonts w:ascii="Consolas" w:hAnsi="Consolas"/>
          <w:sz w:val="15"/>
        </w:rPr>
        <w:t>Release ─publica→ Línea Base</w:t>
      </w:r>
    </w:p>
    <w:p>
      <w:pPr>
        <w:spacing w:after="40"/>
      </w:pPr>
    </w:p>
    <w:p>
      <w:r>
        <w:t>Una decisión puede rechazar una hipótesis o componente; esa arista también se conserva.</w:t>
      </w:r>
    </w:p>
    <w:p>
      <w:pPr>
        <w:spacing w:after="40"/>
      </w:pPr>
    </w:p>
    <w:p>
      <w:pPr>
        <w:pStyle w:val="Heading3"/>
      </w:pPr>
      <w:r>
        <w:t>8. Dependencias y bloqueo parcial</w:t>
      </w:r>
    </w:p>
    <w:p>
      <w:pPr>
        <w:spacing w:after="40"/>
      </w:pPr>
    </w:p>
    <w:p>
      <w:r>
        <w:t>Las dependencias se modelan como nodos o aristas con tipo, alcance, versión y fuerza:</w:t>
      </w:r>
    </w:p>
    <w:p>
      <w:pPr>
        <w:spacing w:after="40"/>
      </w:pPr>
    </w:p>
    <w:p>
      <w:pPr>
        <w:pStyle w:val="ListBullet"/>
      </w:pPr>
      <w:r>
        <w:t>requiere: sin el objetivo no puede progresar;</w:t>
      </w:r>
    </w:p>
    <w:p>
      <w:pPr>
        <w:pStyle w:val="ListBullet"/>
      </w:pPr>
      <w:r>
        <w:t>usa: puede progresar, pero debe mantener compatibilidad;</w:t>
      </w:r>
    </w:p>
    <w:p>
      <w:pPr>
        <w:pStyle w:val="ListBullet"/>
      </w:pPr>
      <w:r>
        <w:t>deriva_de: su significado procede del objetivo;</w:t>
      </w:r>
    </w:p>
    <w:p>
      <w:pPr>
        <w:pStyle w:val="ListBullet"/>
      </w:pPr>
      <w:r>
        <w:t>implementa: realiza un contrato ya aprobado;</w:t>
      </w:r>
    </w:p>
    <w:p>
      <w:pPr>
        <w:pStyle w:val="ListBullet"/>
      </w:pPr>
      <w:r>
        <w:t>reemplaza: establece sucesión.</w:t>
      </w:r>
    </w:p>
    <w:p>
      <w:pPr>
        <w:spacing w:after="40"/>
      </w:pPr>
    </w:p>
    <w:p>
      <w:r>
        <w:t>Si una dependencia científica no está resuelta, se crea un Issue, se enlaza mediante bloquea y solo se detiene el subgrafo descendiente alcanzado por esa dependencia.</w:t>
      </w:r>
    </w:p>
    <w:p>
      <w:pPr>
        <w:spacing w:after="40"/>
      </w:pPr>
    </w:p>
    <w:p>
      <w:pPr>
        <w:pStyle w:val="Heading3"/>
      </w:pPr>
      <w:r>
        <w:t>9. Conformidad del metamodelo</w:t>
      </w:r>
    </w:p>
    <w:p>
      <w:pPr>
        <w:spacing w:after="40"/>
      </w:pPr>
    </w:p>
    <w:p>
      <w:r>
        <w:t>Un nodo es conforme cuando:</w:t>
      </w:r>
    </w:p>
    <w:p>
      <w:pPr>
        <w:spacing w:after="40"/>
      </w:pPr>
    </w:p>
    <w:p>
      <w:pPr>
        <w:pStyle w:val="ListNumber"/>
      </w:pPr>
      <w:r>
        <w:t>tiene ID único y clase válida;</w:t>
      </w:r>
    </w:p>
    <w:p>
      <w:pPr>
        <w:pStyle w:val="ListNumber"/>
      </w:pPr>
      <w:r>
        <w:t>cumple atributos obligatorios de su clase;</w:t>
      </w:r>
    </w:p>
    <w:p>
      <w:pPr>
        <w:pStyle w:val="ListNumber"/>
      </w:pPr>
      <w:r>
        <w:t>usa relaciones declaradas con dominio y rango válidos;</w:t>
      </w:r>
    </w:p>
    <w:p>
      <w:pPr>
        <w:pStyle w:val="ListNumber"/>
      </w:pPr>
      <w:r>
        <w:t>enlaza su procedencia y autoridad;</w:t>
      </w:r>
    </w:p>
    <w:p>
      <w:pPr>
        <w:pStyle w:val="ListNumber"/>
      </w:pPr>
      <w:r>
        <w:t>declara versión, estado y vigencia;</w:t>
      </w:r>
    </w:p>
    <w:p>
      <w:pPr>
        <w:pStyle w:val="ListNumber"/>
      </w:pPr>
      <w:r>
        <w:t>no viola restricciones de integridad ni consistencia;</w:t>
      </w:r>
    </w:p>
    <w:p>
      <w:pPr>
        <w:pStyle w:val="ListNumber"/>
      </w:pPr>
      <w:r>
        <w:t>no atraviesa un Issue bloqueante sin resolución.</w:t>
      </w:r>
    </w:p>
    <w:p>
      <w:pPr>
        <w:spacing w:after="40"/>
      </w:pPr>
    </w:p>
    <w:p>
      <w:pPr>
        <w:pStyle w:val="Heading3"/>
      </w:pPr>
      <w:r>
        <w:t>10. Resultado de EPIC-001</w:t>
      </w:r>
    </w:p>
    <w:p>
      <w:pPr>
        <w:spacing w:after="40"/>
      </w:pPr>
    </w:p>
    <w:p>
      <w:r>
        <w:t>Este metamodelo habilita inventario, análisis de impacto, auditoría, navegación, generación documental y futura implementación. No autoriza crear contenido del estándar.</w:t>
      </w:r>
    </w:p>
    <w:p>
      <w:r>
        <w:br w:type="page"/>
      </w:r>
    </w:p>
    <w:p>
      <w:pPr>
        <w:pStyle w:val="Heading1"/>
        <w:keepNext/>
      </w:pPr>
      <w:r>
        <w:t>Fuente 107: 09_Manual_tecnico_general/EPIC-001_GOEI_Knowledge_Graph/02_GOEI_Knowledge_Graph.md</w:t>
      </w:r>
    </w:p>
    <w:p>
      <w:pPr>
        <w:spacing w:after="200"/>
      </w:pPr>
      <w:r>
        <w:rPr>
          <w:rFonts w:ascii="Consolas" w:hAnsi="Consolas"/>
          <w:color w:val="595959"/>
          <w:sz w:val="16"/>
        </w:rPr>
        <w:t>Ruta: 09_Manual_tecnico_general/EPIC-001_GOEI_Knowledge_Graph/02_GOEI_Knowledge_Graph.md</w:t>
        <w:br/>
        <w:t>Tamaño: 4116 bytes</w:t>
        <w:br/>
        <w:t>SHA-256: a75825993ab2c27a88ef6aea3fe3cf5952cd3971ae42b5e083f2306eb5d9ddea</w:t>
      </w:r>
    </w:p>
    <w:p>
      <w:pPr>
        <w:pStyle w:val="Heading2"/>
      </w:pPr>
      <w:r>
        <w:t>GOEI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GOEI-KG-0001 |</w:t>
      </w:r>
    </w:p>
    <w:p>
      <w:pPr>
        <w:spacing w:after="20" w:line="240" w:lineRule="auto"/>
      </w:pPr>
      <w:r>
        <w:rPr>
          <w:rFonts w:ascii="Consolas" w:hAnsi="Consolas"/>
          <w:sz w:val="14"/>
        </w:rPr>
        <w:t>| Estado | Diseño lógico |</w:t>
      </w:r>
    </w:p>
    <w:p>
      <w:pPr>
        <w:spacing w:after="20" w:line="240" w:lineRule="auto"/>
      </w:pPr>
      <w:r>
        <w:rPr>
          <w:rFonts w:ascii="Consolas" w:hAnsi="Consolas"/>
          <w:sz w:val="14"/>
        </w:rPr>
        <w:t>| Versión | 0.1.0-draft |</w:t>
      </w:r>
    </w:p>
    <w:p>
      <w:pPr>
        <w:spacing w:after="20" w:line="240" w:lineRule="auto"/>
      </w:pPr>
      <w:r>
        <w:rPr>
          <w:rFonts w:ascii="Consolas" w:hAnsi="Consolas"/>
          <w:sz w:val="14"/>
        </w:rPr>
        <w:t>| Modelo | Grafo dirigido, tipado, versionado y con procedencia |</w:t>
      </w:r>
    </w:p>
    <w:p>
      <w:pPr>
        <w:spacing w:after="40"/>
      </w:pPr>
    </w:p>
    <w:p>
      <w:pPr>
        <w:pStyle w:val="Heading3"/>
      </w:pPr>
      <w:r>
        <w:t>1. Unidad del grafo</w:t>
      </w:r>
    </w:p>
    <w:p>
      <w:pPr>
        <w:spacing w:after="40"/>
      </w:pPr>
    </w:p>
    <w:p>
      <w:r>
        <w:t>Cada afirmación se representa como una aserción identificable:</w:t>
      </w:r>
    </w:p>
    <w:p>
      <w:pPr>
        <w:spacing w:after="40"/>
      </w:pPr>
    </w:p>
    <w:p>
      <w:r>
        <w:t>sujeto — relación → objeto + procedencia + autoridad + intervalo de vigencia</w:t>
      </w:r>
    </w:p>
    <w:p>
      <w:pPr>
        <w:spacing w:after="40"/>
      </w:pPr>
    </w:p>
    <w:p>
      <w:r>
        <w:t>La procedencia pertenece a la aserción, no solo a los nodos. Dos fuentes pueden sostener relaciones diferentes entre los mismos elementos.</w:t>
      </w:r>
    </w:p>
    <w:p>
      <w:pPr>
        <w:spacing w:after="40"/>
      </w:pPr>
    </w:p>
    <w:p>
      <w:pPr>
        <w:pStyle w:val="Heading3"/>
      </w:pPr>
      <w:r>
        <w:t>2. Subgrafos</w:t>
      </w:r>
    </w:p>
    <w:p>
      <w:pPr>
        <w:spacing w:after="40"/>
      </w:pPr>
    </w:p>
    <w:p>
      <w:pPr>
        <w:spacing w:after="20" w:line="240" w:lineRule="auto"/>
      </w:pPr>
      <w:r>
        <w:rPr>
          <w:rFonts w:ascii="Consolas" w:hAnsi="Consolas"/>
          <w:sz w:val="14"/>
        </w:rPr>
        <w:t>| Subgrafo | Nodos principales | Pregunta que responde |</w:t>
      </w:r>
    </w:p>
    <w:p>
      <w:pPr>
        <w:spacing w:after="20" w:line="240" w:lineRule="auto"/>
      </w:pPr>
      <w:r>
        <w:rPr>
          <w:rFonts w:ascii="Consolas" w:hAnsi="Consolas"/>
          <w:sz w:val="14"/>
        </w:rPr>
        <w:t>|---|---|---|</w:t>
      </w:r>
    </w:p>
    <w:p>
      <w:pPr>
        <w:spacing w:after="20" w:line="240" w:lineRule="auto"/>
      </w:pPr>
      <w:r>
        <w:rPr>
          <w:rFonts w:ascii="Consolas" w:hAnsi="Consolas"/>
          <w:sz w:val="14"/>
        </w:rPr>
        <w:t>| Autoridad | Constitución, Organización, Agente, Decisión | ¿quién podía decidir? |</w:t>
      </w:r>
    </w:p>
    <w:p>
      <w:pPr>
        <w:spacing w:after="20" w:line="240" w:lineRule="auto"/>
      </w:pPr>
      <w:r>
        <w:rPr>
          <w:rFonts w:ascii="Consolas" w:hAnsi="Consolas"/>
          <w:sz w:val="14"/>
        </w:rPr>
        <w:t>| Evidencia | Fuente, Evidencia, Investigación, Observación, Hipótesis, Debate | ¿por qué se consideró? |</w:t>
      </w:r>
    </w:p>
    <w:p>
      <w:pPr>
        <w:spacing w:after="20" w:line="240" w:lineRule="auto"/>
      </w:pPr>
      <w:r>
        <w:rPr>
          <w:rFonts w:ascii="Consolas" w:hAnsi="Consolas"/>
          <w:sz w:val="14"/>
        </w:rPr>
        <w:t>| Construcción | Decisión, Componente, Requisito, Regla, Ontología, Taxonomía, Proceso, KPI, Fórmula | ¿qué creó o cambió la decisión? |</w:t>
      </w:r>
    </w:p>
    <w:p>
      <w:pPr>
        <w:spacing w:after="20" w:line="240" w:lineRule="auto"/>
      </w:pPr>
      <w:r>
        <w:rPr>
          <w:rFonts w:ascii="Consolas" w:hAnsi="Consolas"/>
          <w:sz w:val="14"/>
        </w:rPr>
        <w:t>| Documentación | Documento, Manual, Formulario, Anexo, BOK, Standard | ¿dónde está expresado? |</w:t>
      </w:r>
    </w:p>
    <w:p>
      <w:pPr>
        <w:spacing w:after="20" w:line="240" w:lineRule="auto"/>
      </w:pPr>
      <w:r>
        <w:rPr>
          <w:rFonts w:ascii="Consolas" w:hAnsi="Consolas"/>
          <w:sz w:val="14"/>
        </w:rPr>
        <w:t>| Validación | Validación, Evidencia, Componente, Línea base | ¿qué fue comprobado y con qué alcance? |</w:t>
      </w:r>
    </w:p>
    <w:p>
      <w:pPr>
        <w:spacing w:after="20" w:line="240" w:lineRule="auto"/>
      </w:pPr>
      <w:r>
        <w:rPr>
          <w:rFonts w:ascii="Consolas" w:hAnsi="Consolas"/>
          <w:sz w:val="14"/>
        </w:rPr>
        <w:t>| Evolución | Issue, Registro de cambio, Versión, Línea base, Release | ¿cuándo cambió y qué sigue vigente? |</w:t>
      </w:r>
    </w:p>
    <w:p>
      <w:pPr>
        <w:spacing w:after="20" w:line="240" w:lineRule="auto"/>
      </w:pPr>
      <w:r>
        <w:rPr>
          <w:rFonts w:ascii="Consolas" w:hAnsi="Consolas"/>
          <w:sz w:val="14"/>
        </w:rPr>
        <w:t>| Difusión | Publicación, Tesis, BOK | ¿cómo se comunicó o sintetizó? |</w:t>
      </w:r>
    </w:p>
    <w:p>
      <w:pPr>
        <w:spacing w:after="40"/>
      </w:pPr>
    </w:p>
    <w:p>
      <w:pPr>
        <w:pStyle w:val="Heading3"/>
      </w:pPr>
      <w:r>
        <w:t>3. Caminos canónicos</w:t>
      </w:r>
    </w:p>
    <w:p>
      <w:pPr>
        <w:spacing w:after="40"/>
      </w:pPr>
    </w:p>
    <w:p>
      <w:pPr>
        <w:pStyle w:val="Heading4"/>
      </w:pPr>
      <w:r>
        <w:t>3.1 De evidencia a estándar</w:t>
      </w:r>
    </w:p>
    <w:p>
      <w:pPr>
        <w:spacing w:after="40"/>
      </w:pPr>
    </w:p>
    <w:p>
      <w:r>
        <w:t>Fuente → Evidencia → Investigación/Debate → Decisión → Componente/Requisito → Documento → Standard → Versión → Línea base → Release</w:t>
      </w:r>
    </w:p>
    <w:p>
      <w:pPr>
        <w:spacing w:after="40"/>
      </w:pPr>
    </w:p>
    <w:p>
      <w:pPr>
        <w:pStyle w:val="Heading4"/>
      </w:pPr>
      <w:r>
        <w:t>3.2 De issue a resolución</w:t>
      </w:r>
    </w:p>
    <w:p>
      <w:pPr>
        <w:spacing w:after="40"/>
      </w:pPr>
    </w:p>
    <w:p>
      <w:r>
        <w:t>Issue → bloquea → Rama/Componente → requiere_decisión → Decisión → resuelve → Issue → desbloquea → Registro de cambio</w:t>
      </w:r>
    </w:p>
    <w:p>
      <w:pPr>
        <w:spacing w:after="40"/>
      </w:pPr>
    </w:p>
    <w:p>
      <w:pPr>
        <w:pStyle w:val="Heading4"/>
      </w:pPr>
      <w:r>
        <w:t>3.3 De estándar a evidencia</w:t>
      </w:r>
    </w:p>
    <w:p>
      <w:pPr>
        <w:spacing w:after="40"/>
      </w:pPr>
    </w:p>
    <w:p>
      <w:r>
        <w:t>Requisito → autorizado_por → Decisión → informado_por → Evidencia → extraída_de → Fuente</w:t>
      </w:r>
    </w:p>
    <w:p>
      <w:pPr>
        <w:spacing w:after="40"/>
      </w:pPr>
    </w:p>
    <w:p>
      <w:pPr>
        <w:pStyle w:val="Heading4"/>
      </w:pPr>
      <w:r>
        <w:t>3.4 De resultado académico a fuente normativa</w:t>
      </w:r>
    </w:p>
    <w:p>
      <w:pPr>
        <w:spacing w:after="40"/>
      </w:pPr>
    </w:p>
    <w:p>
      <w:r>
        <w:t>Tesis/Publicación → deriva_de → {Investigación, Standard, Versión}. Está prohibido recorrer la inversa como autoridad normativa salvo nueva Decisión explícita.</w:t>
      </w:r>
    </w:p>
    <w:p>
      <w:pPr>
        <w:spacing w:after="40"/>
      </w:pPr>
    </w:p>
    <w:p>
      <w:pPr>
        <w:pStyle w:val="Heading3"/>
      </w:pPr>
      <w:r>
        <w:t>4. Perspectiva temporal</w:t>
      </w:r>
    </w:p>
    <w:p>
      <w:pPr>
        <w:spacing w:after="40"/>
      </w:pPr>
    </w:p>
    <w:p>
      <w:r>
        <w:t>El grafo conserva cuatro tiempos:</w:t>
      </w:r>
    </w:p>
    <w:p>
      <w:pPr>
        <w:spacing w:after="40"/>
      </w:pPr>
    </w:p>
    <w:p>
      <w:pPr>
        <w:pStyle w:val="ListBullet"/>
      </w:pPr>
      <w:r>
        <w:t>tiempo del hecho o actividad;</w:t>
      </w:r>
    </w:p>
    <w:p>
      <w:pPr>
        <w:pStyle w:val="ListBullet"/>
      </w:pPr>
      <w:r>
        <w:t>tiempo de registro;</w:t>
      </w:r>
    </w:p>
    <w:p>
      <w:pPr>
        <w:pStyle w:val="ListBullet"/>
      </w:pPr>
      <w:r>
        <w:t>tiempo de vigencia;</w:t>
      </w:r>
    </w:p>
    <w:p>
      <w:pPr>
        <w:pStyle w:val="ListBullet"/>
      </w:pPr>
      <w:r>
        <w:t>tiempo de conocimiento, cuando el GOEI conoció la aserción.</w:t>
      </w:r>
    </w:p>
    <w:p>
      <w:pPr>
        <w:spacing w:after="40"/>
      </w:pPr>
    </w:p>
    <w:p>
      <w:r>
        <w:t>Una consulta histórica debe reconstruir el grafo como era válido en una fecha o línea base, no solo mostrar el estado actual.</w:t>
      </w:r>
    </w:p>
    <w:p>
      <w:pPr>
        <w:spacing w:after="40"/>
      </w:pPr>
    </w:p>
    <w:p>
      <w:pPr>
        <w:pStyle w:val="Heading3"/>
      </w:pPr>
      <w:r>
        <w:t>5. Perspectiva de versiones</w:t>
      </w:r>
    </w:p>
    <w:p>
      <w:pPr>
        <w:spacing w:after="40"/>
      </w:pPr>
    </w:p>
    <w:p>
      <w:r>
        <w:t>Los conceptos persistentes y sus realizaciones se separan:</w:t>
      </w:r>
    </w:p>
    <w:p>
      <w:pPr>
        <w:spacing w:after="40"/>
      </w:pPr>
    </w:p>
    <w:p>
      <w:pPr>
        <w:spacing w:after="20" w:line="240" w:lineRule="auto"/>
        <w:ind w:left="259"/>
      </w:pPr>
      <w:r>
        <w:rPr>
          <w:rFonts w:ascii="Consolas" w:hAnsi="Consolas"/>
          <w:sz w:val="15"/>
        </w:rPr>
        <w:t>Componente conceptual</w:t>
      </w:r>
    </w:p>
    <w:p>
      <w:pPr>
        <w:spacing w:after="20" w:line="240" w:lineRule="auto"/>
        <w:ind w:left="259"/>
      </w:pPr>
      <w:r>
        <w:rPr>
          <w:rFonts w:ascii="Consolas" w:hAnsi="Consolas"/>
          <w:sz w:val="15"/>
        </w:rPr>
        <w:t xml:space="preserve">  ├─ tiene_version → v1.0.0</w:t>
      </w:r>
    </w:p>
    <w:p>
      <w:pPr>
        <w:spacing w:after="20" w:line="240" w:lineRule="auto"/>
        <w:ind w:left="259"/>
      </w:pPr>
      <w:r>
        <w:rPr>
          <w:rFonts w:ascii="Consolas" w:hAnsi="Consolas"/>
          <w:sz w:val="15"/>
        </w:rPr>
        <w:t xml:space="preserve">  ├─ tiene_version → v1.1.0</w:t>
      </w:r>
    </w:p>
    <w:p>
      <w:pPr>
        <w:spacing w:after="20" w:line="240" w:lineRule="auto"/>
        <w:ind w:left="259"/>
      </w:pPr>
      <w:r>
        <w:rPr>
          <w:rFonts w:ascii="Consolas" w:hAnsi="Consolas"/>
          <w:sz w:val="15"/>
        </w:rPr>
        <w:t xml:space="preserve">  └─ tiene_version → v2.0.0</w:t>
      </w:r>
    </w:p>
    <w:p>
      <w:pPr>
        <w:spacing w:after="40"/>
      </w:pPr>
    </w:p>
    <w:p>
      <w:pPr>
        <w:spacing w:after="20" w:line="240" w:lineRule="auto"/>
        <w:ind w:left="259"/>
      </w:pPr>
      <w:r>
        <w:rPr>
          <w:rFonts w:ascii="Consolas" w:hAnsi="Consolas"/>
          <w:sz w:val="15"/>
        </w:rPr>
        <w:t>Línea base GOEI X</w:t>
      </w:r>
    </w:p>
    <w:p>
      <w:pPr>
        <w:spacing w:after="20" w:line="240" w:lineRule="auto"/>
        <w:ind w:left="259"/>
      </w:pPr>
      <w:r>
        <w:rPr>
          <w:rFonts w:ascii="Consolas" w:hAnsi="Consolas"/>
          <w:sz w:val="15"/>
        </w:rPr>
        <w:t xml:space="preserve">  └─ fija_version → v1.1.0</w:t>
      </w:r>
    </w:p>
    <w:p>
      <w:pPr>
        <w:spacing w:after="40"/>
      </w:pPr>
    </w:p>
    <w:p>
      <w:r>
        <w:t>No se enlaza una evaluación, manual o publicación a “la versión más reciente”; se enlaza a una versión exacta o línea base.</w:t>
      </w:r>
    </w:p>
    <w:p>
      <w:pPr>
        <w:spacing w:after="40"/>
      </w:pPr>
    </w:p>
    <w:p>
      <w:pPr>
        <w:pStyle w:val="Heading3"/>
      </w:pPr>
      <w:r>
        <w:t>6. Procedencia de una arista</w:t>
      </w:r>
    </w:p>
    <w:p>
      <w:pPr>
        <w:spacing w:after="40"/>
      </w:pPr>
    </w:p>
    <w:p>
      <w:r>
        <w:t>Toda arista normativa o científica debe registrar:</w:t>
      </w:r>
    </w:p>
    <w:p>
      <w:pPr>
        <w:spacing w:after="40"/>
      </w:pPr>
    </w:p>
    <w:p>
      <w:pPr>
        <w:pStyle w:val="ListBullet"/>
      </w:pPr>
      <w:r>
        <w:t>ID de aserción;</w:t>
      </w:r>
    </w:p>
    <w:p>
      <w:pPr>
        <w:pStyle w:val="ListBullet"/>
      </w:pPr>
      <w:r>
        <w:t>fuente o decisión que la autoriza;</w:t>
      </w:r>
    </w:p>
    <w:p>
      <w:pPr>
        <w:pStyle w:val="ListBullet"/>
      </w:pPr>
      <w:r>
        <w:t>agente que la registró;</w:t>
      </w:r>
    </w:p>
    <w:p>
      <w:pPr>
        <w:pStyle w:val="ListBullet"/>
      </w:pPr>
      <w:r>
        <w:t>fecha de registro;</w:t>
      </w:r>
    </w:p>
    <w:p>
      <w:pPr>
        <w:pStyle w:val="ListBullet"/>
      </w:pPr>
      <w:r>
        <w:t>versión de origen y destino;</w:t>
      </w:r>
    </w:p>
    <w:p>
      <w:pPr>
        <w:pStyle w:val="ListBullet"/>
      </w:pPr>
      <w:r>
        <w:t>estado: propuesta, aceptada, rechazada, sustituida;</w:t>
      </w:r>
    </w:p>
    <w:p>
      <w:pPr>
        <w:pStyle w:val="ListBullet"/>
      </w:pPr>
      <w:r>
        <w:t>confianza solo si existe un método aprobado; de lo contrario, no se asigna.</w:t>
      </w:r>
    </w:p>
    <w:p>
      <w:pPr>
        <w:spacing w:after="40"/>
      </w:pPr>
    </w:p>
    <w:p>
      <w:pPr>
        <w:pStyle w:val="Heading3"/>
      </w:pPr>
      <w:r>
        <w:t>7. Tratamiento de vacíos</w:t>
      </w:r>
    </w:p>
    <w:p>
      <w:pPr>
        <w:spacing w:after="40"/>
      </w:pPr>
    </w:p>
    <w:p>
      <w:r>
        <w:t>Cuando una relación necesaria no puede establecerse:</w:t>
      </w:r>
    </w:p>
    <w:p>
      <w:pPr>
        <w:spacing w:after="40"/>
      </w:pPr>
    </w:p>
    <w:p>
      <w:pPr>
        <w:pStyle w:val="ListNumber"/>
      </w:pPr>
      <w:r>
        <w:t>no se crea una arista hipotética;</w:t>
      </w:r>
    </w:p>
    <w:p>
      <w:pPr>
        <w:pStyle w:val="ListNumber"/>
      </w:pPr>
      <w:r>
        <w:t>se crea un Issue con pregunta exacta;</w:t>
      </w:r>
    </w:p>
    <w:p>
      <w:pPr>
        <w:pStyle w:val="ListNumber"/>
      </w:pPr>
      <w:r>
        <w:t>se enlaza Issue —bloquea→ entidad/relación;</w:t>
      </w:r>
    </w:p>
    <w:p>
      <w:pPr>
        <w:pStyle w:val="ListNumber"/>
      </w:pPr>
      <w:r>
        <w:t>se marca el alcance transitivo afectado;</w:t>
      </w:r>
    </w:p>
    <w:p>
      <w:pPr>
        <w:pStyle w:val="ListNumber"/>
      </w:pPr>
      <w:r>
        <w:t>las demás ramas continúan;</w:t>
      </w:r>
    </w:p>
    <w:p>
      <w:pPr>
        <w:pStyle w:val="ListNumber"/>
      </w:pPr>
      <w:r>
        <w:t>solo una resolución registrada permite desbloquear.</w:t>
      </w:r>
    </w:p>
    <w:p>
      <w:pPr>
        <w:spacing w:after="40"/>
      </w:pPr>
    </w:p>
    <w:p>
      <w:pPr>
        <w:pStyle w:val="Heading3"/>
      </w:pPr>
      <w:r>
        <w:t>8. Vistas de consumo</w:t>
      </w:r>
    </w:p>
    <w:p>
      <w:pPr>
        <w:spacing w:after="40"/>
      </w:pPr>
    </w:p>
    <w:p>
      <w:pPr>
        <w:pStyle w:val="ListBullet"/>
      </w:pPr>
      <w:r>
        <w:t>Vista científica: fuentes, evidencia, hipótesis, debates y decisiones.</w:t>
      </w:r>
    </w:p>
    <w:p>
      <w:pPr>
        <w:pStyle w:val="ListBullet"/>
      </w:pPr>
      <w:r>
        <w:t>Vista normativa: decisiones, requisitos, reglas, componentes y Standard.</w:t>
      </w:r>
    </w:p>
    <w:p>
      <w:pPr>
        <w:pStyle w:val="ListBullet"/>
      </w:pPr>
      <w:r>
        <w:t>Vista técnica: componentes, dependencias, versiones, validaciones e issues.</w:t>
      </w:r>
    </w:p>
    <w:p>
      <w:pPr>
        <w:pStyle w:val="ListBullet"/>
      </w:pPr>
      <w:r>
        <w:t>Vista editorial: documentos, manuales, anexos, BOK, publicaciones y traducciones.</w:t>
      </w:r>
    </w:p>
    <w:p>
      <w:pPr>
        <w:pStyle w:val="ListBullet"/>
      </w:pPr>
      <w:r>
        <w:t>Vista histórica: cambios, sustituciones, líneas base y releases.</w:t>
      </w:r>
    </w:p>
    <w:p>
      <w:pPr>
        <w:spacing w:after="40"/>
      </w:pPr>
    </w:p>
    <w:p>
      <w:r>
        <w:t>Todas son proyecciones del mismo grafo; ninguna mantiene datos duplicados como fuente independiente.</w:t>
      </w:r>
    </w:p>
    <w:p>
      <w:r>
        <w:br w:type="page"/>
      </w:r>
    </w:p>
    <w:p>
      <w:pPr>
        <w:pStyle w:val="Heading1"/>
        <w:keepNext/>
      </w:pPr>
      <w:r>
        <w:t>Fuente 108: 09_Manual_tecnico_general/EPIC-001_GOEI_Knowledge_Graph/03_Diccionario_de_entidades.md</w:t>
      </w:r>
    </w:p>
    <w:p>
      <w:pPr>
        <w:spacing w:after="200"/>
      </w:pPr>
      <w:r>
        <w:rPr>
          <w:rFonts w:ascii="Consolas" w:hAnsi="Consolas"/>
          <w:color w:val="595959"/>
          <w:sz w:val="16"/>
        </w:rPr>
        <w:t>Ruta: 09_Manual_tecnico_general/EPIC-001_GOEI_Knowledge_Graph/03_Diccionario_de_entidades.md</w:t>
        <w:br/>
        <w:t>Tamaño: 35726 bytes</w:t>
        <w:br/>
        <w:t>SHA-256: 2578b194aba6a2dd6bbb9889e742641ea9bbc02bff112e853727bec3a2017f38</w:t>
      </w:r>
    </w:p>
    <w:p>
      <w:pPr>
        <w:pStyle w:val="Heading2"/>
      </w:pPr>
      <w:r>
        <w:t>Diccionario de entidades del GOEI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GOEI-DD-ENT-0001 |</w:t>
      </w:r>
    </w:p>
    <w:p>
      <w:pPr>
        <w:spacing w:after="20" w:line="240" w:lineRule="auto"/>
      </w:pPr>
      <w:r>
        <w:rPr>
          <w:rFonts w:ascii="Consolas" w:hAnsi="Consolas"/>
          <w:sz w:val="14"/>
        </w:rPr>
        <w:t>| Estado | Propuesta arquitectónica |</w:t>
      </w:r>
    </w:p>
    <w:p>
      <w:pPr>
        <w:spacing w:after="20" w:line="240" w:lineRule="auto"/>
      </w:pPr>
      <w:r>
        <w:rPr>
          <w:rFonts w:ascii="Consolas" w:hAnsi="Consolas"/>
          <w:sz w:val="14"/>
        </w:rPr>
        <w:t>| Versión | 0.1.0-draft |</w:t>
      </w:r>
    </w:p>
    <w:p>
      <w:pPr>
        <w:spacing w:after="40"/>
      </w:pPr>
    </w:p>
    <w:p>
      <w:pPr>
        <w:pStyle w:val="Heading3"/>
      </w:pPr>
      <w:r>
        <w:t>Convenciones</w:t>
      </w:r>
    </w:p>
    <w:p>
      <w:pPr>
        <w:spacing w:after="40"/>
      </w:pPr>
    </w:p>
    <w:p>
      <w:r>
        <w:t>Todos los elementos heredan: id, titulo_o_etiqueta, estado, creado_en, creado_por, version, procedencia, idioma, licencia_o_acceso y checksum cuando exista representación digital. Documentos indica los contenedores permitidos, no archivos inventados. Decisión creadora identifica el requisito de autoridad; no aplica significa que es registro de conocimiento, no contenido científico.</w:t>
      </w:r>
    </w:p>
    <w:p>
      <w:pPr>
        <w:spacing w:after="40"/>
      </w:pPr>
    </w:p>
    <w:p>
      <w:pPr>
        <w:pStyle w:val="Heading3"/>
      </w:pPr>
      <w:r>
        <w:t>E01 — Evidencia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`GOEI-EVD-NNNN` |</w:t>
      </w:r>
    </w:p>
    <w:p>
      <w:pPr>
        <w:spacing w:after="20" w:line="240" w:lineRule="auto"/>
      </w:pPr>
      <w:r>
        <w:rPr>
          <w:rFonts w:ascii="Consolas" w:hAnsi="Consolas"/>
          <w:sz w:val="14"/>
        </w:rPr>
        <w:t>| Propósito | Representar soporte verificable utilizado en investigación, debate, decisión o validación. |</w:t>
      </w:r>
    </w:p>
    <w:p>
      <w:pPr>
        <w:spacing w:after="20" w:line="240" w:lineRule="auto"/>
      </w:pPr>
      <w:r>
        <w:rPr>
          <w:rFonts w:ascii="Consolas" w:hAnsi="Consolas"/>
          <w:sz w:val="14"/>
        </w:rPr>
        <w:t>| Descripción | Fragmento, dato, resultado o artefacto con procedencia; no equivale a la fuente que lo contiene. |</w:t>
      </w:r>
    </w:p>
    <w:p>
      <w:pPr>
        <w:spacing w:after="20" w:line="240" w:lineRule="auto"/>
      </w:pPr>
      <w:r>
        <w:rPr>
          <w:rFonts w:ascii="Consolas" w:hAnsi="Consolas"/>
          <w:sz w:val="14"/>
        </w:rPr>
        <w:t>| Atributos obligatorios | tipo, afirmación_soportada, procedencia, localización_exacta, fecha, estado_verificación, restricciones_uso |</w:t>
      </w:r>
    </w:p>
    <w:p>
      <w:pPr>
        <w:spacing w:after="20" w:line="240" w:lineRule="auto"/>
      </w:pPr>
      <w:r>
        <w:rPr>
          <w:rFonts w:ascii="Consolas" w:hAnsi="Consolas"/>
          <w:sz w:val="14"/>
        </w:rPr>
        <w:t>| Relaciones permitidas | `extraída_de Fuente`; `producida_por Investigación/Validación`; `sustenta|contradice Hipótesis/Decisión`; `contenida_en Documento` |</w:t>
      </w:r>
    </w:p>
    <w:p>
      <w:pPr>
        <w:spacing w:after="20" w:line="240" w:lineRule="auto"/>
      </w:pPr>
      <w:r>
        <w:rPr>
          <w:rFonts w:ascii="Consolas" w:hAnsi="Consolas"/>
          <w:sz w:val="14"/>
        </w:rPr>
        <w:t>| Restricciones | No puede existir sin procedencia; citarla no implica aceptación; una evidencia no crea componentes. |</w:t>
      </w:r>
    </w:p>
    <w:p>
      <w:pPr>
        <w:spacing w:after="20" w:line="240" w:lineRule="auto"/>
      </w:pPr>
      <w:r>
        <w:rPr>
          <w:rFonts w:ascii="Consolas" w:hAnsi="Consolas"/>
          <w:sz w:val="14"/>
        </w:rPr>
        <w:t>| Ciclo de vida | registrada → verificada → aceptada/rechazada → sustituida/archivada |</w:t>
      </w:r>
    </w:p>
    <w:p>
      <w:pPr>
        <w:spacing w:after="20" w:line="240" w:lineRule="auto"/>
      </w:pPr>
      <w:r>
        <w:rPr>
          <w:rFonts w:ascii="Consolas" w:hAnsi="Consolas"/>
          <w:sz w:val="14"/>
        </w:rPr>
        <w:t>| Dependencias | Fuente o actividad productora; método de obtención cuando aplique. |</w:t>
      </w:r>
    </w:p>
    <w:p>
      <w:pPr>
        <w:spacing w:after="20" w:line="240" w:lineRule="auto"/>
      </w:pPr>
      <w:r>
        <w:rPr>
          <w:rFonts w:ascii="Consolas" w:hAnsi="Consolas"/>
          <w:sz w:val="14"/>
        </w:rPr>
        <w:t>| Documentos que la contienen | ficha de fuente, informe de investigación, expediente de decisión o validación. |</w:t>
      </w:r>
    </w:p>
    <w:p>
      <w:pPr>
        <w:spacing w:after="20" w:line="240" w:lineRule="auto"/>
      </w:pPr>
      <w:r>
        <w:rPr>
          <w:rFonts w:ascii="Consolas" w:hAnsi="Consolas"/>
          <w:sz w:val="14"/>
        </w:rPr>
        <w:t>| Decisiones que la crean | No aplica; la decisión puede aceptar su uso. |</w:t>
      </w:r>
    </w:p>
    <w:p>
      <w:pPr>
        <w:spacing w:after="20" w:line="240" w:lineRule="auto"/>
      </w:pPr>
      <w:r>
        <w:rPr>
          <w:rFonts w:ascii="Consolas" w:hAnsi="Consolas"/>
          <w:sz w:val="14"/>
        </w:rPr>
        <w:t>| Versionado | Inmutable como captura; correcciones generan nueva versión enlazada. |</w:t>
      </w:r>
    </w:p>
    <w:p>
      <w:pPr>
        <w:spacing w:after="40"/>
      </w:pPr>
    </w:p>
    <w:p>
      <w:pPr>
        <w:pStyle w:val="Heading3"/>
      </w:pPr>
      <w:r>
        <w:t>E02 — Fuente bibliográfica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`GOEI-SRC-NNNN` |</w:t>
      </w:r>
    </w:p>
    <w:p>
      <w:pPr>
        <w:spacing w:after="20" w:line="240" w:lineRule="auto"/>
      </w:pPr>
      <w:r>
        <w:rPr>
          <w:rFonts w:ascii="Consolas" w:hAnsi="Consolas"/>
          <w:sz w:val="14"/>
        </w:rPr>
        <w:t>| Propósito | Identificar una obra, norma, regulación o dataset de procedencia. |</w:t>
      </w:r>
    </w:p>
    <w:p>
      <w:pPr>
        <w:spacing w:after="20" w:line="240" w:lineRule="auto"/>
      </w:pPr>
      <w:r>
        <w:rPr>
          <w:rFonts w:ascii="Consolas" w:hAnsi="Consolas"/>
          <w:sz w:val="14"/>
        </w:rPr>
        <w:t>| Descripción | Registro bibliográfico controlado, independiente de las evidencias extraídas. |</w:t>
      </w:r>
    </w:p>
    <w:p>
      <w:pPr>
        <w:spacing w:after="20" w:line="240" w:lineRule="auto"/>
      </w:pPr>
      <w:r>
        <w:rPr>
          <w:rFonts w:ascii="Consolas" w:hAnsi="Consolas"/>
          <w:sz w:val="14"/>
        </w:rPr>
        <w:t>| Atributos obligatorios | autor, año, título, tipo, edición, identificador_verificable, idioma, acceso, verificación |</w:t>
      </w:r>
    </w:p>
    <w:p>
      <w:pPr>
        <w:spacing w:after="20" w:line="240" w:lineRule="auto"/>
      </w:pPr>
      <w:r>
        <w:rPr>
          <w:rFonts w:ascii="Consolas" w:hAnsi="Consolas"/>
          <w:sz w:val="14"/>
        </w:rPr>
        <w:t>| Relaciones permitidas | `contiene Evidencia`; `citada_por Documento/Investigación/Decisión`; `sustituye Fuente` |</w:t>
      </w:r>
    </w:p>
    <w:p>
      <w:pPr>
        <w:spacing w:after="20" w:line="240" w:lineRule="auto"/>
      </w:pPr>
      <w:r>
        <w:rPr>
          <w:rFonts w:ascii="Consolas" w:hAnsi="Consolas"/>
          <w:sz w:val="14"/>
        </w:rPr>
        <w:t>| Restricciones | ID único por edición; URL sola no basta si existe DOI/ISBN/código; disponibilidad no implica calidad. |</w:t>
      </w:r>
    </w:p>
    <w:p>
      <w:pPr>
        <w:spacing w:after="20" w:line="240" w:lineRule="auto"/>
      </w:pPr>
      <w:r>
        <w:rPr>
          <w:rFonts w:ascii="Consolas" w:hAnsi="Consolas"/>
          <w:sz w:val="14"/>
        </w:rPr>
        <w:t>| Ciclo de vida | candidata → catalogada → verificada → activa/descartada → archivada |</w:t>
      </w:r>
    </w:p>
    <w:p>
      <w:pPr>
        <w:spacing w:after="20" w:line="240" w:lineRule="auto"/>
      </w:pPr>
      <w:r>
        <w:rPr>
          <w:rFonts w:ascii="Consolas" w:hAnsi="Consolas"/>
          <w:sz w:val="14"/>
        </w:rPr>
        <w:t>| Dependencias | Metadatos y ubicación legal. |</w:t>
      </w:r>
    </w:p>
    <w:p>
      <w:pPr>
        <w:spacing w:after="20" w:line="240" w:lineRule="auto"/>
      </w:pPr>
      <w:r>
        <w:rPr>
          <w:rFonts w:ascii="Consolas" w:hAnsi="Consolas"/>
          <w:sz w:val="14"/>
        </w:rPr>
        <w:t>| Documentos que la contienen | catálogo bibliográfico y ficha de fuente. |</w:t>
      </w:r>
    </w:p>
    <w:p>
      <w:pPr>
        <w:spacing w:after="20" w:line="240" w:lineRule="auto"/>
      </w:pPr>
      <w:r>
        <w:rPr>
          <w:rFonts w:ascii="Consolas" w:hAnsi="Consolas"/>
          <w:sz w:val="14"/>
        </w:rPr>
        <w:t>| Decisiones que la crean | No aplica. |</w:t>
      </w:r>
    </w:p>
    <w:p>
      <w:pPr>
        <w:spacing w:after="20" w:line="240" w:lineRule="auto"/>
      </w:pPr>
      <w:r>
        <w:rPr>
          <w:rFonts w:ascii="Consolas" w:hAnsi="Consolas"/>
          <w:sz w:val="14"/>
        </w:rPr>
        <w:t>| Versionado | Cada edición o versión normativa es nodo distinto relacionado. |</w:t>
      </w:r>
    </w:p>
    <w:p>
      <w:pPr>
        <w:spacing w:after="40"/>
      </w:pPr>
    </w:p>
    <w:p>
      <w:pPr>
        <w:pStyle w:val="Heading3"/>
      </w:pPr>
      <w:r>
        <w:t>E03 — Investigación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`GOEI-RES-NNNN` |</w:t>
      </w:r>
    </w:p>
    <w:p>
      <w:pPr>
        <w:spacing w:after="20" w:line="240" w:lineRule="auto"/>
      </w:pPr>
      <w:r>
        <w:rPr>
          <w:rFonts w:ascii="Consolas" w:hAnsi="Consolas"/>
          <w:sz w:val="14"/>
        </w:rPr>
        <w:t>| Propósito | Representar una actividad científica delimitada. |</w:t>
      </w:r>
    </w:p>
    <w:p>
      <w:pPr>
        <w:spacing w:after="20" w:line="240" w:lineRule="auto"/>
      </w:pPr>
      <w:r>
        <w:rPr>
          <w:rFonts w:ascii="Consolas" w:hAnsi="Consolas"/>
          <w:sz w:val="14"/>
        </w:rPr>
        <w:t>| Descripción | Protocolo y ejecución que responde preguntas mediante métodos explícitos. |</w:t>
      </w:r>
    </w:p>
    <w:p>
      <w:pPr>
        <w:spacing w:after="20" w:line="240" w:lineRule="auto"/>
      </w:pPr>
      <w:r>
        <w:rPr>
          <w:rFonts w:ascii="Consolas" w:hAnsi="Consolas"/>
          <w:sz w:val="14"/>
        </w:rPr>
        <w:t>| Atributos obligatorios | objetivo, preguntas, método, responsables, periodo, alcance, estado, protocolo, productos |</w:t>
      </w:r>
    </w:p>
    <w:p>
      <w:pPr>
        <w:spacing w:after="20" w:line="240" w:lineRule="auto"/>
      </w:pPr>
      <w:r>
        <w:rPr>
          <w:rFonts w:ascii="Consolas" w:hAnsi="Consolas"/>
          <w:sz w:val="14"/>
        </w:rPr>
        <w:t>| Relaciones permitidas | `usa Fuente`; `produce Evidencia/Observación/Hipótesis/Documento`; `responde Pregunta`; `informa Debate/Decisión` |</w:t>
      </w:r>
    </w:p>
    <w:p>
      <w:pPr>
        <w:spacing w:after="20" w:line="240" w:lineRule="auto"/>
      </w:pPr>
      <w:r>
        <w:rPr>
          <w:rFonts w:ascii="Consolas" w:hAnsi="Consolas"/>
          <w:sz w:val="14"/>
        </w:rPr>
        <w:t>| Restricciones | No puede declararse cerrada sin productos y limitaciones; resultado no equivale a decisión. |</w:t>
      </w:r>
    </w:p>
    <w:p>
      <w:pPr>
        <w:spacing w:after="20" w:line="240" w:lineRule="auto"/>
      </w:pPr>
      <w:r>
        <w:rPr>
          <w:rFonts w:ascii="Consolas" w:hAnsi="Consolas"/>
          <w:sz w:val="14"/>
        </w:rPr>
        <w:t>| Ciclo de vida | propuesta → protocolizada → en_ejecución → analizada → cerrada → reproducida/archivada |</w:t>
      </w:r>
    </w:p>
    <w:p>
      <w:pPr>
        <w:spacing w:after="20" w:line="240" w:lineRule="auto"/>
      </w:pPr>
      <w:r>
        <w:rPr>
          <w:rFonts w:ascii="Consolas" w:hAnsi="Consolas"/>
          <w:sz w:val="14"/>
        </w:rPr>
        <w:t>| Dependencias | Protocolo, fuentes, datos y autorizaciones aplicables. |</w:t>
      </w:r>
    </w:p>
    <w:p>
      <w:pPr>
        <w:spacing w:after="20" w:line="240" w:lineRule="auto"/>
      </w:pPr>
      <w:r>
        <w:rPr>
          <w:rFonts w:ascii="Consolas" w:hAnsi="Consolas"/>
          <w:sz w:val="14"/>
        </w:rPr>
        <w:t>| Documentos que la contienen | protocolo, revisión, informe y paquete de reproducibilidad. |</w:t>
      </w:r>
    </w:p>
    <w:p>
      <w:pPr>
        <w:spacing w:after="20" w:line="240" w:lineRule="auto"/>
      </w:pPr>
      <w:r>
        <w:rPr>
          <w:rFonts w:ascii="Consolas" w:hAnsi="Consolas"/>
          <w:sz w:val="14"/>
        </w:rPr>
        <w:t>| Decisiones que la crean | Puede ser encargada por Decisión; no siempre requiere decisión científica. |</w:t>
      </w:r>
    </w:p>
    <w:p>
      <w:pPr>
        <w:spacing w:after="20" w:line="240" w:lineRule="auto"/>
      </w:pPr>
      <w:r>
        <w:rPr>
          <w:rFonts w:ascii="Consolas" w:hAnsi="Consolas"/>
          <w:sz w:val="14"/>
        </w:rPr>
        <w:t>| Versionado | Protocolo versionado; ejecución congelada conserva la versión usada. |</w:t>
      </w:r>
    </w:p>
    <w:p>
      <w:pPr>
        <w:spacing w:after="40"/>
      </w:pPr>
    </w:p>
    <w:p>
      <w:pPr>
        <w:pStyle w:val="Heading3"/>
      </w:pPr>
      <w:r>
        <w:t>E04 — Hipótesis</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`GOEI-HYP-NNNN` |</w:t>
      </w:r>
    </w:p>
    <w:p>
      <w:pPr>
        <w:spacing w:after="20" w:line="240" w:lineRule="auto"/>
      </w:pPr>
      <w:r>
        <w:rPr>
          <w:rFonts w:ascii="Consolas" w:hAnsi="Consolas"/>
          <w:sz w:val="14"/>
        </w:rPr>
        <w:t>| Propósito | Registrar una proposición comprobable aún no aceptada como decisión. |</w:t>
      </w:r>
    </w:p>
    <w:p>
      <w:pPr>
        <w:spacing w:after="20" w:line="240" w:lineRule="auto"/>
      </w:pPr>
      <w:r>
        <w:rPr>
          <w:rFonts w:ascii="Consolas" w:hAnsi="Consolas"/>
          <w:sz w:val="14"/>
        </w:rPr>
        <w:t>| Descripción | Afirmación provisional con criterios de contraste y alcance. |</w:t>
      </w:r>
    </w:p>
    <w:p>
      <w:pPr>
        <w:spacing w:after="20" w:line="240" w:lineRule="auto"/>
      </w:pPr>
      <w:r>
        <w:rPr>
          <w:rFonts w:ascii="Consolas" w:hAnsi="Consolas"/>
          <w:sz w:val="14"/>
        </w:rPr>
        <w:t>| Atributos obligatorios | enunciado, alcance, estado_epistémico, criterios_contraste, origen, fecha |</w:t>
      </w:r>
    </w:p>
    <w:p>
      <w:pPr>
        <w:spacing w:after="20" w:line="240" w:lineRule="auto"/>
      </w:pPr>
      <w:r>
        <w:rPr>
          <w:rFonts w:ascii="Consolas" w:hAnsi="Consolas"/>
          <w:sz w:val="14"/>
        </w:rPr>
        <w:t>| Relaciones permitidas | `derivada_de Investigación/Evidencia`; `evaluada_por Investigación/Validación/Debate`; `aceptada|rechazada_por Decisión` |</w:t>
      </w:r>
    </w:p>
    <w:p>
      <w:pPr>
        <w:spacing w:after="20" w:line="240" w:lineRule="auto"/>
      </w:pPr>
      <w:r>
        <w:rPr>
          <w:rFonts w:ascii="Consolas" w:hAnsi="Consolas"/>
          <w:sz w:val="14"/>
        </w:rPr>
        <w:t>| Restricciones | No crea reglas, KPI ni componentes; debe permanecer etiquetada como hipótesis. |</w:t>
      </w:r>
    </w:p>
    <w:p>
      <w:pPr>
        <w:spacing w:after="20" w:line="240" w:lineRule="auto"/>
      </w:pPr>
      <w:r>
        <w:rPr>
          <w:rFonts w:ascii="Consolas" w:hAnsi="Consolas"/>
          <w:sz w:val="14"/>
        </w:rPr>
        <w:t>| Ciclo de vida | propuesta → en_contraste → apoyada/refutada/inconclusa → cerrada |</w:t>
      </w:r>
    </w:p>
    <w:p>
      <w:pPr>
        <w:spacing w:after="20" w:line="240" w:lineRule="auto"/>
      </w:pPr>
      <w:r>
        <w:rPr>
          <w:rFonts w:ascii="Consolas" w:hAnsi="Consolas"/>
          <w:sz w:val="14"/>
        </w:rPr>
        <w:t>| Dependencias | Pregunta y evidencia de origen. |</w:t>
      </w:r>
    </w:p>
    <w:p>
      <w:pPr>
        <w:spacing w:after="20" w:line="240" w:lineRule="auto"/>
      </w:pPr>
      <w:r>
        <w:rPr>
          <w:rFonts w:ascii="Consolas" w:hAnsi="Consolas"/>
          <w:sz w:val="14"/>
        </w:rPr>
        <w:t>| Documentos que la contienen | protocolo, informe, debate y expediente de decisión. |</w:t>
      </w:r>
    </w:p>
    <w:p>
      <w:pPr>
        <w:spacing w:after="20" w:line="240" w:lineRule="auto"/>
      </w:pPr>
      <w:r>
        <w:rPr>
          <w:rFonts w:ascii="Consolas" w:hAnsi="Consolas"/>
          <w:sz w:val="14"/>
        </w:rPr>
        <w:t>| Decisiones que la crean | No aplica; una decisión puede adoptarla o rechazarla. |</w:t>
      </w:r>
    </w:p>
    <w:p>
      <w:pPr>
        <w:spacing w:after="20" w:line="240" w:lineRule="auto"/>
      </w:pPr>
      <w:r>
        <w:rPr>
          <w:rFonts w:ascii="Consolas" w:hAnsi="Consolas"/>
          <w:sz w:val="14"/>
        </w:rPr>
        <w:t>| Versionado | Cambio de enunciado sustantivo crea nueva versión o hipótesis. |</w:t>
      </w:r>
    </w:p>
    <w:p>
      <w:pPr>
        <w:spacing w:after="40"/>
      </w:pPr>
    </w:p>
    <w:p>
      <w:pPr>
        <w:pStyle w:val="Heading3"/>
      </w:pPr>
      <w:r>
        <w:t>E05 — Pregunta abierta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`GOEI-ISS-NNNN` con subtipo `open-question` |</w:t>
      </w:r>
    </w:p>
    <w:p>
      <w:pPr>
        <w:spacing w:after="20" w:line="240" w:lineRule="auto"/>
      </w:pPr>
      <w:r>
        <w:rPr>
          <w:rFonts w:ascii="Consolas" w:hAnsi="Consolas"/>
          <w:sz w:val="14"/>
        </w:rPr>
        <w:t>| Propósito | Registrar una incógnita que requiere investigación o decisión. |</w:t>
      </w:r>
    </w:p>
    <w:p>
      <w:pPr>
        <w:spacing w:after="20" w:line="240" w:lineRule="auto"/>
      </w:pPr>
      <w:r>
        <w:rPr>
          <w:rFonts w:ascii="Consolas" w:hAnsi="Consolas"/>
          <w:sz w:val="14"/>
        </w:rPr>
        <w:t>| Descripción | Pregunta delimitada, con alcance y productos bloqueados identificados. |</w:t>
      </w:r>
    </w:p>
    <w:p>
      <w:pPr>
        <w:spacing w:after="20" w:line="240" w:lineRule="auto"/>
      </w:pPr>
      <w:r>
        <w:rPr>
          <w:rFonts w:ascii="Consolas" w:hAnsi="Consolas"/>
          <w:sz w:val="14"/>
        </w:rPr>
        <w:t>| Atributos obligatorios | pregunta, origen, autoridad_requerida, impacto, prioridad, estado, criterio_cierre |</w:t>
      </w:r>
    </w:p>
    <w:p>
      <w:pPr>
        <w:spacing w:after="20" w:line="240" w:lineRule="auto"/>
      </w:pPr>
      <w:r>
        <w:rPr>
          <w:rFonts w:ascii="Consolas" w:hAnsi="Consolas"/>
          <w:sz w:val="14"/>
        </w:rPr>
        <w:t>| Relaciones permitidas | `origina Investigación/Debate`; `bloquea Componente/Relación`; `respondida_por Decisión/Investigación` |</w:t>
      </w:r>
    </w:p>
    <w:p>
      <w:pPr>
        <w:spacing w:after="20" w:line="240" w:lineRule="auto"/>
      </w:pPr>
      <w:r>
        <w:rPr>
          <w:rFonts w:ascii="Consolas" w:hAnsi="Consolas"/>
          <w:sz w:val="14"/>
        </w:rPr>
        <w:t>| Restricciones | No contiene respuesta provisional como hecho; cierre exige enlace verificable. |</w:t>
      </w:r>
    </w:p>
    <w:p>
      <w:pPr>
        <w:spacing w:after="20" w:line="240" w:lineRule="auto"/>
      </w:pPr>
      <w:r>
        <w:rPr>
          <w:rFonts w:ascii="Consolas" w:hAnsi="Consolas"/>
          <w:sz w:val="14"/>
        </w:rPr>
        <w:t>| Ciclo de vida | abierta → en_estudio → respondida → cerrada/reabierta |</w:t>
      </w:r>
    </w:p>
    <w:p>
      <w:pPr>
        <w:spacing w:after="20" w:line="240" w:lineRule="auto"/>
      </w:pPr>
      <w:r>
        <w:rPr>
          <w:rFonts w:ascii="Consolas" w:hAnsi="Consolas"/>
          <w:sz w:val="14"/>
        </w:rPr>
        <w:t>| Dependencias | Artefacto que detectó el vacío. |</w:t>
      </w:r>
    </w:p>
    <w:p>
      <w:pPr>
        <w:spacing w:after="20" w:line="240" w:lineRule="auto"/>
      </w:pPr>
      <w:r>
        <w:rPr>
          <w:rFonts w:ascii="Consolas" w:hAnsi="Consolas"/>
          <w:sz w:val="14"/>
        </w:rPr>
        <w:t>| Documentos que la contienen | registro de issues, investigación y expediente de decisión. |</w:t>
      </w:r>
    </w:p>
    <w:p>
      <w:pPr>
        <w:spacing w:after="20" w:line="240" w:lineRule="auto"/>
      </w:pPr>
      <w:r>
        <w:rPr>
          <w:rFonts w:ascii="Consolas" w:hAnsi="Consolas"/>
          <w:sz w:val="14"/>
        </w:rPr>
        <w:t>| Decisiones que la crean | No aplica. |</w:t>
      </w:r>
    </w:p>
    <w:p>
      <w:pPr>
        <w:spacing w:after="20" w:line="240" w:lineRule="auto"/>
      </w:pPr>
      <w:r>
        <w:rPr>
          <w:rFonts w:ascii="Consolas" w:hAnsi="Consolas"/>
          <w:sz w:val="14"/>
        </w:rPr>
        <w:t>| Versionado | Registro acumulativo; no reescribir la pregunta cerrada. |</w:t>
      </w:r>
    </w:p>
    <w:p>
      <w:pPr>
        <w:spacing w:after="40"/>
      </w:pPr>
    </w:p>
    <w:p>
      <w:pPr>
        <w:pStyle w:val="Heading3"/>
      </w:pPr>
      <w:r>
        <w:t>E06 — Observación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`GOEI-OBS-NNNN` |</w:t>
      </w:r>
    </w:p>
    <w:p>
      <w:pPr>
        <w:spacing w:after="20" w:line="240" w:lineRule="auto"/>
      </w:pPr>
      <w:r>
        <w:rPr>
          <w:rFonts w:ascii="Consolas" w:hAnsi="Consolas"/>
          <w:sz w:val="14"/>
        </w:rPr>
        <w:t>| Propósito | Registrar un dato o constatación concreta con procedencia. |</w:t>
      </w:r>
    </w:p>
    <w:p>
      <w:pPr>
        <w:spacing w:after="20" w:line="240" w:lineRule="auto"/>
      </w:pPr>
      <w:r>
        <w:rPr>
          <w:rFonts w:ascii="Consolas" w:hAnsi="Consolas"/>
          <w:sz w:val="14"/>
        </w:rPr>
        <w:t>| Descripción | Artefacto descriptivo del estrato D de D-006-REV; no confundir con una opinión. |</w:t>
      </w:r>
    </w:p>
    <w:p>
      <w:pPr>
        <w:spacing w:after="20" w:line="240" w:lineRule="auto"/>
      </w:pPr>
      <w:r>
        <w:rPr>
          <w:rFonts w:ascii="Consolas" w:hAnsi="Consolas"/>
          <w:sz w:val="14"/>
        </w:rPr>
        <w:t>| Atributos obligatorios | entidad, proceso, evento, periodo, valor_o_contenido, autor/agente, método, admisibilidad |</w:t>
      </w:r>
    </w:p>
    <w:p>
      <w:pPr>
        <w:spacing w:after="20" w:line="240" w:lineRule="auto"/>
      </w:pPr>
      <w:r>
        <w:rPr>
          <w:rFonts w:ascii="Consolas" w:hAnsi="Consolas"/>
          <w:sz w:val="14"/>
        </w:rPr>
        <w:t>| Relaciones permitidas | `generada_por Evento/Investigación`; `acerca_de Entidad`; `soportada_por Evidencia`; `alimenta Validación/KPI-token` |</w:t>
      </w:r>
    </w:p>
    <w:p>
      <w:pPr>
        <w:spacing w:after="20" w:line="240" w:lineRule="auto"/>
      </w:pPr>
      <w:r>
        <w:rPr>
          <w:rFonts w:ascii="Consolas" w:hAnsi="Consolas"/>
          <w:sz w:val="14"/>
        </w:rPr>
        <w:t>| Restricciones | Cumple AX-11; observación sin anclaje cuádruple es inadmisible; no crea KPI-def. |</w:t>
      </w:r>
    </w:p>
    <w:p>
      <w:pPr>
        <w:spacing w:after="20" w:line="240" w:lineRule="auto"/>
      </w:pPr>
      <w:r>
        <w:rPr>
          <w:rFonts w:ascii="Consolas" w:hAnsi="Consolas"/>
          <w:sz w:val="14"/>
        </w:rPr>
        <w:t>| Ciclo de vida | capturada → verificada → admisible/inadmisible → usada → archivada |</w:t>
      </w:r>
    </w:p>
    <w:p>
      <w:pPr>
        <w:spacing w:after="20" w:line="240" w:lineRule="auto"/>
      </w:pPr>
      <w:r>
        <w:rPr>
          <w:rFonts w:ascii="Consolas" w:hAnsi="Consolas"/>
          <w:sz w:val="14"/>
        </w:rPr>
        <w:t>| Dependencias | D-006-REV, evento, periodo, entidad y proceso. |</w:t>
      </w:r>
    </w:p>
    <w:p>
      <w:pPr>
        <w:spacing w:after="20" w:line="240" w:lineRule="auto"/>
      </w:pPr>
      <w:r>
        <w:rPr>
          <w:rFonts w:ascii="Consolas" w:hAnsi="Consolas"/>
          <w:sz w:val="14"/>
        </w:rPr>
        <w:t>| Documentos que la contienen | registro de investigación, formulario respondido o expediente de validación. |</w:t>
      </w:r>
    </w:p>
    <w:p>
      <w:pPr>
        <w:spacing w:after="20" w:line="240" w:lineRule="auto"/>
      </w:pPr>
      <w:r>
        <w:rPr>
          <w:rFonts w:ascii="Consolas" w:hAnsi="Consolas"/>
          <w:sz w:val="14"/>
        </w:rPr>
        <w:t>| Decisiones que la crean | No aplica; su estructura deriva de D-006-REV. |</w:t>
      </w:r>
    </w:p>
    <w:p>
      <w:pPr>
        <w:spacing w:after="20" w:line="240" w:lineRule="auto"/>
      </w:pPr>
      <w:r>
        <w:rPr>
          <w:rFonts w:ascii="Consolas" w:hAnsi="Consolas"/>
          <w:sz w:val="14"/>
        </w:rPr>
        <w:t>| Versionado | Inmutable; corrección mediante revisión enlazada preservando original. |</w:t>
      </w:r>
    </w:p>
    <w:p>
      <w:pPr>
        <w:spacing w:after="40"/>
      </w:pPr>
    </w:p>
    <w:p>
      <w:pPr>
        <w:pStyle w:val="Heading3"/>
      </w:pPr>
      <w:r>
        <w:t>E07 — Debate científico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`GOEI-DEB-NNNN` |</w:t>
      </w:r>
    </w:p>
    <w:p>
      <w:pPr>
        <w:spacing w:after="20" w:line="240" w:lineRule="auto"/>
      </w:pPr>
      <w:r>
        <w:rPr>
          <w:rFonts w:ascii="Consolas" w:hAnsi="Consolas"/>
          <w:sz w:val="14"/>
        </w:rPr>
        <w:t>| Propósito | Preservar alternativas, argumentos, objeciones y disensos. |</w:t>
      </w:r>
    </w:p>
    <w:p>
      <w:pPr>
        <w:spacing w:after="20" w:line="240" w:lineRule="auto"/>
      </w:pPr>
      <w:r>
        <w:rPr>
          <w:rFonts w:ascii="Consolas" w:hAnsi="Consolas"/>
          <w:sz w:val="14"/>
        </w:rPr>
        <w:t>| Descripción | Actividad deliberativa previa o posterior a una decisión. |</w:t>
      </w:r>
    </w:p>
    <w:p>
      <w:pPr>
        <w:spacing w:after="20" w:line="240" w:lineRule="auto"/>
      </w:pPr>
      <w:r>
        <w:rPr>
          <w:rFonts w:ascii="Consolas" w:hAnsi="Consolas"/>
          <w:sz w:val="14"/>
        </w:rPr>
        <w:t>| Atributos obligatorios | cuestión, participantes, periodo, posiciones, evidencias_citadas, resultado, acta |</w:t>
      </w:r>
    </w:p>
    <w:p>
      <w:pPr>
        <w:spacing w:after="20" w:line="240" w:lineRule="auto"/>
      </w:pPr>
      <w:r>
        <w:rPr>
          <w:rFonts w:ascii="Consolas" w:hAnsi="Consolas"/>
          <w:sz w:val="14"/>
        </w:rPr>
        <w:t>| Relaciones permitidas | `discute Hipótesis/Pregunta/Propuesta`; `usa Evidencia`; `informa Decisión`; `registra_disenso_de Agente` |</w:t>
      </w:r>
    </w:p>
    <w:p>
      <w:pPr>
        <w:spacing w:after="20" w:line="240" w:lineRule="auto"/>
      </w:pPr>
      <w:r>
        <w:rPr>
          <w:rFonts w:ascii="Consolas" w:hAnsi="Consolas"/>
          <w:sz w:val="14"/>
        </w:rPr>
        <w:t>| Restricciones | No equivale a decisión; posiciones deben atribuirse. |</w:t>
      </w:r>
    </w:p>
    <w:p>
      <w:pPr>
        <w:spacing w:after="20" w:line="240" w:lineRule="auto"/>
      </w:pPr>
      <w:r>
        <w:rPr>
          <w:rFonts w:ascii="Consolas" w:hAnsi="Consolas"/>
          <w:sz w:val="14"/>
        </w:rPr>
        <w:t>| Ciclo de vida | convocado → abierto → deliberación → cerrado/suspendido → reabierto |</w:t>
      </w:r>
    </w:p>
    <w:p>
      <w:pPr>
        <w:spacing w:after="20" w:line="240" w:lineRule="auto"/>
      </w:pPr>
      <w:r>
        <w:rPr>
          <w:rFonts w:ascii="Consolas" w:hAnsi="Consolas"/>
          <w:sz w:val="14"/>
        </w:rPr>
        <w:t>| Dependencias | Pregunta o propuesta y reglas de gobernanza. |</w:t>
      </w:r>
    </w:p>
    <w:p>
      <w:pPr>
        <w:spacing w:after="20" w:line="240" w:lineRule="auto"/>
      </w:pPr>
      <w:r>
        <w:rPr>
          <w:rFonts w:ascii="Consolas" w:hAnsi="Consolas"/>
          <w:sz w:val="14"/>
        </w:rPr>
        <w:t>| Documentos que la contienen | acta, expediente de decisión y revisión. |</w:t>
      </w:r>
    </w:p>
    <w:p>
      <w:pPr>
        <w:spacing w:after="20" w:line="240" w:lineRule="auto"/>
      </w:pPr>
      <w:r>
        <w:rPr>
          <w:rFonts w:ascii="Consolas" w:hAnsi="Consolas"/>
          <w:sz w:val="14"/>
        </w:rPr>
        <w:t>| Decisiones que la crean | Puede ser convocado por órgano competente. |</w:t>
      </w:r>
    </w:p>
    <w:p>
      <w:pPr>
        <w:spacing w:after="20" w:line="240" w:lineRule="auto"/>
      </w:pPr>
      <w:r>
        <w:rPr>
          <w:rFonts w:ascii="Consolas" w:hAnsi="Consolas"/>
          <w:sz w:val="14"/>
        </w:rPr>
        <w:t>| Versionado | Actas inmutables; adendas enlazadas. |</w:t>
      </w:r>
    </w:p>
    <w:p>
      <w:pPr>
        <w:spacing w:after="40"/>
      </w:pPr>
    </w:p>
    <w:p>
      <w:pPr>
        <w:pStyle w:val="Heading3"/>
      </w:pPr>
      <w:r>
        <w:t>E08 — Decisión científica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`GOEI-DEC-NNNN` |</w:t>
      </w:r>
    </w:p>
    <w:p>
      <w:pPr>
        <w:spacing w:after="20" w:line="240" w:lineRule="auto"/>
      </w:pPr>
      <w:r>
        <w:rPr>
          <w:rFonts w:ascii="Consolas" w:hAnsi="Consolas"/>
          <w:sz w:val="14"/>
        </w:rPr>
        <w:t>| Propósito | Autorizar, rechazar, sustituir o retirar una proposición científica del GOEI. |</w:t>
      </w:r>
    </w:p>
    <w:p>
      <w:pPr>
        <w:spacing w:after="20" w:line="240" w:lineRule="auto"/>
      </w:pPr>
      <w:r>
        <w:rPr>
          <w:rFonts w:ascii="Consolas" w:hAnsi="Consolas"/>
          <w:sz w:val="14"/>
        </w:rPr>
        <w:t>| Descripción | Registro oficial de autoridad del Comité Científico. |</w:t>
      </w:r>
    </w:p>
    <w:p>
      <w:pPr>
        <w:spacing w:after="20" w:line="240" w:lineRule="auto"/>
      </w:pPr>
      <w:r>
        <w:rPr>
          <w:rFonts w:ascii="Consolas" w:hAnsi="Consolas"/>
          <w:sz w:val="14"/>
        </w:rPr>
        <w:t>| Atributos obligatorios | problema, alternativas, evidencia, resolución, justificación, limitaciones, autoridad, fecha, estado, impacto |</w:t>
      </w:r>
    </w:p>
    <w:p>
      <w:pPr>
        <w:spacing w:after="20" w:line="240" w:lineRule="auto"/>
      </w:pPr>
      <w:r>
        <w:rPr>
          <w:rFonts w:ascii="Consolas" w:hAnsi="Consolas"/>
          <w:sz w:val="14"/>
        </w:rPr>
        <w:t>| Relaciones permitidas | `informada_por Evidencia/Debate/Investigación`; `resuelve Issue/Hipótesis`; `crea|modifica|retira Componente`; `sustituye Decisión` |</w:t>
      </w:r>
    </w:p>
    <w:p>
      <w:pPr>
        <w:spacing w:after="20" w:line="240" w:lineRule="auto"/>
      </w:pPr>
      <w:r>
        <w:rPr>
          <w:rFonts w:ascii="Consolas" w:hAnsi="Consolas"/>
          <w:sz w:val="14"/>
        </w:rPr>
        <w:t>| Restricciones | Una resolución principal; aprobada es inmutable; no puede autoaprobarse. |</w:t>
      </w:r>
    </w:p>
    <w:p>
      <w:pPr>
        <w:spacing w:after="20" w:line="240" w:lineRule="auto"/>
      </w:pPr>
      <w:r>
        <w:rPr>
          <w:rFonts w:ascii="Consolas" w:hAnsi="Consolas"/>
          <w:sz w:val="14"/>
        </w:rPr>
        <w:t>| Ciclo de vida | propuesta → admisible → en_debate → aprobada/rechazada → sustituida/retirada |</w:t>
      </w:r>
    </w:p>
    <w:p>
      <w:pPr>
        <w:spacing w:after="20" w:line="240" w:lineRule="auto"/>
      </w:pPr>
      <w:r>
        <w:rPr>
          <w:rFonts w:ascii="Consolas" w:hAnsi="Consolas"/>
          <w:sz w:val="14"/>
        </w:rPr>
        <w:t>| Dependencias | Expediente, autoridad y evidencia declarada. |</w:t>
      </w:r>
    </w:p>
    <w:p>
      <w:pPr>
        <w:spacing w:after="20" w:line="240" w:lineRule="auto"/>
      </w:pPr>
      <w:r>
        <w:rPr>
          <w:rFonts w:ascii="Consolas" w:hAnsi="Consolas"/>
          <w:sz w:val="14"/>
        </w:rPr>
        <w:t>| Documentos que la contienen | registro de decisiones y expediente individual. |</w:t>
      </w:r>
    </w:p>
    <w:p>
      <w:pPr>
        <w:spacing w:after="20" w:line="240" w:lineRule="auto"/>
      </w:pPr>
      <w:r>
        <w:rPr>
          <w:rFonts w:ascii="Consolas" w:hAnsi="Consolas"/>
          <w:sz w:val="14"/>
        </w:rPr>
        <w:t>| Decisiones que la crean | Órgano científico mediante acto de aprobación. |</w:t>
      </w:r>
    </w:p>
    <w:p>
      <w:pPr>
        <w:spacing w:after="20" w:line="240" w:lineRule="auto"/>
      </w:pPr>
      <w:r>
        <w:rPr>
          <w:rFonts w:ascii="Consolas" w:hAnsi="Consolas"/>
          <w:sz w:val="14"/>
        </w:rPr>
        <w:t>| Versionado | No se edita sustantivamente; nueva decisión sustituye a la anterior. |</w:t>
      </w:r>
    </w:p>
    <w:p>
      <w:pPr>
        <w:spacing w:after="40"/>
      </w:pPr>
    </w:p>
    <w:p>
      <w:pPr>
        <w:pStyle w:val="Heading3"/>
      </w:pPr>
      <w:r>
        <w:t>E09 — Revisión técnica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`GOEI-REV-NNNN` |</w:t>
      </w:r>
    </w:p>
    <w:p>
      <w:pPr>
        <w:spacing w:after="20" w:line="240" w:lineRule="auto"/>
      </w:pPr>
      <w:r>
        <w:rPr>
          <w:rFonts w:ascii="Consolas" w:hAnsi="Consolas"/>
          <w:sz w:val="14"/>
        </w:rPr>
        <w:t>| Propósito | Evaluar coherencia, implementabilidad, dependencias e impacto sin decidir ciencia. |</w:t>
      </w:r>
    </w:p>
    <w:p>
      <w:pPr>
        <w:spacing w:after="20" w:line="240" w:lineRule="auto"/>
      </w:pPr>
      <w:r>
        <w:rPr>
          <w:rFonts w:ascii="Consolas" w:hAnsi="Consolas"/>
          <w:sz w:val="14"/>
        </w:rPr>
        <w:t>| Descripción | Informe consultivo de arquitectura, calidad o ingeniería. |</w:t>
      </w:r>
    </w:p>
    <w:p>
      <w:pPr>
        <w:spacing w:after="20" w:line="240" w:lineRule="auto"/>
      </w:pPr>
      <w:r>
        <w:rPr>
          <w:rFonts w:ascii="Consolas" w:hAnsi="Consolas"/>
          <w:sz w:val="14"/>
        </w:rPr>
        <w:t>| Atributos obligatorios | objeto, versión_objeto, alcance, exclusiones, hallazgos, prioridades, revisor, fecha |</w:t>
      </w:r>
    </w:p>
    <w:p>
      <w:pPr>
        <w:spacing w:after="20" w:line="240" w:lineRule="auto"/>
      </w:pPr>
      <w:r>
        <w:rPr>
          <w:rFonts w:ascii="Consolas" w:hAnsi="Consolas"/>
          <w:sz w:val="14"/>
        </w:rPr>
        <w:t>| Relaciones permitidas | `revisa Componente/Documento/Ontología`; `recomienda Cambio`; `detecta Issue`; `informa Decisión` |</w:t>
      </w:r>
    </w:p>
    <w:p>
      <w:pPr>
        <w:spacing w:after="20" w:line="240" w:lineRule="auto"/>
      </w:pPr>
      <w:r>
        <w:rPr>
          <w:rFonts w:ascii="Consolas" w:hAnsi="Consolas"/>
          <w:sz w:val="14"/>
        </w:rPr>
        <w:t>| Restricciones | No modifica el objeto ni crea autoridad científica. |</w:t>
      </w:r>
    </w:p>
    <w:p>
      <w:pPr>
        <w:spacing w:after="20" w:line="240" w:lineRule="auto"/>
      </w:pPr>
      <w:r>
        <w:rPr>
          <w:rFonts w:ascii="Consolas" w:hAnsi="Consolas"/>
          <w:sz w:val="14"/>
        </w:rPr>
        <w:t>| Ciclo de vida | planificada → en_revisión → emitida → respondida → cerrada |</w:t>
      </w:r>
    </w:p>
    <w:p>
      <w:pPr>
        <w:spacing w:after="20" w:line="240" w:lineRule="auto"/>
      </w:pPr>
      <w:r>
        <w:rPr>
          <w:rFonts w:ascii="Consolas" w:hAnsi="Consolas"/>
          <w:sz w:val="14"/>
        </w:rPr>
        <w:t>| Dependencias | Objeto y criterios de revisión. |</w:t>
      </w:r>
    </w:p>
    <w:p>
      <w:pPr>
        <w:spacing w:after="20" w:line="240" w:lineRule="auto"/>
      </w:pPr>
      <w:r>
        <w:rPr>
          <w:rFonts w:ascii="Consolas" w:hAnsi="Consolas"/>
          <w:sz w:val="14"/>
        </w:rPr>
        <w:t>| Documentos que la contienen | informe de revisión y registro de componentes. |</w:t>
      </w:r>
    </w:p>
    <w:p>
      <w:pPr>
        <w:spacing w:after="20" w:line="240" w:lineRule="auto"/>
      </w:pPr>
      <w:r>
        <w:rPr>
          <w:rFonts w:ascii="Consolas" w:hAnsi="Consolas"/>
          <w:sz w:val="14"/>
        </w:rPr>
        <w:t>| Decisiones que la crean | No aplica; una decisión posterior puede adoptar recomendaciones. |</w:t>
      </w:r>
    </w:p>
    <w:p>
      <w:pPr>
        <w:spacing w:after="20" w:line="240" w:lineRule="auto"/>
      </w:pPr>
      <w:r>
        <w:rPr>
          <w:rFonts w:ascii="Consolas" w:hAnsi="Consolas"/>
          <w:sz w:val="14"/>
        </w:rPr>
        <w:t>| Versionado | Informe emitido inmutable; corrección mediante fe de erratas o versión. |</w:t>
      </w:r>
    </w:p>
    <w:p>
      <w:pPr>
        <w:spacing w:after="40"/>
      </w:pPr>
    </w:p>
    <w:p>
      <w:pPr>
        <w:pStyle w:val="Heading3"/>
      </w:pPr>
      <w:r>
        <w:t>E10 — Componente</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`GOEI-CMP-NNNN` o clase especializada |</w:t>
      </w:r>
    </w:p>
    <w:p>
      <w:pPr>
        <w:spacing w:after="20" w:line="240" w:lineRule="auto"/>
      </w:pPr>
      <w:r>
        <w:rPr>
          <w:rFonts w:ascii="Consolas" w:hAnsi="Consolas"/>
          <w:sz w:val="14"/>
        </w:rPr>
        <w:t>| Propósito | Unidad modular y trazable del Framework. |</w:t>
      </w:r>
    </w:p>
    <w:p>
      <w:pPr>
        <w:spacing w:after="20" w:line="240" w:lineRule="auto"/>
      </w:pPr>
      <w:r>
        <w:rPr>
          <w:rFonts w:ascii="Consolas" w:hAnsi="Consolas"/>
          <w:sz w:val="14"/>
        </w:rPr>
        <w:t>| Descripción | Contrato técnico derivado de una o más decisiones aprobadas. |</w:t>
      </w:r>
    </w:p>
    <w:p>
      <w:pPr>
        <w:spacing w:after="20" w:line="240" w:lineRule="auto"/>
      </w:pPr>
      <w:r>
        <w:rPr>
          <w:rFonts w:ascii="Consolas" w:hAnsi="Consolas"/>
          <w:sz w:val="14"/>
        </w:rPr>
        <w:t>| Atributos obligatorios | responsabilidad, entradas, salidas, invariantes, estado, naturaleza, decisión_origen, propietario, versión |</w:t>
      </w:r>
    </w:p>
    <w:p>
      <w:pPr>
        <w:spacing w:after="20" w:line="240" w:lineRule="auto"/>
      </w:pPr>
      <w:r>
        <w:rPr>
          <w:rFonts w:ascii="Consolas" w:hAnsi="Consolas"/>
          <w:sz w:val="14"/>
        </w:rPr>
        <w:t>| Relaciones permitidas | `creado_por Decisión`; `depende_de Componente`; `se_expresa_en Documento`; `validado_por Validación`; `incluido_en LíneaBase` |</w:t>
      </w:r>
    </w:p>
    <w:p>
      <w:pPr>
        <w:spacing w:after="20" w:line="240" w:lineRule="auto"/>
      </w:pPr>
      <w:r>
        <w:rPr>
          <w:rFonts w:ascii="Consolas" w:hAnsi="Consolas"/>
          <w:sz w:val="14"/>
        </w:rPr>
        <w:t>| Restricciones | Responsabilidad única; no amplía la decisión; dependencias acíclicas salvo excepción documentada. |</w:t>
      </w:r>
    </w:p>
    <w:p>
      <w:pPr>
        <w:spacing w:after="20" w:line="240" w:lineRule="auto"/>
      </w:pPr>
      <w:r>
        <w:rPr>
          <w:rFonts w:ascii="Consolas" w:hAnsi="Consolas"/>
          <w:sz w:val="14"/>
        </w:rPr>
        <w:t>| Ciclo de vida | propuesto → diseñado → revisión → aprobado → vigente → obsoleto → retirado |</w:t>
      </w:r>
    </w:p>
    <w:p>
      <w:pPr>
        <w:spacing w:after="20" w:line="240" w:lineRule="auto"/>
      </w:pPr>
      <w:r>
        <w:rPr>
          <w:rFonts w:ascii="Consolas" w:hAnsi="Consolas"/>
          <w:sz w:val="14"/>
        </w:rPr>
        <w:t>| Dependencias | Decisiones y componentes declarados. |</w:t>
      </w:r>
    </w:p>
    <w:p>
      <w:pPr>
        <w:spacing w:after="20" w:line="240" w:lineRule="auto"/>
      </w:pPr>
      <w:r>
        <w:rPr>
          <w:rFonts w:ascii="Consolas" w:hAnsi="Consolas"/>
          <w:sz w:val="14"/>
        </w:rPr>
        <w:t>| Documentos que la contienen | especificación, Standard, BOK y manuales derivados. |</w:t>
      </w:r>
    </w:p>
    <w:p>
      <w:pPr>
        <w:spacing w:after="20" w:line="240" w:lineRule="auto"/>
      </w:pPr>
      <w:r>
        <w:rPr>
          <w:rFonts w:ascii="Consolas" w:hAnsi="Consolas"/>
          <w:sz w:val="14"/>
        </w:rPr>
        <w:t>| Decisiones que la crean | Decisión científica o institucional competente. |</w:t>
      </w:r>
    </w:p>
    <w:p>
      <w:pPr>
        <w:spacing w:after="20" w:line="240" w:lineRule="auto"/>
      </w:pPr>
      <w:r>
        <w:rPr>
          <w:rFonts w:ascii="Consolas" w:hAnsi="Consolas"/>
          <w:sz w:val="14"/>
        </w:rPr>
        <w:t>| Versionado | SemVer; ruptura semántica incrementa mayor. |</w:t>
      </w:r>
    </w:p>
    <w:p>
      <w:pPr>
        <w:spacing w:after="40"/>
      </w:pPr>
    </w:p>
    <w:p>
      <w:pPr>
        <w:pStyle w:val="Heading3"/>
      </w:pPr>
      <w:r>
        <w:t>E11 — Documento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`GOEI-DOC-NNNN` |</w:t>
      </w:r>
    </w:p>
    <w:p>
      <w:pPr>
        <w:spacing w:after="20" w:line="240" w:lineRule="auto"/>
      </w:pPr>
      <w:r>
        <w:rPr>
          <w:rFonts w:ascii="Consolas" w:hAnsi="Consolas"/>
          <w:sz w:val="14"/>
        </w:rPr>
        <w:t>| Propósito | Ser contenedor editorial de elementos del grafo. |</w:t>
      </w:r>
    </w:p>
    <w:p>
      <w:pPr>
        <w:spacing w:after="20" w:line="240" w:lineRule="auto"/>
      </w:pPr>
      <w:r>
        <w:rPr>
          <w:rFonts w:ascii="Consolas" w:hAnsi="Consolas"/>
          <w:sz w:val="14"/>
        </w:rPr>
        <w:t>| Descripción | Artefacto informacional con ruta, formato, idioma y estado controlados. |</w:t>
      </w:r>
    </w:p>
    <w:p>
      <w:pPr>
        <w:spacing w:after="20" w:line="240" w:lineRule="auto"/>
      </w:pPr>
      <w:r>
        <w:rPr>
          <w:rFonts w:ascii="Consolas" w:hAnsi="Consolas"/>
          <w:sz w:val="14"/>
        </w:rPr>
        <w:t>| Atributos obligatorios | título, tipo, naturaleza, idioma, estado, ruta_canónica, autores, aprobador, versión, checksum |</w:t>
      </w:r>
    </w:p>
    <w:p>
      <w:pPr>
        <w:spacing w:after="20" w:line="240" w:lineRule="auto"/>
      </w:pPr>
      <w:r>
        <w:rPr>
          <w:rFonts w:ascii="Consolas" w:hAnsi="Consolas"/>
          <w:sz w:val="14"/>
        </w:rPr>
        <w:t>| Relaciones permitidas | `contiene Componente/Decisión/Evidencia`; `depende_de Documento`; `traduce Documento`; `incluido_en LíneaBase` |</w:t>
      </w:r>
    </w:p>
    <w:p>
      <w:pPr>
        <w:spacing w:after="20" w:line="240" w:lineRule="auto"/>
      </w:pPr>
      <w:r>
        <w:rPr>
          <w:rFonts w:ascii="Consolas" w:hAnsi="Consolas"/>
          <w:sz w:val="14"/>
        </w:rPr>
        <w:t>| Restricciones | Contener un elemento no otorga autoridad; una única ruta canónica por versión. |</w:t>
      </w:r>
    </w:p>
    <w:p>
      <w:pPr>
        <w:spacing w:after="20" w:line="240" w:lineRule="auto"/>
      </w:pPr>
      <w:r>
        <w:rPr>
          <w:rFonts w:ascii="Consolas" w:hAnsi="Consolas"/>
          <w:sz w:val="14"/>
        </w:rPr>
        <w:t>| Ciclo de vida | borrador → revisión → aprobado → publicado → sustituido → archivado |</w:t>
      </w:r>
    </w:p>
    <w:p>
      <w:pPr>
        <w:spacing w:after="20" w:line="240" w:lineRule="auto"/>
      </w:pPr>
      <w:r>
        <w:rPr>
          <w:rFonts w:ascii="Consolas" w:hAnsi="Consolas"/>
          <w:sz w:val="14"/>
        </w:rPr>
        <w:t>| Dependencias | Componentes y decisiones que expresa. |</w:t>
      </w:r>
    </w:p>
    <w:p>
      <w:pPr>
        <w:spacing w:after="20" w:line="240" w:lineRule="auto"/>
      </w:pPr>
      <w:r>
        <w:rPr>
          <w:rFonts w:ascii="Consolas" w:hAnsi="Consolas"/>
          <w:sz w:val="14"/>
        </w:rPr>
        <w:t>| Documentos que la contienen | No aplica; puede ser adjunto o parte de compilación. |</w:t>
      </w:r>
    </w:p>
    <w:p>
      <w:pPr>
        <w:spacing w:after="20" w:line="240" w:lineRule="auto"/>
      </w:pPr>
      <w:r>
        <w:rPr>
          <w:rFonts w:ascii="Consolas" w:hAnsi="Consolas"/>
          <w:sz w:val="14"/>
        </w:rPr>
        <w:t>| Decisiones que la crean | Según naturaleza; los normativos requieren decisión. |</w:t>
      </w:r>
    </w:p>
    <w:p>
      <w:pPr>
        <w:spacing w:after="20" w:line="240" w:lineRule="auto"/>
      </w:pPr>
      <w:r>
        <w:rPr>
          <w:rFonts w:ascii="Consolas" w:hAnsi="Consolas"/>
          <w:sz w:val="14"/>
        </w:rPr>
        <w:t>| Versionado | SemVer documental y relación explícita entre traducciones. |</w:t>
      </w:r>
    </w:p>
    <w:p>
      <w:pPr>
        <w:spacing w:after="40"/>
      </w:pPr>
    </w:p>
    <w:p>
      <w:pPr>
        <w:pStyle w:val="Heading3"/>
      </w:pPr>
      <w:r>
        <w:t>E12 — Manual</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`GOEI-MAN-NNNN` |</w:t>
      </w:r>
    </w:p>
    <w:p>
      <w:pPr>
        <w:spacing w:after="20" w:line="240" w:lineRule="auto"/>
      </w:pPr>
      <w:r>
        <w:rPr>
          <w:rFonts w:ascii="Consolas" w:hAnsi="Consolas"/>
          <w:sz w:val="14"/>
        </w:rPr>
        <w:t>| Propósito | Guiar aplicación humana de componentes aprobados. |</w:t>
      </w:r>
    </w:p>
    <w:p>
      <w:pPr>
        <w:spacing w:after="20" w:line="240" w:lineRule="auto"/>
      </w:pPr>
      <w:r>
        <w:rPr>
          <w:rFonts w:ascii="Consolas" w:hAnsi="Consolas"/>
          <w:sz w:val="14"/>
        </w:rPr>
        <w:t>| Descripción | Documento derivado, general o por categoría. |</w:t>
      </w:r>
    </w:p>
    <w:p>
      <w:pPr>
        <w:spacing w:after="20" w:line="240" w:lineRule="auto"/>
      </w:pPr>
      <w:r>
        <w:rPr>
          <w:rFonts w:ascii="Consolas" w:hAnsi="Consolas"/>
          <w:sz w:val="14"/>
        </w:rPr>
        <w:t>| Atributos obligatorios | audiencia, alcance, componentes_fuente, versión_fuente, idioma, estado |</w:t>
      </w:r>
    </w:p>
    <w:p>
      <w:pPr>
        <w:spacing w:after="20" w:line="240" w:lineRule="auto"/>
      </w:pPr>
      <w:r>
        <w:rPr>
          <w:rFonts w:ascii="Consolas" w:hAnsi="Consolas"/>
          <w:sz w:val="14"/>
        </w:rPr>
        <w:t>| Relaciones permitidas | `deriva_de Standard/Componente`; `explica Regla/Formulario`; `aplica_a Taxonomía`; `incluye Anexo` |</w:t>
      </w:r>
    </w:p>
    <w:p>
      <w:pPr>
        <w:spacing w:after="20" w:line="240" w:lineRule="auto"/>
      </w:pPr>
      <w:r>
        <w:rPr>
          <w:rFonts w:ascii="Consolas" w:hAnsi="Consolas"/>
          <w:sz w:val="14"/>
        </w:rPr>
        <w:t>| Restricciones | No introduce reglas ausentes del núcleo; debe fijar versión fuente. |</w:t>
      </w:r>
    </w:p>
    <w:p>
      <w:pPr>
        <w:spacing w:after="20" w:line="240" w:lineRule="auto"/>
      </w:pPr>
      <w:r>
        <w:rPr>
          <w:rFonts w:ascii="Consolas" w:hAnsi="Consolas"/>
          <w:sz w:val="14"/>
        </w:rPr>
        <w:t>| Ciclo de vida | planificado → redactado → verificado → publicado → sustituido/retirado |</w:t>
      </w:r>
    </w:p>
    <w:p>
      <w:pPr>
        <w:spacing w:after="20" w:line="240" w:lineRule="auto"/>
      </w:pPr>
      <w:r>
        <w:rPr>
          <w:rFonts w:ascii="Consolas" w:hAnsi="Consolas"/>
          <w:sz w:val="14"/>
        </w:rPr>
        <w:t>| Dependencias | Standard y componentes vigentes. |</w:t>
      </w:r>
    </w:p>
    <w:p>
      <w:pPr>
        <w:spacing w:after="20" w:line="240" w:lineRule="auto"/>
      </w:pPr>
      <w:r>
        <w:rPr>
          <w:rFonts w:ascii="Consolas" w:hAnsi="Consolas"/>
          <w:sz w:val="14"/>
        </w:rPr>
        <w:t>| Documentos que la contienen | colección de manuales o release. |</w:t>
      </w:r>
    </w:p>
    <w:p>
      <w:pPr>
        <w:spacing w:after="20" w:line="240" w:lineRule="auto"/>
      </w:pPr>
      <w:r>
        <w:rPr>
          <w:rFonts w:ascii="Consolas" w:hAnsi="Consolas"/>
          <w:sz w:val="14"/>
        </w:rPr>
        <w:t>| Decisiones que la crean | Decisión de aplicación/editorial; contenido normativo ya autorizado. |</w:t>
      </w:r>
    </w:p>
    <w:p>
      <w:pPr>
        <w:spacing w:after="20" w:line="240" w:lineRule="auto"/>
      </w:pPr>
      <w:r>
        <w:rPr>
          <w:rFonts w:ascii="Consolas" w:hAnsi="Consolas"/>
          <w:sz w:val="14"/>
        </w:rPr>
        <w:t>| Versionado | Compatible con línea base; versión propia enlazada. |</w:t>
      </w:r>
    </w:p>
    <w:p>
      <w:pPr>
        <w:spacing w:after="40"/>
      </w:pPr>
    </w:p>
    <w:p>
      <w:pPr>
        <w:pStyle w:val="Heading3"/>
      </w:pPr>
      <w:r>
        <w:t>E13 — Ontología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`GOEI-ONT-NNNN` |</w:t>
      </w:r>
    </w:p>
    <w:p>
      <w:pPr>
        <w:spacing w:after="20" w:line="240" w:lineRule="auto"/>
      </w:pPr>
      <w:r>
        <w:rPr>
          <w:rFonts w:ascii="Consolas" w:hAnsi="Consolas"/>
          <w:sz w:val="14"/>
        </w:rPr>
        <w:t>| Propósito | Definir conceptualización, entidades, relaciones y axiomas. |</w:t>
      </w:r>
    </w:p>
    <w:p>
      <w:pPr>
        <w:spacing w:after="20" w:line="240" w:lineRule="auto"/>
      </w:pPr>
      <w:r>
        <w:rPr>
          <w:rFonts w:ascii="Consolas" w:hAnsi="Consolas"/>
          <w:sz w:val="14"/>
        </w:rPr>
        <w:t>| Descripción | Artefacto científico/técnico aprobado; puede tener vistas y serializaciones. |</w:t>
      </w:r>
    </w:p>
    <w:p>
      <w:pPr>
        <w:spacing w:after="20" w:line="240" w:lineRule="auto"/>
      </w:pPr>
      <w:r>
        <w:rPr>
          <w:rFonts w:ascii="Consolas" w:hAnsi="Consolas"/>
          <w:sz w:val="14"/>
        </w:rPr>
        <w:t>| Atributos obligatorios | alcance, compromisos, clases, relaciones, axiomas, versión, decisión_origen, namespace futuro |</w:t>
      </w:r>
    </w:p>
    <w:p>
      <w:pPr>
        <w:spacing w:after="20" w:line="240" w:lineRule="auto"/>
      </w:pPr>
      <w:r>
        <w:rPr>
          <w:rFonts w:ascii="Consolas" w:hAnsi="Consolas"/>
          <w:sz w:val="14"/>
        </w:rPr>
        <w:t>| Relaciones permitidas | `creada_por Decisión`; `define Componente`; `representada_en Documento/Esquema`; `depende_de Ontología` |</w:t>
      </w:r>
    </w:p>
    <w:p>
      <w:pPr>
        <w:spacing w:after="20" w:line="240" w:lineRule="auto"/>
      </w:pPr>
      <w:r>
        <w:rPr>
          <w:rFonts w:ascii="Consolas" w:hAnsi="Consolas"/>
          <w:sz w:val="14"/>
        </w:rPr>
        <w:t>| Restricciones | Serialización no modifica semántica; no completar vacíos sin decisión. |</w:t>
      </w:r>
    </w:p>
    <w:p>
      <w:pPr>
        <w:spacing w:after="20" w:line="240" w:lineRule="auto"/>
      </w:pPr>
      <w:r>
        <w:rPr>
          <w:rFonts w:ascii="Consolas" w:hAnsi="Consolas"/>
          <w:sz w:val="14"/>
        </w:rPr>
        <w:t>| Ciclo de vida | propuesta → revisión → aprobada → formalizada → vigente → sustituida |</w:t>
      </w:r>
    </w:p>
    <w:p>
      <w:pPr>
        <w:spacing w:after="20" w:line="240" w:lineRule="auto"/>
      </w:pPr>
      <w:r>
        <w:rPr>
          <w:rFonts w:ascii="Consolas" w:hAnsi="Consolas"/>
          <w:sz w:val="14"/>
        </w:rPr>
        <w:t>| Dependencias | Decisiones D-006/D-006-REV y futuras. |</w:t>
      </w:r>
    </w:p>
    <w:p>
      <w:pPr>
        <w:spacing w:after="20" w:line="240" w:lineRule="auto"/>
      </w:pPr>
      <w:r>
        <w:rPr>
          <w:rFonts w:ascii="Consolas" w:hAnsi="Consolas"/>
          <w:sz w:val="14"/>
        </w:rPr>
        <w:t>| Documentos que la contienen | especificación ontológica, Standard o anexo. |</w:t>
      </w:r>
    </w:p>
    <w:p>
      <w:pPr>
        <w:spacing w:after="20" w:line="240" w:lineRule="auto"/>
      </w:pPr>
      <w:r>
        <w:rPr>
          <w:rFonts w:ascii="Consolas" w:hAnsi="Consolas"/>
          <w:sz w:val="14"/>
        </w:rPr>
        <w:t>| Decisiones que la crean | Decisión científica. |</w:t>
      </w:r>
    </w:p>
    <w:p>
      <w:pPr>
        <w:spacing w:after="20" w:line="240" w:lineRule="auto"/>
      </w:pPr>
      <w:r>
        <w:rPr>
          <w:rFonts w:ascii="Consolas" w:hAnsi="Consolas"/>
          <w:sz w:val="14"/>
        </w:rPr>
        <w:t>| Versionado | Identidad conceptual separada de versión y serialización. |</w:t>
      </w:r>
    </w:p>
    <w:p>
      <w:pPr>
        <w:spacing w:after="40"/>
      </w:pPr>
    </w:p>
    <w:p>
      <w:pPr>
        <w:pStyle w:val="Heading3"/>
      </w:pPr>
      <w:r>
        <w:t>E14 — Taxonomía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`GOEI-TAX-NNNN` |</w:t>
      </w:r>
    </w:p>
    <w:p>
      <w:pPr>
        <w:spacing w:after="20" w:line="240" w:lineRule="auto"/>
      </w:pPr>
      <w:r>
        <w:rPr>
          <w:rFonts w:ascii="Consolas" w:hAnsi="Consolas"/>
          <w:sz w:val="14"/>
        </w:rPr>
        <w:t>| Propósito | Organizar clases y criterios de pertenencia. |</w:t>
      </w:r>
    </w:p>
    <w:p>
      <w:pPr>
        <w:spacing w:after="20" w:line="240" w:lineRule="auto"/>
      </w:pPr>
      <w:r>
        <w:rPr>
          <w:rFonts w:ascii="Consolas" w:hAnsi="Consolas"/>
          <w:sz w:val="14"/>
        </w:rPr>
        <w:t>| Descripción | Componente clasificatorio versionado. |</w:t>
      </w:r>
    </w:p>
    <w:p>
      <w:pPr>
        <w:spacing w:after="20" w:line="240" w:lineRule="auto"/>
      </w:pPr>
      <w:r>
        <w:rPr>
          <w:rFonts w:ascii="Consolas" w:hAnsi="Consolas"/>
          <w:sz w:val="14"/>
        </w:rPr>
        <w:t>| Atributos obligatorios | alcance, clases, jerarquía, criterios, exclusiones, versión, decisión_origen |</w:t>
      </w:r>
    </w:p>
    <w:p>
      <w:pPr>
        <w:spacing w:after="20" w:line="240" w:lineRule="auto"/>
      </w:pPr>
      <w:r>
        <w:rPr>
          <w:rFonts w:ascii="Consolas" w:hAnsi="Consolas"/>
          <w:sz w:val="14"/>
        </w:rPr>
        <w:t>| Relaciones permitidas | `especializa Ontología`; `clasifica Entidad`; `delimita_aplicabilidad KPI/Manual`; `mapea_a Taxonomía` |</w:t>
      </w:r>
    </w:p>
    <w:p>
      <w:pPr>
        <w:spacing w:after="20" w:line="240" w:lineRule="auto"/>
      </w:pPr>
      <w:r>
        <w:rPr>
          <w:rFonts w:ascii="Consolas" w:hAnsi="Consolas"/>
          <w:sz w:val="14"/>
        </w:rPr>
        <w:t>| Restricciones | Jerarquía `is-a` acíclica; criterios no inferidos; clasificación conserva evidencia. |</w:t>
      </w:r>
    </w:p>
    <w:p>
      <w:pPr>
        <w:spacing w:after="20" w:line="240" w:lineRule="auto"/>
      </w:pPr>
      <w:r>
        <w:rPr>
          <w:rFonts w:ascii="Consolas" w:hAnsi="Consolas"/>
          <w:sz w:val="14"/>
        </w:rPr>
        <w:t>| Ciclo de vida | propuesta → piloto → aprobada → vigente → ampliada/sustituida |</w:t>
      </w:r>
    </w:p>
    <w:p>
      <w:pPr>
        <w:spacing w:after="20" w:line="240" w:lineRule="auto"/>
      </w:pPr>
      <w:r>
        <w:rPr>
          <w:rFonts w:ascii="Consolas" w:hAnsi="Consolas"/>
          <w:sz w:val="14"/>
        </w:rPr>
        <w:t>| Dependencias | Ontología y decisión de unidad/clasificación. |</w:t>
      </w:r>
    </w:p>
    <w:p>
      <w:pPr>
        <w:spacing w:after="20" w:line="240" w:lineRule="auto"/>
      </w:pPr>
      <w:r>
        <w:rPr>
          <w:rFonts w:ascii="Consolas" w:hAnsi="Consolas"/>
          <w:sz w:val="14"/>
        </w:rPr>
        <w:t>| Documentos que la contienen | catálogo taxonómico, Standard y manual. |</w:t>
      </w:r>
    </w:p>
    <w:p>
      <w:pPr>
        <w:spacing w:after="20" w:line="240" w:lineRule="auto"/>
      </w:pPr>
      <w:r>
        <w:rPr>
          <w:rFonts w:ascii="Consolas" w:hAnsi="Consolas"/>
          <w:sz w:val="14"/>
        </w:rPr>
        <w:t>| Decisiones que la crean | Decisión científica. |</w:t>
      </w:r>
    </w:p>
    <w:p>
      <w:pPr>
        <w:spacing w:after="20" w:line="240" w:lineRule="auto"/>
      </w:pPr>
      <w:r>
        <w:rPr>
          <w:rFonts w:ascii="Consolas" w:hAnsi="Consolas"/>
          <w:sz w:val="14"/>
        </w:rPr>
        <w:t>| Versionado | Cambios de pertenencia evalúan compatibilidad histórica. |</w:t>
      </w:r>
    </w:p>
    <w:p>
      <w:pPr>
        <w:spacing w:after="40"/>
      </w:pPr>
    </w:p>
    <w:p>
      <w:pPr>
        <w:pStyle w:val="Heading3"/>
      </w:pPr>
      <w:r>
        <w:t>E15 — Proceso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`GOEI-PRC-NNNN` |</w:t>
      </w:r>
    </w:p>
    <w:p>
      <w:pPr>
        <w:spacing w:after="20" w:line="240" w:lineRule="auto"/>
      </w:pPr>
      <w:r>
        <w:rPr>
          <w:rFonts w:ascii="Consolas" w:hAnsi="Consolas"/>
          <w:sz w:val="14"/>
        </w:rPr>
        <w:t>| Propósito | Representar un tipo de comportamiento o proceso de referencia. |</w:t>
      </w:r>
    </w:p>
    <w:p>
      <w:pPr>
        <w:spacing w:after="20" w:line="240" w:lineRule="auto"/>
      </w:pPr>
      <w:r>
        <w:rPr>
          <w:rFonts w:ascii="Consolas" w:hAnsi="Consolas"/>
          <w:sz w:val="14"/>
        </w:rPr>
        <w:t>| Descripción | Componente definicional; no es una ejecución operacional concreta. |</w:t>
      </w:r>
    </w:p>
    <w:p>
      <w:pPr>
        <w:spacing w:after="20" w:line="240" w:lineRule="auto"/>
      </w:pPr>
      <w:r>
        <w:rPr>
          <w:rFonts w:ascii="Consolas" w:hAnsi="Consolas"/>
          <w:sz w:val="14"/>
        </w:rPr>
        <w:t>| Atributos obligatorios | nombre, definición, límites, entradas, salidas, relaciones, versión, decisión_origen |</w:t>
      </w:r>
    </w:p>
    <w:p>
      <w:pPr>
        <w:spacing w:after="20" w:line="240" w:lineRule="auto"/>
      </w:pPr>
      <w:r>
        <w:rPr>
          <w:rFonts w:ascii="Consolas" w:hAnsi="Consolas"/>
          <w:sz w:val="14"/>
        </w:rPr>
        <w:t>| Relaciones permitidas | `parte_de Proceso`; `usa Componente`; `relacionado_con KPI`; `definido_por Ontología` |</w:t>
      </w:r>
    </w:p>
    <w:p>
      <w:pPr>
        <w:spacing w:after="20" w:line="240" w:lineRule="auto"/>
      </w:pPr>
      <w:r>
        <w:rPr>
          <w:rFonts w:ascii="Consolas" w:hAnsi="Consolas"/>
          <w:sz w:val="14"/>
        </w:rPr>
        <w:t>| Restricciones | Separar type de ejecución; jerarquía part-of acíclica. |</w:t>
      </w:r>
    </w:p>
    <w:p>
      <w:pPr>
        <w:spacing w:after="20" w:line="240" w:lineRule="auto"/>
      </w:pPr>
      <w:r>
        <w:rPr>
          <w:rFonts w:ascii="Consolas" w:hAnsi="Consolas"/>
          <w:sz w:val="14"/>
        </w:rPr>
        <w:t>| Ciclo de vida | candidato → modelado → aprobado → vigente → sustituido/retirado |</w:t>
      </w:r>
    </w:p>
    <w:p>
      <w:pPr>
        <w:spacing w:after="20" w:line="240" w:lineRule="auto"/>
      </w:pPr>
      <w:r>
        <w:rPr>
          <w:rFonts w:ascii="Consolas" w:hAnsi="Consolas"/>
          <w:sz w:val="14"/>
        </w:rPr>
        <w:t>| Dependencias | Ontología y catálogo de procesos aprobado. |</w:t>
      </w:r>
    </w:p>
    <w:p>
      <w:pPr>
        <w:spacing w:after="20" w:line="240" w:lineRule="auto"/>
      </w:pPr>
      <w:r>
        <w:rPr>
          <w:rFonts w:ascii="Consolas" w:hAnsi="Consolas"/>
          <w:sz w:val="14"/>
        </w:rPr>
        <w:t>| Documentos que la contienen | catálogo, mapas y Standard. |</w:t>
      </w:r>
    </w:p>
    <w:p>
      <w:pPr>
        <w:spacing w:after="20" w:line="240" w:lineRule="auto"/>
      </w:pPr>
      <w:r>
        <w:rPr>
          <w:rFonts w:ascii="Consolas" w:hAnsi="Consolas"/>
          <w:sz w:val="14"/>
        </w:rPr>
        <w:t>| Decisiones que la crean | Decisión científica. |</w:t>
      </w:r>
    </w:p>
    <w:p>
      <w:pPr>
        <w:spacing w:after="20" w:line="240" w:lineRule="auto"/>
      </w:pPr>
      <w:r>
        <w:rPr>
          <w:rFonts w:ascii="Consolas" w:hAnsi="Consolas"/>
          <w:sz w:val="14"/>
        </w:rPr>
        <w:t>| Versionado | SemVer; cambios de límites pueden ser incompatibles. |</w:t>
      </w:r>
    </w:p>
    <w:p>
      <w:pPr>
        <w:spacing w:after="40"/>
      </w:pPr>
    </w:p>
    <w:p>
      <w:pPr>
        <w:pStyle w:val="Heading3"/>
      </w:pPr>
      <w:r>
        <w:t>E16 — KPI</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`GOEI-KPI-NNNN` |</w:t>
      </w:r>
    </w:p>
    <w:p>
      <w:pPr>
        <w:spacing w:after="20" w:line="240" w:lineRule="auto"/>
      </w:pPr>
      <w:r>
        <w:rPr>
          <w:rFonts w:ascii="Consolas" w:hAnsi="Consolas"/>
          <w:sz w:val="14"/>
        </w:rPr>
        <w:t>| Propósito | Identificar una definición de KPI type aprobada. |</w:t>
      </w:r>
    </w:p>
    <w:p>
      <w:pPr>
        <w:spacing w:after="20" w:line="240" w:lineRule="auto"/>
      </w:pPr>
      <w:r>
        <w:rPr>
          <w:rFonts w:ascii="Consolas" w:hAnsi="Consolas"/>
          <w:sz w:val="14"/>
        </w:rPr>
        <w:t>| Descripción | Contrato de medición; nunca un valor observado. EPIC-001 no crea instancias concretas. |</w:t>
      </w:r>
    </w:p>
    <w:p>
      <w:pPr>
        <w:spacing w:after="20" w:line="240" w:lineRule="auto"/>
      </w:pPr>
      <w:r>
        <w:rPr>
          <w:rFonts w:ascii="Consolas" w:hAnsi="Consolas"/>
          <w:sz w:val="14"/>
        </w:rPr>
        <w:t>| Atributos obligatorios | nombre, definición, propósito, variable, unidad, dirección, aplicabilidad, fuente, frecuencia, regla_cálculo, estado_admisibilidad, versión |</w:t>
      </w:r>
    </w:p>
    <w:p>
      <w:pPr>
        <w:spacing w:after="20" w:line="240" w:lineRule="auto"/>
      </w:pPr>
      <w:r>
        <w:rPr>
          <w:rFonts w:ascii="Consolas" w:hAnsi="Consolas"/>
          <w:sz w:val="14"/>
        </w:rPr>
        <w:t>| Relaciones permitidas | `creado_por Decisión`; `mide Componente`; `relacionado_con Proceso`; `usa Regla/Fórmula`; `validado_por Validación` |</w:t>
      </w:r>
    </w:p>
    <w:p>
      <w:pPr>
        <w:spacing w:after="20" w:line="240" w:lineRule="auto"/>
      </w:pPr>
      <w:r>
        <w:rPr>
          <w:rFonts w:ascii="Consolas" w:hAnsi="Consolas"/>
          <w:sz w:val="14"/>
        </w:rPr>
        <w:t>| Restricciones | Type/token separados; no existe KPI sin decisión y admisibilidad; ningún valor concreto se define aquí. |</w:t>
      </w:r>
    </w:p>
    <w:p>
      <w:pPr>
        <w:spacing w:after="20" w:line="240" w:lineRule="auto"/>
      </w:pPr>
      <w:r>
        <w:rPr>
          <w:rFonts w:ascii="Consolas" w:hAnsi="Consolas"/>
          <w:sz w:val="14"/>
        </w:rPr>
        <w:t>| Ciclo de vida | propuesto → evaluado → admisible/rechazado → aprobado → activo → obsoleto → retirado |</w:t>
      </w:r>
    </w:p>
    <w:p>
      <w:pPr>
        <w:spacing w:after="20" w:line="240" w:lineRule="auto"/>
      </w:pPr>
      <w:r>
        <w:rPr>
          <w:rFonts w:ascii="Consolas" w:hAnsi="Consolas"/>
          <w:sz w:val="14"/>
        </w:rPr>
        <w:t>| Dependencias | Ontología, taxonomía, procesos, criterios y decisión científica. |</w:t>
      </w:r>
    </w:p>
    <w:p>
      <w:pPr>
        <w:spacing w:after="20" w:line="240" w:lineRule="auto"/>
      </w:pPr>
      <w:r>
        <w:rPr>
          <w:rFonts w:ascii="Consolas" w:hAnsi="Consolas"/>
          <w:sz w:val="14"/>
        </w:rPr>
        <w:t>| Documentos que la contienen | catálogo KPI, Standard, manual y formulario derivado. |</w:t>
      </w:r>
    </w:p>
    <w:p>
      <w:pPr>
        <w:spacing w:after="20" w:line="240" w:lineRule="auto"/>
      </w:pPr>
      <w:r>
        <w:rPr>
          <w:rFonts w:ascii="Consolas" w:hAnsi="Consolas"/>
          <w:sz w:val="14"/>
        </w:rPr>
        <w:t>| Decisiones que la crean | Decisión científica específica. |</w:t>
      </w:r>
    </w:p>
    <w:p>
      <w:pPr>
        <w:spacing w:after="20" w:line="240" w:lineRule="auto"/>
      </w:pPr>
      <w:r>
        <w:rPr>
          <w:rFonts w:ascii="Consolas" w:hAnsi="Consolas"/>
          <w:sz w:val="14"/>
        </w:rPr>
        <w:t>| Versionado | Cambios semánticos/fórmula/unidad requieren nueva versión y análisis de comparabilidad. |</w:t>
      </w:r>
    </w:p>
    <w:p>
      <w:pPr>
        <w:spacing w:after="40"/>
      </w:pPr>
    </w:p>
    <w:p>
      <w:pPr>
        <w:pStyle w:val="Heading3"/>
      </w:pPr>
      <w:r>
        <w:t>E17 — Regla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`GOEI-RUL-NNNN` |</w:t>
      </w:r>
    </w:p>
    <w:p>
      <w:pPr>
        <w:spacing w:after="20" w:line="240" w:lineRule="auto"/>
      </w:pPr>
      <w:r>
        <w:rPr>
          <w:rFonts w:ascii="Consolas" w:hAnsi="Consolas"/>
          <w:sz w:val="14"/>
        </w:rPr>
        <w:t>| Propósito | Expresar una condición, obligación, transformación o decisión controlada. |</w:t>
      </w:r>
    </w:p>
    <w:p>
      <w:pPr>
        <w:spacing w:after="20" w:line="240" w:lineRule="auto"/>
      </w:pPr>
      <w:r>
        <w:rPr>
          <w:rFonts w:ascii="Consolas" w:hAnsi="Consolas"/>
          <w:sz w:val="14"/>
        </w:rPr>
        <w:t>| Descripción | Superclase de reglas normativas, integridad, cálculo, aplicabilidad y navegación. |</w:t>
      </w:r>
    </w:p>
    <w:p>
      <w:pPr>
        <w:spacing w:after="20" w:line="240" w:lineRule="auto"/>
      </w:pPr>
      <w:r>
        <w:rPr>
          <w:rFonts w:ascii="Consolas" w:hAnsi="Consolas"/>
          <w:sz w:val="14"/>
        </w:rPr>
        <w:t>| Atributos obligatorios | tipo, enunciado, alcance, entradas, efecto, prioridad, naturaleza, versión, decisión_origen |</w:t>
      </w:r>
    </w:p>
    <w:p>
      <w:pPr>
        <w:spacing w:after="20" w:line="240" w:lineRule="auto"/>
      </w:pPr>
      <w:r>
        <w:rPr>
          <w:rFonts w:ascii="Consolas" w:hAnsi="Consolas"/>
          <w:sz w:val="14"/>
        </w:rPr>
        <w:t>| Relaciones permitidas | `gobierna Componente`; `implementada_por Fórmula/Formulario`; `conflicta_con Regla`; `validada_por Validación` |</w:t>
      </w:r>
    </w:p>
    <w:p>
      <w:pPr>
        <w:spacing w:after="20" w:line="240" w:lineRule="auto"/>
      </w:pPr>
      <w:r>
        <w:rPr>
          <w:rFonts w:ascii="Consolas" w:hAnsi="Consolas"/>
          <w:sz w:val="14"/>
        </w:rPr>
        <w:t>| Restricciones | Toda regla normativa requiere decisión; conflictos se resuelven por jerarquía explícita. |</w:t>
      </w:r>
    </w:p>
    <w:p>
      <w:pPr>
        <w:spacing w:after="20" w:line="240" w:lineRule="auto"/>
      </w:pPr>
      <w:r>
        <w:rPr>
          <w:rFonts w:ascii="Consolas" w:hAnsi="Consolas"/>
          <w:sz w:val="14"/>
        </w:rPr>
        <w:t>| Ciclo de vida | propuesta → revisión → aprobada → vigente → suspendida/sustituida/retirada |</w:t>
      </w:r>
    </w:p>
    <w:p>
      <w:pPr>
        <w:spacing w:after="20" w:line="240" w:lineRule="auto"/>
      </w:pPr>
      <w:r>
        <w:rPr>
          <w:rFonts w:ascii="Consolas" w:hAnsi="Consolas"/>
          <w:sz w:val="14"/>
        </w:rPr>
        <w:t>| Dependencias | Decisión, conceptos y componentes referenciados. |</w:t>
      </w:r>
    </w:p>
    <w:p>
      <w:pPr>
        <w:spacing w:after="20" w:line="240" w:lineRule="auto"/>
      </w:pPr>
      <w:r>
        <w:rPr>
          <w:rFonts w:ascii="Consolas" w:hAnsi="Consolas"/>
          <w:sz w:val="14"/>
        </w:rPr>
        <w:t>| Documentos que la contienen | Standard, ontología, especificación matemática o política. |</w:t>
      </w:r>
    </w:p>
    <w:p>
      <w:pPr>
        <w:spacing w:after="20" w:line="240" w:lineRule="auto"/>
      </w:pPr>
      <w:r>
        <w:rPr>
          <w:rFonts w:ascii="Consolas" w:hAnsi="Consolas"/>
          <w:sz w:val="14"/>
        </w:rPr>
        <w:t>| Decisiones que la crean | Científica o institucional según tipo. |</w:t>
      </w:r>
    </w:p>
    <w:p>
      <w:pPr>
        <w:spacing w:after="20" w:line="240" w:lineRule="auto"/>
      </w:pPr>
      <w:r>
        <w:rPr>
          <w:rFonts w:ascii="Consolas" w:hAnsi="Consolas"/>
          <w:sz w:val="14"/>
        </w:rPr>
        <w:t>| Versionado | SemVer y vigencia temporal. |</w:t>
      </w:r>
    </w:p>
    <w:p>
      <w:pPr>
        <w:spacing w:after="40"/>
      </w:pPr>
    </w:p>
    <w:p>
      <w:pPr>
        <w:pStyle w:val="Heading3"/>
      </w:pPr>
      <w:r>
        <w:t>E18 — Fórmula</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`GOEI-FML-NNNN` |</w:t>
      </w:r>
    </w:p>
    <w:p>
      <w:pPr>
        <w:spacing w:after="20" w:line="240" w:lineRule="auto"/>
      </w:pPr>
      <w:r>
        <w:rPr>
          <w:rFonts w:ascii="Consolas" w:hAnsi="Consolas"/>
          <w:sz w:val="14"/>
        </w:rPr>
        <w:t>| Propósito | Representar una expresión matemática aprobada y reproducible. |</w:t>
      </w:r>
    </w:p>
    <w:p>
      <w:pPr>
        <w:spacing w:after="20" w:line="240" w:lineRule="auto"/>
      </w:pPr>
      <w:r>
        <w:rPr>
          <w:rFonts w:ascii="Consolas" w:hAnsi="Consolas"/>
          <w:sz w:val="14"/>
        </w:rPr>
        <w:t>| Descripción | Componente formal con símbolos vinculados a entidades; EPIC-001 solo define su contrato. |</w:t>
      </w:r>
    </w:p>
    <w:p>
      <w:pPr>
        <w:spacing w:after="20" w:line="240" w:lineRule="auto"/>
      </w:pPr>
      <w:r>
        <w:rPr>
          <w:rFonts w:ascii="Consolas" w:hAnsi="Consolas"/>
          <w:sz w:val="14"/>
        </w:rPr>
        <w:t>| Atributos obligatorios | expresión, símbolos, dominio, rango, precondiciones, precisión, redondeo, casos_prueba, versión, decisión_origen |</w:t>
      </w:r>
    </w:p>
    <w:p>
      <w:pPr>
        <w:spacing w:after="20" w:line="240" w:lineRule="auto"/>
      </w:pPr>
      <w:r>
        <w:rPr>
          <w:rFonts w:ascii="Consolas" w:hAnsi="Consolas"/>
          <w:sz w:val="14"/>
        </w:rPr>
        <w:t>| Relaciones permitidas | `implementa Regla`; `calcula KPI/Resultado`; `usa Parámetro/Componente`; `validada_por Validación` |</w:t>
      </w:r>
    </w:p>
    <w:p>
      <w:pPr>
        <w:spacing w:after="20" w:line="240" w:lineRule="auto"/>
      </w:pPr>
      <w:r>
        <w:rPr>
          <w:rFonts w:ascii="Consolas" w:hAnsi="Consolas"/>
          <w:sz w:val="14"/>
        </w:rPr>
        <w:t>| Restricciones | Ningún símbolo sin referente; no crear fórmulas sin decisión; determinismo declarado. |</w:t>
      </w:r>
    </w:p>
    <w:p>
      <w:pPr>
        <w:spacing w:after="20" w:line="240" w:lineRule="auto"/>
      </w:pPr>
      <w:r>
        <w:rPr>
          <w:rFonts w:ascii="Consolas" w:hAnsi="Consolas"/>
          <w:sz w:val="14"/>
        </w:rPr>
        <w:t>| Ciclo de vida | propuesta → revisión_formal → validación → aprobada → vigente → sustituida |</w:t>
      </w:r>
    </w:p>
    <w:p>
      <w:pPr>
        <w:spacing w:after="20" w:line="240" w:lineRule="auto"/>
      </w:pPr>
      <w:r>
        <w:rPr>
          <w:rFonts w:ascii="Consolas" w:hAnsi="Consolas"/>
          <w:sz w:val="14"/>
        </w:rPr>
        <w:t>| Dependencias | Reglas, KPI, unidades y decisiones aprobadas. |</w:t>
      </w:r>
    </w:p>
    <w:p>
      <w:pPr>
        <w:spacing w:after="20" w:line="240" w:lineRule="auto"/>
      </w:pPr>
      <w:r>
        <w:rPr>
          <w:rFonts w:ascii="Consolas" w:hAnsi="Consolas"/>
          <w:sz w:val="14"/>
        </w:rPr>
        <w:t>| Documentos que la contienen | especificación matemática, Standard y casos de prueba. |</w:t>
      </w:r>
    </w:p>
    <w:p>
      <w:pPr>
        <w:spacing w:after="20" w:line="240" w:lineRule="auto"/>
      </w:pPr>
      <w:r>
        <w:rPr>
          <w:rFonts w:ascii="Consolas" w:hAnsi="Consolas"/>
          <w:sz w:val="14"/>
        </w:rPr>
        <w:t>| Decisiones que la crean | Decisión científica. |</w:t>
      </w:r>
    </w:p>
    <w:p>
      <w:pPr>
        <w:spacing w:after="20" w:line="240" w:lineRule="auto"/>
      </w:pPr>
      <w:r>
        <w:rPr>
          <w:rFonts w:ascii="Consolas" w:hAnsi="Consolas"/>
          <w:sz w:val="14"/>
        </w:rPr>
        <w:t>| Versionado | Cambio de expresión o política numérica requiere versión y comparabilidad. |</w:t>
      </w:r>
    </w:p>
    <w:p>
      <w:pPr>
        <w:spacing w:after="40"/>
      </w:pPr>
    </w:p>
    <w:p>
      <w:pPr>
        <w:pStyle w:val="Heading3"/>
      </w:pPr>
      <w:r>
        <w:t>E19 — Formulario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`GOEI-FRM-NNNN` |</w:t>
      </w:r>
    </w:p>
    <w:p>
      <w:pPr>
        <w:spacing w:after="20" w:line="240" w:lineRule="auto"/>
      </w:pPr>
      <w:r>
        <w:rPr>
          <w:rFonts w:ascii="Consolas" w:hAnsi="Consolas"/>
          <w:sz w:val="14"/>
        </w:rPr>
        <w:t>| Propósito | Capturar o presentar datos manualmente de acuerdo con componentes aprobados. |</w:t>
      </w:r>
    </w:p>
    <w:p>
      <w:pPr>
        <w:spacing w:after="20" w:line="240" w:lineRule="auto"/>
      </w:pPr>
      <w:r>
        <w:rPr>
          <w:rFonts w:ascii="Consolas" w:hAnsi="Consolas"/>
          <w:sz w:val="14"/>
        </w:rPr>
        <w:t>| Descripción | Instrumento derivado con campos versionados; no es fuente autónoma de reglas. |</w:t>
      </w:r>
    </w:p>
    <w:p>
      <w:pPr>
        <w:spacing w:after="20" w:line="240" w:lineRule="auto"/>
      </w:pPr>
      <w:r>
        <w:rPr>
          <w:rFonts w:ascii="Consolas" w:hAnsi="Consolas"/>
          <w:sz w:val="14"/>
        </w:rPr>
        <w:t>| Atributos obligatorios | propósito, audiencia, campos, instrucciones, componentes_fuente, idioma, formato, versión |</w:t>
      </w:r>
    </w:p>
    <w:p>
      <w:pPr>
        <w:spacing w:after="20" w:line="240" w:lineRule="auto"/>
      </w:pPr>
      <w:r>
        <w:rPr>
          <w:rFonts w:ascii="Consolas" w:hAnsi="Consolas"/>
          <w:sz w:val="14"/>
        </w:rPr>
        <w:t>| Relaciones permitidas | `implementa Componente/Regla`; `captura Observación`; `aplica_a Taxonomía`; `incluido_en Manual` |</w:t>
      </w:r>
    </w:p>
    <w:p>
      <w:pPr>
        <w:spacing w:after="20" w:line="240" w:lineRule="auto"/>
      </w:pPr>
      <w:r>
        <w:rPr>
          <w:rFonts w:ascii="Consolas" w:hAnsi="Consolas"/>
          <w:sz w:val="14"/>
        </w:rPr>
        <w:t>| Restricciones | Todo campo enlaza definición fuente; versión visible; papel y software comparten contrato. |</w:t>
      </w:r>
    </w:p>
    <w:p>
      <w:pPr>
        <w:spacing w:after="20" w:line="240" w:lineRule="auto"/>
      </w:pPr>
      <w:r>
        <w:rPr>
          <w:rFonts w:ascii="Consolas" w:hAnsi="Consolas"/>
          <w:sz w:val="14"/>
        </w:rPr>
        <w:t>| Ciclo de vida | diseñado → probado → verificado → publicado → sustituido/retirado |</w:t>
      </w:r>
    </w:p>
    <w:p>
      <w:pPr>
        <w:spacing w:after="20" w:line="240" w:lineRule="auto"/>
      </w:pPr>
      <w:r>
        <w:rPr>
          <w:rFonts w:ascii="Consolas" w:hAnsi="Consolas"/>
          <w:sz w:val="14"/>
        </w:rPr>
        <w:t>| Dependencias | Componentes, reglas, ontología y manual. |</w:t>
      </w:r>
    </w:p>
    <w:p>
      <w:pPr>
        <w:spacing w:after="20" w:line="240" w:lineRule="auto"/>
      </w:pPr>
      <w:r>
        <w:rPr>
          <w:rFonts w:ascii="Consolas" w:hAnsi="Consolas"/>
          <w:sz w:val="14"/>
        </w:rPr>
        <w:t>| Documentos que la contienen | instrumento, manual o anexo. |</w:t>
      </w:r>
    </w:p>
    <w:p>
      <w:pPr>
        <w:spacing w:after="20" w:line="240" w:lineRule="auto"/>
      </w:pPr>
      <w:r>
        <w:rPr>
          <w:rFonts w:ascii="Consolas" w:hAnsi="Consolas"/>
          <w:sz w:val="14"/>
        </w:rPr>
        <w:t>| Decisiones que la crean | Decisión de aplicación; reglas subyacentes ya aprobadas. |</w:t>
      </w:r>
    </w:p>
    <w:p>
      <w:pPr>
        <w:spacing w:after="20" w:line="240" w:lineRule="auto"/>
      </w:pPr>
      <w:r>
        <w:rPr>
          <w:rFonts w:ascii="Consolas" w:hAnsi="Consolas"/>
          <w:sz w:val="14"/>
        </w:rPr>
        <w:t>| Versionado | Propio y enlazado a línea base; respuestas conservan versión exacta. |</w:t>
      </w:r>
    </w:p>
    <w:p>
      <w:pPr>
        <w:spacing w:after="40"/>
      </w:pPr>
    </w:p>
    <w:p>
      <w:pPr>
        <w:pStyle w:val="Heading3"/>
      </w:pPr>
      <w:r>
        <w:t>E20 — Validación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`GOEI-VAL-NNNN` |</w:t>
      </w:r>
    </w:p>
    <w:p>
      <w:pPr>
        <w:spacing w:after="20" w:line="240" w:lineRule="auto"/>
      </w:pPr>
      <w:r>
        <w:rPr>
          <w:rFonts w:ascii="Consolas" w:hAnsi="Consolas"/>
          <w:sz w:val="14"/>
        </w:rPr>
        <w:t>| Propósito | Evaluar una afirmación o componente contra criterios definidos. |</w:t>
      </w:r>
    </w:p>
    <w:p>
      <w:pPr>
        <w:spacing w:after="20" w:line="240" w:lineRule="auto"/>
      </w:pPr>
      <w:r>
        <w:rPr>
          <w:rFonts w:ascii="Consolas" w:hAnsi="Consolas"/>
          <w:sz w:val="14"/>
        </w:rPr>
        <w:t>| Descripción | Actividad y expediente con alcance, método, datos, resultado y limitaciones. |</w:t>
      </w:r>
    </w:p>
    <w:p>
      <w:pPr>
        <w:spacing w:after="20" w:line="240" w:lineRule="auto"/>
      </w:pPr>
      <w:r>
        <w:rPr>
          <w:rFonts w:ascii="Consolas" w:hAnsi="Consolas"/>
          <w:sz w:val="14"/>
        </w:rPr>
        <w:t>| Atributos obligatorios | objeto, versión_objeto, preguntas, método, criterios, responsables, datos, resultado, limitaciones, fecha |</w:t>
      </w:r>
    </w:p>
    <w:p>
      <w:pPr>
        <w:spacing w:after="20" w:line="240" w:lineRule="auto"/>
      </w:pPr>
      <w:r>
        <w:rPr>
          <w:rFonts w:ascii="Consolas" w:hAnsi="Consolas"/>
          <w:sz w:val="14"/>
        </w:rPr>
        <w:t>| Relaciones permitidas | `valida|no_valida Componente/Fórmula/KPI/LíneaBase`; `produce Evidencia`; `usa Observación`; `informa Decisión/Release` |</w:t>
      </w:r>
    </w:p>
    <w:p>
      <w:pPr>
        <w:spacing w:after="20" w:line="240" w:lineRule="auto"/>
      </w:pPr>
      <w:r>
        <w:rPr>
          <w:rFonts w:ascii="Consolas" w:hAnsi="Consolas"/>
          <w:sz w:val="14"/>
        </w:rPr>
        <w:t>| Restricciones | Resultado limitado al objeto y versión; validación no modifica el objeto. |</w:t>
      </w:r>
    </w:p>
    <w:p>
      <w:pPr>
        <w:spacing w:after="20" w:line="240" w:lineRule="auto"/>
      </w:pPr>
      <w:r>
        <w:rPr>
          <w:rFonts w:ascii="Consolas" w:hAnsi="Consolas"/>
          <w:sz w:val="14"/>
        </w:rPr>
        <w:t>| Ciclo de vida | diseñada → aprobada → ejecutada → analizada → cerrada → replicada/archivada |</w:t>
      </w:r>
    </w:p>
    <w:p>
      <w:pPr>
        <w:spacing w:after="20" w:line="240" w:lineRule="auto"/>
      </w:pPr>
      <w:r>
        <w:rPr>
          <w:rFonts w:ascii="Consolas" w:hAnsi="Consolas"/>
          <w:sz w:val="14"/>
        </w:rPr>
        <w:t>| Dependencias | Protocolo, objeto congelado, criterios y datos. |</w:t>
      </w:r>
    </w:p>
    <w:p>
      <w:pPr>
        <w:spacing w:after="20" w:line="240" w:lineRule="auto"/>
      </w:pPr>
      <w:r>
        <w:rPr>
          <w:rFonts w:ascii="Consolas" w:hAnsi="Consolas"/>
          <w:sz w:val="14"/>
        </w:rPr>
        <w:t>| Documentos que la contienen | protocolo, informe y expediente de liberación. |</w:t>
      </w:r>
    </w:p>
    <w:p>
      <w:pPr>
        <w:spacing w:after="20" w:line="240" w:lineRule="auto"/>
      </w:pPr>
      <w:r>
        <w:rPr>
          <w:rFonts w:ascii="Consolas" w:hAnsi="Consolas"/>
          <w:sz w:val="14"/>
        </w:rPr>
        <w:t>| Decisiones que la crean | Puede ser exigida o encargada por Decisión. |</w:t>
      </w:r>
    </w:p>
    <w:p>
      <w:pPr>
        <w:spacing w:after="20" w:line="240" w:lineRule="auto"/>
      </w:pPr>
      <w:r>
        <w:rPr>
          <w:rFonts w:ascii="Consolas" w:hAnsi="Consolas"/>
          <w:sz w:val="14"/>
        </w:rPr>
        <w:t>| Versionado | Cada ejecución es nodo; protocolo y reporte se versionan. |</w:t>
      </w:r>
    </w:p>
    <w:p>
      <w:pPr>
        <w:spacing w:after="40"/>
      </w:pPr>
    </w:p>
    <w:p>
      <w:pPr>
        <w:pStyle w:val="Heading3"/>
      </w:pPr>
      <w:r>
        <w:t>E21 — Publicación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`GOEI-PUB-NNNN` |</w:t>
      </w:r>
    </w:p>
    <w:p>
      <w:pPr>
        <w:spacing w:after="20" w:line="240" w:lineRule="auto"/>
      </w:pPr>
      <w:r>
        <w:rPr>
          <w:rFonts w:ascii="Consolas" w:hAnsi="Consolas"/>
          <w:sz w:val="14"/>
        </w:rPr>
        <w:t>| Propósito | Comunicar resultados o versiones a una audiencia externa. |</w:t>
      </w:r>
    </w:p>
    <w:p>
      <w:pPr>
        <w:spacing w:after="20" w:line="240" w:lineRule="auto"/>
      </w:pPr>
      <w:r>
        <w:rPr>
          <w:rFonts w:ascii="Consolas" w:hAnsi="Consolas"/>
          <w:sz w:val="14"/>
        </w:rPr>
        <w:t>| Descripción | Producto derivado científico, técnico o divulgativo. |</w:t>
      </w:r>
    </w:p>
    <w:p>
      <w:pPr>
        <w:spacing w:after="20" w:line="240" w:lineRule="auto"/>
      </w:pPr>
      <w:r>
        <w:rPr>
          <w:rFonts w:ascii="Consolas" w:hAnsi="Consolas"/>
          <w:sz w:val="14"/>
        </w:rPr>
        <w:t>| Atributos obligatorios | título, autores, tipo, fecha, identificador, audiencia, fuentes_goei, versión_goei, estado |</w:t>
      </w:r>
    </w:p>
    <w:p>
      <w:pPr>
        <w:spacing w:after="20" w:line="240" w:lineRule="auto"/>
      </w:pPr>
      <w:r>
        <w:rPr>
          <w:rFonts w:ascii="Consolas" w:hAnsi="Consolas"/>
          <w:sz w:val="14"/>
        </w:rPr>
        <w:t>| Relaciones permitidas | `deriva_de Investigación/Standard/Validación`; `cita Fuente`; `publica Documento`; `relacionada_con Tesis` |</w:t>
      </w:r>
    </w:p>
    <w:p>
      <w:pPr>
        <w:spacing w:after="20" w:line="240" w:lineRule="auto"/>
      </w:pPr>
      <w:r>
        <w:rPr>
          <w:rFonts w:ascii="Consolas" w:hAnsi="Consolas"/>
          <w:sz w:val="14"/>
        </w:rPr>
        <w:t>| Restricciones | No adquiere autoridad normativa; debe declarar versión GOEI. |</w:t>
      </w:r>
    </w:p>
    <w:p>
      <w:pPr>
        <w:spacing w:after="20" w:line="240" w:lineRule="auto"/>
      </w:pPr>
      <w:r>
        <w:rPr>
          <w:rFonts w:ascii="Consolas" w:hAnsi="Consolas"/>
          <w:sz w:val="14"/>
        </w:rPr>
        <w:t>| Ciclo de vida | propuesta → redactada → revisión → aceptada/publicada → corregida/retirada |</w:t>
      </w:r>
    </w:p>
    <w:p>
      <w:pPr>
        <w:spacing w:after="20" w:line="240" w:lineRule="auto"/>
      </w:pPr>
      <w:r>
        <w:rPr>
          <w:rFonts w:ascii="Consolas" w:hAnsi="Consolas"/>
          <w:sz w:val="14"/>
        </w:rPr>
        <w:t>| Dependencias | Productos fuente y permisos. |</w:t>
      </w:r>
    </w:p>
    <w:p>
      <w:pPr>
        <w:spacing w:after="20" w:line="240" w:lineRule="auto"/>
      </w:pPr>
      <w:r>
        <w:rPr>
          <w:rFonts w:ascii="Consolas" w:hAnsi="Consolas"/>
          <w:sz w:val="14"/>
        </w:rPr>
        <w:t>| Documentos que la contienen | expediente editorial y repositorio de publicaciones. |</w:t>
      </w:r>
    </w:p>
    <w:p>
      <w:pPr>
        <w:spacing w:after="20" w:line="240" w:lineRule="auto"/>
      </w:pPr>
      <w:r>
        <w:rPr>
          <w:rFonts w:ascii="Consolas" w:hAnsi="Consolas"/>
          <w:sz w:val="14"/>
        </w:rPr>
        <w:t>| Decisiones que la crean | No aplica; publicación oficial puede requerir autorización institucional. |</w:t>
      </w:r>
    </w:p>
    <w:p>
      <w:pPr>
        <w:spacing w:after="20" w:line="240" w:lineRule="auto"/>
      </w:pPr>
      <w:r>
        <w:rPr>
          <w:rFonts w:ascii="Consolas" w:hAnsi="Consolas"/>
          <w:sz w:val="14"/>
        </w:rPr>
        <w:t>| Versionado | Preprint, versión aceptada y publicada como realizaciones enlazadas. |</w:t>
      </w:r>
    </w:p>
    <w:p>
      <w:pPr>
        <w:spacing w:after="40"/>
      </w:pPr>
    </w:p>
    <w:p>
      <w:pPr>
        <w:pStyle w:val="Heading3"/>
      </w:pPr>
      <w:r>
        <w:t>E22 — Tesis</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`GOEI-THS-NNNN` |</w:t>
      </w:r>
    </w:p>
    <w:p>
      <w:pPr>
        <w:spacing w:after="20" w:line="240" w:lineRule="auto"/>
      </w:pPr>
      <w:r>
        <w:rPr>
          <w:rFonts w:ascii="Consolas" w:hAnsi="Consolas"/>
          <w:sz w:val="14"/>
        </w:rPr>
        <w:t>| Propósito | Integrar un trabajo académico derivado del desarrollo GOEI. |</w:t>
      </w:r>
    </w:p>
    <w:p>
      <w:pPr>
        <w:spacing w:after="20" w:line="240" w:lineRule="auto"/>
      </w:pPr>
      <w:r>
        <w:rPr>
          <w:rFonts w:ascii="Consolas" w:hAnsi="Consolas"/>
          <w:sz w:val="14"/>
        </w:rPr>
        <w:t>| Descripción | Producto académico subordinado al estándar y sus versiones. |</w:t>
      </w:r>
    </w:p>
    <w:p>
      <w:pPr>
        <w:spacing w:after="20" w:line="240" w:lineRule="auto"/>
      </w:pPr>
      <w:r>
        <w:rPr>
          <w:rFonts w:ascii="Consolas" w:hAnsi="Consolas"/>
          <w:sz w:val="14"/>
        </w:rPr>
        <w:t>| Atributos obligatorios | título, autor, institución, programa, supervisión, periodo, versión_goei, estado, repositorio |</w:t>
      </w:r>
    </w:p>
    <w:p>
      <w:pPr>
        <w:spacing w:after="20" w:line="240" w:lineRule="auto"/>
      </w:pPr>
      <w:r>
        <w:rPr>
          <w:rFonts w:ascii="Consolas" w:hAnsi="Consolas"/>
          <w:sz w:val="14"/>
        </w:rPr>
        <w:t>| Relaciones permitidas | `deriva_de Investigación/Standard`; `cita Fuente`; `produce Publicación`; `incluye Anexo` |</w:t>
      </w:r>
    </w:p>
    <w:p>
      <w:pPr>
        <w:spacing w:after="20" w:line="240" w:lineRule="auto"/>
      </w:pPr>
      <w:r>
        <w:rPr>
          <w:rFonts w:ascii="Consolas" w:hAnsi="Consolas"/>
          <w:sz w:val="14"/>
        </w:rPr>
        <w:t>| Restricciones | No crea reglas ni decisiones; afirmaciones propias conservan estado académico. |</w:t>
      </w:r>
    </w:p>
    <w:p>
      <w:pPr>
        <w:spacing w:after="20" w:line="240" w:lineRule="auto"/>
      </w:pPr>
      <w:r>
        <w:rPr>
          <w:rFonts w:ascii="Consolas" w:hAnsi="Consolas"/>
          <w:sz w:val="14"/>
        </w:rPr>
        <w:t>| Ciclo de vida | propuesta → protocolizada → desarrollo → revisión → defendida → publicada/archivada |</w:t>
      </w:r>
    </w:p>
    <w:p>
      <w:pPr>
        <w:spacing w:after="20" w:line="240" w:lineRule="auto"/>
      </w:pPr>
      <w:r>
        <w:rPr>
          <w:rFonts w:ascii="Consolas" w:hAnsi="Consolas"/>
          <w:sz w:val="14"/>
        </w:rPr>
        <w:t>| Dependencias | Protocolo académico y artefactos GOEI citados. |</w:t>
      </w:r>
    </w:p>
    <w:p>
      <w:pPr>
        <w:spacing w:after="20" w:line="240" w:lineRule="auto"/>
      </w:pPr>
      <w:r>
        <w:rPr>
          <w:rFonts w:ascii="Consolas" w:hAnsi="Consolas"/>
          <w:sz w:val="14"/>
        </w:rPr>
        <w:t>| Documentos que la contienen | carpeta de tesis y repositorio institucional. |</w:t>
      </w:r>
    </w:p>
    <w:p>
      <w:pPr>
        <w:spacing w:after="20" w:line="240" w:lineRule="auto"/>
      </w:pPr>
      <w:r>
        <w:rPr>
          <w:rFonts w:ascii="Consolas" w:hAnsi="Consolas"/>
          <w:sz w:val="14"/>
        </w:rPr>
        <w:t>| Decisiones que la crean | No aplica al contenido GOEI. |</w:t>
      </w:r>
    </w:p>
    <w:p>
      <w:pPr>
        <w:spacing w:after="20" w:line="240" w:lineRule="auto"/>
      </w:pPr>
      <w:r>
        <w:rPr>
          <w:rFonts w:ascii="Consolas" w:hAnsi="Consolas"/>
          <w:sz w:val="14"/>
        </w:rPr>
        <w:t>| Versionado | Entregas versionadas; versión defendida inmutable con correcciones registradas. |</w:t>
      </w:r>
    </w:p>
    <w:p>
      <w:pPr>
        <w:spacing w:after="40"/>
      </w:pPr>
    </w:p>
    <w:p>
      <w:pPr>
        <w:pStyle w:val="Heading3"/>
      </w:pPr>
      <w:r>
        <w:t>E23 — Versión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`GOEI-VER-NNNN` |</w:t>
      </w:r>
    </w:p>
    <w:p>
      <w:pPr>
        <w:spacing w:after="20" w:line="240" w:lineRule="auto"/>
      </w:pPr>
      <w:r>
        <w:rPr>
          <w:rFonts w:ascii="Consolas" w:hAnsi="Consolas"/>
          <w:sz w:val="14"/>
        </w:rPr>
        <w:t>| Propósito | Identificar un estado concreto de un artefacto versionable. |</w:t>
      </w:r>
    </w:p>
    <w:p>
      <w:pPr>
        <w:spacing w:after="20" w:line="240" w:lineRule="auto"/>
      </w:pPr>
      <w:r>
        <w:rPr>
          <w:rFonts w:ascii="Consolas" w:hAnsi="Consolas"/>
          <w:sz w:val="14"/>
        </w:rPr>
        <w:t>| Descripción | Realización inmutable con número, contenido, fecha y compatibilidad. |</w:t>
      </w:r>
    </w:p>
    <w:p>
      <w:pPr>
        <w:spacing w:after="20" w:line="240" w:lineRule="auto"/>
      </w:pPr>
      <w:r>
        <w:rPr>
          <w:rFonts w:ascii="Consolas" w:hAnsi="Consolas"/>
          <w:sz w:val="14"/>
        </w:rPr>
        <w:t>| Atributos obligatorios | artefacto, número, esquema_versionado, fecha, estado, checksum, autoría, cambios |</w:t>
      </w:r>
    </w:p>
    <w:p>
      <w:pPr>
        <w:spacing w:after="20" w:line="240" w:lineRule="auto"/>
      </w:pPr>
      <w:r>
        <w:rPr>
          <w:rFonts w:ascii="Consolas" w:hAnsi="Consolas"/>
          <w:sz w:val="14"/>
        </w:rPr>
        <w:t>| Relaciones permitidas | `versión_de Elemento`; `sucede_a Versión`; `incluida_en LíneaBase`; `validada_por Validación` |</w:t>
      </w:r>
    </w:p>
    <w:p>
      <w:pPr>
        <w:spacing w:after="20" w:line="240" w:lineRule="auto"/>
      </w:pPr>
      <w:r>
        <w:rPr>
          <w:rFonts w:ascii="Consolas" w:hAnsi="Consolas"/>
          <w:sz w:val="14"/>
        </w:rPr>
        <w:t>| Restricciones | Única por artefacto+número; publicada es inmutable; no implica vigencia. |</w:t>
      </w:r>
    </w:p>
    <w:p>
      <w:pPr>
        <w:spacing w:after="20" w:line="240" w:lineRule="auto"/>
      </w:pPr>
      <w:r>
        <w:rPr>
          <w:rFonts w:ascii="Consolas" w:hAnsi="Consolas"/>
          <w:sz w:val="14"/>
        </w:rPr>
        <w:t>| Ciclo de vida | borrador → candidata → publicada → sustituida → retirada |</w:t>
      </w:r>
    </w:p>
    <w:p>
      <w:pPr>
        <w:spacing w:after="20" w:line="240" w:lineRule="auto"/>
      </w:pPr>
      <w:r>
        <w:rPr>
          <w:rFonts w:ascii="Consolas" w:hAnsi="Consolas"/>
          <w:sz w:val="14"/>
        </w:rPr>
        <w:t>| Dependencias | Artefacto conceptual y registro de cambio. |</w:t>
      </w:r>
    </w:p>
    <w:p>
      <w:pPr>
        <w:spacing w:after="20" w:line="240" w:lineRule="auto"/>
      </w:pPr>
      <w:r>
        <w:rPr>
          <w:rFonts w:ascii="Consolas" w:hAnsi="Consolas"/>
          <w:sz w:val="14"/>
        </w:rPr>
        <w:t>| Documentos que la contienen | manifiesto, metadatos y línea base. |</w:t>
      </w:r>
    </w:p>
    <w:p>
      <w:pPr>
        <w:spacing w:after="20" w:line="240" w:lineRule="auto"/>
      </w:pPr>
      <w:r>
        <w:rPr>
          <w:rFonts w:ascii="Consolas" w:hAnsi="Consolas"/>
          <w:sz w:val="14"/>
        </w:rPr>
        <w:t>| Decisiones que la crean | Cambio aprobado o publicación autorizada. |</w:t>
      </w:r>
    </w:p>
    <w:p>
      <w:pPr>
        <w:spacing w:after="20" w:line="240" w:lineRule="auto"/>
      </w:pPr>
      <w:r>
        <w:rPr>
          <w:rFonts w:ascii="Consolas" w:hAnsi="Consolas"/>
          <w:sz w:val="14"/>
        </w:rPr>
        <w:t>| Versionado | La entidad Versión no se versiona; se corrige mediante registro y nueva realización. |</w:t>
      </w:r>
    </w:p>
    <w:p>
      <w:pPr>
        <w:spacing w:after="40"/>
      </w:pPr>
    </w:p>
    <w:p>
      <w:pPr>
        <w:pStyle w:val="Heading3"/>
      </w:pPr>
      <w:r>
        <w:t>E24 — Línea base GOEI</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`GOEI-BSL-NNNN` |</w:t>
      </w:r>
    </w:p>
    <w:p>
      <w:pPr>
        <w:spacing w:after="20" w:line="240" w:lineRule="auto"/>
      </w:pPr>
      <w:r>
        <w:rPr>
          <w:rFonts w:ascii="Consolas" w:hAnsi="Consolas"/>
          <w:sz w:val="14"/>
        </w:rPr>
        <w:t>| Propósito | Congelar un conjunto coherente de versiones de componentes. |</w:t>
      </w:r>
    </w:p>
    <w:p>
      <w:pPr>
        <w:spacing w:after="20" w:line="240" w:lineRule="auto"/>
      </w:pPr>
      <w:r>
        <w:rPr>
          <w:rFonts w:ascii="Consolas" w:hAnsi="Consolas"/>
          <w:sz w:val="14"/>
        </w:rPr>
        <w:t>| Descripción | Manifiesto reproducible del Framework en un punto de control. |</w:t>
      </w:r>
    </w:p>
    <w:p>
      <w:pPr>
        <w:spacing w:after="20" w:line="240" w:lineRule="auto"/>
      </w:pPr>
      <w:r>
        <w:rPr>
          <w:rFonts w:ascii="Consolas" w:hAnsi="Consolas"/>
          <w:sz w:val="14"/>
        </w:rPr>
        <w:t>| Atributos obligatorios | nombre, fecha_corte, versiones_incluidas, estado, checksum_manifiesto, compatibilidad, aprobador |</w:t>
      </w:r>
    </w:p>
    <w:p>
      <w:pPr>
        <w:spacing w:after="20" w:line="240" w:lineRule="auto"/>
      </w:pPr>
      <w:r>
        <w:rPr>
          <w:rFonts w:ascii="Consolas" w:hAnsi="Consolas"/>
          <w:sz w:val="14"/>
        </w:rPr>
        <w:t>| Relaciones permitidas | `fija Versión`; `publicada_por Release`; `sustituye LíneaBase`; `validada_por Validación` |</w:t>
      </w:r>
    </w:p>
    <w:p>
      <w:pPr>
        <w:spacing w:after="20" w:line="240" w:lineRule="auto"/>
      </w:pPr>
      <w:r>
        <w:rPr>
          <w:rFonts w:ascii="Consolas" w:hAnsi="Consolas"/>
          <w:sz w:val="14"/>
        </w:rPr>
        <w:t>| Restricciones | Inmutable; todas las dependencias cerradas o issues declarados; no contiene referencias flotantes. |</w:t>
      </w:r>
    </w:p>
    <w:p>
      <w:pPr>
        <w:spacing w:after="20" w:line="240" w:lineRule="auto"/>
      </w:pPr>
      <w:r>
        <w:rPr>
          <w:rFonts w:ascii="Consolas" w:hAnsi="Consolas"/>
          <w:sz w:val="14"/>
        </w:rPr>
        <w:t>| Ciclo de vida | propuesta → construida → verificada → aprobada → publicada → sustituida/retirada |</w:t>
      </w:r>
    </w:p>
    <w:p>
      <w:pPr>
        <w:spacing w:after="20" w:line="240" w:lineRule="auto"/>
      </w:pPr>
      <w:r>
        <w:rPr>
          <w:rFonts w:ascii="Consolas" w:hAnsi="Consolas"/>
          <w:sz w:val="14"/>
        </w:rPr>
        <w:t>| Dependencias | Versiones exactas y autoridad. |</w:t>
      </w:r>
    </w:p>
    <w:p>
      <w:pPr>
        <w:spacing w:after="20" w:line="240" w:lineRule="auto"/>
      </w:pPr>
      <w:r>
        <w:rPr>
          <w:rFonts w:ascii="Consolas" w:hAnsi="Consolas"/>
          <w:sz w:val="14"/>
        </w:rPr>
        <w:t>| Documentos que la contienen | manifiesto de línea base e historial. |</w:t>
      </w:r>
    </w:p>
    <w:p>
      <w:pPr>
        <w:spacing w:after="20" w:line="240" w:lineRule="auto"/>
      </w:pPr>
      <w:r>
        <w:rPr>
          <w:rFonts w:ascii="Consolas" w:hAnsi="Consolas"/>
          <w:sz w:val="14"/>
        </w:rPr>
        <w:t>| Decisiones que la crean | Autorización de publicación; contenido ya decidido. |</w:t>
      </w:r>
    </w:p>
    <w:p>
      <w:pPr>
        <w:spacing w:after="20" w:line="240" w:lineRule="auto"/>
      </w:pPr>
      <w:r>
        <w:rPr>
          <w:rFonts w:ascii="Consolas" w:hAnsi="Consolas"/>
          <w:sz w:val="14"/>
        </w:rPr>
        <w:t>| Versionado | Cada línea base es nodo nuevo. |</w:t>
      </w:r>
    </w:p>
    <w:p>
      <w:pPr>
        <w:spacing w:after="40"/>
      </w:pPr>
    </w:p>
    <w:p>
      <w:pPr>
        <w:pStyle w:val="Heading3"/>
      </w:pPr>
      <w:r>
        <w:t>E25 — Release</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`GOEI-REL-NNNN` |</w:t>
      </w:r>
    </w:p>
    <w:p>
      <w:pPr>
        <w:spacing w:after="20" w:line="240" w:lineRule="auto"/>
      </w:pPr>
      <w:r>
        <w:rPr>
          <w:rFonts w:ascii="Consolas" w:hAnsi="Consolas"/>
          <w:sz w:val="14"/>
        </w:rPr>
        <w:t>| Propósito | Publicar y distribuir una línea base verificable. |</w:t>
      </w:r>
    </w:p>
    <w:p>
      <w:pPr>
        <w:spacing w:after="20" w:line="240" w:lineRule="auto"/>
      </w:pPr>
      <w:r>
        <w:rPr>
          <w:rFonts w:ascii="Consolas" w:hAnsi="Consolas"/>
          <w:sz w:val="14"/>
        </w:rPr>
        <w:t>| Descripción | Evento/registro de liberación con artefactos, notas y fecha efectiva. |</w:t>
      </w:r>
    </w:p>
    <w:p>
      <w:pPr>
        <w:spacing w:after="20" w:line="240" w:lineRule="auto"/>
      </w:pPr>
      <w:r>
        <w:rPr>
          <w:rFonts w:ascii="Consolas" w:hAnsi="Consolas"/>
          <w:sz w:val="14"/>
        </w:rPr>
        <w:t>| Atributos obligatorios | etiqueta, línea_base, fecha_publicación, fecha_vigencia, notas, artefactos, checksums, autorizador |</w:t>
      </w:r>
    </w:p>
    <w:p>
      <w:pPr>
        <w:spacing w:after="20" w:line="240" w:lineRule="auto"/>
      </w:pPr>
      <w:r>
        <w:rPr>
          <w:rFonts w:ascii="Consolas" w:hAnsi="Consolas"/>
          <w:sz w:val="14"/>
        </w:rPr>
        <w:t>| Relaciones permitidas | `publica LíneaBase`; `incluye Documento/Manual/Formulario`; `sucede_a Release`; `resuelve Issue` |</w:t>
      </w:r>
    </w:p>
    <w:p>
      <w:pPr>
        <w:spacing w:after="20" w:line="240" w:lineRule="auto"/>
      </w:pPr>
      <w:r>
        <w:rPr>
          <w:rFonts w:ascii="Consolas" w:hAnsi="Consolas"/>
          <w:sz w:val="14"/>
        </w:rPr>
        <w:t>| Restricciones | Una release apunta a una sola línea base; no cambia su contenido. |</w:t>
      </w:r>
    </w:p>
    <w:p>
      <w:pPr>
        <w:spacing w:after="20" w:line="240" w:lineRule="auto"/>
      </w:pPr>
      <w:r>
        <w:rPr>
          <w:rFonts w:ascii="Consolas" w:hAnsi="Consolas"/>
          <w:sz w:val="14"/>
        </w:rPr>
        <w:t>| Ciclo de vida | planificada → candidata → autorizada → publicada → soportada → retirada |</w:t>
      </w:r>
    </w:p>
    <w:p>
      <w:pPr>
        <w:spacing w:after="20" w:line="240" w:lineRule="auto"/>
      </w:pPr>
      <w:r>
        <w:rPr>
          <w:rFonts w:ascii="Consolas" w:hAnsi="Consolas"/>
          <w:sz w:val="14"/>
        </w:rPr>
        <w:t>| Dependencias | Línea base verificada y autorización. |</w:t>
      </w:r>
    </w:p>
    <w:p>
      <w:pPr>
        <w:spacing w:after="20" w:line="240" w:lineRule="auto"/>
      </w:pPr>
      <w:r>
        <w:rPr>
          <w:rFonts w:ascii="Consolas" w:hAnsi="Consolas"/>
          <w:sz w:val="14"/>
        </w:rPr>
        <w:t>| Documentos que la contienen | notas de release y manifiesto. |</w:t>
      </w:r>
    </w:p>
    <w:p>
      <w:pPr>
        <w:spacing w:after="20" w:line="240" w:lineRule="auto"/>
      </w:pPr>
      <w:r>
        <w:rPr>
          <w:rFonts w:ascii="Consolas" w:hAnsi="Consolas"/>
          <w:sz w:val="14"/>
        </w:rPr>
        <w:t>| Decisiones que la crean | Decisión/autorización de liberación. |</w:t>
      </w:r>
    </w:p>
    <w:p>
      <w:pPr>
        <w:spacing w:after="20" w:line="240" w:lineRule="auto"/>
      </w:pPr>
      <w:r>
        <w:rPr>
          <w:rFonts w:ascii="Consolas" w:hAnsi="Consolas"/>
          <w:sz w:val="14"/>
        </w:rPr>
        <w:t>| Versionado | Releases no se sobrescriben; correcciones generan otra release. |</w:t>
      </w:r>
    </w:p>
    <w:p>
      <w:pPr>
        <w:spacing w:after="40"/>
      </w:pPr>
    </w:p>
    <w:p>
      <w:pPr>
        <w:pStyle w:val="Heading3"/>
      </w:pPr>
      <w:r>
        <w:t>E26 — Registro de cambio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`GOEI-CHG-NNNN` |</w:t>
      </w:r>
    </w:p>
    <w:p>
      <w:pPr>
        <w:spacing w:after="20" w:line="240" w:lineRule="auto"/>
      </w:pPr>
      <w:r>
        <w:rPr>
          <w:rFonts w:ascii="Consolas" w:hAnsi="Consolas"/>
          <w:sz w:val="14"/>
        </w:rPr>
        <w:t>| Propósito | Controlar una modificación desde solicitud hasta aplicación. |</w:t>
      </w:r>
    </w:p>
    <w:p>
      <w:pPr>
        <w:spacing w:after="20" w:line="240" w:lineRule="auto"/>
      </w:pPr>
      <w:r>
        <w:rPr>
          <w:rFonts w:ascii="Consolas" w:hAnsi="Consolas"/>
          <w:sz w:val="14"/>
        </w:rPr>
        <w:t>| Descripción | Expediente de cambio con justificación, impacto, autoridad y migración. |</w:t>
      </w:r>
    </w:p>
    <w:p>
      <w:pPr>
        <w:spacing w:after="20" w:line="240" w:lineRule="auto"/>
      </w:pPr>
      <w:r>
        <w:rPr>
          <w:rFonts w:ascii="Consolas" w:hAnsi="Consolas"/>
          <w:sz w:val="14"/>
        </w:rPr>
        <w:t>| Atributos obligatorios | motivo, solicitante, alcance, clase, objeto, impacto, decisión_habilitante, estado, versiones_origen_destino |</w:t>
      </w:r>
    </w:p>
    <w:p>
      <w:pPr>
        <w:spacing w:after="20" w:line="240" w:lineRule="auto"/>
      </w:pPr>
      <w:r>
        <w:rPr>
          <w:rFonts w:ascii="Consolas" w:hAnsi="Consolas"/>
          <w:sz w:val="14"/>
        </w:rPr>
        <w:t>| Relaciones permitidas | `propone_cambio_a Elemento`; `implementa Decisión`; `produce Versión`; `resuelve Issue`; `requiere Validación` |</w:t>
      </w:r>
    </w:p>
    <w:p>
      <w:pPr>
        <w:spacing w:after="20" w:line="240" w:lineRule="auto"/>
      </w:pPr>
      <w:r>
        <w:rPr>
          <w:rFonts w:ascii="Consolas" w:hAnsi="Consolas"/>
          <w:sz w:val="14"/>
        </w:rPr>
        <w:t>| Restricciones | No aplica cambios sin autoridad; un cambio rechazado se conserva. |</w:t>
      </w:r>
    </w:p>
    <w:p>
      <w:pPr>
        <w:spacing w:after="20" w:line="240" w:lineRule="auto"/>
      </w:pPr>
      <w:r>
        <w:rPr>
          <w:rFonts w:ascii="Consolas" w:hAnsi="Consolas"/>
          <w:sz w:val="14"/>
        </w:rPr>
        <w:t>| Ciclo de vida | presentado → triage → análisis → aprobado/rechazado → implementado → verificado → cerrado |</w:t>
      </w:r>
    </w:p>
    <w:p>
      <w:pPr>
        <w:spacing w:after="20" w:line="240" w:lineRule="auto"/>
      </w:pPr>
      <w:r>
        <w:rPr>
          <w:rFonts w:ascii="Consolas" w:hAnsi="Consolas"/>
          <w:sz w:val="14"/>
        </w:rPr>
        <w:t>| Dependencias | Objeto, decisión y análisis de impacto. |</w:t>
      </w:r>
    </w:p>
    <w:p>
      <w:pPr>
        <w:spacing w:after="20" w:line="240" w:lineRule="auto"/>
      </w:pPr>
      <w:r>
        <w:rPr>
          <w:rFonts w:ascii="Consolas" w:hAnsi="Consolas"/>
          <w:sz w:val="14"/>
        </w:rPr>
        <w:t>| Documentos que la contienen | registro y expediente de cambios. |</w:t>
      </w:r>
    </w:p>
    <w:p>
      <w:pPr>
        <w:spacing w:after="20" w:line="240" w:lineRule="auto"/>
      </w:pPr>
      <w:r>
        <w:rPr>
          <w:rFonts w:ascii="Consolas" w:hAnsi="Consolas"/>
          <w:sz w:val="14"/>
        </w:rPr>
        <w:t>| Decisiones que la crean | No aplica; ejecución requiere decisión competente. |</w:t>
      </w:r>
    </w:p>
    <w:p>
      <w:pPr>
        <w:spacing w:after="20" w:line="240" w:lineRule="auto"/>
      </w:pPr>
      <w:r>
        <w:rPr>
          <w:rFonts w:ascii="Consolas" w:hAnsi="Consolas"/>
          <w:sz w:val="14"/>
        </w:rPr>
        <w:t>| Versionado | Registro acumulativo e inmutable tras cierre. |</w:t>
      </w:r>
    </w:p>
    <w:p>
      <w:pPr>
        <w:spacing w:after="40"/>
      </w:pPr>
    </w:p>
    <w:p>
      <w:pPr>
        <w:pStyle w:val="Heading3"/>
      </w:pPr>
      <w:r>
        <w:t>E27 — Issue</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`GOEI-ISS-NNNN` |</w:t>
      </w:r>
    </w:p>
    <w:p>
      <w:pPr>
        <w:spacing w:after="20" w:line="240" w:lineRule="auto"/>
      </w:pPr>
      <w:r>
        <w:rPr>
          <w:rFonts w:ascii="Consolas" w:hAnsi="Consolas"/>
          <w:sz w:val="14"/>
        </w:rPr>
        <w:t>| Propósito | Registrar problema, vacío, riesgo o dependencia no resuelta. |</w:t>
      </w:r>
    </w:p>
    <w:p>
      <w:pPr>
        <w:spacing w:after="20" w:line="240" w:lineRule="auto"/>
      </w:pPr>
      <w:r>
        <w:rPr>
          <w:rFonts w:ascii="Consolas" w:hAnsi="Consolas"/>
          <w:sz w:val="14"/>
        </w:rPr>
        <w:t>| Descripción | Unidad operativa con alcance bloqueado y criterio de cierre. |</w:t>
      </w:r>
    </w:p>
    <w:p>
      <w:pPr>
        <w:spacing w:after="20" w:line="240" w:lineRule="auto"/>
      </w:pPr>
      <w:r>
        <w:rPr>
          <w:rFonts w:ascii="Consolas" w:hAnsi="Consolas"/>
          <w:sz w:val="14"/>
        </w:rPr>
        <w:t>| Atributos obligatorios | tipo, enunciado, origen, prioridad, alcance, bloqueados, autoridad_requerida, criterio_cierre, estado |</w:t>
      </w:r>
    </w:p>
    <w:p>
      <w:pPr>
        <w:spacing w:after="20" w:line="240" w:lineRule="auto"/>
      </w:pPr>
      <w:r>
        <w:rPr>
          <w:rFonts w:ascii="Consolas" w:hAnsi="Consolas"/>
          <w:sz w:val="14"/>
        </w:rPr>
        <w:t>| Relaciones permitidas | `detectado_por Revisión/Investigación`; `bloquea Elemento/Relación`; `requiere Decisión`; `resuelto_por Decisión/Cambio` |</w:t>
      </w:r>
    </w:p>
    <w:p>
      <w:pPr>
        <w:spacing w:after="20" w:line="240" w:lineRule="auto"/>
      </w:pPr>
      <w:r>
        <w:rPr>
          <w:rFonts w:ascii="Consolas" w:hAnsi="Consolas"/>
          <w:sz w:val="14"/>
        </w:rPr>
        <w:t>| Restricciones | Cierre exige evidencia; no bloquear ramas no dependientes. |</w:t>
      </w:r>
    </w:p>
    <w:p>
      <w:pPr>
        <w:spacing w:after="20" w:line="240" w:lineRule="auto"/>
      </w:pPr>
      <w:r>
        <w:rPr>
          <w:rFonts w:ascii="Consolas" w:hAnsi="Consolas"/>
          <w:sz w:val="14"/>
        </w:rPr>
        <w:t>| Ciclo de vida | abierto → clasificado → en_progreso → resuelto → verificado → cerrado/reabierto |</w:t>
      </w:r>
    </w:p>
    <w:p>
      <w:pPr>
        <w:spacing w:after="20" w:line="240" w:lineRule="auto"/>
      </w:pPr>
      <w:r>
        <w:rPr>
          <w:rFonts w:ascii="Consolas" w:hAnsi="Consolas"/>
          <w:sz w:val="14"/>
        </w:rPr>
        <w:t>| Dependencias | Objeto afectado y responsable. |</w:t>
      </w:r>
    </w:p>
    <w:p>
      <w:pPr>
        <w:spacing w:after="20" w:line="240" w:lineRule="auto"/>
      </w:pPr>
      <w:r>
        <w:rPr>
          <w:rFonts w:ascii="Consolas" w:hAnsi="Consolas"/>
          <w:sz w:val="14"/>
        </w:rPr>
        <w:t>| Documentos que la contienen | registro de issues y expediente relacionado. |</w:t>
      </w:r>
    </w:p>
    <w:p>
      <w:pPr>
        <w:spacing w:after="20" w:line="240" w:lineRule="auto"/>
      </w:pPr>
      <w:r>
        <w:rPr>
          <w:rFonts w:ascii="Consolas" w:hAnsi="Consolas"/>
          <w:sz w:val="14"/>
        </w:rPr>
        <w:t>| Decisiones que la crean | No aplica. |</w:t>
      </w:r>
    </w:p>
    <w:p>
      <w:pPr>
        <w:spacing w:after="20" w:line="240" w:lineRule="auto"/>
      </w:pPr>
      <w:r>
        <w:rPr>
          <w:rFonts w:ascii="Consolas" w:hAnsi="Consolas"/>
          <w:sz w:val="14"/>
        </w:rPr>
        <w:t>| Versionado | Historia de eventos; no se reescribe tras cierre. |</w:t>
      </w:r>
    </w:p>
    <w:p>
      <w:pPr>
        <w:spacing w:after="40"/>
      </w:pPr>
    </w:p>
    <w:p>
      <w:pPr>
        <w:pStyle w:val="Heading3"/>
      </w:pPr>
      <w:r>
        <w:t>E28 — Constitución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`GOEI-CON-NNNN` |</w:t>
      </w:r>
    </w:p>
    <w:p>
      <w:pPr>
        <w:spacing w:after="20" w:line="240" w:lineRule="auto"/>
      </w:pPr>
      <w:r>
        <w:rPr>
          <w:rFonts w:ascii="Consolas" w:hAnsi="Consolas"/>
          <w:sz w:val="14"/>
        </w:rPr>
        <w:t>| Propósito | Establecer principios superiores, autoridad y procesos de gobierno. |</w:t>
      </w:r>
    </w:p>
    <w:p>
      <w:pPr>
        <w:spacing w:after="20" w:line="240" w:lineRule="auto"/>
      </w:pPr>
      <w:r>
        <w:rPr>
          <w:rFonts w:ascii="Consolas" w:hAnsi="Consolas"/>
          <w:sz w:val="14"/>
        </w:rPr>
        <w:t>| Descripción | Documento fundador; no define KPI ni fórmulas. |</w:t>
      </w:r>
    </w:p>
    <w:p>
      <w:pPr>
        <w:spacing w:after="20" w:line="240" w:lineRule="auto"/>
      </w:pPr>
      <w:r>
        <w:rPr>
          <w:rFonts w:ascii="Consolas" w:hAnsi="Consolas"/>
          <w:sz w:val="14"/>
        </w:rPr>
        <w:t>| Atributos obligatorios | alcance, principios, órganos, jerarquía, procesos_cambio, aprobación, vigencia, versión |</w:t>
      </w:r>
    </w:p>
    <w:p>
      <w:pPr>
        <w:spacing w:after="20" w:line="240" w:lineRule="auto"/>
      </w:pPr>
      <w:r>
        <w:rPr>
          <w:rFonts w:ascii="Consolas" w:hAnsi="Consolas"/>
          <w:sz w:val="14"/>
        </w:rPr>
        <w:t>| Relaciones permitidas | `establece Organización/Rol/Regla`; `prevalece_sobre Documento`; `autoriza ProcesoGobernanza`; `enmendada_por Decisión` |</w:t>
      </w:r>
    </w:p>
    <w:p>
      <w:pPr>
        <w:spacing w:after="20" w:line="240" w:lineRule="auto"/>
      </w:pPr>
      <w:r>
        <w:rPr>
          <w:rFonts w:ascii="Consolas" w:hAnsi="Consolas"/>
          <w:sz w:val="14"/>
        </w:rPr>
        <w:t>| Restricciones | Contenido pendiente no se trata como vigente; enmienda exige procedimiento reforzado. |</w:t>
      </w:r>
    </w:p>
    <w:p>
      <w:pPr>
        <w:spacing w:after="20" w:line="240" w:lineRule="auto"/>
      </w:pPr>
      <w:r>
        <w:rPr>
          <w:rFonts w:ascii="Consolas" w:hAnsi="Consolas"/>
          <w:sz w:val="14"/>
        </w:rPr>
        <w:t>| Ciclo de vida | esqueleto → deliberación → aprobada → vigente → enmendada/sustituida |</w:t>
      </w:r>
    </w:p>
    <w:p>
      <w:pPr>
        <w:spacing w:after="20" w:line="240" w:lineRule="auto"/>
      </w:pPr>
      <w:r>
        <w:rPr>
          <w:rFonts w:ascii="Consolas" w:hAnsi="Consolas"/>
          <w:sz w:val="14"/>
        </w:rPr>
        <w:t>| Dependencias | Autoridad constituyente aún por definir. |</w:t>
      </w:r>
    </w:p>
    <w:p>
      <w:pPr>
        <w:spacing w:after="20" w:line="240" w:lineRule="auto"/>
      </w:pPr>
      <w:r>
        <w:rPr>
          <w:rFonts w:ascii="Consolas" w:hAnsi="Consolas"/>
          <w:sz w:val="14"/>
        </w:rPr>
        <w:t>| Documentos que la contienen | documento constitucional y anexos. |</w:t>
      </w:r>
    </w:p>
    <w:p>
      <w:pPr>
        <w:spacing w:after="20" w:line="240" w:lineRule="auto"/>
      </w:pPr>
      <w:r>
        <w:rPr>
          <w:rFonts w:ascii="Consolas" w:hAnsi="Consolas"/>
          <w:sz w:val="14"/>
        </w:rPr>
        <w:t>| Decisiones que la crean | Acto constituyente institucional. |</w:t>
      </w:r>
    </w:p>
    <w:p>
      <w:pPr>
        <w:spacing w:after="20" w:line="240" w:lineRule="auto"/>
      </w:pPr>
      <w:r>
        <w:rPr>
          <w:rFonts w:ascii="Consolas" w:hAnsi="Consolas"/>
          <w:sz w:val="14"/>
        </w:rPr>
        <w:t>| Versionado | Versiones mayores para enmiendas sustantivas; historia completa. |</w:t>
      </w:r>
    </w:p>
    <w:p>
      <w:pPr>
        <w:spacing w:after="40"/>
      </w:pPr>
    </w:p>
    <w:p>
      <w:pPr>
        <w:pStyle w:val="Heading3"/>
      </w:pPr>
      <w:r>
        <w:t>E29 — GOEI Standard</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`GOEI-STD-NNNN` |</w:t>
      </w:r>
    </w:p>
    <w:p>
      <w:pPr>
        <w:spacing w:after="20" w:line="240" w:lineRule="auto"/>
      </w:pPr>
      <w:r>
        <w:rPr>
          <w:rFonts w:ascii="Consolas" w:hAnsi="Consolas"/>
          <w:sz w:val="14"/>
        </w:rPr>
        <w:t>| Propósito | Integrar el corpus oficial del estándar en una edición. |</w:t>
      </w:r>
    </w:p>
    <w:p>
      <w:pPr>
        <w:spacing w:after="20" w:line="240" w:lineRule="auto"/>
      </w:pPr>
      <w:r>
        <w:rPr>
          <w:rFonts w:ascii="Consolas" w:hAnsi="Consolas"/>
          <w:sz w:val="14"/>
        </w:rPr>
        <w:t>| Descripción | Artefacto normativo/informativo compuesto; no es el metamodelo ni toda la realidad GOEI. |</w:t>
      </w:r>
    </w:p>
    <w:p>
      <w:pPr>
        <w:spacing w:after="20" w:line="240" w:lineRule="auto"/>
      </w:pPr>
      <w:r>
        <w:rPr>
          <w:rFonts w:ascii="Consolas" w:hAnsi="Consolas"/>
          <w:sz w:val="14"/>
        </w:rPr>
        <w:t>| Atributos obligatorios | alcance, módulos, referencias, naturaleza_partes, versión, línea_base, vigencia, aprobador |</w:t>
      </w:r>
    </w:p>
    <w:p>
      <w:pPr>
        <w:spacing w:after="20" w:line="240" w:lineRule="auto"/>
      </w:pPr>
      <w:r>
        <w:rPr>
          <w:rFonts w:ascii="Consolas" w:hAnsi="Consolas"/>
          <w:sz w:val="14"/>
        </w:rPr>
        <w:t>| Relaciones permitidas | `integra Documento/Componente/Requisito`; `depende_de Ontología/Taxonomía`; `publicado_como Release`; `explicado_por Manual/BOK` |</w:t>
      </w:r>
    </w:p>
    <w:p>
      <w:pPr>
        <w:spacing w:after="20" w:line="240" w:lineRule="auto"/>
      </w:pPr>
      <w:r>
        <w:rPr>
          <w:rFonts w:ascii="Consolas" w:hAnsi="Consolas"/>
          <w:sz w:val="14"/>
        </w:rPr>
        <w:t>| Restricciones | Solo integra componentes aprobados; partes normativas identificadas; no referencias flotantes. |</w:t>
      </w:r>
    </w:p>
    <w:p>
      <w:pPr>
        <w:spacing w:after="20" w:line="240" w:lineRule="auto"/>
      </w:pPr>
      <w:r>
        <w:rPr>
          <w:rFonts w:ascii="Consolas" w:hAnsi="Consolas"/>
          <w:sz w:val="14"/>
        </w:rPr>
        <w:t>| Ciclo de vida | borrador → candidato → validación → aprobado → publicado/vigente → sustituido/retirado |</w:t>
      </w:r>
    </w:p>
    <w:p>
      <w:pPr>
        <w:spacing w:after="20" w:line="240" w:lineRule="auto"/>
      </w:pPr>
      <w:r>
        <w:rPr>
          <w:rFonts w:ascii="Consolas" w:hAnsi="Consolas"/>
          <w:sz w:val="14"/>
        </w:rPr>
        <w:t>| Dependencias | Componentes, validación y gobernanza. |</w:t>
      </w:r>
    </w:p>
    <w:p>
      <w:pPr>
        <w:spacing w:after="20" w:line="240" w:lineRule="auto"/>
      </w:pPr>
      <w:r>
        <w:rPr>
          <w:rFonts w:ascii="Consolas" w:hAnsi="Consolas"/>
          <w:sz w:val="14"/>
        </w:rPr>
        <w:t>| Documentos que la contienen | compilación oficial y manifiesto. |</w:t>
      </w:r>
    </w:p>
    <w:p>
      <w:pPr>
        <w:spacing w:after="20" w:line="240" w:lineRule="auto"/>
      </w:pPr>
      <w:r>
        <w:rPr>
          <w:rFonts w:ascii="Consolas" w:hAnsi="Consolas"/>
          <w:sz w:val="14"/>
        </w:rPr>
        <w:t>| Decisiones que la crean | Decisiones científicas de contenido y autorización institucional de publicación. |</w:t>
      </w:r>
    </w:p>
    <w:p>
      <w:pPr>
        <w:spacing w:after="20" w:line="240" w:lineRule="auto"/>
      </w:pPr>
      <w:r>
        <w:rPr>
          <w:rFonts w:ascii="Consolas" w:hAnsi="Consolas"/>
          <w:sz w:val="14"/>
        </w:rPr>
        <w:t>| Versionado | Ediciones/lineas base; comparabilidad explícita. |</w:t>
      </w:r>
    </w:p>
    <w:p>
      <w:pPr>
        <w:spacing w:after="40"/>
      </w:pPr>
    </w:p>
    <w:p>
      <w:pPr>
        <w:pStyle w:val="Heading3"/>
      </w:pPr>
      <w:r>
        <w:t>E30 — GOEI BOK</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`GOEI-BOK-NNNN` |</w:t>
      </w:r>
    </w:p>
    <w:p>
      <w:pPr>
        <w:spacing w:after="20" w:line="240" w:lineRule="auto"/>
      </w:pPr>
      <w:r>
        <w:rPr>
          <w:rFonts w:ascii="Consolas" w:hAnsi="Consolas"/>
          <w:sz w:val="14"/>
        </w:rPr>
        <w:t>| Propósito | Organizar el cuerpo de conocimiento explicativo del GOEI. |</w:t>
      </w:r>
    </w:p>
    <w:p>
      <w:pPr>
        <w:spacing w:after="20" w:line="240" w:lineRule="auto"/>
      </w:pPr>
      <w:r>
        <w:rPr>
          <w:rFonts w:ascii="Consolas" w:hAnsi="Consolas"/>
          <w:sz w:val="14"/>
        </w:rPr>
        <w:t>| Descripción | Vista curada de conceptos, métodos, decisiones y guías; no sustituye al Standard. |</w:t>
      </w:r>
    </w:p>
    <w:p>
      <w:pPr>
        <w:spacing w:after="20" w:line="240" w:lineRule="auto"/>
      </w:pPr>
      <w:r>
        <w:rPr>
          <w:rFonts w:ascii="Consolas" w:hAnsi="Consolas"/>
          <w:sz w:val="14"/>
        </w:rPr>
        <w:t>| Atributos obligatorios | alcance, mapa_conocimiento, fuentes, versión_standard, audiencia, curadores, versión |</w:t>
      </w:r>
    </w:p>
    <w:p>
      <w:pPr>
        <w:spacing w:after="20" w:line="240" w:lineRule="auto"/>
      </w:pPr>
      <w:r>
        <w:rPr>
          <w:rFonts w:ascii="Consolas" w:hAnsi="Consolas"/>
          <w:sz w:val="14"/>
        </w:rPr>
        <w:t>| Relaciones permitidas | `explica Standard/Componente`; `referencia Decisión/Investigación`; `incluye Manual/Publicación`; `deriva_de LíneaBase` |</w:t>
      </w:r>
    </w:p>
    <w:p>
      <w:pPr>
        <w:spacing w:after="20" w:line="240" w:lineRule="auto"/>
      </w:pPr>
      <w:r>
        <w:rPr>
          <w:rFonts w:ascii="Consolas" w:hAnsi="Consolas"/>
          <w:sz w:val="14"/>
        </w:rPr>
        <w:t>| Restricciones | Debe distinguir norma, evidencia y explicación; no introduce requisitos. |</w:t>
      </w:r>
    </w:p>
    <w:p>
      <w:pPr>
        <w:spacing w:after="20" w:line="240" w:lineRule="auto"/>
      </w:pPr>
      <w:r>
        <w:rPr>
          <w:rFonts w:ascii="Consolas" w:hAnsi="Consolas"/>
          <w:sz w:val="14"/>
        </w:rPr>
        <w:t>| Ciclo de vida | planificado → curado → revisión → publicado → actualizado/sustituido |</w:t>
      </w:r>
    </w:p>
    <w:p>
      <w:pPr>
        <w:spacing w:after="20" w:line="240" w:lineRule="auto"/>
      </w:pPr>
      <w:r>
        <w:rPr>
          <w:rFonts w:ascii="Consolas" w:hAnsi="Consolas"/>
          <w:sz w:val="14"/>
        </w:rPr>
        <w:t>| Dependencias | Grafo, Standard y productos aprobados. |</w:t>
      </w:r>
    </w:p>
    <w:p>
      <w:pPr>
        <w:spacing w:after="20" w:line="240" w:lineRule="auto"/>
      </w:pPr>
      <w:r>
        <w:rPr>
          <w:rFonts w:ascii="Consolas" w:hAnsi="Consolas"/>
          <w:sz w:val="14"/>
        </w:rPr>
        <w:t>| Documentos que la contienen | portal o compilación BOK. |</w:t>
      </w:r>
    </w:p>
    <w:p>
      <w:pPr>
        <w:spacing w:after="20" w:line="240" w:lineRule="auto"/>
      </w:pPr>
      <w:r>
        <w:rPr>
          <w:rFonts w:ascii="Consolas" w:hAnsi="Consolas"/>
          <w:sz w:val="14"/>
        </w:rPr>
        <w:t>| Decisiones que la crean | Autorización editorial; contenido fuente ya autorizado. |</w:t>
      </w:r>
    </w:p>
    <w:p>
      <w:pPr>
        <w:spacing w:after="20" w:line="240" w:lineRule="auto"/>
      </w:pPr>
      <w:r>
        <w:rPr>
          <w:rFonts w:ascii="Consolas" w:hAnsi="Consolas"/>
          <w:sz w:val="14"/>
        </w:rPr>
        <w:t>| Versionado | Versión propia ligada a línea base. |</w:t>
      </w:r>
    </w:p>
    <w:p>
      <w:pPr>
        <w:spacing w:after="40"/>
      </w:pPr>
    </w:p>
    <w:p>
      <w:pPr>
        <w:pStyle w:val="Heading3"/>
      </w:pPr>
      <w:r>
        <w:t>E31 — Requisito normativo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`GOEI-REQ-NNNN` |</w:t>
      </w:r>
    </w:p>
    <w:p>
      <w:pPr>
        <w:spacing w:after="20" w:line="240" w:lineRule="auto"/>
      </w:pPr>
      <w:r>
        <w:rPr>
          <w:rFonts w:ascii="Consolas" w:hAnsi="Consolas"/>
          <w:sz w:val="14"/>
        </w:rPr>
        <w:t>| Propósito | Representar una obligación verificable del Standard. |</w:t>
      </w:r>
    </w:p>
    <w:p>
      <w:pPr>
        <w:spacing w:after="20" w:line="240" w:lineRule="auto"/>
      </w:pPr>
      <w:r>
        <w:rPr>
          <w:rFonts w:ascii="Consolas" w:hAnsi="Consolas"/>
          <w:sz w:val="14"/>
        </w:rPr>
        <w:t>| Descripción | Unidad normativa atómica, trazable a decisión. |</w:t>
      </w:r>
    </w:p>
    <w:p>
      <w:pPr>
        <w:spacing w:after="20" w:line="240" w:lineRule="auto"/>
      </w:pPr>
      <w:r>
        <w:rPr>
          <w:rFonts w:ascii="Consolas" w:hAnsi="Consolas"/>
          <w:sz w:val="14"/>
        </w:rPr>
        <w:t>| Atributos obligatorios | enunciado, sujeto, condición, criterio_conformidad, alcance, decisión_origen, versión, vigencia |</w:t>
      </w:r>
    </w:p>
    <w:p>
      <w:pPr>
        <w:spacing w:after="20" w:line="240" w:lineRule="auto"/>
      </w:pPr>
      <w:r>
        <w:rPr>
          <w:rFonts w:ascii="Consolas" w:hAnsi="Consolas"/>
          <w:sz w:val="14"/>
        </w:rPr>
        <w:t>| Relaciones permitidas | `creado_por Decisión`; `expresado_en Documento`; `implementado_por Componente/Formulario`; `verificado_por Validación/Auditoría` |</w:t>
      </w:r>
    </w:p>
    <w:p>
      <w:pPr>
        <w:spacing w:after="20" w:line="240" w:lineRule="auto"/>
      </w:pPr>
      <w:r>
        <w:rPr>
          <w:rFonts w:ascii="Consolas" w:hAnsi="Consolas"/>
          <w:sz w:val="14"/>
        </w:rPr>
        <w:t>| Restricciones | Atómico, no ambiguo y verificable; no existe sin decisión aprobada. |</w:t>
      </w:r>
    </w:p>
    <w:p>
      <w:pPr>
        <w:spacing w:after="20" w:line="240" w:lineRule="auto"/>
      </w:pPr>
      <w:r>
        <w:rPr>
          <w:rFonts w:ascii="Consolas" w:hAnsi="Consolas"/>
          <w:sz w:val="14"/>
        </w:rPr>
        <w:t>| Ciclo de vida | propuesto → revisado → aprobado → vigente → suspendido/sustituido/retirado |</w:t>
      </w:r>
    </w:p>
    <w:p>
      <w:pPr>
        <w:spacing w:after="20" w:line="240" w:lineRule="auto"/>
      </w:pPr>
      <w:r>
        <w:rPr>
          <w:rFonts w:ascii="Consolas" w:hAnsi="Consolas"/>
          <w:sz w:val="14"/>
        </w:rPr>
        <w:t>| Dependencias | Decisión, términos ontológicos y regla aplicable. |</w:t>
      </w:r>
    </w:p>
    <w:p>
      <w:pPr>
        <w:spacing w:after="20" w:line="240" w:lineRule="auto"/>
      </w:pPr>
      <w:r>
        <w:rPr>
          <w:rFonts w:ascii="Consolas" w:hAnsi="Consolas"/>
          <w:sz w:val="14"/>
        </w:rPr>
        <w:t>| Documentos que la contienen | Standard y anexos normativos. |</w:t>
      </w:r>
    </w:p>
    <w:p>
      <w:pPr>
        <w:spacing w:after="20" w:line="240" w:lineRule="auto"/>
      </w:pPr>
      <w:r>
        <w:rPr>
          <w:rFonts w:ascii="Consolas" w:hAnsi="Consolas"/>
          <w:sz w:val="14"/>
        </w:rPr>
        <w:t>| Decisiones que la crean | Decisión científica o institucional competente. |</w:t>
      </w:r>
    </w:p>
    <w:p>
      <w:pPr>
        <w:spacing w:after="20" w:line="240" w:lineRule="auto"/>
      </w:pPr>
      <w:r>
        <w:rPr>
          <w:rFonts w:ascii="Consolas" w:hAnsi="Consolas"/>
          <w:sz w:val="14"/>
        </w:rPr>
        <w:t>| Versionado | Cambios de obligación requieren versión y análisis de transición. |</w:t>
      </w:r>
    </w:p>
    <w:p>
      <w:pPr>
        <w:spacing w:after="40"/>
      </w:pPr>
    </w:p>
    <w:p>
      <w:pPr>
        <w:pStyle w:val="Heading3"/>
      </w:pPr>
      <w:r>
        <w:t>E32 — Anexo</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`GOEI-ANX-NNNN` |</w:t>
      </w:r>
    </w:p>
    <w:p>
      <w:pPr>
        <w:spacing w:after="20" w:line="240" w:lineRule="auto"/>
      </w:pPr>
      <w:r>
        <w:rPr>
          <w:rFonts w:ascii="Consolas" w:hAnsi="Consolas"/>
          <w:sz w:val="14"/>
        </w:rPr>
        <w:t>| Propósito | Contener material complementario identificado como normativo o informativo. |</w:t>
      </w:r>
    </w:p>
    <w:p>
      <w:pPr>
        <w:spacing w:after="20" w:line="240" w:lineRule="auto"/>
      </w:pPr>
      <w:r>
        <w:rPr>
          <w:rFonts w:ascii="Consolas" w:hAnsi="Consolas"/>
          <w:sz w:val="14"/>
        </w:rPr>
        <w:t>| Descripción | Documento dependiente de uno principal. |</w:t>
      </w:r>
    </w:p>
    <w:p>
      <w:pPr>
        <w:spacing w:after="20" w:line="240" w:lineRule="auto"/>
      </w:pPr>
      <w:r>
        <w:rPr>
          <w:rFonts w:ascii="Consolas" w:hAnsi="Consolas"/>
          <w:sz w:val="14"/>
        </w:rPr>
        <w:t>| Atributos obligatorios | documento_principal, naturaleza, alcance, versión_fuente, estado, idioma |</w:t>
      </w:r>
    </w:p>
    <w:p>
      <w:pPr>
        <w:spacing w:after="20" w:line="240" w:lineRule="auto"/>
      </w:pPr>
      <w:r>
        <w:rPr>
          <w:rFonts w:ascii="Consolas" w:hAnsi="Consolas"/>
          <w:sz w:val="14"/>
        </w:rPr>
        <w:t>| Relaciones permitidas | `anexo_de Documento/Standard/Manual`; `contiene Componente/Ejemplo`; `traduce Anexo` |</w:t>
      </w:r>
    </w:p>
    <w:p>
      <w:pPr>
        <w:spacing w:after="20" w:line="240" w:lineRule="auto"/>
      </w:pPr>
      <w:r>
        <w:rPr>
          <w:rFonts w:ascii="Consolas" w:hAnsi="Consolas"/>
          <w:sz w:val="14"/>
        </w:rPr>
        <w:t>| Restricciones | No existe sin propietario; naturaleza explícita; no contradice documento principal. |</w:t>
      </w:r>
    </w:p>
    <w:p>
      <w:pPr>
        <w:spacing w:after="20" w:line="240" w:lineRule="auto"/>
      </w:pPr>
      <w:r>
        <w:rPr>
          <w:rFonts w:ascii="Consolas" w:hAnsi="Consolas"/>
          <w:sz w:val="14"/>
        </w:rPr>
        <w:t>| Ciclo de vida | borrador → revisión → aprobado → publicado → sustituido/retirado |</w:t>
      </w:r>
    </w:p>
    <w:p>
      <w:pPr>
        <w:spacing w:after="20" w:line="240" w:lineRule="auto"/>
      </w:pPr>
      <w:r>
        <w:rPr>
          <w:rFonts w:ascii="Consolas" w:hAnsi="Consolas"/>
          <w:sz w:val="14"/>
        </w:rPr>
        <w:t>| Dependencias | Documento principal y componentes. |</w:t>
      </w:r>
    </w:p>
    <w:p>
      <w:pPr>
        <w:spacing w:after="20" w:line="240" w:lineRule="auto"/>
      </w:pPr>
      <w:r>
        <w:rPr>
          <w:rFonts w:ascii="Consolas" w:hAnsi="Consolas"/>
          <w:sz w:val="14"/>
        </w:rPr>
        <w:t>| Documentos que la contienen | compilación o paquete de release. |</w:t>
      </w:r>
    </w:p>
    <w:p>
      <w:pPr>
        <w:spacing w:after="20" w:line="240" w:lineRule="auto"/>
      </w:pPr>
      <w:r>
        <w:rPr>
          <w:rFonts w:ascii="Consolas" w:hAnsi="Consolas"/>
          <w:sz w:val="14"/>
        </w:rPr>
        <w:t>| Decisiones que la crean | Si normativo, decisión; si informativo, autorización editorial. |</w:t>
      </w:r>
    </w:p>
    <w:p>
      <w:pPr>
        <w:spacing w:after="20" w:line="240" w:lineRule="auto"/>
      </w:pPr>
      <w:r>
        <w:rPr>
          <w:rFonts w:ascii="Consolas" w:hAnsi="Consolas"/>
          <w:sz w:val="14"/>
        </w:rPr>
        <w:t>| Versionado | Ligado a versión principal y con identidad propia. |</w:t>
      </w:r>
    </w:p>
    <w:p>
      <w:pPr>
        <w:spacing w:after="40"/>
      </w:pPr>
    </w:p>
    <w:p>
      <w:pPr>
        <w:pStyle w:val="Heading3"/>
      </w:pPr>
      <w:r>
        <w:t>E33 — Agente</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`GOEI-AGT-NNNN` |</w:t>
      </w:r>
    </w:p>
    <w:p>
      <w:pPr>
        <w:spacing w:after="20" w:line="240" w:lineRule="auto"/>
      </w:pPr>
      <w:r>
        <w:rPr>
          <w:rFonts w:ascii="Consolas" w:hAnsi="Consolas"/>
          <w:sz w:val="14"/>
        </w:rPr>
        <w:t>| Propósito | Atribuir creación, revisión, aprobación, custodia o ejecución. |</w:t>
      </w:r>
    </w:p>
    <w:p>
      <w:pPr>
        <w:spacing w:after="20" w:line="240" w:lineRule="auto"/>
      </w:pPr>
      <w:r>
        <w:rPr>
          <w:rFonts w:ascii="Consolas" w:hAnsi="Consolas"/>
          <w:sz w:val="14"/>
        </w:rPr>
        <w:t>| Descripción | Persona, sistema o rol actuante en el grafo de conocimiento; separado del Agente del dominio cuando corresponda. |</w:t>
      </w:r>
    </w:p>
    <w:p>
      <w:pPr>
        <w:spacing w:after="20" w:line="240" w:lineRule="auto"/>
      </w:pPr>
      <w:r>
        <w:rPr>
          <w:rFonts w:ascii="Consolas" w:hAnsi="Consolas"/>
          <w:sz w:val="14"/>
        </w:rPr>
        <w:t>| Atributos obligatorios | tipo, nombre_o_seudónimo, roles, afiliación, periodo_rol, identificador_externo, estado |</w:t>
      </w:r>
    </w:p>
    <w:p>
      <w:pPr>
        <w:spacing w:after="20" w:line="240" w:lineRule="auto"/>
      </w:pPr>
      <w:r>
        <w:rPr>
          <w:rFonts w:ascii="Consolas" w:hAnsi="Consolas"/>
          <w:sz w:val="14"/>
        </w:rPr>
        <w:t>| Relaciones permitidas | `miembro_de Organización`; `crea/revisa/aprueba Elemento`; `declara_conflicto`; `custodia Evidencia` |</w:t>
      </w:r>
    </w:p>
    <w:p>
      <w:pPr>
        <w:spacing w:after="20" w:line="240" w:lineRule="auto"/>
      </w:pPr>
      <w:r>
        <w:rPr>
          <w:rFonts w:ascii="Consolas" w:hAnsi="Consolas"/>
          <w:sz w:val="14"/>
        </w:rPr>
        <w:t>| Restricciones | Acción atribuida al rol vigente; privacidad según política; sistema no asume autoridad humana. |</w:t>
      </w:r>
    </w:p>
    <w:p>
      <w:pPr>
        <w:spacing w:after="20" w:line="240" w:lineRule="auto"/>
      </w:pPr>
      <w:r>
        <w:rPr>
          <w:rFonts w:ascii="Consolas" w:hAnsi="Consolas"/>
          <w:sz w:val="14"/>
        </w:rPr>
        <w:t>| Ciclo de vida | registrado → activo → suspendido/inactivo → archivado |</w:t>
      </w:r>
    </w:p>
    <w:p>
      <w:pPr>
        <w:spacing w:after="20" w:line="240" w:lineRule="auto"/>
      </w:pPr>
      <w:r>
        <w:rPr>
          <w:rFonts w:ascii="Consolas" w:hAnsi="Consolas"/>
          <w:sz w:val="14"/>
        </w:rPr>
        <w:t>| Dependencias | Rol y organización cuando aplique. |</w:t>
      </w:r>
    </w:p>
    <w:p>
      <w:pPr>
        <w:spacing w:after="20" w:line="240" w:lineRule="auto"/>
      </w:pPr>
      <w:r>
        <w:rPr>
          <w:rFonts w:ascii="Consolas" w:hAnsi="Consolas"/>
          <w:sz w:val="14"/>
        </w:rPr>
        <w:t>| Documentos que la contienen | registros de gobernanza y procedencia. |</w:t>
      </w:r>
    </w:p>
    <w:p>
      <w:pPr>
        <w:spacing w:after="20" w:line="240" w:lineRule="auto"/>
      </w:pPr>
      <w:r>
        <w:rPr>
          <w:rFonts w:ascii="Consolas" w:hAnsi="Consolas"/>
          <w:sz w:val="14"/>
        </w:rPr>
        <w:t>| Decisiones que la crean | No aplica. |</w:t>
      </w:r>
    </w:p>
    <w:p>
      <w:pPr>
        <w:spacing w:after="20" w:line="240" w:lineRule="auto"/>
      </w:pPr>
      <w:r>
        <w:rPr>
          <w:rFonts w:ascii="Consolas" w:hAnsi="Consolas"/>
          <w:sz w:val="14"/>
        </w:rPr>
        <w:t>| Versionado | Cambios de afiliación/rol son eventos temporales, no reescritura. |</w:t>
      </w:r>
    </w:p>
    <w:p>
      <w:pPr>
        <w:spacing w:after="40"/>
      </w:pPr>
    </w:p>
    <w:p>
      <w:pPr>
        <w:pStyle w:val="Heading3"/>
      </w:pPr>
      <w:r>
        <w:t>E34 — Organización</w:t>
      </w:r>
    </w:p>
    <w:p>
      <w:pPr>
        <w:spacing w:after="40"/>
      </w:pPr>
    </w:p>
    <w:p>
      <w:pPr>
        <w:spacing w:after="20" w:line="240" w:lineRule="auto"/>
      </w:pPr>
      <w:r>
        <w:rPr>
          <w:rFonts w:ascii="Consolas" w:hAnsi="Consolas"/>
          <w:sz w:val="14"/>
        </w:rPr>
        <w:t>| Campo | Definición |</w:t>
      </w:r>
    </w:p>
    <w:p>
      <w:pPr>
        <w:spacing w:after="20" w:line="240" w:lineRule="auto"/>
      </w:pPr>
      <w:r>
        <w:rPr>
          <w:rFonts w:ascii="Consolas" w:hAnsi="Consolas"/>
          <w:sz w:val="14"/>
        </w:rPr>
        <w:t>|---|---|</w:t>
      </w:r>
    </w:p>
    <w:p>
      <w:pPr>
        <w:spacing w:after="20" w:line="240" w:lineRule="auto"/>
      </w:pPr>
      <w:r>
        <w:rPr>
          <w:rFonts w:ascii="Consolas" w:hAnsi="Consolas"/>
          <w:sz w:val="14"/>
        </w:rPr>
        <w:t>| Identificador | `GOEI-ORG-NNNN` |</w:t>
      </w:r>
    </w:p>
    <w:p>
      <w:pPr>
        <w:spacing w:after="20" w:line="240" w:lineRule="auto"/>
      </w:pPr>
      <w:r>
        <w:rPr>
          <w:rFonts w:ascii="Consolas" w:hAnsi="Consolas"/>
          <w:sz w:val="14"/>
        </w:rPr>
        <w:t>| Propósito | Representar órganos, instituciones y custodios con autoridad o responsabilidad. |</w:t>
      </w:r>
    </w:p>
    <w:p>
      <w:pPr>
        <w:spacing w:after="20" w:line="240" w:lineRule="auto"/>
      </w:pPr>
      <w:r>
        <w:rPr>
          <w:rFonts w:ascii="Consolas" w:hAnsi="Consolas"/>
          <w:sz w:val="14"/>
        </w:rPr>
        <w:t>| Descripción | Entidad colectiva con mandato y periodo de vigencia. |</w:t>
      </w:r>
    </w:p>
    <w:p>
      <w:pPr>
        <w:spacing w:after="20" w:line="240" w:lineRule="auto"/>
      </w:pPr>
      <w:r>
        <w:rPr>
          <w:rFonts w:ascii="Consolas" w:hAnsi="Consolas"/>
          <w:sz w:val="14"/>
        </w:rPr>
        <w:t>| Atributos obligatorios | nombre, tipo, mandato, autoridad, composición, vigencia, jurisdicción, estado |</w:t>
      </w:r>
    </w:p>
    <w:p>
      <w:pPr>
        <w:spacing w:after="20" w:line="240" w:lineRule="auto"/>
      </w:pPr>
      <w:r>
        <w:rPr>
          <w:rFonts w:ascii="Consolas" w:hAnsi="Consolas"/>
          <w:sz w:val="14"/>
        </w:rPr>
        <w:t>| Relaciones permitidas | `establecida_por Constitución/Decisión`; `tiene_miembro Agente`; `aprueba/custodia Elemento`; `sucede_a Organización` |</w:t>
      </w:r>
    </w:p>
    <w:p>
      <w:pPr>
        <w:spacing w:after="20" w:line="240" w:lineRule="auto"/>
      </w:pPr>
      <w:r>
        <w:rPr>
          <w:rFonts w:ascii="Consolas" w:hAnsi="Consolas"/>
          <w:sz w:val="14"/>
        </w:rPr>
        <w:t>| Restricciones | Autoridad explícita y temporal; no inferida por autoría. |</w:t>
      </w:r>
    </w:p>
    <w:p>
      <w:pPr>
        <w:spacing w:after="20" w:line="240" w:lineRule="auto"/>
      </w:pPr>
      <w:r>
        <w:rPr>
          <w:rFonts w:ascii="Consolas" w:hAnsi="Consolas"/>
          <w:sz w:val="14"/>
        </w:rPr>
        <w:t>| Ciclo de vida | propuesta → constituida → activa → reorganizada/disuelta → archivada |</w:t>
      </w:r>
    </w:p>
    <w:p>
      <w:pPr>
        <w:spacing w:after="20" w:line="240" w:lineRule="auto"/>
      </w:pPr>
      <w:r>
        <w:rPr>
          <w:rFonts w:ascii="Consolas" w:hAnsi="Consolas"/>
          <w:sz w:val="14"/>
        </w:rPr>
        <w:t>| Dependencias | Constitución o acto institucional. |</w:t>
      </w:r>
    </w:p>
    <w:p>
      <w:pPr>
        <w:spacing w:after="20" w:line="240" w:lineRule="auto"/>
      </w:pPr>
      <w:r>
        <w:rPr>
          <w:rFonts w:ascii="Consolas" w:hAnsi="Consolas"/>
          <w:sz w:val="14"/>
        </w:rPr>
        <w:t>| Documentos que la contienen | constitución, política y registros. |</w:t>
      </w:r>
    </w:p>
    <w:p>
      <w:pPr>
        <w:spacing w:after="20" w:line="240" w:lineRule="auto"/>
      </w:pPr>
      <w:r>
        <w:rPr>
          <w:rFonts w:ascii="Consolas" w:hAnsi="Consolas"/>
          <w:sz w:val="14"/>
        </w:rPr>
        <w:t>| Decisiones que la crean | Acto institucional competente. |</w:t>
      </w:r>
    </w:p>
    <w:p>
      <w:pPr>
        <w:spacing w:after="20" w:line="240" w:lineRule="auto"/>
      </w:pPr>
      <w:r>
        <w:rPr>
          <w:rFonts w:ascii="Consolas" w:hAnsi="Consolas"/>
          <w:sz w:val="14"/>
        </w:rPr>
        <w:t>| Versionado | Mandato versionado; identidad institucional persistente salvo sucesión. |</w:t>
      </w:r>
    </w:p>
    <w:p>
      <w:pPr>
        <w:spacing w:after="40"/>
      </w:pPr>
    </w:p>
    <w:p>
      <w:pPr>
        <w:pStyle w:val="Heading3"/>
      </w:pPr>
      <w:r>
        <w:t>Resumen de cobertura</w:t>
      </w:r>
    </w:p>
    <w:p>
      <w:pPr>
        <w:spacing w:after="40"/>
      </w:pPr>
    </w:p>
    <w:p>
      <w:r>
        <w:t>Las 34 entidades cubren todas las solicitadas y añaden únicamente las necesarias para autoridad (Agente, Organización), atomicidad normativa (Requisito), empaquetado (Anexo, Línea base, Release, Formulario) y distinción entre Framework y corpus (GOEI Standard). Ninguna añade contenido científico.</w:t>
      </w:r>
    </w:p>
    <w:p>
      <w:r>
        <w:br w:type="page"/>
      </w:r>
    </w:p>
    <w:p>
      <w:pPr>
        <w:pStyle w:val="Heading1"/>
        <w:keepNext/>
      </w:pPr>
      <w:r>
        <w:t>Fuente 109: 09_Manual_tecnico_general/EPIC-001_GOEI_Knowledge_Graph/04_Diccionario_de_relaciones.md</w:t>
      </w:r>
    </w:p>
    <w:p>
      <w:pPr>
        <w:spacing w:after="200"/>
      </w:pPr>
      <w:r>
        <w:rPr>
          <w:rFonts w:ascii="Consolas" w:hAnsi="Consolas"/>
          <w:color w:val="595959"/>
          <w:sz w:val="16"/>
        </w:rPr>
        <w:t>Ruta: 09_Manual_tecnico_general/EPIC-001_GOEI_Knowledge_Graph/04_Diccionario_de_relaciones.md</w:t>
        <w:br/>
        <w:t>Tamaño: 7211 bytes</w:t>
        <w:br/>
        <w:t>SHA-256: 3a1fc348332dcfd250e2fd6284bde10334bbaa6b58653dcce6e8a821824ccfe6</w:t>
      </w:r>
    </w:p>
    <w:p>
      <w:pPr>
        <w:pStyle w:val="Heading2"/>
      </w:pPr>
      <w:r>
        <w:t>Diccionario de relaciones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GOEI-DD-REL-0001 |</w:t>
      </w:r>
    </w:p>
    <w:p>
      <w:pPr>
        <w:spacing w:after="20" w:line="240" w:lineRule="auto"/>
      </w:pPr>
      <w:r>
        <w:rPr>
          <w:rFonts w:ascii="Consolas" w:hAnsi="Consolas"/>
          <w:sz w:val="14"/>
        </w:rPr>
        <w:t>| Estado | Propuesta arquitectónica |</w:t>
      </w:r>
    </w:p>
    <w:p>
      <w:pPr>
        <w:spacing w:after="20" w:line="240" w:lineRule="auto"/>
      </w:pPr>
      <w:r>
        <w:rPr>
          <w:rFonts w:ascii="Consolas" w:hAnsi="Consolas"/>
          <w:sz w:val="14"/>
        </w:rPr>
        <w:t>| Versión | 0.1.0-draft |</w:t>
      </w:r>
    </w:p>
    <w:p>
      <w:pPr>
        <w:spacing w:after="40"/>
      </w:pPr>
    </w:p>
    <w:p>
      <w:r>
        <w:t>Cada relación posee ID, dominio, rango, cardinalidad, inversa, procedencia y vigencia. * significa cero o más; +, uno o más.</w:t>
      </w:r>
    </w:p>
    <w:p>
      <w:pPr>
        <w:spacing w:after="40"/>
      </w:pPr>
    </w:p>
    <w:p>
      <w:pPr>
        <w:spacing w:after="20" w:line="240" w:lineRule="auto"/>
      </w:pPr>
      <w:r>
        <w:rPr>
          <w:rFonts w:ascii="Consolas" w:hAnsi="Consolas"/>
          <w:sz w:val="14"/>
        </w:rPr>
        <w:t>| ID | Relación | Dominio → Rango | Cardinalidad por sujeto | Inversa | Restricción esencial |</w:t>
      </w:r>
    </w:p>
    <w:p>
      <w:pPr>
        <w:spacing w:after="20" w:line="240" w:lineRule="auto"/>
      </w:pPr>
      <w:r>
        <w:rPr>
          <w:rFonts w:ascii="Consolas" w:hAnsi="Consolas"/>
          <w:sz w:val="14"/>
        </w:rPr>
        <w:t>|---|---|---|---|---|---|</w:t>
      </w:r>
    </w:p>
    <w:p>
      <w:pPr>
        <w:spacing w:after="20" w:line="240" w:lineRule="auto"/>
      </w:pPr>
      <w:r>
        <w:rPr>
          <w:rFonts w:ascii="Consolas" w:hAnsi="Consolas"/>
          <w:sz w:val="14"/>
        </w:rPr>
        <w:t>| R001 | `extraída_de` | Evidencia → Fuente | 1 | `contiene_evidencia` | localización exacta obligatoria |</w:t>
      </w:r>
    </w:p>
    <w:p>
      <w:pPr>
        <w:spacing w:after="20" w:line="240" w:lineRule="auto"/>
      </w:pPr>
      <w:r>
        <w:rPr>
          <w:rFonts w:ascii="Consolas" w:hAnsi="Consolas"/>
          <w:sz w:val="14"/>
        </w:rPr>
        <w:t>| R002 | `produce` | Investigación/Validación → Evidencia/Observación/Documento | 1..* | `producida_por` | producto atribuible a actividad y versión |</w:t>
      </w:r>
    </w:p>
    <w:p>
      <w:pPr>
        <w:spacing w:after="20" w:line="240" w:lineRule="auto"/>
      </w:pPr>
      <w:r>
        <w:rPr>
          <w:rFonts w:ascii="Consolas" w:hAnsi="Consolas"/>
          <w:sz w:val="14"/>
        </w:rPr>
        <w:t>| R003 | `formula` | Investigación/Debate → Hipótesis | 0..* | `formulada_en` | no implica aceptación |</w:t>
      </w:r>
    </w:p>
    <w:p>
      <w:pPr>
        <w:spacing w:after="20" w:line="240" w:lineRule="auto"/>
      </w:pPr>
      <w:r>
        <w:rPr>
          <w:rFonts w:ascii="Consolas" w:hAnsi="Consolas"/>
          <w:sz w:val="14"/>
        </w:rPr>
        <w:t>| R004 | `responde` | Investigación/Decisión → Pregunta | 0..* | `respondida_por` | cierre exige respuesta verificable |</w:t>
      </w:r>
    </w:p>
    <w:p>
      <w:pPr>
        <w:spacing w:after="20" w:line="240" w:lineRule="auto"/>
      </w:pPr>
      <w:r>
        <w:rPr>
          <w:rFonts w:ascii="Consolas" w:hAnsi="Consolas"/>
          <w:sz w:val="14"/>
        </w:rPr>
        <w:t>| R005 | `sustenta` | Evidencia → Hipótesis/Decisión/Aserción | 0..* | `sustentada_por` | alcance de soporte explícito |</w:t>
      </w:r>
    </w:p>
    <w:p>
      <w:pPr>
        <w:spacing w:after="20" w:line="240" w:lineRule="auto"/>
      </w:pPr>
      <w:r>
        <w:rPr>
          <w:rFonts w:ascii="Consolas" w:hAnsi="Consolas"/>
          <w:sz w:val="14"/>
        </w:rPr>
        <w:t>| R006 | `contradice` | Evidencia → Hipótesis/Aserción | 0..* | `contradicha_por` | no infiere rechazo automático |</w:t>
      </w:r>
    </w:p>
    <w:p>
      <w:pPr>
        <w:spacing w:after="20" w:line="240" w:lineRule="auto"/>
      </w:pPr>
      <w:r>
        <w:rPr>
          <w:rFonts w:ascii="Consolas" w:hAnsi="Consolas"/>
          <w:sz w:val="14"/>
        </w:rPr>
        <w:t>| R007 | `discute` | Debate → Hipótesis/Pregunta/Propuesta | 1..* | `discutida_en` | posiciones atribuidas |</w:t>
      </w:r>
    </w:p>
    <w:p>
      <w:pPr>
        <w:spacing w:after="20" w:line="240" w:lineRule="auto"/>
      </w:pPr>
      <w:r>
        <w:rPr>
          <w:rFonts w:ascii="Consolas" w:hAnsi="Consolas"/>
          <w:sz w:val="14"/>
        </w:rPr>
        <w:t>| R008 | `informa` | Investigación/Debate/Revisión/Validación → Decisión | 0..* | `informada_por` | no equivale a crear/aprobar |</w:t>
      </w:r>
    </w:p>
    <w:p>
      <w:pPr>
        <w:spacing w:after="20" w:line="240" w:lineRule="auto"/>
      </w:pPr>
      <w:r>
        <w:rPr>
          <w:rFonts w:ascii="Consolas" w:hAnsi="Consolas"/>
          <w:sz w:val="14"/>
        </w:rPr>
        <w:t>| R009 | `acepta` | Decisión → Hipótesis/Propuesta | 0..* | `aceptada_por` | decisión aprobada requerida |</w:t>
      </w:r>
    </w:p>
    <w:p>
      <w:pPr>
        <w:spacing w:after="20" w:line="240" w:lineRule="auto"/>
      </w:pPr>
      <w:r>
        <w:rPr>
          <w:rFonts w:ascii="Consolas" w:hAnsi="Consolas"/>
          <w:sz w:val="14"/>
        </w:rPr>
        <w:t>| R010 | `rechaza` | Decisión → Hipótesis/Propuesta/Componente | 0..* | `rechazada_por` | conservar objetivo rechazado |</w:t>
      </w:r>
    </w:p>
    <w:p>
      <w:pPr>
        <w:spacing w:after="20" w:line="240" w:lineRule="auto"/>
      </w:pPr>
      <w:r>
        <w:rPr>
          <w:rFonts w:ascii="Consolas" w:hAnsi="Consolas"/>
          <w:sz w:val="14"/>
        </w:rPr>
        <w:t>| R011 | `crea` | Decisión → Componente/Requisito/Regla | 0..* | `creado_por` | decisión con autoridad y estado aprobado |</w:t>
      </w:r>
    </w:p>
    <w:p>
      <w:pPr>
        <w:spacing w:after="20" w:line="240" w:lineRule="auto"/>
      </w:pPr>
      <w:r>
        <w:rPr>
          <w:rFonts w:ascii="Consolas" w:hAnsi="Consolas"/>
          <w:sz w:val="14"/>
        </w:rPr>
        <w:t>| R012 | `modifica` | Decisión/RegistroCambio → Componente/Documento | 0..* | `modificado_por` | versión anterior preservada |</w:t>
      </w:r>
    </w:p>
    <w:p>
      <w:pPr>
        <w:spacing w:after="20" w:line="240" w:lineRule="auto"/>
      </w:pPr>
      <w:r>
        <w:rPr>
          <w:rFonts w:ascii="Consolas" w:hAnsi="Consolas"/>
          <w:sz w:val="14"/>
        </w:rPr>
        <w:t>| R013 | `retira` | Decisión → Componente/Requisito/Regla | 0..* | `retirado_por` | fecha efectiva obligatoria |</w:t>
      </w:r>
    </w:p>
    <w:p>
      <w:pPr>
        <w:spacing w:after="20" w:line="240" w:lineRule="auto"/>
      </w:pPr>
      <w:r>
        <w:rPr>
          <w:rFonts w:ascii="Consolas" w:hAnsi="Consolas"/>
          <w:sz w:val="14"/>
        </w:rPr>
        <w:t>| R014 | `sustituye` | Entidad versionable/Decisión → misma clase | 0..1 | `sustituida_por` | acíclica; identidad objetivo distinta o versión previa |</w:t>
      </w:r>
    </w:p>
    <w:p>
      <w:pPr>
        <w:spacing w:after="20" w:line="240" w:lineRule="auto"/>
      </w:pPr>
      <w:r>
        <w:rPr>
          <w:rFonts w:ascii="Consolas" w:hAnsi="Consolas"/>
          <w:sz w:val="14"/>
        </w:rPr>
        <w:t>| R015 | `depende_de` | Componente/Documento → Elemento | 0..* | `es_dependencia_de` | tipo y versión de dependencia explícitos |</w:t>
      </w:r>
    </w:p>
    <w:p>
      <w:pPr>
        <w:spacing w:after="20" w:line="240" w:lineRule="auto"/>
      </w:pPr>
      <w:r>
        <w:rPr>
          <w:rFonts w:ascii="Consolas" w:hAnsi="Consolas"/>
          <w:sz w:val="14"/>
        </w:rPr>
        <w:t>| R016 | `implementa` | Componente/Fórmula/Formulario → Regla/Requisito | 0..* | `implementado_por` | no amplía contrato fuente |</w:t>
      </w:r>
    </w:p>
    <w:p>
      <w:pPr>
        <w:spacing w:after="20" w:line="240" w:lineRule="auto"/>
      </w:pPr>
      <w:r>
        <w:rPr>
          <w:rFonts w:ascii="Consolas" w:hAnsi="Consolas"/>
          <w:sz w:val="14"/>
        </w:rPr>
        <w:t>| R017 | `se_expresa_en` | Componente/Requisito/Regla → Documento | 1..* vigente | `expresa` | al menos un documento canónico para elemento vigente |</w:t>
      </w:r>
    </w:p>
    <w:p>
      <w:pPr>
        <w:spacing w:after="20" w:line="240" w:lineRule="auto"/>
      </w:pPr>
      <w:r>
        <w:rPr>
          <w:rFonts w:ascii="Consolas" w:hAnsi="Consolas"/>
          <w:sz w:val="14"/>
        </w:rPr>
        <w:t>| R018 | `contiene` | Documento/Manual/Anexo/BOK → Elemento | 0..* | `contenido_en` | contención no confiere autoridad |</w:t>
      </w:r>
    </w:p>
    <w:p>
      <w:pPr>
        <w:spacing w:after="20" w:line="240" w:lineRule="auto"/>
      </w:pPr>
      <w:r>
        <w:rPr>
          <w:rFonts w:ascii="Consolas" w:hAnsi="Consolas"/>
          <w:sz w:val="14"/>
        </w:rPr>
        <w:t>| R019 | `integra` | GOEI Standard/BOK → Documento/Componente | 1..* | `integrado_en` | Standard solo integra aprobados |</w:t>
      </w:r>
    </w:p>
    <w:p>
      <w:pPr>
        <w:spacing w:after="20" w:line="240" w:lineRule="auto"/>
      </w:pPr>
      <w:r>
        <w:rPr>
          <w:rFonts w:ascii="Consolas" w:hAnsi="Consolas"/>
          <w:sz w:val="14"/>
        </w:rPr>
        <w:t>| R020 | `deriva_de` | Manual/Formulario/Publicación/Tesis/BOK → Elemento | 1..* | `origina_derivado` | dirección de autoridad no reversible |</w:t>
      </w:r>
    </w:p>
    <w:p>
      <w:pPr>
        <w:spacing w:after="20" w:line="240" w:lineRule="auto"/>
      </w:pPr>
      <w:r>
        <w:rPr>
          <w:rFonts w:ascii="Consolas" w:hAnsi="Consolas"/>
          <w:sz w:val="14"/>
        </w:rPr>
        <w:t>| R021 | `explica` | Manual/BOK → Standard/Componente/Regla | 1..* | `explicado_por` | no agrega requisitos |</w:t>
      </w:r>
    </w:p>
    <w:p>
      <w:pPr>
        <w:spacing w:after="20" w:line="240" w:lineRule="auto"/>
      </w:pPr>
      <w:r>
        <w:rPr>
          <w:rFonts w:ascii="Consolas" w:hAnsi="Consolas"/>
          <w:sz w:val="14"/>
        </w:rPr>
        <w:t>| R022 | `aplica_a` | KPI/Manual/Formulario/Regla → Taxonomía/Proceso | 0..* | `tiene_aplicable` | alcance y versión explícitos |</w:t>
      </w:r>
    </w:p>
    <w:p>
      <w:pPr>
        <w:spacing w:after="20" w:line="240" w:lineRule="auto"/>
      </w:pPr>
      <w:r>
        <w:rPr>
          <w:rFonts w:ascii="Consolas" w:hAnsi="Consolas"/>
          <w:sz w:val="14"/>
        </w:rPr>
        <w:t>| R023 | `define` | Ontología/Taxonomía/Documento → Entidad/Concepto | 1..* | `definido_por` | una definición canónica vigente por idioma/versión |</w:t>
      </w:r>
    </w:p>
    <w:p>
      <w:pPr>
        <w:spacing w:after="20" w:line="240" w:lineRule="auto"/>
      </w:pPr>
      <w:r>
        <w:rPr>
          <w:rFonts w:ascii="Consolas" w:hAnsi="Consolas"/>
          <w:sz w:val="14"/>
        </w:rPr>
        <w:t>| R024 | `parte_de` | Componente/Proceso/Anexo → misma familia/Documento | 0..1 | `tiene_parte` | acíclica |</w:t>
      </w:r>
    </w:p>
    <w:p>
      <w:pPr>
        <w:spacing w:after="20" w:line="240" w:lineRule="auto"/>
      </w:pPr>
      <w:r>
        <w:rPr>
          <w:rFonts w:ascii="Consolas" w:hAnsi="Consolas"/>
          <w:sz w:val="14"/>
        </w:rPr>
        <w:t>| R025 | `relacionado_con` | KPI → Proceso/Componente | 1..* | `tiene_indicador` | no implica causalidad |</w:t>
      </w:r>
    </w:p>
    <w:p>
      <w:pPr>
        <w:spacing w:after="20" w:line="240" w:lineRule="auto"/>
      </w:pPr>
      <w:r>
        <w:rPr>
          <w:rFonts w:ascii="Consolas" w:hAnsi="Consolas"/>
          <w:sz w:val="14"/>
        </w:rPr>
        <w:t>| R026 | `usa` | Investigación/Fórmula/Validación → Fuente/Regla/Componente/Observación | 0..* | `usado_por` | versión exacta cuando sea versionable |</w:t>
      </w:r>
    </w:p>
    <w:p>
      <w:pPr>
        <w:spacing w:after="20" w:line="240" w:lineRule="auto"/>
      </w:pPr>
      <w:r>
        <w:rPr>
          <w:rFonts w:ascii="Consolas" w:hAnsi="Consolas"/>
          <w:sz w:val="14"/>
        </w:rPr>
        <w:t>| R027 | `valida` | Validación → Elemento/Versión/LíneaBase | 1..* | `validado_por` | resultado, alcance y método explícitos |</w:t>
      </w:r>
    </w:p>
    <w:p>
      <w:pPr>
        <w:spacing w:after="20" w:line="240" w:lineRule="auto"/>
      </w:pPr>
      <w:r>
        <w:rPr>
          <w:rFonts w:ascii="Consolas" w:hAnsi="Consolas"/>
          <w:sz w:val="14"/>
        </w:rPr>
        <w:t>| R028 | `no_valida` | Validación → Elemento/Versión/LíneaBase | 0..* | `no_validado_por` | no elimina el objeto; crea issue si bloquea |</w:t>
      </w:r>
    </w:p>
    <w:p>
      <w:pPr>
        <w:spacing w:after="20" w:line="240" w:lineRule="auto"/>
      </w:pPr>
      <w:r>
        <w:rPr>
          <w:rFonts w:ascii="Consolas" w:hAnsi="Consolas"/>
          <w:sz w:val="14"/>
        </w:rPr>
        <w:t>| R029 | `tiene_version` | Elemento versionable → Versión | 1..* | `versión_de` | número único por elemento |</w:t>
      </w:r>
    </w:p>
    <w:p>
      <w:pPr>
        <w:spacing w:after="20" w:line="240" w:lineRule="auto"/>
      </w:pPr>
      <w:r>
        <w:rPr>
          <w:rFonts w:ascii="Consolas" w:hAnsi="Consolas"/>
          <w:sz w:val="14"/>
        </w:rPr>
        <w:t>| R030 | `sucede_a` | Versión/Release/LíneaBase → misma clase | 0..1 | `precede_a` | acíclica y temporalmente ordenada |</w:t>
      </w:r>
    </w:p>
    <w:p>
      <w:pPr>
        <w:spacing w:after="20" w:line="240" w:lineRule="auto"/>
      </w:pPr>
      <w:r>
        <w:rPr>
          <w:rFonts w:ascii="Consolas" w:hAnsi="Consolas"/>
          <w:sz w:val="14"/>
        </w:rPr>
        <w:t>| R031 | `fija_version` | LíneaBase → Versión | 1..* | `fijada_en` | referencias exactas, sin latest |</w:t>
      </w:r>
    </w:p>
    <w:p>
      <w:pPr>
        <w:spacing w:after="20" w:line="240" w:lineRule="auto"/>
      </w:pPr>
      <w:r>
        <w:rPr>
          <w:rFonts w:ascii="Consolas" w:hAnsi="Consolas"/>
          <w:sz w:val="14"/>
        </w:rPr>
        <w:t>| R032 | `publica` | Release → LíneaBase | 1 | `publicada_por` | una release, una baseline |</w:t>
      </w:r>
    </w:p>
    <w:p>
      <w:pPr>
        <w:spacing w:after="20" w:line="240" w:lineRule="auto"/>
      </w:pPr>
      <w:r>
        <w:rPr>
          <w:rFonts w:ascii="Consolas" w:hAnsi="Consolas"/>
          <w:sz w:val="14"/>
        </w:rPr>
        <w:t>| R033 | `incluye_artefacto` | Release → Documento/Manual/Formulario/Anexo | 1..* | `distribuido_en` | checksum por artefacto |</w:t>
      </w:r>
    </w:p>
    <w:p>
      <w:pPr>
        <w:spacing w:after="20" w:line="240" w:lineRule="auto"/>
      </w:pPr>
      <w:r>
        <w:rPr>
          <w:rFonts w:ascii="Consolas" w:hAnsi="Consolas"/>
          <w:sz w:val="14"/>
        </w:rPr>
        <w:t>| R034 | `propone_cambio_a` | RegistroCambio → Elemento | 1..* | `tiene_cambio_propuesto` | análisis de impacto obligatorio |</w:t>
      </w:r>
    </w:p>
    <w:p>
      <w:pPr>
        <w:spacing w:after="20" w:line="240" w:lineRule="auto"/>
      </w:pPr>
      <w:r>
        <w:rPr>
          <w:rFonts w:ascii="Consolas" w:hAnsi="Consolas"/>
          <w:sz w:val="14"/>
        </w:rPr>
        <w:t>| R035 | `produce_version` | RegistroCambio → Versión | 0..* | `producida_por_cambio` | solo tras aprobación |</w:t>
      </w:r>
    </w:p>
    <w:p>
      <w:pPr>
        <w:spacing w:after="20" w:line="240" w:lineRule="auto"/>
      </w:pPr>
      <w:r>
        <w:rPr>
          <w:rFonts w:ascii="Consolas" w:hAnsi="Consolas"/>
          <w:sz w:val="14"/>
        </w:rPr>
        <w:t>| R036 | `bloquea` | Issue → Elemento/Relación/Release | 1..* | `bloqueado_por` | alcance mínimo necesario |</w:t>
      </w:r>
    </w:p>
    <w:p>
      <w:pPr>
        <w:spacing w:after="20" w:line="240" w:lineRule="auto"/>
      </w:pPr>
      <w:r>
        <w:rPr>
          <w:rFonts w:ascii="Consolas" w:hAnsi="Consolas"/>
          <w:sz w:val="14"/>
        </w:rPr>
        <w:t>| R037 | `requiere_decisión` | Issue/RegistroCambio → Decisión | 0..* | `requerida_por` | puede apuntar a decisión aún no creada mediante ID reservado |</w:t>
      </w:r>
    </w:p>
    <w:p>
      <w:pPr>
        <w:spacing w:after="20" w:line="240" w:lineRule="auto"/>
      </w:pPr>
      <w:r>
        <w:rPr>
          <w:rFonts w:ascii="Consolas" w:hAnsi="Consolas"/>
          <w:sz w:val="14"/>
        </w:rPr>
        <w:t>| R038 | `resuelve` | Decisión/RegistroCambio → Issue | 0..* | `resuelto_por` | criterio de cierre verificado |</w:t>
      </w:r>
    </w:p>
    <w:p>
      <w:pPr>
        <w:spacing w:after="20" w:line="240" w:lineRule="auto"/>
      </w:pPr>
      <w:r>
        <w:rPr>
          <w:rFonts w:ascii="Consolas" w:hAnsi="Consolas"/>
          <w:sz w:val="14"/>
        </w:rPr>
        <w:t>| R039 | `creado_por_agente` | Elemento → Agente | 1..* | `crea_elemento` | rol y fecha vigentes |</w:t>
      </w:r>
    </w:p>
    <w:p>
      <w:pPr>
        <w:spacing w:after="20" w:line="240" w:lineRule="auto"/>
      </w:pPr>
      <w:r>
        <w:rPr>
          <w:rFonts w:ascii="Consolas" w:hAnsi="Consolas"/>
          <w:sz w:val="14"/>
        </w:rPr>
        <w:t>| R040 | `revisado_por` | Elemento/Versión → Agente/Revisión | 0..* | `revisa` | independencia declarada si aplica |</w:t>
      </w:r>
    </w:p>
    <w:p>
      <w:pPr>
        <w:spacing w:after="20" w:line="240" w:lineRule="auto"/>
      </w:pPr>
      <w:r>
        <w:rPr>
          <w:rFonts w:ascii="Consolas" w:hAnsi="Consolas"/>
          <w:sz w:val="14"/>
        </w:rPr>
        <w:t>| R041 | `aprobado_por` | Decisión/Elemento/Release → Agente/Organización | 0..* | `aprueba` | autoridad demostrable |</w:t>
      </w:r>
    </w:p>
    <w:p>
      <w:pPr>
        <w:spacing w:after="20" w:line="240" w:lineRule="auto"/>
      </w:pPr>
      <w:r>
        <w:rPr>
          <w:rFonts w:ascii="Consolas" w:hAnsi="Consolas"/>
          <w:sz w:val="14"/>
        </w:rPr>
        <w:t>| R042 | `miembro_de` | Agente → Organización | 0..* | `tiene_miembro` | intervalo temporal |</w:t>
      </w:r>
    </w:p>
    <w:p>
      <w:pPr>
        <w:spacing w:after="20" w:line="240" w:lineRule="auto"/>
      </w:pPr>
      <w:r>
        <w:rPr>
          <w:rFonts w:ascii="Consolas" w:hAnsi="Consolas"/>
          <w:sz w:val="14"/>
        </w:rPr>
        <w:t>| R043 | `establecida_por` | Organización/Regla → Constitución/Decisión | 1..* | `establece` | acto vigente requerido |</w:t>
      </w:r>
    </w:p>
    <w:p>
      <w:pPr>
        <w:spacing w:after="20" w:line="240" w:lineRule="auto"/>
      </w:pPr>
      <w:r>
        <w:rPr>
          <w:rFonts w:ascii="Consolas" w:hAnsi="Consolas"/>
          <w:sz w:val="14"/>
        </w:rPr>
        <w:t>| R044 | `anexo_de` | Anexo → Documento/Standard/Manual | 1 | `tiene_anexo` | naturaleza y versión del principal |</w:t>
      </w:r>
    </w:p>
    <w:p>
      <w:pPr>
        <w:spacing w:after="20" w:line="240" w:lineRule="auto"/>
      </w:pPr>
      <w:r>
        <w:rPr>
          <w:rFonts w:ascii="Consolas" w:hAnsi="Consolas"/>
          <w:sz w:val="14"/>
        </w:rPr>
        <w:t>| R045 | `traduce` | Documento/Manual/Formulario/Anexo → misma clase | 0..1 | `traducido_como` | versión fuente exacta; autoridad lingüística declarada |</w:t>
      </w:r>
    </w:p>
    <w:p>
      <w:pPr>
        <w:spacing w:after="20" w:line="240" w:lineRule="auto"/>
      </w:pPr>
      <w:r>
        <w:rPr>
          <w:rFonts w:ascii="Consolas" w:hAnsi="Consolas"/>
          <w:sz w:val="14"/>
        </w:rPr>
        <w:t>| R046 | `cita` | Documento/Publicación/Tesis → Fuente | 0..* | `citada_por` | cita no equivale a sustento aceptado |</w:t>
      </w:r>
    </w:p>
    <w:p>
      <w:pPr>
        <w:spacing w:after="20" w:line="240" w:lineRule="auto"/>
      </w:pPr>
      <w:r>
        <w:rPr>
          <w:rFonts w:ascii="Consolas" w:hAnsi="Consolas"/>
          <w:sz w:val="14"/>
        </w:rPr>
        <w:t>| R047 | `captura` | Formulario → Observación | 0..* | `capturada_con` | respuesta referencia versión y campo |</w:t>
      </w:r>
    </w:p>
    <w:p>
      <w:pPr>
        <w:spacing w:after="20" w:line="240" w:lineRule="auto"/>
      </w:pPr>
      <w:r>
        <w:rPr>
          <w:rFonts w:ascii="Consolas" w:hAnsi="Consolas"/>
          <w:sz w:val="14"/>
        </w:rPr>
        <w:t>| R048 | `verifica` | Requisito/Regla → Validación/Evidencia | 0..* | `verifica_a` | usar inversa según dirección de consulta |</w:t>
      </w:r>
    </w:p>
    <w:p>
      <w:pPr>
        <w:spacing w:after="20" w:line="240" w:lineRule="auto"/>
      </w:pPr>
      <w:r>
        <w:rPr>
          <w:rFonts w:ascii="Consolas" w:hAnsi="Consolas"/>
          <w:sz w:val="14"/>
        </w:rPr>
        <w:t>| R049 | `prevalece_sobre` | Constitución/Documento normativo → Documento | 0..* | `subordinado_a` | solo gobernanza puede declararla |</w:t>
      </w:r>
    </w:p>
    <w:p>
      <w:pPr>
        <w:spacing w:after="20" w:line="240" w:lineRule="auto"/>
      </w:pPr>
      <w:r>
        <w:rPr>
          <w:rFonts w:ascii="Consolas" w:hAnsi="Consolas"/>
          <w:sz w:val="14"/>
        </w:rPr>
        <w:t>| R050 | `congela` | LíneaBase → Ontología/Standard/Componente | 1..* | `congelado_en` | checksum y versión obligatorios |</w:t>
      </w:r>
    </w:p>
    <w:p>
      <w:pPr>
        <w:spacing w:after="40"/>
      </w:pPr>
    </w:p>
    <w:p>
      <w:pPr>
        <w:pStyle w:val="Heading3"/>
      </w:pPr>
      <w:r>
        <w:t>Reglas del diccionario</w:t>
      </w:r>
    </w:p>
    <w:p>
      <w:pPr>
        <w:spacing w:after="40"/>
      </w:pPr>
    </w:p>
    <w:p>
      <w:pPr>
        <w:pStyle w:val="ListBullet"/>
      </w:pPr>
      <w:r>
        <w:t>No se crean sinónimos técnicos como propiedades nuevas; se mantiene una etiqueta canónica y aliases de presentación.</w:t>
      </w:r>
    </w:p>
    <w:p>
      <w:pPr>
        <w:pStyle w:val="ListBullet"/>
      </w:pPr>
      <w:r>
        <w:t>Relaciones transitivas (depende_de, parte_de) solo se materializan si la implementación distingue aristas directas de inferidas.</w:t>
      </w:r>
    </w:p>
    <w:p>
      <w:pPr>
        <w:pStyle w:val="ListBullet"/>
      </w:pPr>
      <w:r>
        <w:t>Relaciones inversas pueden calcularse; no es obligatorio duplicarlas físicamente.</w:t>
      </w:r>
    </w:p>
    <w:p>
      <w:pPr>
        <w:pStyle w:val="ListBullet"/>
      </w:pPr>
      <w:r>
        <w:t>Las relaciones normativas y científicas requieren procedencia de la propia aserción.</w:t>
      </w:r>
    </w:p>
    <w:p>
      <w:r>
        <w:br w:type="page"/>
      </w:r>
    </w:p>
    <w:p>
      <w:pPr>
        <w:pStyle w:val="Heading1"/>
        <w:keepNext/>
      </w:pPr>
      <w:r>
        <w:t>Fuente 110: 09_Manual_tecnico_general/EPIC-001_GOEI_Knowledge_Graph/05_Reglas_de_integridad.md</w:t>
      </w:r>
    </w:p>
    <w:p>
      <w:pPr>
        <w:spacing w:after="200"/>
      </w:pPr>
      <w:r>
        <w:rPr>
          <w:rFonts w:ascii="Consolas" w:hAnsi="Consolas"/>
          <w:color w:val="595959"/>
          <w:sz w:val="16"/>
        </w:rPr>
        <w:t>Ruta: 09_Manual_tecnico_general/EPIC-001_GOEI_Knowledge_Graph/05_Reglas_de_integridad.md</w:t>
        <w:br/>
        <w:t>Tamaño: 2907 bytes</w:t>
        <w:br/>
        <w:t>SHA-256: eb0ca92343d90940fe92091c57097c725bac0e39c1df69a680f671e3bd343ceb</w:t>
      </w:r>
    </w:p>
    <w:p>
      <w:pPr>
        <w:pStyle w:val="Heading2"/>
      </w:pPr>
      <w:r>
        <w:t>Reglas de integridad del GOEI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GOEI-KG-INT-0001 |</w:t>
      </w:r>
    </w:p>
    <w:p>
      <w:pPr>
        <w:spacing w:after="20" w:line="240" w:lineRule="auto"/>
      </w:pPr>
      <w:r>
        <w:rPr>
          <w:rFonts w:ascii="Consolas" w:hAnsi="Consolas"/>
          <w:sz w:val="14"/>
        </w:rPr>
        <w:t>| Versión | 0.1.0-draft |</w:t>
      </w:r>
    </w:p>
    <w:p>
      <w:pPr>
        <w:spacing w:after="40"/>
      </w:pPr>
    </w:p>
    <w:p>
      <w:pPr>
        <w:spacing w:after="20" w:line="240" w:lineRule="auto"/>
      </w:pPr>
      <w:r>
        <w:rPr>
          <w:rFonts w:ascii="Consolas" w:hAnsi="Consolas"/>
          <w:sz w:val="14"/>
        </w:rPr>
        <w:t>| ID | Regla de integridad |</w:t>
      </w:r>
    </w:p>
    <w:p>
      <w:pPr>
        <w:spacing w:after="20" w:line="240" w:lineRule="auto"/>
      </w:pPr>
      <w:r>
        <w:rPr>
          <w:rFonts w:ascii="Consolas" w:hAnsi="Consolas"/>
          <w:sz w:val="14"/>
        </w:rPr>
        <w:t>|---|---|</w:t>
      </w:r>
    </w:p>
    <w:p>
      <w:pPr>
        <w:spacing w:after="20" w:line="240" w:lineRule="auto"/>
      </w:pPr>
      <w:r>
        <w:rPr>
          <w:rFonts w:ascii="Consolas" w:hAnsi="Consolas"/>
          <w:sz w:val="14"/>
        </w:rPr>
        <w:t>| KG-INT-001 | Todo nodo controlado tiene exactamente un ID persistente y una clase. |</w:t>
      </w:r>
    </w:p>
    <w:p>
      <w:pPr>
        <w:spacing w:after="20" w:line="240" w:lineRule="auto"/>
      </w:pPr>
      <w:r>
        <w:rPr>
          <w:rFonts w:ascii="Consolas" w:hAnsi="Consolas"/>
          <w:sz w:val="14"/>
        </w:rPr>
        <w:t>| KG-INT-002 | Ningún ID se reutiliza, incluso después del retiro. |</w:t>
      </w:r>
    </w:p>
    <w:p>
      <w:pPr>
        <w:spacing w:after="20" w:line="240" w:lineRule="auto"/>
      </w:pPr>
      <w:r>
        <w:rPr>
          <w:rFonts w:ascii="Consolas" w:hAnsi="Consolas"/>
          <w:sz w:val="14"/>
        </w:rPr>
        <w:t>| KG-INT-003 | Todo nodo declara estado; los normativos declaran además vigencia y naturaleza. |</w:t>
      </w:r>
    </w:p>
    <w:p>
      <w:pPr>
        <w:spacing w:after="20" w:line="240" w:lineRule="auto"/>
      </w:pPr>
      <w:r>
        <w:rPr>
          <w:rFonts w:ascii="Consolas" w:hAnsi="Consolas"/>
          <w:sz w:val="14"/>
        </w:rPr>
        <w:t>| KG-INT-004 | Toda arista cumple dominio, rango y cardinalidad del diccionario. |</w:t>
      </w:r>
    </w:p>
    <w:p>
      <w:pPr>
        <w:spacing w:after="20" w:line="240" w:lineRule="auto"/>
      </w:pPr>
      <w:r>
        <w:rPr>
          <w:rFonts w:ascii="Consolas" w:hAnsi="Consolas"/>
          <w:sz w:val="14"/>
        </w:rPr>
        <w:t>| KG-INT-005 | Toda aserción científica o normativa registra procedencia y autoridad. |</w:t>
      </w:r>
    </w:p>
    <w:p>
      <w:pPr>
        <w:spacing w:after="20" w:line="240" w:lineRule="auto"/>
      </w:pPr>
      <w:r>
        <w:rPr>
          <w:rFonts w:ascii="Consolas" w:hAnsi="Consolas"/>
          <w:sz w:val="14"/>
        </w:rPr>
        <w:t>| KG-INT-006 | Toda Decisión aprobada contiene problema, alternativas, evidencia, resolución, limitaciones, autoridad y fecha. |</w:t>
      </w:r>
    </w:p>
    <w:p>
      <w:pPr>
        <w:spacing w:after="20" w:line="240" w:lineRule="auto"/>
      </w:pPr>
      <w:r>
        <w:rPr>
          <w:rFonts w:ascii="Consolas" w:hAnsi="Consolas"/>
          <w:sz w:val="14"/>
        </w:rPr>
        <w:t>| KG-INT-007 | Todo Componente normativo tiene al menos una Decisión aprobada mediante `creado_por`. |</w:t>
      </w:r>
    </w:p>
    <w:p>
      <w:pPr>
        <w:spacing w:after="20" w:line="240" w:lineRule="auto"/>
      </w:pPr>
      <w:r>
        <w:rPr>
          <w:rFonts w:ascii="Consolas" w:hAnsi="Consolas"/>
          <w:sz w:val="14"/>
        </w:rPr>
        <w:t>| KG-INT-008 | Todo elemento vigente tiene al menos una representación canónica mediante `se_expresa_en`. |</w:t>
      </w:r>
    </w:p>
    <w:p>
      <w:pPr>
        <w:spacing w:after="20" w:line="240" w:lineRule="auto"/>
      </w:pPr>
      <w:r>
        <w:rPr>
          <w:rFonts w:ascii="Consolas" w:hAnsi="Consolas"/>
          <w:sz w:val="14"/>
        </w:rPr>
        <w:t>| KG-INT-009 | Toda Versión publicada tiene checksum y pertenece a un solo artefacto conceptual. |</w:t>
      </w:r>
    </w:p>
    <w:p>
      <w:pPr>
        <w:spacing w:after="20" w:line="240" w:lineRule="auto"/>
      </w:pPr>
      <w:r>
        <w:rPr>
          <w:rFonts w:ascii="Consolas" w:hAnsi="Consolas"/>
          <w:sz w:val="14"/>
        </w:rPr>
        <w:t>| KG-INT-010 | Toda Línea base fija versiones exactas; se prohíben referencias móviles. |</w:t>
      </w:r>
    </w:p>
    <w:p>
      <w:pPr>
        <w:spacing w:after="20" w:line="240" w:lineRule="auto"/>
      </w:pPr>
      <w:r>
        <w:rPr>
          <w:rFonts w:ascii="Consolas" w:hAnsi="Consolas"/>
          <w:sz w:val="14"/>
        </w:rPr>
        <w:t>| KG-INT-011 | Todo Release publica exactamente una Línea base y posee manifiesto verificable. |</w:t>
      </w:r>
    </w:p>
    <w:p>
      <w:pPr>
        <w:spacing w:after="20" w:line="240" w:lineRule="auto"/>
      </w:pPr>
      <w:r>
        <w:rPr>
          <w:rFonts w:ascii="Consolas" w:hAnsi="Consolas"/>
          <w:sz w:val="14"/>
        </w:rPr>
        <w:t>| KG-INT-012 | `sustituye`, `sucede_a`, `parte_de` y jerarquías taxonómicas son acíclicas. |</w:t>
      </w:r>
    </w:p>
    <w:p>
      <w:pPr>
        <w:spacing w:after="20" w:line="240" w:lineRule="auto"/>
      </w:pPr>
      <w:r>
        <w:rPr>
          <w:rFonts w:ascii="Consolas" w:hAnsi="Consolas"/>
          <w:sz w:val="14"/>
        </w:rPr>
        <w:t>| KG-INT-013 | Una Decisión aprobada, Línea base o Release publicada es inmutable. |</w:t>
      </w:r>
    </w:p>
    <w:p>
      <w:pPr>
        <w:spacing w:after="20" w:line="240" w:lineRule="auto"/>
      </w:pPr>
      <w:r>
        <w:rPr>
          <w:rFonts w:ascii="Consolas" w:hAnsi="Consolas"/>
          <w:sz w:val="14"/>
        </w:rPr>
        <w:t>| KG-INT-014 | Un Issue bloqueante impide publicar únicamente los descendientes afectados. |</w:t>
      </w:r>
    </w:p>
    <w:p>
      <w:pPr>
        <w:spacing w:after="20" w:line="240" w:lineRule="auto"/>
      </w:pPr>
      <w:r>
        <w:rPr>
          <w:rFonts w:ascii="Consolas" w:hAnsi="Consolas"/>
          <w:sz w:val="14"/>
        </w:rPr>
        <w:t>| KG-INT-015 | Cerrar un Issue exige relación `resuelto_por` y verificación del criterio de cierre. |</w:t>
      </w:r>
    </w:p>
    <w:p>
      <w:pPr>
        <w:spacing w:after="20" w:line="240" w:lineRule="auto"/>
      </w:pPr>
      <w:r>
        <w:rPr>
          <w:rFonts w:ascii="Consolas" w:hAnsi="Consolas"/>
          <w:sz w:val="14"/>
        </w:rPr>
        <w:t>| KG-INT-016 | Manual, Formulario, BOK, Publicación y Tesis no pueden ser origen único de Requisito o Regla. |</w:t>
      </w:r>
    </w:p>
    <w:p>
      <w:pPr>
        <w:spacing w:after="20" w:line="240" w:lineRule="auto"/>
      </w:pPr>
      <w:r>
        <w:rPr>
          <w:rFonts w:ascii="Consolas" w:hAnsi="Consolas"/>
          <w:sz w:val="14"/>
        </w:rPr>
        <w:t>| KG-INT-017 | Toda traducción referencia una versión fuente exacta y declara idioma de autoridad. |</w:t>
      </w:r>
    </w:p>
    <w:p>
      <w:pPr>
        <w:spacing w:after="20" w:line="240" w:lineRule="auto"/>
      </w:pPr>
      <w:r>
        <w:rPr>
          <w:rFonts w:ascii="Consolas" w:hAnsi="Consolas"/>
          <w:sz w:val="14"/>
        </w:rPr>
        <w:t>| KG-INT-018 | Toda Validación referencia objeto y versión exactos; su resultado no se hereda automáticamente a versiones posteriores. |</w:t>
      </w:r>
    </w:p>
    <w:p>
      <w:pPr>
        <w:spacing w:after="20" w:line="240" w:lineRule="auto"/>
      </w:pPr>
      <w:r>
        <w:rPr>
          <w:rFonts w:ascii="Consolas" w:hAnsi="Consolas"/>
          <w:sz w:val="14"/>
        </w:rPr>
        <w:t>| KG-INT-019 | Toda Observación cumple el anclaje cuádruple AX-11 del baseline ontológico. |</w:t>
      </w:r>
    </w:p>
    <w:p>
      <w:pPr>
        <w:spacing w:after="20" w:line="240" w:lineRule="auto"/>
      </w:pPr>
      <w:r>
        <w:rPr>
          <w:rFonts w:ascii="Consolas" w:hAnsi="Consolas"/>
          <w:sz w:val="14"/>
        </w:rPr>
        <w:t>| KG-INT-020 | Modificar la Ontología Baseline v0.1 requiere Issue formal previo y nueva baseline. |</w:t>
      </w:r>
    </w:p>
    <w:p>
      <w:pPr>
        <w:spacing w:after="20" w:line="240" w:lineRule="auto"/>
      </w:pPr>
      <w:r>
        <w:rPr>
          <w:rFonts w:ascii="Consolas" w:hAnsi="Consolas"/>
          <w:sz w:val="14"/>
        </w:rPr>
        <w:t>| KG-INT-021 | Una arista rechazada o sustituida se conserva con estado histórico; no se elimina. |</w:t>
      </w:r>
    </w:p>
    <w:p>
      <w:pPr>
        <w:spacing w:after="20" w:line="240" w:lineRule="auto"/>
      </w:pPr>
      <w:r>
        <w:rPr>
          <w:rFonts w:ascii="Consolas" w:hAnsi="Consolas"/>
          <w:sz w:val="14"/>
        </w:rPr>
        <w:t>| KG-INT-022 | No existe dependencia normativa circular entre componentes vigentes. |</w:t>
      </w:r>
    </w:p>
    <w:p>
      <w:pPr>
        <w:spacing w:after="20" w:line="240" w:lineRule="auto"/>
      </w:pPr>
      <w:r>
        <w:rPr>
          <w:rFonts w:ascii="Consolas" w:hAnsi="Consolas"/>
          <w:sz w:val="14"/>
        </w:rPr>
        <w:t>| KG-INT-023 | Toda aserción temporal declara intervalos coherentes: inicio no posterior al fin. |</w:t>
      </w:r>
    </w:p>
    <w:p>
      <w:pPr>
        <w:spacing w:after="20" w:line="240" w:lineRule="auto"/>
      </w:pPr>
      <w:r>
        <w:rPr>
          <w:rFonts w:ascii="Consolas" w:hAnsi="Consolas"/>
          <w:sz w:val="14"/>
        </w:rPr>
        <w:t>| KG-INT-024 | Un agente solo aprueba dentro del mandato y periodo de su rol. |</w:t>
      </w:r>
    </w:p>
    <w:p>
      <w:pPr>
        <w:spacing w:after="20" w:line="240" w:lineRule="auto"/>
      </w:pPr>
      <w:r>
        <w:rPr>
          <w:rFonts w:ascii="Consolas" w:hAnsi="Consolas"/>
          <w:sz w:val="14"/>
        </w:rPr>
        <w:t>| KG-INT-025 | El estado calculado por inferencia se distingue del estado declarado por autoridad. |</w:t>
      </w:r>
    </w:p>
    <w:p>
      <w:pPr>
        <w:spacing w:after="40"/>
      </w:pPr>
    </w:p>
    <w:p>
      <w:pPr>
        <w:pStyle w:val="Heading3"/>
      </w:pPr>
      <w:r>
        <w:t>Compuerta de publicación</w:t>
      </w:r>
    </w:p>
    <w:p>
      <w:pPr>
        <w:spacing w:after="40"/>
      </w:pPr>
    </w:p>
    <w:p>
      <w:r>
        <w:t>Una Línea base es publicable solo si KG-INT-001–025 no presentan violaciones críticas o si cada excepción está respaldada por Issue y decisión de excepción explícita. Un Issue abierto no es una excepción automática.</w:t>
      </w:r>
    </w:p>
    <w:p>
      <w:r>
        <w:br w:type="page"/>
      </w:r>
    </w:p>
    <w:p>
      <w:pPr>
        <w:pStyle w:val="Heading1"/>
        <w:keepNext/>
      </w:pPr>
      <w:r>
        <w:t>Fuente 111: 09_Manual_tecnico_general/EPIC-001_GOEI_Knowledge_Graph/06_Restricciones_de_consistencia.md</w:t>
      </w:r>
    </w:p>
    <w:p>
      <w:pPr>
        <w:spacing w:after="200"/>
      </w:pPr>
      <w:r>
        <w:rPr>
          <w:rFonts w:ascii="Consolas" w:hAnsi="Consolas"/>
          <w:color w:val="595959"/>
          <w:sz w:val="16"/>
        </w:rPr>
        <w:t>Ruta: 09_Manual_tecnico_general/EPIC-001_GOEI_Knowledge_Graph/06_Restricciones_de_consistencia.md</w:t>
        <w:br/>
        <w:t>Tamaño: 2767 bytes</w:t>
        <w:br/>
        <w:t>SHA-256: 28767af5311a5f0e77f4d2ab8701678ac0b850293b54b2438b3ffff827cf5293</w:t>
      </w:r>
    </w:p>
    <w:p>
      <w:pPr>
        <w:pStyle w:val="Heading2"/>
      </w:pPr>
      <w:r>
        <w:t>Restricciones de consistencia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GOEI-KG-CON-0001 |</w:t>
      </w:r>
    </w:p>
    <w:p>
      <w:pPr>
        <w:spacing w:after="20" w:line="240" w:lineRule="auto"/>
      </w:pPr>
      <w:r>
        <w:rPr>
          <w:rFonts w:ascii="Consolas" w:hAnsi="Consolas"/>
          <w:sz w:val="14"/>
        </w:rPr>
        <w:t>| Versión | 0.1.0-draft |</w:t>
      </w:r>
    </w:p>
    <w:p>
      <w:pPr>
        <w:spacing w:after="40"/>
      </w:pPr>
    </w:p>
    <w:p>
      <w:pPr>
        <w:pStyle w:val="Heading3"/>
      </w:pPr>
      <w:r>
        <w:t>1. Consistencia semántica</w:t>
      </w:r>
    </w:p>
    <w:p>
      <w:pPr>
        <w:spacing w:after="40"/>
      </w:pPr>
    </w:p>
    <w:p>
      <w:pPr>
        <w:pStyle w:val="ListBullet"/>
      </w:pPr>
      <w:r>
        <w:t>Un término tiene una definición canónica por versión e idioma de autoridad.</w:t>
      </w:r>
    </w:p>
    <w:p>
      <w:pPr>
        <w:pStyle w:val="ListBullet"/>
      </w:pPr>
      <w:r>
        <w:t>KPI sin calificador se interpreta como KPI-def solo en el metamodelo; datos operacionales deben usar una clase token distinta definida por D-006.</w:t>
      </w:r>
    </w:p>
    <w:p>
      <w:pPr>
        <w:pStyle w:val="ListBullet"/>
      </w:pPr>
      <w:r>
        <w:t>Evidencia, Fuente, Observación y Dato no son intercambiables.</w:t>
      </w:r>
    </w:p>
    <w:p>
      <w:pPr>
        <w:pStyle w:val="ListBullet"/>
      </w:pPr>
      <w:r>
        <w:t>Aprobado, validado, publicado y vigente son estados independientes.</w:t>
      </w:r>
    </w:p>
    <w:p>
      <w:pPr>
        <w:pStyle w:val="ListBullet"/>
      </w:pPr>
      <w:r>
        <w:t>El GOEI Knowledge Graph no redefine entidades de realidad R de D-006-REV.</w:t>
      </w:r>
    </w:p>
    <w:p>
      <w:pPr>
        <w:spacing w:after="40"/>
      </w:pPr>
    </w:p>
    <w:p>
      <w:pPr>
        <w:pStyle w:val="Heading3"/>
      </w:pPr>
      <w:r>
        <w:t>2. Consistencia de autoridad</w:t>
      </w:r>
    </w:p>
    <w:p>
      <w:pPr>
        <w:spacing w:after="40"/>
      </w:pPr>
    </w:p>
    <w:p>
      <w:pPr>
        <w:pStyle w:val="ListBullet"/>
      </w:pPr>
      <w:r>
        <w:t>Ningún agente aprueba su propia propuesta cuando una política de independencia lo prohíba.</w:t>
      </w:r>
    </w:p>
    <w:p>
      <w:pPr>
        <w:pStyle w:val="ListBullet"/>
      </w:pPr>
      <w:r>
        <w:t>La autoría de un documento no confiere autoridad para aprobarlo.</w:t>
      </w:r>
    </w:p>
    <w:p>
      <w:pPr>
        <w:pStyle w:val="ListBullet"/>
      </w:pPr>
      <w:r>
        <w:t>Una revisión técnica informa; solo una decisión competente autoriza cambios científicos.</w:t>
      </w:r>
    </w:p>
    <w:p>
      <w:pPr>
        <w:pStyle w:val="ListBullet"/>
      </w:pPr>
      <w:r>
        <w:t>Si dos decisiones vigentes se contradicen, se crea Issue y se bloquea la rama común; no se elige silenciosamente una.</w:t>
      </w:r>
    </w:p>
    <w:p>
      <w:pPr>
        <w:spacing w:after="40"/>
      </w:pPr>
    </w:p>
    <w:p>
      <w:pPr>
        <w:pStyle w:val="Heading3"/>
      </w:pPr>
      <w:r>
        <w:t>3. Consistencia de versiones</w:t>
      </w:r>
    </w:p>
    <w:p>
      <w:pPr>
        <w:spacing w:after="40"/>
      </w:pPr>
    </w:p>
    <w:p>
      <w:pPr>
        <w:pStyle w:val="ListBullet"/>
      </w:pPr>
      <w:r>
        <w:t>Todas las dependencias de una Línea base apuntan a versiones exactas.</w:t>
      </w:r>
    </w:p>
    <w:p>
      <w:pPr>
        <w:pStyle w:val="ListBullet"/>
      </w:pPr>
      <w:r>
        <w:t>Una versión no puede suceder temporalmente a otra publicada después de ella.</w:t>
      </w:r>
    </w:p>
    <w:p>
      <w:pPr>
        <w:pStyle w:val="ListBullet"/>
      </w:pPr>
      <w:r>
        <w:t>Una versión sustituida puede seguir siendo válida para reconstrucción histórica, pero no para nuevas aplicaciones salvo transición explícita.</w:t>
      </w:r>
    </w:p>
    <w:p>
      <w:pPr>
        <w:pStyle w:val="ListBullet"/>
      </w:pPr>
      <w:r>
        <w:t>No se mezclan componentes mayores incompatibles sin mapa de compatibilidad.</w:t>
      </w:r>
    </w:p>
    <w:p>
      <w:pPr>
        <w:pStyle w:val="ListBullet"/>
      </w:pPr>
      <w:r>
        <w:t>Cambiar checksum sin cambiar versión constituye incidente de integridad.</w:t>
      </w:r>
    </w:p>
    <w:p>
      <w:pPr>
        <w:spacing w:after="40"/>
      </w:pPr>
    </w:p>
    <w:p>
      <w:pPr>
        <w:pStyle w:val="Heading3"/>
      </w:pPr>
      <w:r>
        <w:t>4. Consistencia documental</w:t>
      </w:r>
    </w:p>
    <w:p>
      <w:pPr>
        <w:spacing w:after="40"/>
      </w:pPr>
    </w:p>
    <w:p>
      <w:pPr>
        <w:pStyle w:val="ListBullet"/>
      </w:pPr>
      <w:r>
        <w:t>Un componente tiene una fuente canónica; copias y compilaciones la referencian.</w:t>
      </w:r>
    </w:p>
    <w:p>
      <w:pPr>
        <w:pStyle w:val="ListBullet"/>
      </w:pPr>
      <w:r>
        <w:t>Un anexo declara documento principal y naturaleza.</w:t>
      </w:r>
    </w:p>
    <w:p>
      <w:pPr>
        <w:pStyle w:val="ListBullet"/>
      </w:pPr>
      <w:r>
        <w:t>Una traducción no altera IDs ni significado; las divergencias abren Issue.</w:t>
      </w:r>
    </w:p>
    <w:p>
      <w:pPr>
        <w:pStyle w:val="ListBullet"/>
      </w:pPr>
      <w:r>
        <w:t>Un Manual o Formulario no contiene requisitos sin enlace al Requisito fuente.</w:t>
      </w:r>
    </w:p>
    <w:p>
      <w:pPr>
        <w:pStyle w:val="ListBullet"/>
      </w:pPr>
      <w:r>
        <w:t>BOK, Publicación y Tesis distinguen material normativo, evidencia y explicación.</w:t>
      </w:r>
    </w:p>
    <w:p>
      <w:pPr>
        <w:spacing w:after="40"/>
      </w:pPr>
    </w:p>
    <w:p>
      <w:pPr>
        <w:pStyle w:val="Heading3"/>
      </w:pPr>
      <w:r>
        <w:t>5. Consistencia del grafo</w:t>
      </w:r>
    </w:p>
    <w:p>
      <w:pPr>
        <w:spacing w:after="40"/>
      </w:pPr>
    </w:p>
    <w:p>
      <w:pPr>
        <w:pStyle w:val="ListBullet"/>
      </w:pPr>
      <w:r>
        <w:t>Aristas directas y aristas inferidas se distinguen.</w:t>
      </w:r>
    </w:p>
    <w:p>
      <w:pPr>
        <w:pStyle w:val="ListBullet"/>
      </w:pPr>
      <w:r>
        <w:t>Ninguna inferencia atraviesa una arista rechazada, expirada o bloqueada.</w:t>
      </w:r>
    </w:p>
    <w:p>
      <w:pPr>
        <w:pStyle w:val="ListBullet"/>
      </w:pPr>
      <w:r>
        <w:t>La transitividad de depende_de no transfiere automáticamente autoridad ni validación.</w:t>
      </w:r>
    </w:p>
    <w:p>
      <w:pPr>
        <w:pStyle w:val="ListBullet"/>
      </w:pPr>
      <w:r>
        <w:t>Una relación eliminada lógicamente conserva vigencia histórica.</w:t>
      </w:r>
    </w:p>
    <w:p>
      <w:pPr>
        <w:pStyle w:val="ListBullet"/>
      </w:pPr>
      <w:r>
        <w:t>Los nodos fusionados conservan sameAs solo si identidad estricta fue demostrada; semejanza usa mapeo no equivalencia.</w:t>
      </w:r>
    </w:p>
    <w:p>
      <w:pPr>
        <w:spacing w:after="40"/>
      </w:pPr>
    </w:p>
    <w:p>
      <w:pPr>
        <w:pStyle w:val="Heading3"/>
      </w:pPr>
      <w:r>
        <w:t>6. Consistencia epistémica</w:t>
      </w:r>
    </w:p>
    <w:p>
      <w:pPr>
        <w:spacing w:after="40"/>
      </w:pPr>
    </w:p>
    <w:p>
      <w:pPr>
        <w:pStyle w:val="ListBullet"/>
      </w:pPr>
      <w:r>
        <w:t>Una hipótesis no cambia a hecho por repetición de citas.</w:t>
      </w:r>
    </w:p>
    <w:p>
      <w:pPr>
        <w:pStyle w:val="ListBullet"/>
      </w:pPr>
      <w:r>
        <w:t>Evidencia contradictoria se conserva y se presenta al decisor.</w:t>
      </w:r>
    </w:p>
    <w:p>
      <w:pPr>
        <w:pStyle w:val="ListBullet"/>
      </w:pPr>
      <w:r>
        <w:t>Una validación inconclusa no se modela como validación negativa.</w:t>
      </w:r>
    </w:p>
    <w:p>
      <w:pPr>
        <w:pStyle w:val="ListBullet"/>
      </w:pPr>
      <w:r>
        <w:t>La ausencia de evidencia no se modela automáticamente como evidencia de ausencia.</w:t>
      </w:r>
    </w:p>
    <w:p>
      <w:pPr>
        <w:pStyle w:val="ListBullet"/>
      </w:pPr>
      <w:r>
        <w:t>Los niveles de confianza no se inventan; requieren método aprobado.</w:t>
      </w:r>
    </w:p>
    <w:p>
      <w:r>
        <w:br w:type="page"/>
      </w:r>
    </w:p>
    <w:p>
      <w:pPr>
        <w:pStyle w:val="Heading1"/>
        <w:keepNext/>
      </w:pPr>
      <w:r>
        <w:t>Fuente 112: 09_Manual_tecnico_general/EPIC-001_GOEI_Knowledge_Graph/07_Reglas_de_navegacion.md</w:t>
      </w:r>
    </w:p>
    <w:p>
      <w:pPr>
        <w:spacing w:after="200"/>
      </w:pPr>
      <w:r>
        <w:rPr>
          <w:rFonts w:ascii="Consolas" w:hAnsi="Consolas"/>
          <w:color w:val="595959"/>
          <w:sz w:val="16"/>
        </w:rPr>
        <w:t>Ruta: 09_Manual_tecnico_general/EPIC-001_GOEI_Knowledge_Graph/07_Reglas_de_navegacion.md</w:t>
        <w:br/>
        <w:t>Tamaño: 2853 bytes</w:t>
        <w:br/>
        <w:t>SHA-256: 31a3b87cb395f734965666895bc1b090242b056f6b84149fe3664c291b52a912</w:t>
      </w:r>
    </w:p>
    <w:p>
      <w:pPr>
        <w:pStyle w:val="Heading2"/>
      </w:pPr>
      <w:r>
        <w:t>Reglas de navegación del GOEI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GOEI-KG-NAV-0001 |</w:t>
      </w:r>
    </w:p>
    <w:p>
      <w:pPr>
        <w:spacing w:after="20" w:line="240" w:lineRule="auto"/>
      </w:pPr>
      <w:r>
        <w:rPr>
          <w:rFonts w:ascii="Consolas" w:hAnsi="Consolas"/>
          <w:sz w:val="14"/>
        </w:rPr>
        <w:t>| Versión | 0.1.0-draft |</w:t>
      </w:r>
    </w:p>
    <w:p>
      <w:pPr>
        <w:spacing w:after="40"/>
      </w:pPr>
    </w:p>
    <w:p>
      <w:pPr>
        <w:pStyle w:val="Heading3"/>
      </w:pPr>
      <w:r>
        <w:t>1. Principios</w:t>
      </w:r>
    </w:p>
    <w:p>
      <w:pPr>
        <w:spacing w:after="40"/>
      </w:pPr>
    </w:p>
    <w:p>
      <w:pPr>
        <w:pStyle w:val="ListNumber"/>
      </w:pPr>
      <w:r>
        <w:t>Toda vista comienza en una entidad identificada, no en texto libre.</w:t>
      </w:r>
    </w:p>
    <w:p>
      <w:pPr>
        <w:pStyle w:val="ListNumber"/>
      </w:pPr>
      <w:r>
        <w:t>La interfaz muestra relación, dirección, procedencia, estado y versión.</w:t>
      </w:r>
    </w:p>
    <w:p>
      <w:pPr>
        <w:pStyle w:val="ListNumber"/>
      </w:pPr>
      <w:r>
        <w:t>Se diferencia lo declarado de lo inferido.</w:t>
      </w:r>
    </w:p>
    <w:p>
      <w:pPr>
        <w:pStyle w:val="ListNumber"/>
      </w:pPr>
      <w:r>
        <w:t>Los filtros temporales usan fecha de vigencia y fecha de conocimiento por separado.</w:t>
      </w:r>
    </w:p>
    <w:p>
      <w:pPr>
        <w:pStyle w:val="ListNumber"/>
      </w:pPr>
      <w:r>
        <w:t>Un Issue bloqueante es visible en cada descendiente afectado.</w:t>
      </w:r>
    </w:p>
    <w:p>
      <w:pPr>
        <w:spacing w:after="40"/>
      </w:pPr>
    </w:p>
    <w:p>
      <w:pPr>
        <w:pStyle w:val="Heading3"/>
      </w:pPr>
      <w:r>
        <w:t>2. Rutas obligatorias por entidad</w:t>
      </w:r>
    </w:p>
    <w:p>
      <w:pPr>
        <w:spacing w:after="40"/>
      </w:pPr>
    </w:p>
    <w:p>
      <w:pPr>
        <w:spacing w:after="20" w:line="240" w:lineRule="auto"/>
      </w:pPr>
      <w:r>
        <w:rPr>
          <w:rFonts w:ascii="Consolas" w:hAnsi="Consolas"/>
          <w:sz w:val="14"/>
        </w:rPr>
        <w:t>| Punto de partida | Ruta disponible | Resultado esperado |</w:t>
      </w:r>
    </w:p>
    <w:p>
      <w:pPr>
        <w:spacing w:after="20" w:line="240" w:lineRule="auto"/>
      </w:pPr>
      <w:r>
        <w:rPr>
          <w:rFonts w:ascii="Consolas" w:hAnsi="Consolas"/>
          <w:sz w:val="14"/>
        </w:rPr>
        <w:t>|---|---|---|</w:t>
      </w:r>
    </w:p>
    <w:p>
      <w:pPr>
        <w:spacing w:after="20" w:line="240" w:lineRule="auto"/>
      </w:pPr>
      <w:r>
        <w:rPr>
          <w:rFonts w:ascii="Consolas" w:hAnsi="Consolas"/>
          <w:sz w:val="14"/>
        </w:rPr>
        <w:t>| Requisito/Regla/Componente | `creado_por → informada_por → sustentada_por → Fuente` | origen científico completo |</w:t>
      </w:r>
    </w:p>
    <w:p>
      <w:pPr>
        <w:spacing w:after="20" w:line="240" w:lineRule="auto"/>
      </w:pPr>
      <w:r>
        <w:rPr>
          <w:rFonts w:ascii="Consolas" w:hAnsi="Consolas"/>
          <w:sz w:val="14"/>
        </w:rPr>
        <w:t>| Fuente | `contiene_evidencia → informa → Decisión → crea` | impacto de la fuente |</w:t>
      </w:r>
    </w:p>
    <w:p>
      <w:pPr>
        <w:spacing w:after="20" w:line="240" w:lineRule="auto"/>
      </w:pPr>
      <w:r>
        <w:rPr>
          <w:rFonts w:ascii="Consolas" w:hAnsi="Consolas"/>
          <w:sz w:val="14"/>
        </w:rPr>
        <w:t>| Decisión | `crea/modifica/retira → integrado_en → LíneaBase/Release` | implementación e impacto |</w:t>
      </w:r>
    </w:p>
    <w:p>
      <w:pPr>
        <w:spacing w:after="20" w:line="240" w:lineRule="auto"/>
      </w:pPr>
      <w:r>
        <w:rPr>
          <w:rFonts w:ascii="Consolas" w:hAnsi="Consolas"/>
          <w:sz w:val="14"/>
        </w:rPr>
        <w:t>| Issue | `bloquea → dependientes` y `resuelto_por` | alcance y resolución |</w:t>
      </w:r>
    </w:p>
    <w:p>
      <w:pPr>
        <w:spacing w:after="20" w:line="240" w:lineRule="auto"/>
      </w:pPr>
      <w:r>
        <w:rPr>
          <w:rFonts w:ascii="Consolas" w:hAnsi="Consolas"/>
          <w:sz w:val="14"/>
        </w:rPr>
        <w:t>| Versión | `versión_de`, `sucede_a`, `fijada_en` | historia y publicaciones |</w:t>
      </w:r>
    </w:p>
    <w:p>
      <w:pPr>
        <w:spacing w:after="20" w:line="240" w:lineRule="auto"/>
      </w:pPr>
      <w:r>
        <w:rPr>
          <w:rFonts w:ascii="Consolas" w:hAnsi="Consolas"/>
          <w:sz w:val="14"/>
        </w:rPr>
        <w:t>| Línea base | `fija_version`, `publicada_por`, `sucede_a` | contenido exacto y transición |</w:t>
      </w:r>
    </w:p>
    <w:p>
      <w:pPr>
        <w:spacing w:after="20" w:line="240" w:lineRule="auto"/>
      </w:pPr>
      <w:r>
        <w:rPr>
          <w:rFonts w:ascii="Consolas" w:hAnsi="Consolas"/>
          <w:sz w:val="14"/>
        </w:rPr>
        <w:t>| Documento | `expresa`, `depende_de`, `incluido_en`, `traduce` | autoridad, contexto y copias |</w:t>
      </w:r>
    </w:p>
    <w:p>
      <w:pPr>
        <w:spacing w:after="20" w:line="240" w:lineRule="auto"/>
      </w:pPr>
      <w:r>
        <w:rPr>
          <w:rFonts w:ascii="Consolas" w:hAnsi="Consolas"/>
          <w:sz w:val="14"/>
        </w:rPr>
        <w:t>| KPI | `creado_por`, `relacionado_con`, `usa`, `validado_por` | contrato, no valores operacionales |</w:t>
      </w:r>
    </w:p>
    <w:p>
      <w:pPr>
        <w:spacing w:after="20" w:line="240" w:lineRule="auto"/>
      </w:pPr>
      <w:r>
        <w:rPr>
          <w:rFonts w:ascii="Consolas" w:hAnsi="Consolas"/>
          <w:sz w:val="14"/>
        </w:rPr>
        <w:t>| Tesis/Publicación | `deriva_de` hasta línea base y fuentes | alcance de afirmaciones derivadas |</w:t>
      </w:r>
    </w:p>
    <w:p>
      <w:pPr>
        <w:spacing w:after="40"/>
      </w:pPr>
    </w:p>
    <w:p>
      <w:pPr>
        <w:pStyle w:val="Heading3"/>
      </w:pPr>
      <w:r>
        <w:t>3. Navegación de impacto</w:t>
      </w:r>
    </w:p>
    <w:p>
      <w:pPr>
        <w:spacing w:after="40"/>
      </w:pPr>
    </w:p>
    <w:p>
      <w:pPr>
        <w:pStyle w:val="ListBullet"/>
      </w:pPr>
      <w:r>
        <w:t>Impacto directo: una arista saliente depende_de, implementa, contiene o deriva_de.</w:t>
      </w:r>
    </w:p>
    <w:p>
      <w:pPr>
        <w:pStyle w:val="ListBullet"/>
      </w:pPr>
      <w:r>
        <w:t>Impacto transitivo: recorrido solo por relaciones declaradas como propagadoras.</w:t>
      </w:r>
    </w:p>
    <w:p>
      <w:pPr>
        <w:pStyle w:val="ListBullet"/>
      </w:pPr>
      <w:r>
        <w:t>Límite: detener en versión fija, componente retirado o Issue que declare frontera.</w:t>
      </w:r>
    </w:p>
    <w:p>
      <w:pPr>
        <w:pStyle w:val="ListBullet"/>
      </w:pPr>
      <w:r>
        <w:t>Salida: lista de nodos, camino causal, versiones y responsable.</w:t>
      </w:r>
    </w:p>
    <w:p>
      <w:pPr>
        <w:spacing w:after="40"/>
      </w:pPr>
    </w:p>
    <w:p>
      <w:pPr>
        <w:pStyle w:val="Heading3"/>
      </w:pPr>
      <w:r>
        <w:t>4. Navegación histórica</w:t>
      </w:r>
    </w:p>
    <w:p>
      <w:pPr>
        <w:spacing w:after="40"/>
      </w:pPr>
    </w:p>
    <w:p>
      <w:r>
        <w:t>La consulta as_of(fecha) incluye nodos y aristas vigentes en esa fecha. La consulta baseline(id) reconstruye exactamente el manifiesto aunque componentes estén retirados hoy. No se usa el grafo actual para reinterpretar una línea base histórica.</w:t>
      </w:r>
    </w:p>
    <w:p>
      <w:pPr>
        <w:spacing w:after="40"/>
      </w:pPr>
    </w:p>
    <w:p>
      <w:pPr>
        <w:pStyle w:val="Heading3"/>
      </w:pPr>
      <w:r>
        <w:t>5. Navegación segura</w:t>
      </w:r>
    </w:p>
    <w:p>
      <w:pPr>
        <w:spacing w:after="40"/>
      </w:pPr>
    </w:p>
    <w:p>
      <w:pPr>
        <w:pStyle w:val="ListBullet"/>
      </w:pPr>
      <w:r>
        <w:t>No mostrar documentos restringidos sin autorización; sí puede mostrarse su existencia y metadatos mínimos si la política lo permite.</w:t>
      </w:r>
    </w:p>
    <w:p>
      <w:pPr>
        <w:pStyle w:val="ListBullet"/>
      </w:pPr>
      <w:r>
        <w:t>No exponer datos personales desde nodos Agente en vistas públicas.</w:t>
      </w:r>
    </w:p>
    <w:p>
      <w:pPr>
        <w:pStyle w:val="ListBullet"/>
      </w:pPr>
      <w:r>
        <w:t>No permitir editar desde una vista inferida; las mutaciones se realizan sobre la fuente canónica mediante Issue/Cambio.</w:t>
      </w:r>
    </w:p>
    <w:p>
      <w:pPr>
        <w:spacing w:after="40"/>
      </w:pPr>
    </w:p>
    <w:p>
      <w:pPr>
        <w:pStyle w:val="Heading3"/>
      </w:pPr>
      <w:r>
        <w:t>6. Consultas mínimas futuras</w:t>
      </w:r>
    </w:p>
    <w:p>
      <w:pPr>
        <w:spacing w:after="40"/>
      </w:pPr>
    </w:p>
    <w:p>
      <w:pPr>
        <w:pStyle w:val="ListBullet"/>
      </w:pPr>
      <w:r>
        <w:t>trace_origin(element_id, version)</w:t>
      </w:r>
    </w:p>
    <w:p>
      <w:pPr>
        <w:pStyle w:val="ListBullet"/>
      </w:pPr>
      <w:r>
        <w:t>trace_impact(decision_id)</w:t>
      </w:r>
    </w:p>
    <w:p>
      <w:pPr>
        <w:pStyle w:val="ListBullet"/>
      </w:pPr>
      <w:r>
        <w:t>why_blocked(element_id)</w:t>
      </w:r>
    </w:p>
    <w:p>
      <w:pPr>
        <w:pStyle w:val="ListBullet"/>
      </w:pPr>
      <w:r>
        <w:t>compare_baselines(a, b)</w:t>
      </w:r>
    </w:p>
    <w:p>
      <w:pPr>
        <w:pStyle w:val="ListBullet"/>
      </w:pPr>
      <w:r>
        <w:t>reconstruct_release(release_id)</w:t>
      </w:r>
    </w:p>
    <w:p>
      <w:pPr>
        <w:pStyle w:val="ListBullet"/>
      </w:pPr>
      <w:r>
        <w:t>find_unresolved_dependencies(element_id)</w:t>
      </w:r>
    </w:p>
    <w:p>
      <w:pPr>
        <w:pStyle w:val="ListBullet"/>
      </w:pPr>
      <w:r>
        <w:t>find_orphan_nodes()</w:t>
      </w:r>
    </w:p>
    <w:p>
      <w:pPr>
        <w:pStyle w:val="ListBullet"/>
      </w:pPr>
      <w:r>
        <w:t>find_authority_gaps()</w:t>
      </w:r>
    </w:p>
    <w:p>
      <w:pPr>
        <w:pStyle w:val="ListBullet"/>
      </w:pPr>
      <w:r>
        <w:t>find_unvalidated_components(baseline_id)</w:t>
      </w:r>
    </w:p>
    <w:p>
      <w:r>
        <w:br w:type="page"/>
      </w:r>
    </w:p>
    <w:p>
      <w:pPr>
        <w:pStyle w:val="Heading1"/>
        <w:keepNext/>
      </w:pPr>
      <w:r>
        <w:t>Fuente 113: 09_Manual_tecnico_general/EPIC-001_GOEI_Knowledge_Graph/08_Diagrama_conceptual.md</w:t>
      </w:r>
    </w:p>
    <w:p>
      <w:pPr>
        <w:spacing w:after="200"/>
      </w:pPr>
      <w:r>
        <w:rPr>
          <w:rFonts w:ascii="Consolas" w:hAnsi="Consolas"/>
          <w:color w:val="595959"/>
          <w:sz w:val="16"/>
        </w:rPr>
        <w:t>Ruta: 09_Manual_tecnico_general/EPIC-001_GOEI_Knowledge_Graph/08_Diagrama_conceptual.md</w:t>
        <w:br/>
        <w:t>Tamaño: 2831 bytes</w:t>
        <w:br/>
        <w:t>SHA-256: 9dc9d02e1d5f14fcd8c767bcaaac7d32522517e1a093334496863f2116d368d7</w:t>
      </w:r>
    </w:p>
    <w:p>
      <w:pPr>
        <w:pStyle w:val="Heading2"/>
      </w:pPr>
      <w:r>
        <w:t>Diagrama conceptual completo — GOEI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GOEI-KG-DGM-0001 |</w:t>
      </w:r>
    </w:p>
    <w:p>
      <w:pPr>
        <w:spacing w:after="20" w:line="240" w:lineRule="auto"/>
      </w:pPr>
      <w:r>
        <w:rPr>
          <w:rFonts w:ascii="Consolas" w:hAnsi="Consolas"/>
          <w:sz w:val="14"/>
        </w:rPr>
        <w:t>| Versión | 0.1.0-draft |</w:t>
      </w:r>
    </w:p>
    <w:p>
      <w:pPr>
        <w:spacing w:after="40"/>
      </w:pPr>
    </w:p>
    <w:p>
      <w:pPr>
        <w:spacing w:after="20" w:line="240" w:lineRule="auto"/>
        <w:ind w:left="259"/>
      </w:pPr>
      <w:r>
        <w:rPr>
          <w:rFonts w:ascii="Consolas" w:hAnsi="Consolas"/>
          <w:sz w:val="15"/>
        </w:rPr>
        <w:t>flowchart TB</w:t>
      </w:r>
    </w:p>
    <w:p>
      <w:pPr>
        <w:spacing w:after="20" w:line="240" w:lineRule="auto"/>
        <w:ind w:left="259"/>
      </w:pPr>
      <w:r>
        <w:rPr>
          <w:rFonts w:ascii="Consolas" w:hAnsi="Consolas"/>
          <w:sz w:val="15"/>
        </w:rPr>
        <w:t xml:space="preserve">  subgraph GOV["K0 — Autoridad y gobernanza"]</w:t>
      </w:r>
    </w:p>
    <w:p>
      <w:pPr>
        <w:spacing w:after="20" w:line="240" w:lineRule="auto"/>
        <w:ind w:left="259"/>
      </w:pPr>
      <w:r>
        <w:rPr>
          <w:rFonts w:ascii="Consolas" w:hAnsi="Consolas"/>
          <w:sz w:val="15"/>
        </w:rPr>
        <w:t xml:space="preserve">    CON["Constitución"] --&gt;|establece| ORG["Organización"]</w:t>
      </w:r>
    </w:p>
    <w:p>
      <w:pPr>
        <w:spacing w:after="20" w:line="240" w:lineRule="auto"/>
        <w:ind w:left="259"/>
      </w:pPr>
      <w:r>
        <w:rPr>
          <w:rFonts w:ascii="Consolas" w:hAnsi="Consolas"/>
          <w:sz w:val="15"/>
        </w:rPr>
        <w:t xml:space="preserve">    ORG --&gt;|tiene miembro| AGT["Agente"]</w:t>
      </w:r>
    </w:p>
    <w:p>
      <w:pPr>
        <w:spacing w:after="20" w:line="240" w:lineRule="auto"/>
        <w:ind w:left="259"/>
      </w:pPr>
      <w:r>
        <w:rPr>
          <w:rFonts w:ascii="Consolas" w:hAnsi="Consolas"/>
          <w:sz w:val="15"/>
        </w:rPr>
        <w:t xml:space="preserve">    CON --&gt;|establece| GR["Reglas de gobernanza"]</w:t>
      </w:r>
    </w:p>
    <w:p>
      <w:pPr>
        <w:spacing w:after="20" w:line="240" w:lineRule="auto"/>
        <w:ind w:left="259"/>
      </w:pPr>
      <w:r>
        <w:rPr>
          <w:rFonts w:ascii="Consolas" w:hAnsi="Consolas"/>
          <w:sz w:val="15"/>
        </w:rPr>
        <w:t xml:space="preserve">    AGT --&gt;|participa en| DEC["Decisión científica"]</w:t>
      </w:r>
    </w:p>
    <w:p>
      <w:pPr>
        <w:spacing w:after="20" w:line="240" w:lineRule="auto"/>
        <w:ind w:left="259"/>
      </w:pPr>
      <w:r>
        <w:rPr>
          <w:rFonts w:ascii="Consolas" w:hAnsi="Consolas"/>
          <w:sz w:val="15"/>
        </w:rPr>
        <w:t xml:space="preserve">    ISS["Issue / Pregunta abierta"] --&gt;|requiere| DEC</w:t>
      </w:r>
    </w:p>
    <w:p>
      <w:pPr>
        <w:spacing w:after="20" w:line="240" w:lineRule="auto"/>
        <w:ind w:left="259"/>
      </w:pPr>
      <w:r>
        <w:rPr>
          <w:rFonts w:ascii="Consolas" w:hAnsi="Consolas"/>
          <w:sz w:val="15"/>
        </w:rPr>
        <w:t xml:space="preserve">    DEC --&gt;|resuelve| ISS</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subgraph EPI["K1 — Procedencia epistémica"]</w:t>
      </w:r>
    </w:p>
    <w:p>
      <w:pPr>
        <w:spacing w:after="20" w:line="240" w:lineRule="auto"/>
        <w:ind w:left="259"/>
      </w:pPr>
      <w:r>
        <w:rPr>
          <w:rFonts w:ascii="Consolas" w:hAnsi="Consolas"/>
          <w:sz w:val="15"/>
        </w:rPr>
        <w:t xml:space="preserve">    SRC["Fuente bibliográfica"] --&gt;|contiene| EVD["Evidencia"]</w:t>
      </w:r>
    </w:p>
    <w:p>
      <w:pPr>
        <w:spacing w:after="20" w:line="240" w:lineRule="auto"/>
        <w:ind w:left="259"/>
      </w:pPr>
      <w:r>
        <w:rPr>
          <w:rFonts w:ascii="Consolas" w:hAnsi="Consolas"/>
          <w:sz w:val="15"/>
        </w:rPr>
        <w:t xml:space="preserve">    RES["Investigación"] --&gt;|usa| SRC</w:t>
      </w:r>
    </w:p>
    <w:p>
      <w:pPr>
        <w:spacing w:after="20" w:line="240" w:lineRule="auto"/>
        <w:ind w:left="259"/>
      </w:pPr>
      <w:r>
        <w:rPr>
          <w:rFonts w:ascii="Consolas" w:hAnsi="Consolas"/>
          <w:sz w:val="15"/>
        </w:rPr>
        <w:t xml:space="preserve">    RES --&gt;|produce| EVD</w:t>
      </w:r>
    </w:p>
    <w:p>
      <w:pPr>
        <w:spacing w:after="20" w:line="240" w:lineRule="auto"/>
        <w:ind w:left="259"/>
      </w:pPr>
      <w:r>
        <w:rPr>
          <w:rFonts w:ascii="Consolas" w:hAnsi="Consolas"/>
          <w:sz w:val="15"/>
        </w:rPr>
        <w:t xml:space="preserve">    RES --&gt;|produce| OBS["Observación"]</w:t>
      </w:r>
    </w:p>
    <w:p>
      <w:pPr>
        <w:spacing w:after="20" w:line="240" w:lineRule="auto"/>
        <w:ind w:left="259"/>
      </w:pPr>
      <w:r>
        <w:rPr>
          <w:rFonts w:ascii="Consolas" w:hAnsi="Consolas"/>
          <w:sz w:val="15"/>
        </w:rPr>
        <w:t xml:space="preserve">    RES --&gt;|formula| HYP["Hipótesis"]</w:t>
      </w:r>
    </w:p>
    <w:p>
      <w:pPr>
        <w:spacing w:after="20" w:line="240" w:lineRule="auto"/>
        <w:ind w:left="259"/>
      </w:pPr>
      <w:r>
        <w:rPr>
          <w:rFonts w:ascii="Consolas" w:hAnsi="Consolas"/>
          <w:sz w:val="15"/>
        </w:rPr>
        <w:t xml:space="preserve">    DEB["Debate científico"] --&gt;|discute| HYP</w:t>
      </w:r>
    </w:p>
    <w:p>
      <w:pPr>
        <w:spacing w:after="20" w:line="240" w:lineRule="auto"/>
        <w:ind w:left="259"/>
      </w:pPr>
      <w:r>
        <w:rPr>
          <w:rFonts w:ascii="Consolas" w:hAnsi="Consolas"/>
          <w:sz w:val="15"/>
        </w:rPr>
        <w:t xml:space="preserve">    EVD --&gt;|sustenta o contradice| HYP</w:t>
      </w:r>
    </w:p>
    <w:p>
      <w:pPr>
        <w:spacing w:after="20" w:line="240" w:lineRule="auto"/>
        <w:ind w:left="259"/>
      </w:pPr>
      <w:r>
        <w:rPr>
          <w:rFonts w:ascii="Consolas" w:hAnsi="Consolas"/>
          <w:sz w:val="15"/>
        </w:rPr>
        <w:t xml:space="preserve">    EVD --&gt;|informa| DEC</w:t>
      </w:r>
    </w:p>
    <w:p>
      <w:pPr>
        <w:spacing w:after="20" w:line="240" w:lineRule="auto"/>
        <w:ind w:left="259"/>
      </w:pPr>
      <w:r>
        <w:rPr>
          <w:rFonts w:ascii="Consolas" w:hAnsi="Consolas"/>
          <w:sz w:val="15"/>
        </w:rPr>
        <w:t xml:space="preserve">    HYP --&gt;|evaluada por| DEC</w:t>
      </w:r>
    </w:p>
    <w:p>
      <w:pPr>
        <w:spacing w:after="20" w:line="240" w:lineRule="auto"/>
        <w:ind w:left="259"/>
      </w:pPr>
      <w:r>
        <w:rPr>
          <w:rFonts w:ascii="Consolas" w:hAnsi="Consolas"/>
          <w:sz w:val="15"/>
        </w:rPr>
        <w:t xml:space="preserve">    DEB --&gt;|informa| DEC</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subgraph ENG["K2 — Ingeniería del estándar"]</w:t>
      </w:r>
    </w:p>
    <w:p>
      <w:pPr>
        <w:spacing w:after="20" w:line="240" w:lineRule="auto"/>
        <w:ind w:left="259"/>
      </w:pPr>
      <w:r>
        <w:rPr>
          <w:rFonts w:ascii="Consolas" w:hAnsi="Consolas"/>
          <w:sz w:val="15"/>
        </w:rPr>
        <w:t xml:space="preserve">    DEC --&gt;|crea o modifica| CMP["Componente"]</w:t>
      </w:r>
    </w:p>
    <w:p>
      <w:pPr>
        <w:spacing w:after="20" w:line="240" w:lineRule="auto"/>
        <w:ind w:left="259"/>
      </w:pPr>
      <w:r>
        <w:rPr>
          <w:rFonts w:ascii="Consolas" w:hAnsi="Consolas"/>
          <w:sz w:val="15"/>
        </w:rPr>
        <w:t xml:space="preserve">    DEC --&gt;|crea| REQ["Requisito"]</w:t>
      </w:r>
    </w:p>
    <w:p>
      <w:pPr>
        <w:spacing w:after="20" w:line="240" w:lineRule="auto"/>
        <w:ind w:left="259"/>
      </w:pPr>
      <w:r>
        <w:rPr>
          <w:rFonts w:ascii="Consolas" w:hAnsi="Consolas"/>
          <w:sz w:val="15"/>
        </w:rPr>
        <w:t xml:space="preserve">    DEC --&gt;|crea| RUL["Regla"]</w:t>
      </w:r>
    </w:p>
    <w:p>
      <w:pPr>
        <w:spacing w:after="20" w:line="240" w:lineRule="auto"/>
        <w:ind w:left="259"/>
      </w:pPr>
      <w:r>
        <w:rPr>
          <w:rFonts w:ascii="Consolas" w:hAnsi="Consolas"/>
          <w:sz w:val="15"/>
        </w:rPr>
        <w:t xml:space="preserve">    REV["Revisión técnica"] --&gt;|revisa| CMP</w:t>
      </w:r>
    </w:p>
    <w:p>
      <w:pPr>
        <w:spacing w:after="20" w:line="240" w:lineRule="auto"/>
        <w:ind w:left="259"/>
      </w:pPr>
      <w:r>
        <w:rPr>
          <w:rFonts w:ascii="Consolas" w:hAnsi="Consolas"/>
          <w:sz w:val="15"/>
        </w:rPr>
        <w:t xml:space="preserve">    REV --&gt;|detecta| ISS</w:t>
      </w:r>
    </w:p>
    <w:p>
      <w:pPr>
        <w:spacing w:after="20" w:line="240" w:lineRule="auto"/>
        <w:ind w:left="259"/>
      </w:pPr>
      <w:r>
        <w:rPr>
          <w:rFonts w:ascii="Consolas" w:hAnsi="Consolas"/>
          <w:sz w:val="15"/>
        </w:rPr>
        <w:t xml:space="preserve">    CMP --&gt; ONT["Ontología"]</w:t>
      </w:r>
    </w:p>
    <w:p>
      <w:pPr>
        <w:spacing w:after="20" w:line="240" w:lineRule="auto"/>
        <w:ind w:left="259"/>
      </w:pPr>
      <w:r>
        <w:rPr>
          <w:rFonts w:ascii="Consolas" w:hAnsi="Consolas"/>
          <w:sz w:val="15"/>
        </w:rPr>
        <w:t xml:space="preserve">    CMP --&gt; TAX["Taxonomía"]</w:t>
      </w:r>
    </w:p>
    <w:p>
      <w:pPr>
        <w:spacing w:after="20" w:line="240" w:lineRule="auto"/>
        <w:ind w:left="259"/>
      </w:pPr>
      <w:r>
        <w:rPr>
          <w:rFonts w:ascii="Consolas" w:hAnsi="Consolas"/>
          <w:sz w:val="15"/>
        </w:rPr>
        <w:t xml:space="preserve">    CMP --&gt; PRC["Proceso"]</w:t>
      </w:r>
    </w:p>
    <w:p>
      <w:pPr>
        <w:spacing w:after="20" w:line="240" w:lineRule="auto"/>
        <w:ind w:left="259"/>
      </w:pPr>
      <w:r>
        <w:rPr>
          <w:rFonts w:ascii="Consolas" w:hAnsi="Consolas"/>
          <w:sz w:val="15"/>
        </w:rPr>
        <w:t xml:space="preserve">    CMP --&gt; KPI["KPI-def"]</w:t>
      </w:r>
    </w:p>
    <w:p>
      <w:pPr>
        <w:spacing w:after="20" w:line="240" w:lineRule="auto"/>
        <w:ind w:left="259"/>
      </w:pPr>
      <w:r>
        <w:rPr>
          <w:rFonts w:ascii="Consolas" w:hAnsi="Consolas"/>
          <w:sz w:val="15"/>
        </w:rPr>
        <w:t xml:space="preserve">    CMP --&gt; FML["Fórmula"]</w:t>
      </w:r>
    </w:p>
    <w:p>
      <w:pPr>
        <w:spacing w:after="20" w:line="240" w:lineRule="auto"/>
        <w:ind w:left="259"/>
      </w:pPr>
      <w:r>
        <w:rPr>
          <w:rFonts w:ascii="Consolas" w:hAnsi="Consolas"/>
          <w:sz w:val="15"/>
        </w:rPr>
        <w:t xml:space="preserve">    FML --&gt;|implementa| RUL</w:t>
      </w:r>
    </w:p>
    <w:p>
      <w:pPr>
        <w:spacing w:after="20" w:line="240" w:lineRule="auto"/>
        <w:ind w:left="259"/>
      </w:pPr>
      <w:r>
        <w:rPr>
          <w:rFonts w:ascii="Consolas" w:hAnsi="Consolas"/>
          <w:sz w:val="15"/>
        </w:rPr>
        <w:t xml:space="preserve">    KPI --&gt;|usa| FML</w:t>
      </w:r>
    </w:p>
    <w:p>
      <w:pPr>
        <w:spacing w:after="20" w:line="240" w:lineRule="auto"/>
        <w:ind w:left="259"/>
      </w:pPr>
      <w:r>
        <w:rPr>
          <w:rFonts w:ascii="Consolas" w:hAnsi="Consolas"/>
          <w:sz w:val="15"/>
        </w:rPr>
        <w:t xml:space="preserve">    KPI --&gt;|relacionado con| PRC</w:t>
      </w:r>
    </w:p>
    <w:p>
      <w:pPr>
        <w:spacing w:after="20" w:line="240" w:lineRule="auto"/>
        <w:ind w:left="259"/>
      </w:pPr>
      <w:r>
        <w:rPr>
          <w:rFonts w:ascii="Consolas" w:hAnsi="Consolas"/>
          <w:sz w:val="15"/>
        </w:rPr>
        <w:t xml:space="preserve">    TAX --&gt;|delimita aplicabilidad| KPI</w:t>
      </w:r>
    </w:p>
    <w:p>
      <w:pPr>
        <w:spacing w:after="20" w:line="240" w:lineRule="auto"/>
        <w:ind w:left="259"/>
      </w:pPr>
      <w:r>
        <w:rPr>
          <w:rFonts w:ascii="Consolas" w:hAnsi="Consolas"/>
          <w:sz w:val="15"/>
        </w:rPr>
        <w:t xml:space="preserve">    REQ --&gt;|se expresa en| DOC["Documento"]</w:t>
      </w:r>
    </w:p>
    <w:p>
      <w:pPr>
        <w:spacing w:after="20" w:line="240" w:lineRule="auto"/>
        <w:ind w:left="259"/>
      </w:pPr>
      <w:r>
        <w:rPr>
          <w:rFonts w:ascii="Consolas" w:hAnsi="Consolas"/>
          <w:sz w:val="15"/>
        </w:rPr>
        <w:t xml:space="preserve">    CMP --&gt;|se expresa en| DOC</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subgraph DOCS["K3 — Empaquetado"]</w:t>
      </w:r>
    </w:p>
    <w:p>
      <w:pPr>
        <w:spacing w:after="20" w:line="240" w:lineRule="auto"/>
        <w:ind w:left="259"/>
      </w:pPr>
      <w:r>
        <w:rPr>
          <w:rFonts w:ascii="Consolas" w:hAnsi="Consolas"/>
          <w:sz w:val="15"/>
        </w:rPr>
        <w:t xml:space="preserve">    DOC --&gt; STD["GOEI Standard"]</w:t>
      </w:r>
    </w:p>
    <w:p>
      <w:pPr>
        <w:spacing w:after="20" w:line="240" w:lineRule="auto"/>
        <w:ind w:left="259"/>
      </w:pPr>
      <w:r>
        <w:rPr>
          <w:rFonts w:ascii="Consolas" w:hAnsi="Consolas"/>
          <w:sz w:val="15"/>
        </w:rPr>
        <w:t xml:space="preserve">    MAN["Manual"] --&gt;|deriva de| STD</w:t>
      </w:r>
    </w:p>
    <w:p>
      <w:pPr>
        <w:spacing w:after="20" w:line="240" w:lineRule="auto"/>
        <w:ind w:left="259"/>
      </w:pPr>
      <w:r>
        <w:rPr>
          <w:rFonts w:ascii="Consolas" w:hAnsi="Consolas"/>
          <w:sz w:val="15"/>
        </w:rPr>
        <w:t xml:space="preserve">    FRM["Formulario"] --&gt;|implementa| REQ</w:t>
      </w:r>
    </w:p>
    <w:p>
      <w:pPr>
        <w:spacing w:after="20" w:line="240" w:lineRule="auto"/>
        <w:ind w:left="259"/>
      </w:pPr>
      <w:r>
        <w:rPr>
          <w:rFonts w:ascii="Consolas" w:hAnsi="Consolas"/>
          <w:sz w:val="15"/>
        </w:rPr>
        <w:t xml:space="preserve">    MAN --&gt;|incluye| FRM</w:t>
      </w:r>
    </w:p>
    <w:p>
      <w:pPr>
        <w:spacing w:after="20" w:line="240" w:lineRule="auto"/>
        <w:ind w:left="259"/>
      </w:pPr>
      <w:r>
        <w:rPr>
          <w:rFonts w:ascii="Consolas" w:hAnsi="Consolas"/>
          <w:sz w:val="15"/>
        </w:rPr>
        <w:t xml:space="preserve">    ANX["Anexo"] --&gt;|anexo de| DOC</w:t>
      </w:r>
    </w:p>
    <w:p>
      <w:pPr>
        <w:spacing w:after="20" w:line="240" w:lineRule="auto"/>
        <w:ind w:left="259"/>
      </w:pPr>
      <w:r>
        <w:rPr>
          <w:rFonts w:ascii="Consolas" w:hAnsi="Consolas"/>
          <w:sz w:val="15"/>
        </w:rPr>
        <w:t xml:space="preserve">    BOK["GOEI BOK"] --&gt;|explica| STD</w:t>
      </w:r>
    </w:p>
    <w:p>
      <w:pPr>
        <w:spacing w:after="20" w:line="240" w:lineRule="auto"/>
        <w:ind w:left="259"/>
      </w:pPr>
      <w:r>
        <w:rPr>
          <w:rFonts w:ascii="Consolas" w:hAnsi="Consolas"/>
          <w:sz w:val="15"/>
        </w:rPr>
        <w:t xml:space="preserve">    BOK --&gt;|referencia| DEC</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subgraph VALD["K4 — Validación y difusión"]</w:t>
      </w:r>
    </w:p>
    <w:p>
      <w:pPr>
        <w:spacing w:after="20" w:line="240" w:lineRule="auto"/>
        <w:ind w:left="259"/>
      </w:pPr>
      <w:r>
        <w:rPr>
          <w:rFonts w:ascii="Consolas" w:hAnsi="Consolas"/>
          <w:sz w:val="15"/>
        </w:rPr>
        <w:t xml:space="preserve">    VAL["Validación"] --&gt;|valida o no valida| CMP</w:t>
      </w:r>
    </w:p>
    <w:p>
      <w:pPr>
        <w:spacing w:after="20" w:line="240" w:lineRule="auto"/>
        <w:ind w:left="259"/>
      </w:pPr>
      <w:r>
        <w:rPr>
          <w:rFonts w:ascii="Consolas" w:hAnsi="Consolas"/>
          <w:sz w:val="15"/>
        </w:rPr>
        <w:t xml:space="preserve">    VAL --&gt;|produce| EVD</w:t>
      </w:r>
    </w:p>
    <w:p>
      <w:pPr>
        <w:spacing w:after="20" w:line="240" w:lineRule="auto"/>
        <w:ind w:left="259"/>
      </w:pPr>
      <w:r>
        <w:rPr>
          <w:rFonts w:ascii="Consolas" w:hAnsi="Consolas"/>
          <w:sz w:val="15"/>
        </w:rPr>
        <w:t xml:space="preserve">    PUB["Publicación"] --&gt;|deriva de| RES</w:t>
      </w:r>
    </w:p>
    <w:p>
      <w:pPr>
        <w:spacing w:after="20" w:line="240" w:lineRule="auto"/>
        <w:ind w:left="259"/>
      </w:pPr>
      <w:r>
        <w:rPr>
          <w:rFonts w:ascii="Consolas" w:hAnsi="Consolas"/>
          <w:sz w:val="15"/>
        </w:rPr>
        <w:t xml:space="preserve">    PUB --&gt;|deriva de| STD</w:t>
      </w:r>
    </w:p>
    <w:p>
      <w:pPr>
        <w:spacing w:after="20" w:line="240" w:lineRule="auto"/>
        <w:ind w:left="259"/>
      </w:pPr>
      <w:r>
        <w:rPr>
          <w:rFonts w:ascii="Consolas" w:hAnsi="Consolas"/>
          <w:sz w:val="15"/>
        </w:rPr>
        <w:t xml:space="preserve">    THS["Tesis"] --&gt;|deriva de| RES</w:t>
      </w:r>
    </w:p>
    <w:p>
      <w:pPr>
        <w:spacing w:after="20" w:line="240" w:lineRule="auto"/>
        <w:ind w:left="259"/>
      </w:pPr>
      <w:r>
        <w:rPr>
          <w:rFonts w:ascii="Consolas" w:hAnsi="Consolas"/>
          <w:sz w:val="15"/>
        </w:rPr>
        <w:t xml:space="preserve">    THS --&gt;|deriva de| STD</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subgraph EVO["K5 — Evolución"]</w:t>
      </w:r>
    </w:p>
    <w:p>
      <w:pPr>
        <w:spacing w:after="20" w:line="240" w:lineRule="auto"/>
        <w:ind w:left="259"/>
      </w:pPr>
      <w:r>
        <w:rPr>
          <w:rFonts w:ascii="Consolas" w:hAnsi="Consolas"/>
          <w:sz w:val="15"/>
        </w:rPr>
        <w:t xml:space="preserve">    CHG["Registro de cambio"] --&gt;|propone cambio| CMP</w:t>
      </w:r>
    </w:p>
    <w:p>
      <w:pPr>
        <w:spacing w:after="20" w:line="240" w:lineRule="auto"/>
        <w:ind w:left="259"/>
      </w:pPr>
      <w:r>
        <w:rPr>
          <w:rFonts w:ascii="Consolas" w:hAnsi="Consolas"/>
          <w:sz w:val="15"/>
        </w:rPr>
        <w:t xml:space="preserve">    CHG --&gt;|implementa| DEC</w:t>
      </w:r>
    </w:p>
    <w:p>
      <w:pPr>
        <w:spacing w:after="20" w:line="240" w:lineRule="auto"/>
        <w:ind w:left="259"/>
      </w:pPr>
      <w:r>
        <w:rPr>
          <w:rFonts w:ascii="Consolas" w:hAnsi="Consolas"/>
          <w:sz w:val="15"/>
        </w:rPr>
        <w:t xml:space="preserve">    CHG --&gt;|produce| VER["Versión"]</w:t>
      </w:r>
    </w:p>
    <w:p>
      <w:pPr>
        <w:spacing w:after="20" w:line="240" w:lineRule="auto"/>
        <w:ind w:left="259"/>
      </w:pPr>
      <w:r>
        <w:rPr>
          <w:rFonts w:ascii="Consolas" w:hAnsi="Consolas"/>
          <w:sz w:val="15"/>
        </w:rPr>
        <w:t xml:space="preserve">    CMP --&gt;|tiene versión| VER</w:t>
      </w:r>
    </w:p>
    <w:p>
      <w:pPr>
        <w:spacing w:after="20" w:line="240" w:lineRule="auto"/>
        <w:ind w:left="259"/>
      </w:pPr>
      <w:r>
        <w:rPr>
          <w:rFonts w:ascii="Consolas" w:hAnsi="Consolas"/>
          <w:sz w:val="15"/>
        </w:rPr>
        <w:t xml:space="preserve">    BSL["Línea base"] --&gt;|fija| VER</w:t>
      </w:r>
    </w:p>
    <w:p>
      <w:pPr>
        <w:spacing w:after="20" w:line="240" w:lineRule="auto"/>
        <w:ind w:left="259"/>
      </w:pPr>
      <w:r>
        <w:rPr>
          <w:rFonts w:ascii="Consolas" w:hAnsi="Consolas"/>
          <w:sz w:val="15"/>
        </w:rPr>
        <w:t xml:space="preserve">    REL["Release"] --&gt;|publica| BSL</w:t>
      </w:r>
    </w:p>
    <w:p>
      <w:pPr>
        <w:spacing w:after="20" w:line="240" w:lineRule="auto"/>
        <w:ind w:left="259"/>
      </w:pPr>
      <w:r>
        <w:rPr>
          <w:rFonts w:ascii="Consolas" w:hAnsi="Consolas"/>
          <w:sz w:val="15"/>
        </w:rPr>
        <w:t xml:space="preserve">    REL --&gt;|incluye| DOC</w:t>
      </w:r>
    </w:p>
    <w:p>
      <w:pPr>
        <w:spacing w:after="20" w:line="240" w:lineRule="auto"/>
        <w:ind w:left="259"/>
      </w:pPr>
      <w:r>
        <w:rPr>
          <w:rFonts w:ascii="Consolas" w:hAnsi="Consolas"/>
          <w:sz w:val="15"/>
        </w:rPr>
        <w:t xml:space="preserve">    ISS --&gt;|bloquea| CMP</w:t>
      </w:r>
    </w:p>
    <w:p>
      <w:pPr>
        <w:spacing w:after="20" w:line="240" w:lineRule="auto"/>
        <w:ind w:left="259"/>
      </w:pPr>
      <w:r>
        <w:rPr>
          <w:rFonts w:ascii="Consolas" w:hAnsi="Consolas"/>
          <w:sz w:val="15"/>
        </w:rPr>
        <w:t xml:space="preserve">    ISS --&gt;|bloquea| REL</w:t>
      </w:r>
    </w:p>
    <w:p>
      <w:pPr>
        <w:spacing w:after="20" w:line="240" w:lineRule="auto"/>
        <w:ind w:left="259"/>
      </w:pPr>
      <w:r>
        <w:rPr>
          <w:rFonts w:ascii="Consolas" w:hAnsi="Consolas"/>
          <w:sz w:val="15"/>
        </w:rPr>
        <w:t xml:space="preserve">  end</w:t>
      </w:r>
    </w:p>
    <w:p>
      <w:pPr>
        <w:spacing w:after="40"/>
      </w:pPr>
    </w:p>
    <w:p>
      <w:pPr>
        <w:spacing w:after="20" w:line="240" w:lineRule="auto"/>
        <w:ind w:left="259"/>
      </w:pPr>
      <w:r>
        <w:rPr>
          <w:rFonts w:ascii="Consolas" w:hAnsi="Consolas"/>
          <w:sz w:val="15"/>
        </w:rPr>
        <w:t xml:space="preserve">  OBS -.-&gt;|cumple AX-11 del baseline| ONT</w:t>
      </w:r>
    </w:p>
    <w:p>
      <w:pPr>
        <w:spacing w:after="20" w:line="240" w:lineRule="auto"/>
        <w:ind w:left="259"/>
      </w:pPr>
      <w:r>
        <w:rPr>
          <w:rFonts w:ascii="Consolas" w:hAnsi="Consolas"/>
          <w:sz w:val="15"/>
        </w:rPr>
        <w:t xml:space="preserve">  BSL --&gt;|congela| ONT</w:t>
      </w:r>
    </w:p>
    <w:p>
      <w:pPr>
        <w:spacing w:after="20" w:line="240" w:lineRule="auto"/>
        <w:ind w:left="259"/>
      </w:pPr>
      <w:r>
        <w:rPr>
          <w:rFonts w:ascii="Consolas" w:hAnsi="Consolas"/>
          <w:sz w:val="15"/>
        </w:rPr>
        <w:t xml:space="preserve">  VAL --&gt;|habilita si corresponde| BSL</w:t>
      </w:r>
    </w:p>
    <w:p>
      <w:pPr>
        <w:spacing w:after="40"/>
      </w:pPr>
    </w:p>
    <w:p>
      <w:pPr>
        <w:pStyle w:val="Heading3"/>
      </w:pPr>
      <w:r>
        <w:t>Lectura</w:t>
      </w:r>
    </w:p>
    <w:p>
      <w:pPr>
        <w:spacing w:after="40"/>
      </w:pPr>
    </w:p>
    <w:p>
      <w:r>
        <w:t>Las flechas sólidas representan relaciones permitidas; no afirman que todas existan hoy. La línea punteada marca una restricción heredada del baseline D-006/D-006-REV. Ningún camino desde Publicación, Tesis, Manual, Formulario o BOK crea autoridad normativa en sentido inverso.</w:t>
      </w:r>
    </w:p>
    <w:p>
      <w:r>
        <w:br w:type="page"/>
      </w:r>
    </w:p>
    <w:p>
      <w:pPr>
        <w:pStyle w:val="Heading1"/>
        <w:keepNext/>
      </w:pPr>
      <w:r>
        <w:t>Fuente 114: 09_Manual_tecnico_general/EPIC-001_GOEI_Knowledge_Graph/09_Matriz_Entidad_Relacion.md</w:t>
      </w:r>
    </w:p>
    <w:p>
      <w:pPr>
        <w:spacing w:after="200"/>
      </w:pPr>
      <w:r>
        <w:rPr>
          <w:rFonts w:ascii="Consolas" w:hAnsi="Consolas"/>
          <w:color w:val="595959"/>
          <w:sz w:val="16"/>
        </w:rPr>
        <w:t>Ruta: 09_Manual_tecnico_general/EPIC-001_GOEI_Knowledge_Graph/09_Matriz_Entidad_Relacion.md</w:t>
        <w:br/>
        <w:t>Tamaño: 2881 bytes</w:t>
        <w:br/>
        <w:t>SHA-256: e747faef07fea0c9efba888add3c0ff4a1611a2aaa2301c7b778e791921afc34</w:t>
      </w:r>
    </w:p>
    <w:p>
      <w:pPr>
        <w:pStyle w:val="Heading2"/>
      </w:pPr>
      <w:r>
        <w:t>Matriz Entidad–Relación</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GOEI-KG-MAT-0001 |</w:t>
      </w:r>
    </w:p>
    <w:p>
      <w:pPr>
        <w:spacing w:after="20" w:line="240" w:lineRule="auto"/>
      </w:pPr>
      <w:r>
        <w:rPr>
          <w:rFonts w:ascii="Consolas" w:hAnsi="Consolas"/>
          <w:sz w:val="14"/>
        </w:rPr>
        <w:t>| Versión | 0.1.0-draft |</w:t>
      </w:r>
    </w:p>
    <w:p>
      <w:pPr>
        <w:spacing w:after="40"/>
      </w:pPr>
    </w:p>
    <w:p>
      <w:r>
        <w:t>Leyenda: S puede ser sujeto; O puede ser objeto; SO ambos; — no participa. Las familias remiten al diccionario: procedencia R001–010; construcción R011–028; versión R029–035; bloqueo R036–038; autoridad R039–043; editorial R044–050.</w:t>
      </w:r>
    </w:p>
    <w:p>
      <w:pPr>
        <w:spacing w:after="40"/>
      </w:pPr>
    </w:p>
    <w:p>
      <w:pPr>
        <w:spacing w:after="20" w:line="240" w:lineRule="auto"/>
      </w:pPr>
      <w:r>
        <w:rPr>
          <w:rFonts w:ascii="Consolas" w:hAnsi="Consolas"/>
          <w:sz w:val="14"/>
        </w:rPr>
        <w:t>| Entidad | Procedencia | Construcción | Versión | Bloqueo | Autoridad | Editorial |</w:t>
      </w:r>
    </w:p>
    <w:p>
      <w:pPr>
        <w:spacing w:after="20" w:line="240" w:lineRule="auto"/>
      </w:pPr>
      <w:r>
        <w:rPr>
          <w:rFonts w:ascii="Consolas" w:hAnsi="Consolas"/>
          <w:sz w:val="14"/>
        </w:rPr>
        <w:t>|---|---:|---:|---:|---:|---:|---:|</w:t>
      </w:r>
    </w:p>
    <w:p>
      <w:pPr>
        <w:spacing w:after="20" w:line="240" w:lineRule="auto"/>
      </w:pPr>
      <w:r>
        <w:rPr>
          <w:rFonts w:ascii="Consolas" w:hAnsi="Consolas"/>
          <w:sz w:val="14"/>
        </w:rPr>
        <w:t>| Evidencia | SO | O | O | O | O | O |</w:t>
      </w:r>
    </w:p>
    <w:p>
      <w:pPr>
        <w:spacing w:after="20" w:line="240" w:lineRule="auto"/>
      </w:pPr>
      <w:r>
        <w:rPr>
          <w:rFonts w:ascii="Consolas" w:hAnsi="Consolas"/>
          <w:sz w:val="14"/>
        </w:rPr>
        <w:t>| Fuente bibliográfica | SO | O | O | O | O | O |</w:t>
      </w:r>
    </w:p>
    <w:p>
      <w:pPr>
        <w:spacing w:after="20" w:line="240" w:lineRule="auto"/>
      </w:pPr>
      <w:r>
        <w:rPr>
          <w:rFonts w:ascii="Consolas" w:hAnsi="Consolas"/>
          <w:sz w:val="14"/>
        </w:rPr>
        <w:t>| Investigación | S | S | O | O | O | O |</w:t>
      </w:r>
    </w:p>
    <w:p>
      <w:pPr>
        <w:spacing w:after="20" w:line="240" w:lineRule="auto"/>
      </w:pPr>
      <w:r>
        <w:rPr>
          <w:rFonts w:ascii="Consolas" w:hAnsi="Consolas"/>
          <w:sz w:val="14"/>
        </w:rPr>
        <w:t>| Hipótesis | SO | O | O | O | O | O |</w:t>
      </w:r>
    </w:p>
    <w:p>
      <w:pPr>
        <w:spacing w:after="20" w:line="240" w:lineRule="auto"/>
      </w:pPr>
      <w:r>
        <w:rPr>
          <w:rFonts w:ascii="Consolas" w:hAnsi="Consolas"/>
          <w:sz w:val="14"/>
        </w:rPr>
        <w:t>| Pregunta abierta | O | O | O | SO | O | O |</w:t>
      </w:r>
    </w:p>
    <w:p>
      <w:pPr>
        <w:spacing w:after="20" w:line="240" w:lineRule="auto"/>
      </w:pPr>
      <w:r>
        <w:rPr>
          <w:rFonts w:ascii="Consolas" w:hAnsi="Consolas"/>
          <w:sz w:val="14"/>
        </w:rPr>
        <w:t>| Observación | O | O | O | O | O | O |</w:t>
      </w:r>
    </w:p>
    <w:p>
      <w:pPr>
        <w:spacing w:after="20" w:line="240" w:lineRule="auto"/>
      </w:pPr>
      <w:r>
        <w:rPr>
          <w:rFonts w:ascii="Consolas" w:hAnsi="Consolas"/>
          <w:sz w:val="14"/>
        </w:rPr>
        <w:t>| Debate científico | S | O | O | O | O | O |</w:t>
      </w:r>
    </w:p>
    <w:p>
      <w:pPr>
        <w:spacing w:after="20" w:line="240" w:lineRule="auto"/>
      </w:pPr>
      <w:r>
        <w:rPr>
          <w:rFonts w:ascii="Consolas" w:hAnsi="Consolas"/>
          <w:sz w:val="14"/>
        </w:rPr>
        <w:t>| Decisión científica | SO | S | SO | SO | SO | O |</w:t>
      </w:r>
    </w:p>
    <w:p>
      <w:pPr>
        <w:spacing w:after="20" w:line="240" w:lineRule="auto"/>
      </w:pPr>
      <w:r>
        <w:rPr>
          <w:rFonts w:ascii="Consolas" w:hAnsi="Consolas"/>
          <w:sz w:val="14"/>
        </w:rPr>
        <w:t>| Revisión técnica | S | S | O | S | SO | O |</w:t>
      </w:r>
    </w:p>
    <w:p>
      <w:pPr>
        <w:spacing w:after="20" w:line="240" w:lineRule="auto"/>
      </w:pPr>
      <w:r>
        <w:rPr>
          <w:rFonts w:ascii="Consolas" w:hAnsi="Consolas"/>
          <w:sz w:val="14"/>
        </w:rPr>
        <w:t>| Componente | O | SO | SO | O | O | SO |</w:t>
      </w:r>
    </w:p>
    <w:p>
      <w:pPr>
        <w:spacing w:after="20" w:line="240" w:lineRule="auto"/>
      </w:pPr>
      <w:r>
        <w:rPr>
          <w:rFonts w:ascii="Consolas" w:hAnsi="Consolas"/>
          <w:sz w:val="14"/>
        </w:rPr>
        <w:t>| Documento | O | SO | SO | O | O | SO |</w:t>
      </w:r>
    </w:p>
    <w:p>
      <w:pPr>
        <w:spacing w:after="20" w:line="240" w:lineRule="auto"/>
      </w:pPr>
      <w:r>
        <w:rPr>
          <w:rFonts w:ascii="Consolas" w:hAnsi="Consolas"/>
          <w:sz w:val="14"/>
        </w:rPr>
        <w:t>| Manual | O | SO | SO | O | O | SO |</w:t>
      </w:r>
    </w:p>
    <w:p>
      <w:pPr>
        <w:spacing w:after="20" w:line="240" w:lineRule="auto"/>
      </w:pPr>
      <w:r>
        <w:rPr>
          <w:rFonts w:ascii="Consolas" w:hAnsi="Consolas"/>
          <w:sz w:val="14"/>
        </w:rPr>
        <w:t>| Ontología | O | SO | SO | O | O | SO |</w:t>
      </w:r>
    </w:p>
    <w:p>
      <w:pPr>
        <w:spacing w:after="20" w:line="240" w:lineRule="auto"/>
      </w:pPr>
      <w:r>
        <w:rPr>
          <w:rFonts w:ascii="Consolas" w:hAnsi="Consolas"/>
          <w:sz w:val="14"/>
        </w:rPr>
        <w:t>| Taxonomía | O | SO | SO | O | O | SO |</w:t>
      </w:r>
    </w:p>
    <w:p>
      <w:pPr>
        <w:spacing w:after="20" w:line="240" w:lineRule="auto"/>
      </w:pPr>
      <w:r>
        <w:rPr>
          <w:rFonts w:ascii="Consolas" w:hAnsi="Consolas"/>
          <w:sz w:val="14"/>
        </w:rPr>
        <w:t>| Proceso | O | SO | SO | O | O | O |</w:t>
      </w:r>
    </w:p>
    <w:p>
      <w:pPr>
        <w:spacing w:after="20" w:line="240" w:lineRule="auto"/>
      </w:pPr>
      <w:r>
        <w:rPr>
          <w:rFonts w:ascii="Consolas" w:hAnsi="Consolas"/>
          <w:sz w:val="14"/>
        </w:rPr>
        <w:t>| KPI | O | SO | SO | O | O | O |</w:t>
      </w:r>
    </w:p>
    <w:p>
      <w:pPr>
        <w:spacing w:after="20" w:line="240" w:lineRule="auto"/>
      </w:pPr>
      <w:r>
        <w:rPr>
          <w:rFonts w:ascii="Consolas" w:hAnsi="Consolas"/>
          <w:sz w:val="14"/>
        </w:rPr>
        <w:t>| Regla | O | SO | SO | O | SO | SO |</w:t>
      </w:r>
    </w:p>
    <w:p>
      <w:pPr>
        <w:spacing w:after="20" w:line="240" w:lineRule="auto"/>
      </w:pPr>
      <w:r>
        <w:rPr>
          <w:rFonts w:ascii="Consolas" w:hAnsi="Consolas"/>
          <w:sz w:val="14"/>
        </w:rPr>
        <w:t>| Fórmula | O | SO | SO | O | O | O |</w:t>
      </w:r>
    </w:p>
    <w:p>
      <w:pPr>
        <w:spacing w:after="20" w:line="240" w:lineRule="auto"/>
      </w:pPr>
      <w:r>
        <w:rPr>
          <w:rFonts w:ascii="Consolas" w:hAnsi="Consolas"/>
          <w:sz w:val="14"/>
        </w:rPr>
        <w:t>| Formulario | O | SO | SO | O | O | SO |</w:t>
      </w:r>
    </w:p>
    <w:p>
      <w:pPr>
        <w:spacing w:after="20" w:line="240" w:lineRule="auto"/>
      </w:pPr>
      <w:r>
        <w:rPr>
          <w:rFonts w:ascii="Consolas" w:hAnsi="Consolas"/>
          <w:sz w:val="14"/>
        </w:rPr>
        <w:t>| Validación | S | SO | SO | O | O | O |</w:t>
      </w:r>
    </w:p>
    <w:p>
      <w:pPr>
        <w:spacing w:after="20" w:line="240" w:lineRule="auto"/>
      </w:pPr>
      <w:r>
        <w:rPr>
          <w:rFonts w:ascii="Consolas" w:hAnsi="Consolas"/>
          <w:sz w:val="14"/>
        </w:rPr>
        <w:t>| Publicación | S | S | SO | O | O | SO |</w:t>
      </w:r>
    </w:p>
    <w:p>
      <w:pPr>
        <w:spacing w:after="20" w:line="240" w:lineRule="auto"/>
      </w:pPr>
      <w:r>
        <w:rPr>
          <w:rFonts w:ascii="Consolas" w:hAnsi="Consolas"/>
          <w:sz w:val="14"/>
        </w:rPr>
        <w:t>| Tesis | S | S | SO | O | O | SO |</w:t>
      </w:r>
    </w:p>
    <w:p>
      <w:pPr>
        <w:spacing w:after="20" w:line="240" w:lineRule="auto"/>
      </w:pPr>
      <w:r>
        <w:rPr>
          <w:rFonts w:ascii="Consolas" w:hAnsi="Consolas"/>
          <w:sz w:val="14"/>
        </w:rPr>
        <w:t>| Versión | O | O | SO | O | O | O |</w:t>
      </w:r>
    </w:p>
    <w:p>
      <w:pPr>
        <w:spacing w:after="20" w:line="240" w:lineRule="auto"/>
      </w:pPr>
      <w:r>
        <w:rPr>
          <w:rFonts w:ascii="Consolas" w:hAnsi="Consolas"/>
          <w:sz w:val="14"/>
        </w:rPr>
        <w:t>| Línea base | O | O | SO | O | O | SO |</w:t>
      </w:r>
    </w:p>
    <w:p>
      <w:pPr>
        <w:spacing w:after="20" w:line="240" w:lineRule="auto"/>
      </w:pPr>
      <w:r>
        <w:rPr>
          <w:rFonts w:ascii="Consolas" w:hAnsi="Consolas"/>
          <w:sz w:val="14"/>
        </w:rPr>
        <w:t>| Release | O | O | SO | O | SO | S |</w:t>
      </w:r>
    </w:p>
    <w:p>
      <w:pPr>
        <w:spacing w:after="20" w:line="240" w:lineRule="auto"/>
      </w:pPr>
      <w:r>
        <w:rPr>
          <w:rFonts w:ascii="Consolas" w:hAnsi="Consolas"/>
          <w:sz w:val="14"/>
        </w:rPr>
        <w:t>| Registro de cambio | O | SO | S | SO | O | O |</w:t>
      </w:r>
    </w:p>
    <w:p>
      <w:pPr>
        <w:spacing w:after="20" w:line="240" w:lineRule="auto"/>
      </w:pPr>
      <w:r>
        <w:rPr>
          <w:rFonts w:ascii="Consolas" w:hAnsi="Consolas"/>
          <w:sz w:val="14"/>
        </w:rPr>
        <w:t>| Issue | O | O | O | SO | O | O |</w:t>
      </w:r>
    </w:p>
    <w:p>
      <w:pPr>
        <w:spacing w:after="20" w:line="240" w:lineRule="auto"/>
      </w:pPr>
      <w:r>
        <w:rPr>
          <w:rFonts w:ascii="Consolas" w:hAnsi="Consolas"/>
          <w:sz w:val="14"/>
        </w:rPr>
        <w:t>| Constitución | O | O | SO | O | SO | S |</w:t>
      </w:r>
    </w:p>
    <w:p>
      <w:pPr>
        <w:spacing w:after="20" w:line="240" w:lineRule="auto"/>
      </w:pPr>
      <w:r>
        <w:rPr>
          <w:rFonts w:ascii="Consolas" w:hAnsi="Consolas"/>
          <w:sz w:val="14"/>
        </w:rPr>
        <w:t>| GOEI Standard | O | SO | SO | O | O | SO |</w:t>
      </w:r>
    </w:p>
    <w:p>
      <w:pPr>
        <w:spacing w:after="20" w:line="240" w:lineRule="auto"/>
      </w:pPr>
      <w:r>
        <w:rPr>
          <w:rFonts w:ascii="Consolas" w:hAnsi="Consolas"/>
          <w:sz w:val="14"/>
        </w:rPr>
        <w:t>| GOEI BOK | O | SO | SO | O | O | SO |</w:t>
      </w:r>
    </w:p>
    <w:p>
      <w:pPr>
        <w:spacing w:after="20" w:line="240" w:lineRule="auto"/>
      </w:pPr>
      <w:r>
        <w:rPr>
          <w:rFonts w:ascii="Consolas" w:hAnsi="Consolas"/>
          <w:sz w:val="14"/>
        </w:rPr>
        <w:t>| Requisito normativo | O | SO | SO | O | O | SO |</w:t>
      </w:r>
    </w:p>
    <w:p>
      <w:pPr>
        <w:spacing w:after="20" w:line="240" w:lineRule="auto"/>
      </w:pPr>
      <w:r>
        <w:rPr>
          <w:rFonts w:ascii="Consolas" w:hAnsi="Consolas"/>
          <w:sz w:val="14"/>
        </w:rPr>
        <w:t>| Anexo | O | SO | SO | O | O | SO |</w:t>
      </w:r>
    </w:p>
    <w:p>
      <w:pPr>
        <w:spacing w:after="20" w:line="240" w:lineRule="auto"/>
      </w:pPr>
      <w:r>
        <w:rPr>
          <w:rFonts w:ascii="Consolas" w:hAnsi="Consolas"/>
          <w:sz w:val="14"/>
        </w:rPr>
        <w:t>| Agente | O | O | O | O | SO | O |</w:t>
      </w:r>
    </w:p>
    <w:p>
      <w:pPr>
        <w:spacing w:after="20" w:line="240" w:lineRule="auto"/>
      </w:pPr>
      <w:r>
        <w:rPr>
          <w:rFonts w:ascii="Consolas" w:hAnsi="Consolas"/>
          <w:sz w:val="14"/>
        </w:rPr>
        <w:t>| Organización | O | O | O | O | SO | O |</w:t>
      </w:r>
    </w:p>
    <w:p>
      <w:pPr>
        <w:spacing w:after="40"/>
      </w:pPr>
    </w:p>
    <w:p>
      <w:pPr>
        <w:pStyle w:val="Heading3"/>
      </w:pPr>
      <w:r>
        <w:t>Matriz de cardinalidades nucleares</w:t>
      </w:r>
    </w:p>
    <w:p>
      <w:pPr>
        <w:spacing w:after="40"/>
      </w:pPr>
    </w:p>
    <w:p>
      <w:pPr>
        <w:spacing w:after="20" w:line="240" w:lineRule="auto"/>
      </w:pPr>
      <w:r>
        <w:rPr>
          <w:rFonts w:ascii="Consolas" w:hAnsi="Consolas"/>
          <w:sz w:val="14"/>
        </w:rPr>
        <w:t>| Sujeto | Relación | Objeto | Mínimo | Máximo |</w:t>
      </w:r>
    </w:p>
    <w:p>
      <w:pPr>
        <w:spacing w:after="20" w:line="240" w:lineRule="auto"/>
      </w:pPr>
      <w:r>
        <w:rPr>
          <w:rFonts w:ascii="Consolas" w:hAnsi="Consolas"/>
          <w:sz w:val="14"/>
        </w:rPr>
        <w:t>|---|---|---|---:|---:|</w:t>
      </w:r>
    </w:p>
    <w:p>
      <w:pPr>
        <w:spacing w:after="20" w:line="240" w:lineRule="auto"/>
      </w:pPr>
      <w:r>
        <w:rPr>
          <w:rFonts w:ascii="Consolas" w:hAnsi="Consolas"/>
          <w:sz w:val="14"/>
        </w:rPr>
        <w:t>| Evidencia | extraída_de | Fuente | 1 | 1 |</w:t>
      </w:r>
    </w:p>
    <w:p>
      <w:pPr>
        <w:spacing w:after="20" w:line="240" w:lineRule="auto"/>
      </w:pPr>
      <w:r>
        <w:rPr>
          <w:rFonts w:ascii="Consolas" w:hAnsi="Consolas"/>
          <w:sz w:val="14"/>
        </w:rPr>
        <w:t>| Decisión aprobada | informada_por | Evidencia/Investigación/Debate | 1 | * |</w:t>
      </w:r>
    </w:p>
    <w:p>
      <w:pPr>
        <w:spacing w:after="20" w:line="240" w:lineRule="auto"/>
      </w:pPr>
      <w:r>
        <w:rPr>
          <w:rFonts w:ascii="Consolas" w:hAnsi="Consolas"/>
          <w:sz w:val="14"/>
        </w:rPr>
        <w:t>| Componente normativo | creado_por | Decisión aprobada | 1 | * |</w:t>
      </w:r>
    </w:p>
    <w:p>
      <w:pPr>
        <w:spacing w:after="20" w:line="240" w:lineRule="auto"/>
      </w:pPr>
      <w:r>
        <w:rPr>
          <w:rFonts w:ascii="Consolas" w:hAnsi="Consolas"/>
          <w:sz w:val="14"/>
        </w:rPr>
        <w:t>| Requisito | se_expresa_en | Documento | 1 | * |</w:t>
      </w:r>
    </w:p>
    <w:p>
      <w:pPr>
        <w:spacing w:after="20" w:line="240" w:lineRule="auto"/>
      </w:pPr>
      <w:r>
        <w:rPr>
          <w:rFonts w:ascii="Consolas" w:hAnsi="Consolas"/>
          <w:sz w:val="14"/>
        </w:rPr>
        <w:t>| Artefacto versionable publicado | tiene_version | Versión | 1 | * |</w:t>
      </w:r>
    </w:p>
    <w:p>
      <w:pPr>
        <w:spacing w:after="20" w:line="240" w:lineRule="auto"/>
      </w:pPr>
      <w:r>
        <w:rPr>
          <w:rFonts w:ascii="Consolas" w:hAnsi="Consolas"/>
          <w:sz w:val="14"/>
        </w:rPr>
        <w:t>| Versión | versión_de | Artefacto | 1 | 1 |</w:t>
      </w:r>
    </w:p>
    <w:p>
      <w:pPr>
        <w:spacing w:after="20" w:line="240" w:lineRule="auto"/>
      </w:pPr>
      <w:r>
        <w:rPr>
          <w:rFonts w:ascii="Consolas" w:hAnsi="Consolas"/>
          <w:sz w:val="14"/>
        </w:rPr>
        <w:t>| Línea base | fija_version | Versión | 1 | * |</w:t>
      </w:r>
    </w:p>
    <w:p>
      <w:pPr>
        <w:spacing w:after="20" w:line="240" w:lineRule="auto"/>
      </w:pPr>
      <w:r>
        <w:rPr>
          <w:rFonts w:ascii="Consolas" w:hAnsi="Consolas"/>
          <w:sz w:val="14"/>
        </w:rPr>
        <w:t>| Release | publica | Línea base | 1 | 1 |</w:t>
      </w:r>
    </w:p>
    <w:p>
      <w:pPr>
        <w:spacing w:after="20" w:line="240" w:lineRule="auto"/>
      </w:pPr>
      <w:r>
        <w:rPr>
          <w:rFonts w:ascii="Consolas" w:hAnsi="Consolas"/>
          <w:sz w:val="14"/>
        </w:rPr>
        <w:t>| Issue abierto | bloquea | Elemento/Relación | 1 | * |</w:t>
      </w:r>
    </w:p>
    <w:p>
      <w:pPr>
        <w:spacing w:after="20" w:line="240" w:lineRule="auto"/>
      </w:pPr>
      <w:r>
        <w:rPr>
          <w:rFonts w:ascii="Consolas" w:hAnsi="Consolas"/>
          <w:sz w:val="14"/>
        </w:rPr>
        <w:t>| Issue cerrado | resuelto_por | Decisión/Cambio | 1 | * |</w:t>
      </w:r>
    </w:p>
    <w:p>
      <w:pPr>
        <w:spacing w:after="20" w:line="240" w:lineRule="auto"/>
      </w:pPr>
      <w:r>
        <w:rPr>
          <w:rFonts w:ascii="Consolas" w:hAnsi="Consolas"/>
          <w:sz w:val="14"/>
        </w:rPr>
        <w:t>| Anexo | anexo_de | Documento principal | 1 | 1 |</w:t>
      </w:r>
    </w:p>
    <w:p>
      <w:pPr>
        <w:spacing w:after="20" w:line="240" w:lineRule="auto"/>
      </w:pPr>
      <w:r>
        <w:rPr>
          <w:rFonts w:ascii="Consolas" w:hAnsi="Consolas"/>
          <w:sz w:val="14"/>
        </w:rPr>
        <w:t>| Traducción | traduce | Documento fuente | 1 | 1 |</w:t>
      </w:r>
    </w:p>
    <w:p>
      <w:pPr>
        <w:spacing w:after="40"/>
      </w:pPr>
    </w:p>
    <w:p>
      <w:r>
        <w:t>La lista exhaustiva de pares permitidos está en el Diccionario de relaciones; esta matriz es una vista de cobertura y no una fuente semántica independiente.</w:t>
      </w:r>
    </w:p>
    <w:p>
      <w:r>
        <w:br w:type="page"/>
      </w:r>
    </w:p>
    <w:p>
      <w:pPr>
        <w:pStyle w:val="Heading1"/>
        <w:keepNext/>
      </w:pPr>
      <w:r>
        <w:t>Fuente 115: 09_Manual_tecnico_general/EPIC-001_GOEI_Knowledge_Graph/10_Recomendaciones_software.md</w:t>
      </w:r>
    </w:p>
    <w:p>
      <w:pPr>
        <w:spacing w:after="200"/>
      </w:pPr>
      <w:r>
        <w:rPr>
          <w:rFonts w:ascii="Consolas" w:hAnsi="Consolas"/>
          <w:color w:val="595959"/>
          <w:sz w:val="16"/>
        </w:rPr>
        <w:t>Ruta: 09_Manual_tecnico_general/EPIC-001_GOEI_Knowledge_Graph/10_Recomendaciones_software.md</w:t>
        <w:br/>
        <w:t>Tamaño: 3143 bytes</w:t>
        <w:br/>
        <w:t>SHA-256: 55ac723962ac8abc35487b3e8da3c48bac9b28ee288b0116492d13d336942dee</w:t>
      </w:r>
    </w:p>
    <w:p>
      <w:pPr>
        <w:pStyle w:val="Heading2"/>
      </w:pPr>
      <w:r>
        <w:t>Recomendaciones para futura implementación en software</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GOEI-KG-SW-0001 |</w:t>
      </w:r>
    </w:p>
    <w:p>
      <w:pPr>
        <w:spacing w:after="20" w:line="240" w:lineRule="auto"/>
      </w:pPr>
      <w:r>
        <w:rPr>
          <w:rFonts w:ascii="Consolas" w:hAnsi="Consolas"/>
          <w:sz w:val="14"/>
        </w:rPr>
        <w:t>| Versión | 0.1.0-draft |</w:t>
      </w:r>
    </w:p>
    <w:p>
      <w:pPr>
        <w:spacing w:after="20" w:line="240" w:lineRule="auto"/>
      </w:pPr>
      <w:r>
        <w:rPr>
          <w:rFonts w:ascii="Consolas" w:hAnsi="Consolas"/>
          <w:sz w:val="14"/>
        </w:rPr>
        <w:t>| Estado | Recomendaciones no vinculantes |</w:t>
      </w:r>
    </w:p>
    <w:p>
      <w:pPr>
        <w:spacing w:after="40"/>
      </w:pPr>
    </w:p>
    <w:p>
      <w:pPr>
        <w:pStyle w:val="Heading3"/>
      </w:pPr>
      <w:r>
        <w:t>1. Arquitectura recomendada</w:t>
      </w:r>
    </w:p>
    <w:p>
      <w:pPr>
        <w:spacing w:after="40"/>
      </w:pPr>
    </w:p>
    <w:p>
      <w:r>
        <w:t>Separar cuatro capas:</w:t>
      </w:r>
    </w:p>
    <w:p>
      <w:pPr>
        <w:spacing w:after="40"/>
      </w:pPr>
    </w:p>
    <w:p>
      <w:pPr>
        <w:pStyle w:val="ListNumber"/>
      </w:pPr>
      <w:r>
        <w:t>registro canónico de artefactos — archivos versionados y manifiestos;</w:t>
      </w:r>
    </w:p>
    <w:p>
      <w:pPr>
        <w:pStyle w:val="ListNumber"/>
      </w:pPr>
      <w:r>
        <w:t>modelo lógico del grafo — nodos, aserciones, versiones y procedencia;</w:t>
      </w:r>
    </w:p>
    <w:p>
      <w:pPr>
        <w:pStyle w:val="ListNumber"/>
      </w:pPr>
      <w:r>
        <w:t>validación — esquemas, cardinalidades, reglas y pruebas;</w:t>
      </w:r>
    </w:p>
    <w:p>
      <w:pPr>
        <w:pStyle w:val="ListNumber"/>
      </w:pPr>
      <w:r>
        <w:t>proyecciones — buscador, BOK, matriz de impacto, documentos y APIs.</w:t>
      </w:r>
    </w:p>
    <w:p>
      <w:pPr>
        <w:spacing w:after="40"/>
      </w:pPr>
    </w:p>
    <w:p>
      <w:r>
        <w:t>El grafo no debe ser la única copia de documentos ni el repositorio Git la única base consultable. Ambos se enlazan mediante IDs y checksums.</w:t>
      </w:r>
    </w:p>
    <w:p>
      <w:pPr>
        <w:spacing w:after="40"/>
      </w:pPr>
    </w:p>
    <w:p>
      <w:pPr>
        <w:pStyle w:val="Heading3"/>
      </w:pPr>
      <w:r>
        <w:t>2. Modelo de datos</w:t>
      </w:r>
    </w:p>
    <w:p>
      <w:pPr>
        <w:spacing w:after="40"/>
      </w:pPr>
    </w:p>
    <w:p>
      <w:pPr>
        <w:pStyle w:val="ListBullet"/>
      </w:pPr>
      <w:r>
        <w:t>Nodo conceptual separado de ArtifactVersion.</w:t>
      </w:r>
    </w:p>
    <w:p>
      <w:pPr>
        <w:pStyle w:val="ListBullet"/>
      </w:pPr>
      <w:r>
        <w:t>Aserción como entidad de primera clase con sujeto, predicado, objeto, procedencia, estado y vigencia.</w:t>
      </w:r>
    </w:p>
    <w:p>
      <w:pPr>
        <w:pStyle w:val="ListBullet"/>
      </w:pPr>
      <w:r>
        <w:t>IDs estables en namespace controlado, por ejemplo futuro https://goei.org/id/....</w:t>
      </w:r>
    </w:p>
    <w:p>
      <w:pPr>
        <w:pStyle w:val="ListBullet"/>
      </w:pPr>
      <w:r>
        <w:t>Tiempos bitemporales: vigencia y registro; añadir tiempo de hecho cuando corresponda.</w:t>
      </w:r>
    </w:p>
    <w:p>
      <w:pPr>
        <w:pStyle w:val="ListBullet"/>
      </w:pPr>
      <w:r>
        <w:t>Estados controlados, no strings libres.</w:t>
      </w:r>
    </w:p>
    <w:p>
      <w:pPr>
        <w:pStyle w:val="ListBullet"/>
      </w:pPr>
      <w:r>
        <w:t>Relaciones inversas calculadas.</w:t>
      </w:r>
    </w:p>
    <w:p>
      <w:pPr>
        <w:pStyle w:val="ListBullet"/>
      </w:pPr>
      <w:r>
        <w:t>Borrado lógico y auditoría append-only.</w:t>
      </w:r>
    </w:p>
    <w:p>
      <w:pPr>
        <w:spacing w:after="40"/>
      </w:pPr>
    </w:p>
    <w:p>
      <w:pPr>
        <w:pStyle w:val="Heading3"/>
      </w:pPr>
      <w:r>
        <w:t>3. Tecnologías candidatas</w:t>
      </w:r>
    </w:p>
    <w:p>
      <w:pPr>
        <w:spacing w:after="40"/>
      </w:pPr>
    </w:p>
    <w:p>
      <w:r>
        <w:t>La selección queda para decisión técnica posterior. El modelo debe ser portable a:</w:t>
      </w:r>
    </w:p>
    <w:p>
      <w:pPr>
        <w:spacing w:after="40"/>
      </w:pPr>
    </w:p>
    <w:p>
      <w:pPr>
        <w:pStyle w:val="ListBullet"/>
      </w:pPr>
      <w:r>
        <w:t>RDF/OWL para semántica e interoperabilidad;</w:t>
      </w:r>
    </w:p>
    <w:p>
      <w:pPr>
        <w:pStyle w:val="ListBullet"/>
      </w:pPr>
      <w:r>
        <w:t>SHACL para restricciones de grafo;</w:t>
      </w:r>
    </w:p>
    <w:p>
      <w:pPr>
        <w:pStyle w:val="ListBullet"/>
      </w:pPr>
      <w:r>
        <w:t>JSON-LD para intercambio web;</w:t>
      </w:r>
    </w:p>
    <w:p>
      <w:pPr>
        <w:pStyle w:val="ListBullet"/>
      </w:pPr>
      <w:r>
        <w:t>base de grafos de propiedades para navegación operacional;</w:t>
      </w:r>
    </w:p>
    <w:p>
      <w:pPr>
        <w:pStyle w:val="ListBullet"/>
      </w:pPr>
      <w:r>
        <w:t>Git para fuentes humanas y líneas base.</w:t>
      </w:r>
    </w:p>
    <w:p>
      <w:pPr>
        <w:spacing w:after="40"/>
      </w:pPr>
    </w:p>
    <w:p>
      <w:r>
        <w:t>No elegir tecnología antes de definir casos de consulta, escala, seguridad y gobernanza.</w:t>
      </w:r>
    </w:p>
    <w:p>
      <w:pPr>
        <w:spacing w:after="40"/>
      </w:pPr>
    </w:p>
    <w:p>
      <w:pPr>
        <w:pStyle w:val="Heading3"/>
      </w:pPr>
      <w:r>
        <w:t>4. Servicios mínimos</w:t>
      </w:r>
    </w:p>
    <w:p>
      <w:pPr>
        <w:spacing w:after="40"/>
      </w:pPr>
    </w:p>
    <w:p>
      <w:pPr>
        <w:pStyle w:val="ListBullet"/>
      </w:pPr>
      <w:r>
        <w:t>registro/consulta de entidades y aserciones;</w:t>
      </w:r>
    </w:p>
    <w:p>
      <w:pPr>
        <w:pStyle w:val="ListBullet"/>
      </w:pPr>
      <w:r>
        <w:t>trazabilidad ascendente y descendente;</w:t>
      </w:r>
    </w:p>
    <w:p>
      <w:pPr>
        <w:pStyle w:val="ListBullet"/>
      </w:pPr>
      <w:r>
        <w:t>comparación de versiones y líneas base;</w:t>
      </w:r>
    </w:p>
    <w:p>
      <w:pPr>
        <w:pStyle w:val="ListBullet"/>
      </w:pPr>
      <w:r>
        <w:t>análisis de impacto;</w:t>
      </w:r>
    </w:p>
    <w:p>
      <w:pPr>
        <w:pStyle w:val="ListBullet"/>
      </w:pPr>
      <w:r>
        <w:t>gestión Issue-only para cambios ontológicos;</w:t>
      </w:r>
    </w:p>
    <w:p>
      <w:pPr>
        <w:pStyle w:val="ListBullet"/>
      </w:pPr>
      <w:r>
        <w:t>validación de integridad;</w:t>
      </w:r>
    </w:p>
    <w:p>
      <w:pPr>
        <w:pStyle w:val="ListBullet"/>
      </w:pPr>
      <w:r>
        <w:t>exportación de manifiestos y BOK;</w:t>
      </w:r>
    </w:p>
    <w:p>
      <w:pPr>
        <w:pStyle w:val="ListBullet"/>
      </w:pPr>
      <w:r>
        <w:t>control de acceso y redacción de datos sensibles;</w:t>
      </w:r>
    </w:p>
    <w:p>
      <w:pPr>
        <w:pStyle w:val="ListBullet"/>
      </w:pPr>
      <w:r>
        <w:t>reconstrucción histórica reproducible.</w:t>
      </w:r>
    </w:p>
    <w:p>
      <w:pPr>
        <w:spacing w:after="40"/>
      </w:pPr>
    </w:p>
    <w:p>
      <w:pPr>
        <w:pStyle w:val="Heading3"/>
      </w:pPr>
      <w:r>
        <w:t>5. API conceptual</w:t>
      </w:r>
    </w:p>
    <w:p>
      <w:pPr>
        <w:spacing w:after="40"/>
      </w:pPr>
    </w:p>
    <w:p>
      <w:pPr>
        <w:spacing w:after="20" w:line="240" w:lineRule="auto"/>
        <w:ind w:left="259"/>
      </w:pPr>
      <w:r>
        <w:rPr>
          <w:rFonts w:ascii="Consolas" w:hAnsi="Consolas"/>
          <w:sz w:val="15"/>
        </w:rPr>
        <w:t>GET /entities/{id}</w:t>
      </w:r>
    </w:p>
    <w:p>
      <w:pPr>
        <w:spacing w:after="20" w:line="240" w:lineRule="auto"/>
        <w:ind w:left="259"/>
      </w:pPr>
      <w:r>
        <w:rPr>
          <w:rFonts w:ascii="Consolas" w:hAnsi="Consolas"/>
          <w:sz w:val="15"/>
        </w:rPr>
        <w:t>GET /entities/{id}/versions/{version}</w:t>
      </w:r>
    </w:p>
    <w:p>
      <w:pPr>
        <w:spacing w:after="20" w:line="240" w:lineRule="auto"/>
        <w:ind w:left="259"/>
      </w:pPr>
      <w:r>
        <w:rPr>
          <w:rFonts w:ascii="Consolas" w:hAnsi="Consolas"/>
          <w:sz w:val="15"/>
        </w:rPr>
        <w:t>GET /trace/origin/{id}</w:t>
      </w:r>
    </w:p>
    <w:p>
      <w:pPr>
        <w:spacing w:after="20" w:line="240" w:lineRule="auto"/>
        <w:ind w:left="259"/>
      </w:pPr>
      <w:r>
        <w:rPr>
          <w:rFonts w:ascii="Consolas" w:hAnsi="Consolas"/>
          <w:sz w:val="15"/>
        </w:rPr>
        <w:t>GET /trace/impact/{id}</w:t>
      </w:r>
    </w:p>
    <w:p>
      <w:pPr>
        <w:spacing w:after="20" w:line="240" w:lineRule="auto"/>
        <w:ind w:left="259"/>
      </w:pPr>
      <w:r>
        <w:rPr>
          <w:rFonts w:ascii="Consolas" w:hAnsi="Consolas"/>
          <w:sz w:val="15"/>
        </w:rPr>
        <w:t>GET /baselines/{id}</w:t>
      </w:r>
    </w:p>
    <w:p>
      <w:pPr>
        <w:spacing w:after="20" w:line="240" w:lineRule="auto"/>
        <w:ind w:left="259"/>
      </w:pPr>
      <w:r>
        <w:rPr>
          <w:rFonts w:ascii="Consolas" w:hAnsi="Consolas"/>
          <w:sz w:val="15"/>
        </w:rPr>
        <w:t>GET /baselines/{a}/compare/{b}</w:t>
      </w:r>
    </w:p>
    <w:p>
      <w:pPr>
        <w:spacing w:after="20" w:line="240" w:lineRule="auto"/>
        <w:ind w:left="259"/>
      </w:pPr>
      <w:r>
        <w:rPr>
          <w:rFonts w:ascii="Consolas" w:hAnsi="Consolas"/>
          <w:sz w:val="15"/>
        </w:rPr>
        <w:t>GET /issues?blocks={id}</w:t>
      </w:r>
    </w:p>
    <w:p>
      <w:pPr>
        <w:spacing w:after="20" w:line="240" w:lineRule="auto"/>
        <w:ind w:left="259"/>
      </w:pPr>
      <w:r>
        <w:rPr>
          <w:rFonts w:ascii="Consolas" w:hAnsi="Consolas"/>
          <w:sz w:val="15"/>
        </w:rPr>
        <w:t>POST /issues</w:t>
      </w:r>
    </w:p>
    <w:p>
      <w:pPr>
        <w:spacing w:after="20" w:line="240" w:lineRule="auto"/>
        <w:ind w:left="259"/>
      </w:pPr>
      <w:r>
        <w:rPr>
          <w:rFonts w:ascii="Consolas" w:hAnsi="Consolas"/>
          <w:sz w:val="15"/>
        </w:rPr>
        <w:t>POST /change-records</w:t>
      </w:r>
    </w:p>
    <w:p>
      <w:pPr>
        <w:spacing w:after="20" w:line="240" w:lineRule="auto"/>
        <w:ind w:left="259"/>
      </w:pPr>
      <w:r>
        <w:rPr>
          <w:rFonts w:ascii="Consolas" w:hAnsi="Consolas"/>
          <w:sz w:val="15"/>
        </w:rPr>
        <w:t>POST /validate</w:t>
      </w:r>
    </w:p>
    <w:p>
      <w:pPr>
        <w:spacing w:after="40"/>
      </w:pPr>
    </w:p>
    <w:p>
      <w:r>
        <w:t>Las mutaciones de contenido aprobado no deben realizarse directamente por API; deben materializar el workflow Issue → autoridad → cambio → baseline.</w:t>
      </w:r>
    </w:p>
    <w:p>
      <w:pPr>
        <w:spacing w:after="40"/>
      </w:pPr>
    </w:p>
    <w:p>
      <w:pPr>
        <w:pStyle w:val="Heading3"/>
      </w:pPr>
      <w:r>
        <w:t>6. Controles</w:t>
      </w:r>
    </w:p>
    <w:p>
      <w:pPr>
        <w:spacing w:after="40"/>
      </w:pPr>
    </w:p>
    <w:p>
      <w:pPr>
        <w:pStyle w:val="ListBullet"/>
      </w:pPr>
      <w:r>
        <w:t>autenticación separada de autorización por rol;</w:t>
      </w:r>
    </w:p>
    <w:p>
      <w:pPr>
        <w:pStyle w:val="ListBullet"/>
      </w:pPr>
      <w:r>
        <w:t>firmas o aprobaciones verificables;</w:t>
      </w:r>
    </w:p>
    <w:p>
      <w:pPr>
        <w:pStyle w:val="ListBullet"/>
      </w:pPr>
      <w:r>
        <w:t>checksums y manifiestos;</w:t>
      </w:r>
    </w:p>
    <w:p>
      <w:pPr>
        <w:pStyle w:val="ListBullet"/>
      </w:pPr>
      <w:r>
        <w:t>logs append-only;</w:t>
      </w:r>
    </w:p>
    <w:p>
      <w:pPr>
        <w:pStyle w:val="ListBullet"/>
      </w:pPr>
      <w:r>
        <w:t>pruebas de cardinalidad, ciclos y autoridad;</w:t>
      </w:r>
    </w:p>
    <w:p>
      <w:pPr>
        <w:pStyle w:val="ListBullet"/>
      </w:pPr>
      <w:r>
        <w:t>validación de enlaces a decisiones;</w:t>
      </w:r>
    </w:p>
    <w:p>
      <w:pPr>
        <w:pStyle w:val="ListBullet"/>
      </w:pPr>
      <w:r>
        <w:t>backups, exportación abierta y plan de migración tecnológica;</w:t>
      </w:r>
    </w:p>
    <w:p>
      <w:pPr>
        <w:pStyle w:val="ListBullet"/>
      </w:pPr>
      <w:r>
        <w:t>IDs e interfaces independientes del proveedor.</w:t>
      </w:r>
    </w:p>
    <w:p>
      <w:pPr>
        <w:spacing w:after="40"/>
      </w:pPr>
    </w:p>
    <w:p>
      <w:pPr>
        <w:pStyle w:val="Heading3"/>
      </w:pPr>
      <w:r>
        <w:t>7. Fases futuras</w:t>
      </w:r>
    </w:p>
    <w:p>
      <w:pPr>
        <w:spacing w:after="40"/>
      </w:pPr>
    </w:p>
    <w:p>
      <w:pPr>
        <w:pStyle w:val="ListNumber"/>
      </w:pPr>
      <w:r>
        <w:t>casos de uso y consultas de competencia;</w:t>
      </w:r>
    </w:p>
    <w:p>
      <w:pPr>
        <w:pStyle w:val="ListNumber"/>
      </w:pPr>
      <w:r>
        <w:t>perfil lógico mínimo;</w:t>
      </w:r>
    </w:p>
    <w:p>
      <w:pPr>
        <w:pStyle w:val="ListNumber"/>
      </w:pPr>
      <w:r>
        <w:t>esquema SHACL/JSON-LD experimental;</w:t>
      </w:r>
    </w:p>
    <w:p>
      <w:pPr>
        <w:pStyle w:val="ListNumber"/>
      </w:pPr>
      <w:r>
        <w:t>carga del inventario documental existente;</w:t>
      </w:r>
    </w:p>
    <w:p>
      <w:pPr>
        <w:pStyle w:val="ListNumber"/>
      </w:pPr>
      <w:r>
        <w:t>validador y reportes de calidad;</w:t>
      </w:r>
    </w:p>
    <w:p>
      <w:pPr>
        <w:pStyle w:val="ListNumber"/>
      </w:pPr>
      <w:r>
        <w:t>piloto de navegación e impacto;</w:t>
      </w:r>
    </w:p>
    <w:p>
      <w:pPr>
        <w:pStyle w:val="ListNumber"/>
      </w:pPr>
      <w:r>
        <w:t>revisión antes de declarar implementación oficial.</w:t>
      </w:r>
    </w:p>
    <w:p>
      <w:pPr>
        <w:spacing w:after="40"/>
      </w:pPr>
    </w:p>
    <w:p>
      <w:r>
        <w:t>Ninguna fase debe serializar contenido científico no aprobado.</w:t>
      </w:r>
    </w:p>
    <w:p>
      <w:r>
        <w:br w:type="page"/>
      </w:r>
    </w:p>
    <w:p>
      <w:pPr>
        <w:pStyle w:val="Heading1"/>
        <w:keepNext/>
      </w:pPr>
      <w:r>
        <w:t>Fuente 116: 09_Manual_tecnico_general/EPIC-001_GOEI_Knowledge_Graph/11_Registro_de_issues.md</w:t>
      </w:r>
    </w:p>
    <w:p>
      <w:pPr>
        <w:spacing w:after="200"/>
      </w:pPr>
      <w:r>
        <w:rPr>
          <w:rFonts w:ascii="Consolas" w:hAnsi="Consolas"/>
          <w:color w:val="595959"/>
          <w:sz w:val="16"/>
        </w:rPr>
        <w:t>Ruta: 09_Manual_tecnico_general/EPIC-001_GOEI_Knowledge_Graph/11_Registro_de_issues.md</w:t>
        <w:br/>
        <w:t>Tamaño: 1987 bytes</w:t>
        <w:br/>
        <w:t>SHA-256: 0d9e3a53a8c57bac43e36b175dce96abf0ef6eb39a4e27182f762407791896d6</w:t>
      </w:r>
    </w:p>
    <w:p>
      <w:pPr>
        <w:pStyle w:val="Heading2"/>
      </w:pPr>
      <w:r>
        <w:t>Issues y ramas bloqueadas — EPIC-001</w:t>
      </w:r>
    </w:p>
    <w:p>
      <w:pPr>
        <w:spacing w:after="40"/>
      </w:pPr>
    </w:p>
    <w:p>
      <w:pPr>
        <w:spacing w:after="20" w:line="240" w:lineRule="auto"/>
      </w:pPr>
      <w:r>
        <w:rPr>
          <w:rFonts w:ascii="Consolas" w:hAnsi="Consolas"/>
          <w:sz w:val="14"/>
        </w:rPr>
        <w:t>| ID | Dependencia no resuelta | Rama bloqueada | Autoridad requerida | Criterio de cierre | Estado |</w:t>
      </w:r>
    </w:p>
    <w:p>
      <w:pPr>
        <w:spacing w:after="20" w:line="240" w:lineRule="auto"/>
      </w:pPr>
      <w:r>
        <w:rPr>
          <w:rFonts w:ascii="Consolas" w:hAnsi="Consolas"/>
          <w:sz w:val="14"/>
        </w:rPr>
        <w:t>|---|---|---|---|---|---|</w:t>
      </w:r>
    </w:p>
    <w:p>
      <w:pPr>
        <w:spacing w:after="20" w:line="240" w:lineRule="auto"/>
      </w:pPr>
      <w:r>
        <w:rPr>
          <w:rFonts w:ascii="Consolas" w:hAnsi="Consolas"/>
          <w:sz w:val="14"/>
        </w:rPr>
        <w:t>| GOEI-ISS-031 | Definir propietario y órganos con autoridad sobre el GOEI. | `Constitución → Organización → aprobación/vigencia` | instancia promotora/constituyente | acto aprobado que define órganos, roles y mandatos | Abierto |</w:t>
      </w:r>
    </w:p>
    <w:p>
      <w:pPr>
        <w:spacing w:after="20" w:line="240" w:lineRule="auto"/>
      </w:pPr>
      <w:r>
        <w:rPr>
          <w:rFonts w:ascii="Consolas" w:hAnsi="Consolas"/>
          <w:sz w:val="14"/>
        </w:rPr>
        <w:t>| GOEI-ISS-032 | Definir jerarquía oficial normativa/informativa. | `Constitución → prevalece_sobre → Standard/Documentos` | gobernanza + Comité según alcance | jerarquía aprobada y conflictos resueltos | Abierto |</w:t>
      </w:r>
    </w:p>
    <w:p>
      <w:pPr>
        <w:spacing w:after="20" w:line="240" w:lineRule="auto"/>
      </w:pPr>
      <w:r>
        <w:rPr>
          <w:rFonts w:ascii="Consolas" w:hAnsi="Consolas"/>
          <w:sz w:val="14"/>
        </w:rPr>
        <w:t>| GOEI-ISS-033 | Definir esquema oficial de versiones y línea base GOEI. | releases integradas del Standard; no el baseline ontológico v0.1 ya ordenado | gobernanza técnica | política de versionado aprobada | Abierto |</w:t>
      </w:r>
    </w:p>
    <w:p>
      <w:pPr>
        <w:spacing w:after="20" w:line="240" w:lineRule="auto"/>
      </w:pPr>
      <w:r>
        <w:rPr>
          <w:rFonts w:ascii="Consolas" w:hAnsi="Consolas"/>
          <w:sz w:val="14"/>
        </w:rPr>
        <w:t>| GOEI-ISS-034 | Definir autoridad lingüística y estatus de traducciones. | traducciones oficiales | gobernanza | política multilingüe aprobada | Abierto |</w:t>
      </w:r>
    </w:p>
    <w:p>
      <w:pPr>
        <w:spacing w:after="20" w:line="240" w:lineRule="auto"/>
      </w:pPr>
      <w:r>
        <w:rPr>
          <w:rFonts w:ascii="Consolas" w:hAnsi="Consolas"/>
          <w:sz w:val="14"/>
        </w:rPr>
        <w:t>| GOEI-ISS-035 | Definir si y cómo se medirá confianza de aserciones. | atributo `confianza` del grafo | Comité/metodología | método aprobado o decisión de omitir | Abierto |</w:t>
      </w:r>
    </w:p>
    <w:p>
      <w:pPr>
        <w:spacing w:after="20" w:line="240" w:lineRule="auto"/>
      </w:pPr>
      <w:r>
        <w:rPr>
          <w:rFonts w:ascii="Consolas" w:hAnsi="Consolas"/>
          <w:sz w:val="14"/>
        </w:rPr>
        <w:t>| GOEI-ISS-036 | Resolver alcance de evaluación de conformidad. | Certificación/auditoría detallada fuera de EPIC-001 | gobernanza y Comité | decisión sobre autoevaluación/terceros | Abierto |</w:t>
      </w:r>
    </w:p>
    <w:p>
      <w:pPr>
        <w:spacing w:after="20" w:line="240" w:lineRule="auto"/>
      </w:pPr>
      <w:r>
        <w:rPr>
          <w:rFonts w:ascii="Consolas" w:hAnsi="Consolas"/>
          <w:sz w:val="14"/>
        </w:rPr>
        <w:t>| GOEI-ISS-037 | Elegir tecnología y namespace persistente. | serialización e implementación, no modelo lógico | arquitectura técnica + gobernanza | ADR aprobado con plan de persistencia | Abierto |</w:t>
      </w:r>
    </w:p>
    <w:p>
      <w:pPr>
        <w:spacing w:after="20" w:line="240" w:lineRule="auto"/>
      </w:pPr>
      <w:r>
        <w:rPr>
          <w:rFonts w:ascii="Consolas" w:hAnsi="Consolas"/>
          <w:sz w:val="14"/>
        </w:rPr>
        <w:t>| GOEI-ISS-038 | Formalizar metamodelo de roles, conflicto de interés y aprobación. | validación automática de autoridad | gobernanza | política y matriz RACI aprobadas | Abierto |</w:t>
      </w:r>
    </w:p>
    <w:p>
      <w:pPr>
        <w:spacing w:after="40"/>
      </w:pPr>
    </w:p>
    <w:p>
      <w:pPr>
        <w:pStyle w:val="Heading3"/>
      </w:pPr>
      <w:r>
        <w:t>Regla de bloqueo</w:t>
      </w:r>
    </w:p>
    <w:p>
      <w:pPr>
        <w:spacing w:after="40"/>
      </w:pPr>
    </w:p>
    <w:p>
      <w:r>
        <w:t>Estos issues no bloquean el metamodelo conceptual completo. Solo bloquean las relaciones y productos indicados. Se prohíbe rellenar sus respuestas mediante supuestos técnicos.</w:t>
      </w:r>
    </w:p>
    <w:p>
      <w:r>
        <w:br w:type="page"/>
      </w:r>
    </w:p>
    <w:p>
      <w:pPr>
        <w:pStyle w:val="Heading1"/>
        <w:keepNext/>
      </w:pPr>
      <w:r>
        <w:t>Fuente 117: 09_Manual_tecnico_general/EPIC-001_GOEI_Knowledge_Graph/implementacion/README.md</w:t>
      </w:r>
    </w:p>
    <w:p>
      <w:pPr>
        <w:spacing w:after="200"/>
      </w:pPr>
      <w:r>
        <w:rPr>
          <w:rFonts w:ascii="Consolas" w:hAnsi="Consolas"/>
          <w:color w:val="595959"/>
          <w:sz w:val="16"/>
        </w:rPr>
        <w:t>Ruta: 09_Manual_tecnico_general/EPIC-001_GOEI_Knowledge_Graph/implementacion/README.md</w:t>
        <w:br/>
        <w:t>Tamaño: 2390 bytes</w:t>
        <w:br/>
        <w:t>SHA-256: a667557c3a4fc847b641f477b60262cee0e3441053053805e9bf96eb8e1f0217</w:t>
      </w:r>
    </w:p>
    <w:p>
      <w:pPr>
        <w:pStyle w:val="Heading2"/>
      </w:pPr>
      <w:r>
        <w:t>Proyección procesable del Knowledge Graph</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GOEI-KG-IMPL-0001 |</w:t>
      </w:r>
    </w:p>
    <w:p>
      <w:pPr>
        <w:spacing w:after="20" w:line="240" w:lineRule="auto"/>
      </w:pPr>
      <w:r>
        <w:rPr>
          <w:rFonts w:ascii="Consolas" w:hAnsi="Consolas"/>
          <w:sz w:val="14"/>
        </w:rPr>
        <w:t>| Versión | 0.1.0 |</w:t>
      </w:r>
    </w:p>
    <w:p>
      <w:pPr>
        <w:spacing w:after="20" w:line="240" w:lineRule="auto"/>
      </w:pPr>
      <w:r>
        <w:rPr>
          <w:rFonts w:ascii="Consolas" w:hAnsi="Consolas"/>
          <w:sz w:val="14"/>
        </w:rPr>
        <w:t>| Estado | Proyección técnica regenerable; no normativa |</w:t>
      </w:r>
    </w:p>
    <w:p>
      <w:pPr>
        <w:spacing w:after="20" w:line="240" w:lineRule="auto"/>
      </w:pPr>
      <w:r>
        <w:rPr>
          <w:rFonts w:ascii="Consolas" w:hAnsi="Consolas"/>
          <w:sz w:val="14"/>
        </w:rPr>
        <w:t>| Fuente | Registros maestros GOEI |</w:t>
      </w:r>
    </w:p>
    <w:p>
      <w:pPr>
        <w:spacing w:after="20" w:line="240" w:lineRule="auto"/>
      </w:pPr>
      <w:r>
        <w:rPr>
          <w:rFonts w:ascii="Consolas" w:hAnsi="Consolas"/>
          <w:sz w:val="14"/>
        </w:rPr>
        <w:t>| Limitación | No resuelve tecnología ni namespace persistentes (GOEI-ISS-037) |</w:t>
      </w:r>
    </w:p>
    <w:p>
      <w:pPr>
        <w:spacing w:after="40"/>
      </w:pPr>
    </w:p>
    <w:p>
      <w:pPr>
        <w:pStyle w:val="Heading3"/>
      </w:pPr>
      <w:r>
        <w:t>Propósito</w:t>
      </w:r>
    </w:p>
    <w:p>
      <w:pPr>
        <w:spacing w:after="40"/>
      </w:pPr>
    </w:p>
    <w:p>
      <w:r>
        <w:t>Materializar la trazabilidad ya registrada como nodos y aristas JSON. La proyección no agrega relaciones por semejanza, interpretación o inferencia. Si una relación no tiene fuente explícita, no se emite.</w:t>
      </w:r>
    </w:p>
    <w:p>
      <w:pPr>
        <w:spacing w:after="40"/>
      </w:pPr>
    </w:p>
    <w:p>
      <w:pPr>
        <w:pStyle w:val="Heading3"/>
      </w:pPr>
      <w:r>
        <w:t>Contenido</w:t>
      </w:r>
    </w:p>
    <w:p>
      <w:pPr>
        <w:spacing w:after="40"/>
      </w:pPr>
    </w:p>
    <w:p>
      <w:pPr>
        <w:pStyle w:val="ListBullet"/>
      </w:pPr>
      <w:r>
        <w:t>knowledge_graph.registry.json: snapshot determinista.</w:t>
      </w:r>
    </w:p>
    <w:p>
      <w:pPr>
        <w:pStyle w:val="ListBullet"/>
      </w:pPr>
      <w:r>
        <w:t>build_registry_knowledge_graph.py: generador y modo --check.</w:t>
      </w:r>
    </w:p>
    <w:p>
      <w:pPr>
        <w:spacing w:after="40"/>
      </w:pPr>
    </w:p>
    <w:p>
      <w:pPr>
        <w:pStyle w:val="Heading3"/>
      </w:pPr>
      <w:r>
        <w:t>Entidades proyectadas</w:t>
      </w:r>
    </w:p>
    <w:p>
      <w:pPr>
        <w:spacing w:after="40"/>
      </w:pPr>
    </w:p>
    <w:p>
      <w:r>
        <w:t>Component, Document, Decision, Issue y Version.</w:t>
      </w:r>
    </w:p>
    <w:p>
      <w:pPr>
        <w:spacing w:after="40"/>
      </w:pPr>
    </w:p>
    <w:p>
      <w:pPr>
        <w:pStyle w:val="Heading3"/>
      </w:pPr>
      <w:r>
        <w:t>Relaciones proyectadas</w:t>
      </w:r>
    </w:p>
    <w:p>
      <w:pPr>
        <w:spacing w:after="40"/>
      </w:pPr>
    </w:p>
    <w:p>
      <w:pPr>
        <w:pStyle w:val="ListBullet"/>
      </w:pPr>
      <w:r>
        <w:t>CONTAINS: documento canónico contiene componente;</w:t>
      </w:r>
    </w:p>
    <w:p>
      <w:pPr>
        <w:pStyle w:val="ListBullet"/>
      </w:pPr>
      <w:r>
        <w:t>ORIGINATES: decisión aparece como origen registrado del componente;</w:t>
      </w:r>
    </w:p>
    <w:p>
      <w:pPr>
        <w:pStyle w:val="ListBullet"/>
      </w:pPr>
      <w:r>
        <w:t>INCORPORATED_IN: componente declara versión GOEI;</w:t>
      </w:r>
    </w:p>
    <w:p>
      <w:pPr>
        <w:pStyle w:val="ListBullet"/>
      </w:pPr>
      <w:r>
        <w:t>TRACED_IN: componente posee fila en la matriz de trazabilidad;</w:t>
      </w:r>
    </w:p>
    <w:p>
      <w:pPr>
        <w:pStyle w:val="ListBullet"/>
      </w:pPr>
      <w:r>
        <w:t>REGISTERED_IN: Issue pertenece a un registro canónico.</w:t>
      </w:r>
    </w:p>
    <w:p>
      <w:pPr>
        <w:spacing w:after="40"/>
      </w:pPr>
    </w:p>
    <w:p>
      <w:r>
        <w:t>Todas las aristas incluyen sourceDocument. Los campos de evidencia, dependientes y estados se conservan como literales de los registros hasta que exista identidad estructurada suficiente para crear más nodos o aristas.</w:t>
      </w:r>
    </w:p>
    <w:p>
      <w:pPr>
        <w:spacing w:after="40"/>
      </w:pPr>
    </w:p>
    <w:p>
      <w:pPr>
        <w:pStyle w:val="Heading3"/>
      </w:pPr>
      <w:r>
        <w:t>Regeneración</w:t>
      </w:r>
    </w:p>
    <w:p>
      <w:pPr>
        <w:spacing w:after="40"/>
      </w:pPr>
    </w:p>
    <w:p>
      <w:pPr>
        <w:spacing w:after="20" w:line="240" w:lineRule="auto"/>
        <w:ind w:left="259"/>
      </w:pPr>
      <w:r>
        <w:rPr>
          <w:rFonts w:ascii="Consolas" w:hAnsi="Consolas"/>
          <w:sz w:val="15"/>
        </w:rPr>
        <w:t>python3 09_Manual_tecnico_general/EPIC-001_GOEI_Knowledge_Graph/implementacion/build_registry_knowledge_graph.py</w:t>
      </w:r>
    </w:p>
    <w:p>
      <w:pPr>
        <w:spacing w:after="40"/>
      </w:pPr>
    </w:p>
    <w:p>
      <w:r>
        <w:t>Verificación sin modificar:</w:t>
      </w:r>
    </w:p>
    <w:p>
      <w:pPr>
        <w:spacing w:after="40"/>
      </w:pPr>
    </w:p>
    <w:p>
      <w:pPr>
        <w:spacing w:after="20" w:line="240" w:lineRule="auto"/>
        <w:ind w:left="259"/>
      </w:pPr>
      <w:r>
        <w:rPr>
          <w:rFonts w:ascii="Consolas" w:hAnsi="Consolas"/>
          <w:sz w:val="15"/>
        </w:rPr>
        <w:t>python3 09_Manual_tecnico_general/EPIC-001_GOEI_Knowledge_Graph/implementacion/build_registry_knowledge_graph.py --check</w:t>
      </w:r>
    </w:p>
    <w:p>
      <w:pPr>
        <w:spacing w:after="40"/>
      </w:pPr>
    </w:p>
    <w:p>
      <w:pPr>
        <w:pStyle w:val="Heading3"/>
      </w:pPr>
      <w:r>
        <w:t>Consultas</w:t>
      </w:r>
    </w:p>
    <w:p>
      <w:pPr>
        <w:spacing w:after="40"/>
      </w:pPr>
    </w:p>
    <w:p>
      <w:pPr>
        <w:spacing w:after="20" w:line="240" w:lineRule="auto"/>
        <w:ind w:left="259"/>
      </w:pPr>
      <w:r>
        <w:rPr>
          <w:rFonts w:ascii="Consolas" w:hAnsi="Consolas"/>
          <w:sz w:val="15"/>
        </w:rPr>
        <w:t>python3 09_Manual_tecnico_general/EPIC-001_GOEI_Knowledge_Graph/implementacion/query_registry_knowledge_graph.py node D-006</w:t>
      </w:r>
    </w:p>
    <w:p>
      <w:pPr>
        <w:spacing w:after="20" w:line="240" w:lineRule="auto"/>
        <w:ind w:left="259"/>
      </w:pPr>
      <w:r>
        <w:rPr>
          <w:rFonts w:ascii="Consolas" w:hAnsi="Consolas"/>
          <w:sz w:val="15"/>
        </w:rPr>
        <w:t>python3 09_Manual_tecnico_general/EPIC-001_GOEI_Knowledge_Graph/implementacion/query_registry_knowledge_graph.py neighbors D-006 --direction out</w:t>
      </w:r>
    </w:p>
    <w:p>
      <w:pPr>
        <w:spacing w:after="20" w:line="240" w:lineRule="auto"/>
        <w:ind w:left="259"/>
      </w:pPr>
      <w:r>
        <w:rPr>
          <w:rFonts w:ascii="Consolas" w:hAnsi="Consolas"/>
          <w:sz w:val="15"/>
        </w:rPr>
        <w:t>python3 09_Manual_tecnico_general/EPIC-001_GOEI_Knowledge_Graph/implementacion/query_registry_knowledge_graph.py impact D-006</w:t>
      </w:r>
    </w:p>
    <w:p>
      <w:pPr>
        <w:spacing w:after="20" w:line="240" w:lineRule="auto"/>
        <w:ind w:left="259"/>
      </w:pPr>
      <w:r>
        <w:rPr>
          <w:rFonts w:ascii="Consolas" w:hAnsi="Consolas"/>
          <w:sz w:val="15"/>
        </w:rPr>
        <w:t>python3 09_Manual_tecnico_general/EPIC-001_GOEI_Knowledge_Graph/implementacion/query_registry_knowledge_graph.py path D-006 GOEI-BSL-ONT-0001</w:t>
      </w:r>
    </w:p>
    <w:p>
      <w:pPr>
        <w:spacing w:after="40"/>
      </w:pPr>
    </w:p>
    <w:p>
      <w:r>
        <w:t>El modo impact devuelve relaciones directas y conserva evidencia/dependientes como literales cuando no tienen identidad estructurada. No presenta esos textos como impacto transitivo probado.</w:t>
      </w:r>
    </w:p>
    <w:p>
      <w:r>
        <w:br w:type="page"/>
      </w:r>
    </w:p>
    <w:p>
      <w:pPr>
        <w:pStyle w:val="Heading1"/>
        <w:keepNext/>
      </w:pPr>
      <w:r>
        <w:t>Fuente 118: 09_Manual_tecnico_general/EPIC-001_GOEI_Knowledge_Graph/README.md</w:t>
      </w:r>
    </w:p>
    <w:p>
      <w:pPr>
        <w:spacing w:after="200"/>
      </w:pPr>
      <w:r>
        <w:rPr>
          <w:rFonts w:ascii="Consolas" w:hAnsi="Consolas"/>
          <w:color w:val="595959"/>
          <w:sz w:val="16"/>
        </w:rPr>
        <w:t>Ruta: 09_Manual_tecnico_general/EPIC-001_GOEI_Knowledge_Graph/README.md</w:t>
        <w:br/>
        <w:t>Tamaño: 1434 bytes</w:t>
        <w:br/>
        <w:t>SHA-256: 8fe68086bc792d79bf5bc2ac023c707e175f67005c3b24a76397a38a8f81bc33</w:t>
      </w:r>
    </w:p>
    <w:p>
      <w:pPr>
        <w:pStyle w:val="Heading2"/>
      </w:pPr>
      <w:r>
        <w:t>EPIC-001 — GOEI Knowledge Graph &amp; MetaModel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GOEI-EPIC-0001 |</w:t>
      </w:r>
    </w:p>
    <w:p>
      <w:pPr>
        <w:spacing w:after="20" w:line="240" w:lineRule="auto"/>
      </w:pPr>
      <w:r>
        <w:rPr>
          <w:rFonts w:ascii="Consolas" w:hAnsi="Consolas"/>
          <w:sz w:val="14"/>
        </w:rPr>
        <w:t>| Estado | Arquitectura propuesta; no normativa |</w:t>
      </w:r>
    </w:p>
    <w:p>
      <w:pPr>
        <w:spacing w:after="20" w:line="240" w:lineRule="auto"/>
      </w:pPr>
      <w:r>
        <w:rPr>
          <w:rFonts w:ascii="Consolas" w:hAnsi="Consolas"/>
          <w:sz w:val="14"/>
        </w:rPr>
        <w:t>| Versión | 0.1.0-draft |</w:t>
      </w:r>
    </w:p>
    <w:p>
      <w:pPr>
        <w:spacing w:after="20" w:line="240" w:lineRule="auto"/>
      </w:pPr>
      <w:r>
        <w:rPr>
          <w:rFonts w:ascii="Consolas" w:hAnsi="Consolas"/>
          <w:sz w:val="14"/>
        </w:rPr>
        <w:t>| Alcance | Metamodelo de conocimiento y trazabilidad |</w:t>
      </w:r>
    </w:p>
    <w:p>
      <w:pPr>
        <w:spacing w:after="20" w:line="240" w:lineRule="auto"/>
      </w:pPr>
      <w:r>
        <w:rPr>
          <w:rFonts w:ascii="Consolas" w:hAnsi="Consolas"/>
          <w:sz w:val="14"/>
        </w:rPr>
        <w:t>| Exclusiones | Contenido científico, KPI concretos, fórmulas concretas y modificación de decisiones |</w:t>
      </w:r>
    </w:p>
    <w:p>
      <w:pPr>
        <w:spacing w:after="20" w:line="240" w:lineRule="auto"/>
      </w:pPr>
      <w:r>
        <w:rPr>
          <w:rFonts w:ascii="Consolas" w:hAnsi="Consolas"/>
          <w:sz w:val="14"/>
        </w:rPr>
        <w:t>| Autoridad de origen | Encargo EPIC-001 |</w:t>
      </w:r>
    </w:p>
    <w:p>
      <w:pPr>
        <w:spacing w:after="20" w:line="240" w:lineRule="auto"/>
      </w:pPr>
      <w:r>
        <w:rPr>
          <w:rFonts w:ascii="Consolas" w:hAnsi="Consolas"/>
          <w:sz w:val="14"/>
        </w:rPr>
        <w:t>| Decisiones respetadas | D-001–D-006 y D-006-REV, sin modificación |</w:t>
      </w:r>
    </w:p>
    <w:p>
      <w:pPr>
        <w:spacing w:after="40"/>
      </w:pPr>
    </w:p>
    <w:p>
      <w:pPr>
        <w:pStyle w:val="Heading3"/>
      </w:pPr>
      <w:r>
        <w:t>Entregables</w:t>
      </w:r>
    </w:p>
    <w:p>
      <w:pPr>
        <w:spacing w:after="40"/>
      </w:pPr>
    </w:p>
    <w:p>
      <w:pPr>
        <w:pStyle w:val="ListNumber"/>
      </w:pPr>
      <w:r>
        <w:t>[GOEI MetaModel](01_GOEI_MetaModel.md)</w:t>
      </w:r>
    </w:p>
    <w:p>
      <w:pPr>
        <w:pStyle w:val="ListNumber"/>
      </w:pPr>
      <w:r>
        <w:t>[GOEI Knowledge Graph](02_GOEI_Knowledge_Graph.md)</w:t>
      </w:r>
    </w:p>
    <w:p>
      <w:pPr>
        <w:pStyle w:val="ListNumber"/>
      </w:pPr>
      <w:r>
        <w:t>[Diccionario de relaciones](04_Diccionario_de_relaciones.md)</w:t>
      </w:r>
    </w:p>
    <w:p>
      <w:pPr>
        <w:pStyle w:val="ListNumber"/>
      </w:pPr>
      <w:r>
        <w:t>[Diccionario de entidades](03_Diccionario_de_entidades.md)</w:t>
      </w:r>
    </w:p>
    <w:p>
      <w:pPr>
        <w:pStyle w:val="ListNumber"/>
      </w:pPr>
      <w:r>
        <w:t>[Reglas de integridad](05_Reglas_de_integridad.md)</w:t>
      </w:r>
    </w:p>
    <w:p>
      <w:pPr>
        <w:pStyle w:val="ListNumber"/>
      </w:pPr>
      <w:r>
        <w:t>[Restricciones de consistencia](06_Restricciones_de_consistencia.md)</w:t>
      </w:r>
    </w:p>
    <w:p>
      <w:pPr>
        <w:pStyle w:val="ListNumber"/>
      </w:pPr>
      <w:r>
        <w:t>[Reglas de navegación](07_Reglas_de_navegacion.md)</w:t>
      </w:r>
    </w:p>
    <w:p>
      <w:pPr>
        <w:pStyle w:val="ListNumber"/>
      </w:pPr>
      <w:r>
        <w:t>[Diagrama conceptual completo](08_Diagrama_conceptual.md)</w:t>
      </w:r>
    </w:p>
    <w:p>
      <w:pPr>
        <w:pStyle w:val="ListNumber"/>
      </w:pPr>
      <w:r>
        <w:t>[Matriz Entidad–Relación](09_Matriz_Entidad_Relacion.md)</w:t>
      </w:r>
    </w:p>
    <w:p>
      <w:pPr>
        <w:pStyle w:val="ListNumber"/>
      </w:pPr>
      <w:r>
        <w:t>[Recomendaciones para software](10_Recomendaciones_software.md)</w:t>
      </w:r>
    </w:p>
    <w:p>
      <w:pPr>
        <w:pStyle w:val="ListNumber"/>
      </w:pPr>
      <w:r>
        <w:t>[Issues y ramas bloqueadas](11_Registro_de_issues.md)</w:t>
      </w:r>
    </w:p>
    <w:p>
      <w:pPr>
        <w:pStyle w:val="ListNumber"/>
      </w:pPr>
      <w:r>
        <w:t>[Proyección procesable de registros](implementacion/README.md)</w:t>
      </w:r>
    </w:p>
    <w:p>
      <w:pPr>
        <w:spacing w:after="40"/>
      </w:pPr>
    </w:p>
    <w:p>
      <w:pPr>
        <w:pStyle w:val="Heading3"/>
      </w:pPr>
      <w:r>
        <w:t>Regla de autoridad</w:t>
      </w:r>
    </w:p>
    <w:p>
      <w:pPr>
        <w:spacing w:after="40"/>
      </w:pPr>
    </w:p>
    <w:p>
      <w:r>
        <w:t>El Knowledge Graph registra conocimiento y procedencia; no crea verdad científica. Una arista crea, aprueba, sustenta o incorpora solo existe si puede citarse el artefacto fuente que la autoriza.</w:t>
      </w:r>
    </w:p>
    <w:p>
      <w:r>
        <w:br w:type="page"/>
      </w:r>
    </w:p>
    <w:p>
      <w:pPr>
        <w:pStyle w:val="Heading1"/>
        <w:keepNext/>
      </w:pPr>
      <w:r>
        <w:t>Fuente 119: 09_Manual_tecnico_general/Fase3_D005_Arquitectura_del_Estandar_GOEI.md</w:t>
      </w:r>
    </w:p>
    <w:p>
      <w:pPr>
        <w:spacing w:after="200"/>
      </w:pPr>
      <w:r>
        <w:rPr>
          <w:rFonts w:ascii="Consolas" w:hAnsi="Consolas"/>
          <w:color w:val="595959"/>
          <w:sz w:val="16"/>
        </w:rPr>
        <w:t>Ruta: 09_Manual_tecnico_general/Fase3_D005_Arquitectura_del_Estandar_GOEI.md</w:t>
        <w:br/>
        <w:t>Tamaño: 19383 bytes</w:t>
        <w:br/>
        <w:t>SHA-256: 12984f09c68fd05659748cc7095865d79a8b116a185e4f58dacce505b5b782f1</w:t>
      </w:r>
    </w:p>
    <w:p>
      <w:pPr>
        <w:pStyle w:val="Heading2"/>
      </w:pPr>
      <w:r>
        <w:t>FASE 3 — Decisión metodológica D-005</w:t>
      </w:r>
    </w:p>
    <w:p>
      <w:pPr>
        <w:pStyle w:val="Heading3"/>
      </w:pPr>
      <w:r>
        <w:t>Arquitectura del GOEI Standard</w:t>
      </w:r>
    </w:p>
    <w:p>
      <w:pPr>
        <w:spacing w:after="40"/>
      </w:pPr>
    </w:p>
    <w:p>
      <w:r>
        <w:t>Tipo de documento: diseño de la arquitectura del estándar (no de su contenido).</w:t>
      </w:r>
    </w:p>
    <w:p>
      <w:r>
        <w:t>Regla de la fase: NO se definen dimensiones, KPI, fórmulas, pesos ni umbrales. Solo la estructura que todo el proyecto deberá seguir.</w:t>
      </w:r>
    </w:p>
    <w:p>
      <w:r>
        <w:t>Premisas heredadas (D-001 a D-004, provisionales): brecha defendible; GOEI = índice compuesto formativo; "Salud Operacional Gastronómica" metodológicamente válida; el objeto pasa de índice a estándar técnico.</w:t>
      </w:r>
    </w:p>
    <w:p>
      <w:r>
        <w:t>Fecha: 2026-08-04.</w:t>
      </w:r>
    </w:p>
    <w:p>
      <w:pPr>
        <w:spacing w:after="40"/>
      </w:pPr>
    </w:p>
    <w:p>
      <w:pPr>
        <w:spacing w:after="100"/>
        <w:ind w:left="360" w:right="216"/>
      </w:pPr>
      <w:r>
        <w:rPr>
          <w:i/>
          <w:color w:val="595959"/>
        </w:rPr>
        <w:t>Etiquetas: [EVIDENCIA] (cómo están construidos los estándares reales), [ANÁLISIS] (juicio del comité), [PROPUESTA/PENDIENTE].</w:t>
      </w:r>
    </w:p>
    <w:p>
      <w:pPr>
        <w:spacing w:after="40"/>
      </w:pPr>
    </w:p>
    <w:p>
      <w:r>
        <w:t>---</w:t>
      </w:r>
    </w:p>
    <w:p>
      <w:pPr>
        <w:spacing w:after="40"/>
      </w:pPr>
    </w:p>
    <w:p>
      <w:pPr>
        <w:pStyle w:val="Heading3"/>
      </w:pPr>
      <w:r>
        <w:t>0. Cambio de objeto: de "índice" a "estándar" (y sus consecuencias)</w:t>
      </w:r>
    </w:p>
    <w:p>
      <w:pPr>
        <w:spacing w:after="40"/>
      </w:pPr>
    </w:p>
    <w:p>
      <w:r>
        <w:t>Un índice es un número. Un estándar es un sistema socio-técnico que produce ese número de forma reproducible, auditable y gobernada. La lección transversal de CMMI es explícita: CMMI v2.0 no es un documento, es un product suite de cinco componentes —modelo, formación/certificación, guía de adopción, método de evaluación y herramientas— ([EVIDENCIA]). Diseñar la arquitectura del GOEI significa, por tanto, diseñar más que el documento del índice: significa diseñar el modelo, el esquema de conformidad, la evidencia, la gobernanza y el mantenimiento. La arquitectura de 12 niveles propuesta describe bien el documento técnico, pero un estándar internacional tiene capas que ese listado no contempla. Ese es el hallazgo central de esta fase ([ANÁLISIS]).</w:t>
      </w:r>
    </w:p>
    <w:p>
      <w:pPr>
        <w:spacing w:after="40"/>
      </w:pPr>
    </w:p>
    <w:p>
      <w:r>
        <w:t>---</w:t>
      </w:r>
    </w:p>
    <w:p>
      <w:pPr>
        <w:spacing w:after="40"/>
      </w:pPr>
    </w:p>
    <w:p>
      <w:pPr>
        <w:pStyle w:val="Heading3"/>
      </w:pPr>
      <w:r>
        <w:t>1. Anatomía comparada de estándares internacionales</w:t>
      </w:r>
    </w:p>
    <w:p>
      <w:pPr>
        <w:spacing w:after="40"/>
      </w:pPr>
    </w:p>
    <w:p>
      <w:r>
        <w:t>Qué partes estructurales tiene cada referencia ([EVIDENCIA]):</w:t>
      </w:r>
    </w:p>
    <w:p>
      <w:pPr>
        <w:spacing w:after="40"/>
      </w:pPr>
    </w:p>
    <w:p>
      <w:pPr>
        <w:spacing w:after="20" w:line="240" w:lineRule="auto"/>
      </w:pPr>
      <w:r>
        <w:rPr>
          <w:rFonts w:ascii="Consolas" w:hAnsi="Consolas"/>
          <w:sz w:val="14"/>
        </w:rPr>
        <w:t>| Estándar | Fundamento normativo | Modelo/marco | Estructura del dominio | Medición | Lógica de decisión | Aplicación/guía | Evaluación de conformidad | Gobernanza/mantenimiento |</w:t>
      </w:r>
    </w:p>
    <w:p>
      <w:pPr>
        <w:spacing w:after="20" w:line="240" w:lineRule="auto"/>
      </w:pPr>
      <w:r>
        <w:rPr>
          <w:rFonts w:ascii="Consolas" w:hAnsi="Consolas"/>
          <w:sz w:val="14"/>
        </w:rPr>
        <w:t>|---|---|---|---|---|---|---|---|---|</w:t>
      </w:r>
    </w:p>
    <w:p>
      <w:pPr>
        <w:spacing w:after="20" w:line="240" w:lineRule="auto"/>
      </w:pPr>
      <w:r>
        <w:rPr>
          <w:rFonts w:ascii="Consolas" w:hAnsi="Consolas"/>
          <w:sz w:val="14"/>
        </w:rPr>
        <w:t>| **ISO (Annex SL / Estructura Armonizada)** | Alcance, Referencias normativas, Términos y definiciones (bloqueados) | Cláusulas 4–10 (contexto, liderazgo…) | — | Cláusula 9 (evaluación del desempeño) | Requisitos "shall" | Anexos informativos | ISO/IEC 17065, esquemas de certificación | Directivas ISO, ciclo de revisión, comité técnico |</w:t>
      </w:r>
    </w:p>
    <w:p>
      <w:pPr>
        <w:spacing w:after="20" w:line="240" w:lineRule="auto"/>
      </w:pPr>
      <w:r>
        <w:rPr>
          <w:rFonts w:ascii="Consolas" w:hAnsi="Consolas"/>
          <w:sz w:val="14"/>
        </w:rPr>
        <w:t>| **Codex / HACCP** | Definiciones, principios generales de higiene | 7 principios HACCP | Códigos de prácticas por producto | Límites críticos, monitoreo | **Límites críticos = puertas** | Códigos de práctica, guías FAO | Verificación/validación oficial | Comisión del Codex |</w:t>
      </w:r>
    </w:p>
    <w:p>
      <w:pPr>
        <w:spacing w:after="20" w:line="240" w:lineRule="auto"/>
      </w:pPr>
      <w:r>
        <w:rPr>
          <w:rFonts w:ascii="Consolas" w:hAnsi="Consolas"/>
          <w:sz w:val="14"/>
        </w:rPr>
        <w:t>| **SCOR** | Terminología estandarizada | Modelo de referencia de procesos | Descomposición jerárquica (niveles 1–4) | &gt;250 métricas jerárquicas (5 atributos) | Benchmarking | *Practices* + *People/Skills* | Benchmarking, certificación APICS | ASCM (propietario) |</w:t>
      </w:r>
    </w:p>
    <w:p>
      <w:pPr>
        <w:spacing w:after="20" w:line="240" w:lineRule="auto"/>
      </w:pPr>
      <w:r>
        <w:rPr>
          <w:rFonts w:ascii="Consolas" w:hAnsi="Consolas"/>
          <w:sz w:val="14"/>
        </w:rPr>
        <w:t>| **EFQM** | — | Modelo (enablers→results) | Criterios y subcriterios | Puntaje | **Lógica RADAR** | Guías | Evaluación/premio | EFQM |</w:t>
      </w:r>
    </w:p>
    <w:p>
      <w:pPr>
        <w:spacing w:after="20" w:line="240" w:lineRule="auto"/>
      </w:pPr>
      <w:r>
        <w:rPr>
          <w:rFonts w:ascii="Consolas" w:hAnsi="Consolas"/>
          <w:sz w:val="14"/>
        </w:rPr>
        <w:t>| **Shingo** | Principios | Principios→sistemas→herramientas→resultados | — | — | Evaluación de comportamientos | Guías de aplicación | **Shingo Prize** (assessment) | Shingo Institute (Utah State) |</w:t>
      </w:r>
    </w:p>
    <w:p>
      <w:pPr>
        <w:spacing w:after="20" w:line="240" w:lineRule="auto"/>
      </w:pPr>
      <w:r>
        <w:rPr>
          <w:rFonts w:ascii="Consolas" w:hAnsi="Consolas"/>
          <w:sz w:val="14"/>
        </w:rPr>
        <w:t>| **PMBOK** | Glosario | — | Áreas de conocimiento | — | — | Procesos (ITTO) | Certificación PMP | PMI |</w:t>
      </w:r>
    </w:p>
    <w:p>
      <w:pPr>
        <w:spacing w:after="20" w:line="240" w:lineRule="auto"/>
      </w:pPr>
      <w:r>
        <w:rPr>
          <w:rFonts w:ascii="Consolas" w:hAnsi="Consolas"/>
          <w:sz w:val="14"/>
        </w:rPr>
        <w:t>| **ITIL** | Principios rectores | Service Value System | Prácticas | — | — | Prácticas | Certificación | Axelos/PeopleCert |</w:t>
      </w:r>
    </w:p>
    <w:p>
      <w:pPr>
        <w:spacing w:after="20" w:line="240" w:lineRule="auto"/>
      </w:pPr>
      <w:r>
        <w:rPr>
          <w:rFonts w:ascii="Consolas" w:hAnsi="Consolas"/>
          <w:sz w:val="14"/>
        </w:rPr>
        <w:t>| **CMMI** | — | Modelo | Áreas de proceso/práctica; **niveles de madurez/capacidad** | — | Rating de nivel | Guía de adopción; herramientas | **SCAMPI** (clases A/B/C); certificación | Product suite; ISACA |</w:t>
      </w:r>
    </w:p>
    <w:p>
      <w:pPr>
        <w:spacing w:after="20" w:line="240" w:lineRule="auto"/>
      </w:pPr>
      <w:r>
        <w:rPr>
          <w:rFonts w:ascii="Consolas" w:hAnsi="Consolas"/>
          <w:sz w:val="14"/>
        </w:rPr>
        <w:t>| **Balanced Scorecard** | — | 4 perspectivas | Mapa estratégico (causa-efecto) | Medidas/metas | Iniciativas | — | — | — |</w:t>
      </w:r>
    </w:p>
    <w:p>
      <w:pPr>
        <w:spacing w:after="20" w:line="240" w:lineRule="auto"/>
      </w:pPr>
      <w:r>
        <w:rPr>
          <w:rFonts w:ascii="Consolas" w:hAnsi="Consolas"/>
          <w:sz w:val="14"/>
        </w:rPr>
        <w:t>| **Ocean Health Index** | Definiciones de metas | 10 metas (marco Estado-Presión-Respuesta) | Metas/subobjetivos | Puntaje 0–100; capas de datos | **Estado de referencia**; estado + futuro | Metodología reproducible (código abierto) | Repetición anual auditada | OHI-Science |</w:t>
      </w:r>
    </w:p>
    <w:p>
      <w:pPr>
        <w:spacing w:after="40"/>
      </w:pPr>
    </w:p>
    <w:p>
      <w:r>
        <w:t>Patrón ([ANÁLISIS]): todos comparten un frente normativo (alcance + términos), un modelo, una medición y una lógica de decisión. Los más maduros añaden tres cosas que los índices simples no tienen: (i) un esquema de evaluación de conformidad (SCAMPI, Shingo Prize, ISO 17065), (ii) una gobernanza con ciclo de revisión (Directivas ISO, Comisión Codex), y (iii) una base de evidencia/validación (OHI publica métodos reproducibles; los estándares alimentarios exigen validación).</w:t>
      </w:r>
    </w:p>
    <w:p>
      <w:pPr>
        <w:spacing w:after="40"/>
      </w:pPr>
    </w:p>
    <w:p>
      <w:r>
        <w:t>---</w:t>
      </w:r>
    </w:p>
    <w:p>
      <w:pPr>
        <w:spacing w:after="40"/>
      </w:pPr>
    </w:p>
    <w:p>
      <w:pPr>
        <w:pStyle w:val="Heading3"/>
      </w:pPr>
      <w:r>
        <w:t>2. Componentes estructurales universales de un estándar técnico</w:t>
      </w:r>
    </w:p>
    <w:p>
      <w:pPr>
        <w:spacing w:after="40"/>
      </w:pPr>
    </w:p>
    <w:p>
      <w:r>
        <w:t>Síntesis de lo anterior: diez familias de componentes que recurren en un estándar internacional maduro ([ANÁLISIS/EVIDENCIA]). Se marcan las que la arquitectura de 12 niveles ya cubre (✓), cubre parcialmente (~) o omite (✗).</w:t>
      </w:r>
    </w:p>
    <w:p>
      <w:pPr>
        <w:spacing w:after="40"/>
      </w:pPr>
    </w:p>
    <w:p>
      <w:pPr>
        <w:spacing w:after="20" w:line="240" w:lineRule="auto"/>
      </w:pPr>
      <w:r>
        <w:rPr>
          <w:rFonts w:ascii="Consolas" w:hAnsi="Consolas"/>
          <w:sz w:val="14"/>
        </w:rPr>
        <w:t>| # | Familia de componente | Función | ¿En los 12 niveles? |</w:t>
      </w:r>
    </w:p>
    <w:p>
      <w:pPr>
        <w:spacing w:after="20" w:line="240" w:lineRule="auto"/>
      </w:pPr>
      <w:r>
        <w:rPr>
          <w:rFonts w:ascii="Consolas" w:hAnsi="Consolas"/>
          <w:sz w:val="14"/>
        </w:rPr>
        <w:t>|---|---|---|---|</w:t>
      </w:r>
    </w:p>
    <w:p>
      <w:pPr>
        <w:spacing w:after="20" w:line="240" w:lineRule="auto"/>
      </w:pPr>
      <w:r>
        <w:rPr>
          <w:rFonts w:ascii="Consolas" w:hAnsi="Consolas"/>
          <w:sz w:val="14"/>
        </w:rPr>
        <w:t>| C1 | **Gobernanza e institución** | Propietario del esquema, comité técnico, IP/licencia, ciclo de revisión, ética y gobernanza de datos | ✗ |</w:t>
      </w:r>
    </w:p>
    <w:p>
      <w:pPr>
        <w:spacing w:after="20" w:line="240" w:lineRule="auto"/>
      </w:pPr>
      <w:r>
        <w:rPr>
          <w:rFonts w:ascii="Consolas" w:hAnsi="Consolas"/>
          <w:sz w:val="14"/>
        </w:rPr>
        <w:t>| C2 | **Fundamento normativo (frente)** | Alcance y propósito, principios rectores, **términos y definiciones (glosario)**, referencias normativas | ~ (implícito en "modelo conceptual") |</w:t>
      </w:r>
    </w:p>
    <w:p>
      <w:pPr>
        <w:spacing w:after="20" w:line="240" w:lineRule="auto"/>
      </w:pPr>
      <w:r>
        <w:rPr>
          <w:rFonts w:ascii="Consolas" w:hAnsi="Consolas"/>
          <w:sz w:val="14"/>
        </w:rPr>
        <w:t>| C3 | **Modelo conceptual/de referencia** | El constructo y su marco (aquí: Salud Operacional formativa) | ✓ (Nivel 1) |</w:t>
      </w:r>
    </w:p>
    <w:p>
      <w:pPr>
        <w:spacing w:after="20" w:line="240" w:lineRule="auto"/>
      </w:pPr>
      <w:r>
        <w:rPr>
          <w:rFonts w:ascii="Consolas" w:hAnsi="Consolas"/>
          <w:sz w:val="14"/>
        </w:rPr>
        <w:t>| C4 | **Estructura del dominio** | Taxonomía + matriz/mapa de procesos + descomposición jerárquica | ✓ (Niveles 3, 4) |</w:t>
      </w:r>
    </w:p>
    <w:p>
      <w:pPr>
        <w:spacing w:after="20" w:line="240" w:lineRule="auto"/>
      </w:pPr>
      <w:r>
        <w:rPr>
          <w:rFonts w:ascii="Consolas" w:hAnsi="Consolas"/>
          <w:sz w:val="14"/>
        </w:rPr>
        <w:t>| C5 | **Sistema de medición** | Catálogo de indicadores + **matriz de admisibilidad** + normalización + modelo de agregación | ✓ (Niveles 5, 6, 7) |</w:t>
      </w:r>
    </w:p>
    <w:p>
      <w:pPr>
        <w:spacing w:after="20" w:line="240" w:lineRule="auto"/>
      </w:pPr>
      <w:r>
        <w:rPr>
          <w:rFonts w:ascii="Consolas" w:hAnsi="Consolas"/>
          <w:sz w:val="14"/>
        </w:rPr>
        <w:t>| C6 | **Lógica de decisión** | Reglas críticas no compensatorias (puertas) + escala de interpretación/clasificación | ✓ (Niveles 8, 9) |</w:t>
      </w:r>
    </w:p>
    <w:p>
      <w:pPr>
        <w:spacing w:after="20" w:line="240" w:lineRule="auto"/>
      </w:pPr>
      <w:r>
        <w:rPr>
          <w:rFonts w:ascii="Consolas" w:hAnsi="Consolas"/>
          <w:sz w:val="14"/>
        </w:rPr>
        <w:t>| C7 | **Aplicación y operación** | Manual técnico general + manuales por categoría + formularios + ejemplos/herramientas | ✓ (Niveles 2, 11, 12) |</w:t>
      </w:r>
    </w:p>
    <w:p>
      <w:pPr>
        <w:spacing w:after="20" w:line="240" w:lineRule="auto"/>
      </w:pPr>
      <w:r>
        <w:rPr>
          <w:rFonts w:ascii="Consolas" w:hAnsi="Consolas"/>
          <w:sz w:val="14"/>
        </w:rPr>
        <w:t>| C8 | **Evaluación de conformidad** | Protocolo de auditoría + **competencia/cualificación del evaluador** + **esquema de certificación** + acreditación/imparcialidad | ~ (Nivel 10 solo "auditoría") |</w:t>
      </w:r>
    </w:p>
    <w:p>
      <w:pPr>
        <w:spacing w:after="20" w:line="240" w:lineRule="auto"/>
      </w:pPr>
      <w:r>
        <w:rPr>
          <w:rFonts w:ascii="Consolas" w:hAnsi="Consolas"/>
          <w:sz w:val="14"/>
        </w:rPr>
        <w:t>| C9 | **Base de evidencia y validación** | Dossier científico, piloto, fiabilidad/reproducibilidad, robustez, calibración de estados de referencia | ✗ |</w:t>
      </w:r>
    </w:p>
    <w:p>
      <w:pPr>
        <w:spacing w:after="20" w:line="240" w:lineRule="auto"/>
      </w:pPr>
      <w:r>
        <w:rPr>
          <w:rFonts w:ascii="Consolas" w:hAnsi="Consolas"/>
          <w:sz w:val="14"/>
        </w:rPr>
        <w:t>| C10 | **Mejora continua y mantenimiento** | Retroalimentación, ciclo de revisión, control de cambios/versionado, **vigilancia anti-gaming**, formación/capacitación | ✗ |</w:t>
      </w:r>
    </w:p>
    <w:p>
      <w:pPr>
        <w:spacing w:after="40"/>
      </w:pPr>
    </w:p>
    <w:p>
      <w:r>
        <w:t>Diagnóstico: de las 10 familias, la arquitectura propuesta cubre plenamente 4 (C3–C7 en parte), parcialmente 2 (C2, C8) y omite 3 críticas: C1 (gobernanza), C9 (validación) y C10 (mantenimiento). Precisamente C9 (validación) es lo que —según D-001— separa un estándar de "otro KPI". Su ausencia en la arquitectura es el defecto más grave. ([ANÁLISIS clave])</w:t>
      </w:r>
    </w:p>
    <w:p>
      <w:pPr>
        <w:spacing w:after="40"/>
      </w:pPr>
    </w:p>
    <w:p>
      <w:r>
        <w:t>---</w:t>
      </w:r>
    </w:p>
    <w:p>
      <w:pPr>
        <w:spacing w:after="40"/>
      </w:pPr>
    </w:p>
    <w:p>
      <w:pPr>
        <w:pStyle w:val="Heading3"/>
      </w:pPr>
      <w:r>
        <w:t>3. Evaluación de la arquitectura de 12 niveles propuesta</w:t>
      </w:r>
    </w:p>
    <w:p>
      <w:pPr>
        <w:spacing w:after="40"/>
      </w:pPr>
    </w:p>
    <w:p>
      <w:pPr>
        <w:pStyle w:val="Heading4"/>
      </w:pPr>
      <w:r>
        <w:t>3.1 ¿Es suficiente? — No. Es un buen esqueleto del documento técnico, pero no del estándar. Faltan las capas institucional (C1), de validación (C9) y de mantenimiento (C10), y el esquema de conformidad está subdimensionado (C8).</w:t>
      </w:r>
    </w:p>
    <w:p>
      <w:pPr>
        <w:spacing w:after="40"/>
      </w:pPr>
    </w:p>
    <w:p>
      <w:pPr>
        <w:pStyle w:val="Heading4"/>
      </w:pPr>
      <w:r>
        <w:t>3.2 ¿Falta algo? — Sí, siete componentes:</w:t>
      </w:r>
    </w:p>
    <w:p>
      <w:pPr>
        <w:pStyle w:val="ListNumber"/>
      </w:pPr>
      <w:r>
        <w:t>Glosario / términos y definiciones como pieza propia y anterior (norma ISO: términos bloqueados al frente). Hoy está disuelto en "modelo conceptual".</w:t>
      </w:r>
    </w:p>
    <w:p>
      <w:pPr>
        <w:pStyle w:val="ListNumber"/>
      </w:pPr>
      <w:r>
        <w:t>Alcance y principios rectores explícitos (qué mide y qué NO mide el estándar; a quién aplica).</w:t>
      </w:r>
    </w:p>
    <w:p>
      <w:pPr>
        <w:pStyle w:val="ListNumber"/>
      </w:pPr>
      <w:r>
        <w:t>Base de evidencia y validación (dossier científico, piloto, fiabilidad, robustez): el corazón de un estándar científico.</w:t>
      </w:r>
    </w:p>
    <w:p>
      <w:pPr>
        <w:pStyle w:val="ListNumber"/>
      </w:pPr>
      <w:r>
        <w:t>Esquema de evaluación de conformidad completo (no solo "auditoría"): método de evaluación con clases de rigor (cf. SCAMPI A/B/C), cualificación del evaluador, certificación e imparcialidad (cf. ISO 17065).</w:t>
      </w:r>
    </w:p>
    <w:p>
      <w:pPr>
        <w:pStyle w:val="ListNumber"/>
      </w:pPr>
      <w:r>
        <w:t>Gobernanza: propietario del estándar, comité técnico, IP/licencia, ética y gobernanza de datos.</w:t>
      </w:r>
    </w:p>
    <w:p>
      <w:pPr>
        <w:pStyle w:val="ListNumber"/>
      </w:pPr>
      <w:r>
        <w:t>Mantenimiento y versionado: ciclo de revisión, control de cambios, compatibilidad entre versiones.</w:t>
      </w:r>
    </w:p>
    <w:p>
      <w:pPr>
        <w:pStyle w:val="ListNumber"/>
      </w:pPr>
      <w:r>
        <w:t>Vigilancia anti-gaming (Ley de Goodhart): mecanismo para detectar que el índice deje de medir lo que mide al volverse objetivo.</w:t>
      </w:r>
    </w:p>
    <w:p>
      <w:pPr>
        <w:spacing w:after="40"/>
      </w:pPr>
    </w:p>
    <w:p>
      <w:pPr>
        <w:pStyle w:val="Heading4"/>
      </w:pPr>
      <w:r>
        <w:t>3.3 ¿Sobra algo? — No sobra, pero hay agrupamiento incorrecto. "Manual Técnico General" (N2), "Formularios" (N11) y "Manuales por categoría" (N12) son una misma capa de aplicación dispersa en tres puntos no contiguos. No son redundantes, pero deben convivir. Y el "Manual Técnico General" en N2 está fuera de lugar por prematuro: el manual es el empaquetado de los niveles técnicos (taxonomía→interpretación), luego no puede preceder a lo que empaqueta.</w:t>
      </w:r>
    </w:p>
    <w:p>
      <w:pPr>
        <w:spacing w:after="40"/>
      </w:pPr>
    </w:p>
    <w:p>
      <w:pPr>
        <w:pStyle w:val="Heading4"/>
      </w:pPr>
      <w:r>
        <w:t>3.4 ¿El orden es correcto? — Parcialmente. Aciertos: el flujo modelo→taxonomía→procesos→indicadores→normalización→matemática→reglas→interpretación es lógicamente correcto (no se puede normalizar lo que no se ha definido). Errores de orden:</w:t>
      </w:r>
    </w:p>
    <w:p>
      <w:pPr>
        <w:pStyle w:val="ListBullet"/>
      </w:pPr>
      <w:r>
        <w:t>El glosario/alcance debe ir primero, no disuelto en N1.</w:t>
      </w:r>
    </w:p>
    <w:p>
      <w:pPr>
        <w:pStyle w:val="ListBullet"/>
      </w:pPr>
      <w:r>
        <w:t>El Manual Técnico General (N2) debe ir después del núcleo técnico, no en segundo lugar.</w:t>
      </w:r>
    </w:p>
    <w:p>
      <w:pPr>
        <w:pStyle w:val="ListBullet"/>
      </w:pPr>
      <w:r>
        <w:t>La auditoría (N10) no es un "nivel" secuencial sino un esquema paralelo que consume el núcleo técnico; su sitio es un plano aparte, no un peldaño.</w:t>
      </w:r>
    </w:p>
    <w:p>
      <w:pPr>
        <w:pStyle w:val="ListBullet"/>
      </w:pPr>
      <w:r>
        <w:t>La validación debería actuar como compuerta previa a la publicación, no aparecer en ningún lugar del listado (hoy no aparece).</w:t>
      </w:r>
    </w:p>
    <w:p>
      <w:pPr>
        <w:spacing w:after="40"/>
      </w:pPr>
    </w:p>
    <w:p>
      <w:r>
        <w:t>Síntesis del diagnóstico: la arquitectura de 12 niveles es un eje normativo correcto pero plano e incompleto; confunde niveles secuenciales con planos transversales y omite las capas que convierten un índice en estándar. ([ANÁLISIS])</w:t>
      </w:r>
    </w:p>
    <w:p>
      <w:pPr>
        <w:spacing w:after="40"/>
      </w:pPr>
    </w:p>
    <w:p>
      <w:r>
        <w:t>---</w:t>
      </w:r>
    </w:p>
    <w:p>
      <w:pPr>
        <w:spacing w:after="40"/>
      </w:pPr>
    </w:p>
    <w:p>
      <w:pPr>
        <w:pStyle w:val="Heading3"/>
      </w:pPr>
      <w:r>
        <w:t>4. Arquitectura propuesta para el GOEI Standard</w:t>
      </w:r>
    </w:p>
    <w:p>
      <w:pPr>
        <w:spacing w:after="40"/>
      </w:pPr>
    </w:p>
    <w:p>
      <w:r>
        <w:t>Se propone sustituir el listado plano por una arquitectura de un eje normativo secuencial envuelto por planos transversales y acompañado por un esquema de conformidad paralelo —la forma canónica de un estándar internacional (ISO + CMMI product suite). ([PROPUESTA/PENDIENTE de ratificación])</w:t>
      </w:r>
    </w:p>
    <w:p>
      <w:pPr>
        <w:spacing w:after="40"/>
      </w:pPr>
    </w:p>
    <w:p>
      <w:pPr>
        <w:pStyle w:val="Heading4"/>
      </w:pPr>
      <w:r>
        <w:t>4.1 Vista de conjunto</w:t>
      </w:r>
    </w:p>
    <w:p>
      <w:pPr>
        <w:spacing w:after="40"/>
      </w:pP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PLANO T1  ──────►│  GOBERNANZA E INSTITUCIÓN (propietario, comité, │</w:t>
      </w:r>
    </w:p>
    <w:p>
      <w:pPr>
        <w:spacing w:after="20" w:line="240" w:lineRule="auto"/>
        <w:ind w:left="259"/>
      </w:pPr>
      <w:r>
        <w:rPr>
          <w:rFonts w:ascii="Consolas" w:hAnsi="Consolas"/>
          <w:sz w:val="15"/>
        </w:rPr>
        <w:t xml:space="preserve">   (transversal)    │  IP, ética y gobernanza de datos, versionado)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PLANO T2  ──────►│  TERMINOLOGÍA Y GLOSARIO (definiciones bloqueadas)│</w:t>
      </w:r>
    </w:p>
    <w:p>
      <w:pPr>
        <w:spacing w:after="20" w:line="240" w:lineRule="auto"/>
        <w:ind w:left="259"/>
      </w:pPr>
      <w:r>
        <w:rPr>
          <w:rFonts w:ascii="Consolas" w:hAnsi="Consolas"/>
          <w:sz w:val="15"/>
        </w:rPr>
        <w:t xml:space="preserve">   (transversal)    └────────────────────────────────────────────────┘</w:t>
      </w:r>
    </w:p>
    <w:p>
      <w:pPr>
        <w:spacing w:after="40"/>
      </w:pPr>
    </w:p>
    <w:p>
      <w:pPr>
        <w:spacing w:after="20" w:line="240" w:lineRule="auto"/>
        <w:ind w:left="259"/>
      </w:pPr>
      <w:r>
        <w:rPr>
          <w:rFonts w:ascii="Consolas" w:hAnsi="Consolas"/>
          <w:sz w:val="15"/>
        </w:rPr>
        <w:t xml:space="preserve">   EJE NORMATIVO (secuencial, cada capa depende de la anterior):</w:t>
      </w:r>
    </w:p>
    <w:p>
      <w:pPr>
        <w:spacing w:after="20" w:line="240" w:lineRule="auto"/>
        <w:ind w:left="259"/>
      </w:pPr>
      <w:r>
        <w:rPr>
          <w:rFonts w:ascii="Consolas" w:hAnsi="Consolas"/>
          <w:sz w:val="15"/>
        </w:rPr>
        <w:t xml:space="preserve">   N0  Fundamento normativo ....... alcance, propósito, principios, referencias</w:t>
      </w:r>
    </w:p>
    <w:p>
      <w:pPr>
        <w:spacing w:after="20" w:line="240" w:lineRule="auto"/>
        <w:ind w:left="259"/>
      </w:pPr>
      <w:r>
        <w:rPr>
          <w:rFonts w:ascii="Consolas" w:hAnsi="Consolas"/>
          <w:sz w:val="15"/>
        </w:rPr>
        <w:t xml:space="preserve">   N1  Modelo conceptual .......... constructo formativo "Salud Operacional"</w:t>
      </w:r>
    </w:p>
    <w:p>
      <w:pPr>
        <w:spacing w:after="20" w:line="240" w:lineRule="auto"/>
        <w:ind w:left="259"/>
      </w:pPr>
      <w:r>
        <w:rPr>
          <w:rFonts w:ascii="Consolas" w:hAnsi="Consolas"/>
          <w:sz w:val="15"/>
        </w:rPr>
        <w:t xml:space="preserve">   N2  Taxonomía de establecimientos</w:t>
      </w:r>
    </w:p>
    <w:p>
      <w:pPr>
        <w:spacing w:after="20" w:line="240" w:lineRule="auto"/>
        <w:ind w:left="259"/>
      </w:pPr>
      <w:r>
        <w:rPr>
          <w:rFonts w:ascii="Consolas" w:hAnsi="Consolas"/>
          <w:sz w:val="15"/>
        </w:rPr>
        <w:t xml:space="preserve">   N3  Matriz/mapa de procesos</w:t>
      </w:r>
    </w:p>
    <w:p>
      <w:pPr>
        <w:spacing w:after="20" w:line="240" w:lineRule="auto"/>
        <w:ind w:left="259"/>
      </w:pPr>
      <w:r>
        <w:rPr>
          <w:rFonts w:ascii="Consolas" w:hAnsi="Consolas"/>
          <w:sz w:val="15"/>
        </w:rPr>
        <w:t xml:space="preserve">   N4  Sistema de indicadores ..... catálogo + matriz de admisibilidad</w:t>
      </w:r>
    </w:p>
    <w:p>
      <w:pPr>
        <w:spacing w:after="20" w:line="240" w:lineRule="auto"/>
        <w:ind w:left="259"/>
      </w:pPr>
      <w:r>
        <w:rPr>
          <w:rFonts w:ascii="Consolas" w:hAnsi="Consolas"/>
          <w:sz w:val="15"/>
        </w:rPr>
        <w:t xml:space="preserve">   N5  Sistema de normalización ... a escala común</w:t>
      </w:r>
    </w:p>
    <w:p>
      <w:pPr>
        <w:spacing w:after="20" w:line="240" w:lineRule="auto"/>
        <w:ind w:left="259"/>
      </w:pPr>
      <w:r>
        <w:rPr>
          <w:rFonts w:ascii="Consolas" w:hAnsi="Consolas"/>
          <w:sz w:val="15"/>
        </w:rPr>
        <w:t xml:space="preserve">   N6  Modelo matemático .......... agregación formativa</w:t>
      </w:r>
    </w:p>
    <w:p>
      <w:pPr>
        <w:spacing w:after="20" w:line="240" w:lineRule="auto"/>
        <w:ind w:left="259"/>
      </w:pPr>
      <w:r>
        <w:rPr>
          <w:rFonts w:ascii="Consolas" w:hAnsi="Consolas"/>
          <w:sz w:val="15"/>
        </w:rPr>
        <w:t xml:space="preserve">   N7  Reglas críticas ............ puertas no compensatorias</w:t>
      </w:r>
    </w:p>
    <w:p>
      <w:pPr>
        <w:spacing w:after="20" w:line="240" w:lineRule="auto"/>
        <w:ind w:left="259"/>
      </w:pPr>
      <w:r>
        <w:rPr>
          <w:rFonts w:ascii="Consolas" w:hAnsi="Consolas"/>
          <w:sz w:val="15"/>
        </w:rPr>
        <w:t xml:space="preserve">   N8  Interpretación ............. escala y clasificación</w:t>
      </w:r>
    </w:p>
    <w:p>
      <w:pPr>
        <w:spacing w:after="20" w:line="240" w:lineRule="auto"/>
        <w:ind w:left="259"/>
      </w:pPr>
      <w:r>
        <w:rPr>
          <w:rFonts w:ascii="Consolas" w:hAnsi="Consolas"/>
          <w:sz w:val="15"/>
        </w:rPr>
        <w:t xml:space="preserve">   N9  Capa de aplicación ......... Manual Técnico General + Manuales por</w:t>
      </w:r>
    </w:p>
    <w:p>
      <w:pPr>
        <w:spacing w:after="20" w:line="240" w:lineRule="auto"/>
        <w:ind w:left="259"/>
      </w:pPr>
      <w:r>
        <w:rPr>
          <w:rFonts w:ascii="Consolas" w:hAnsi="Consolas"/>
          <w:sz w:val="15"/>
        </w:rPr>
        <w:t xml:space="preserve">                                    categoría + Formularios + ejemplos/herramientas</w:t>
      </w:r>
    </w:p>
    <w:p>
      <w:pPr>
        <w:spacing w:after="40"/>
      </w:pP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PLANO T3  ──────►│  VALIDACIÓN Y EVIDENCIA (dossier, piloto,       │</w:t>
      </w:r>
    </w:p>
    <w:p>
      <w:pPr>
        <w:spacing w:after="20" w:line="240" w:lineRule="auto"/>
        <w:ind w:left="259"/>
      </w:pPr>
      <w:r>
        <w:rPr>
          <w:rFonts w:ascii="Consolas" w:hAnsi="Consolas"/>
          <w:sz w:val="15"/>
        </w:rPr>
        <w:t xml:space="preserve">   (compuerta)      │  fiabilidad, robustez, calibración de referencia)│◄─ gate previo a publicar</w:t>
      </w:r>
    </w:p>
    <w:p>
      <w:pPr>
        <w:spacing w:after="20" w:line="240" w:lineRule="auto"/>
        <w:ind w:left="259"/>
      </w:pPr>
      <w:r>
        <w:rPr>
          <w:rFonts w:ascii="Consolas" w:hAnsi="Consolas"/>
          <w:sz w:val="15"/>
        </w:rPr>
        <w:t xml:space="preserve">                    └────────────────────────────────────────────────┘</w:t>
      </w:r>
    </w:p>
    <w:p>
      <w:pPr>
        <w:spacing w:after="40"/>
      </w:pPr>
    </w:p>
    <w:p>
      <w:pPr>
        <w:spacing w:after="20" w:line="240" w:lineRule="auto"/>
        <w:ind w:left="259"/>
      </w:pPr>
      <w:r>
        <w:rPr>
          <w:rFonts w:ascii="Consolas" w:hAnsi="Consolas"/>
          <w:sz w:val="15"/>
        </w:rPr>
        <w:t xml:space="preserve">   ESQUEMA PARALELO DE CONFORMIDAD (consume N0–N9):</w:t>
      </w:r>
    </w:p>
    <w:p>
      <w:pPr>
        <w:spacing w:after="20" w:line="240" w:lineRule="auto"/>
        <w:ind w:left="259"/>
      </w:pPr>
      <w:r>
        <w:rPr>
          <w:rFonts w:ascii="Consolas" w:hAnsi="Consolas"/>
          <w:sz w:val="15"/>
        </w:rPr>
        <w:t xml:space="preserve">   K1  Protocolo de evaluación/auditoría (clases de rigor)</w:t>
      </w:r>
    </w:p>
    <w:p>
      <w:pPr>
        <w:spacing w:after="20" w:line="240" w:lineRule="auto"/>
        <w:ind w:left="259"/>
      </w:pPr>
      <w:r>
        <w:rPr>
          <w:rFonts w:ascii="Consolas" w:hAnsi="Consolas"/>
          <w:sz w:val="15"/>
        </w:rPr>
        <w:t xml:space="preserve">   K2  Cualificación y competencia del evaluador</w:t>
      </w:r>
    </w:p>
    <w:p>
      <w:pPr>
        <w:spacing w:after="20" w:line="240" w:lineRule="auto"/>
        <w:ind w:left="259"/>
      </w:pPr>
      <w:r>
        <w:rPr>
          <w:rFonts w:ascii="Consolas" w:hAnsi="Consolas"/>
          <w:sz w:val="15"/>
        </w:rPr>
        <w:t xml:space="preserve">   K3  Esquema de certificación e imparcialidad</w:t>
      </w:r>
    </w:p>
    <w:p>
      <w:pPr>
        <w:spacing w:after="20" w:line="240" w:lineRule="auto"/>
        <w:ind w:left="259"/>
      </w:pPr>
      <w:r>
        <w:rPr>
          <w:rFonts w:ascii="Consolas" w:hAnsi="Consolas"/>
          <w:sz w:val="15"/>
        </w:rPr>
        <w:t xml:space="preserve">   K4  Acreditación / reconocimiento</w:t>
      </w:r>
    </w:p>
    <w:p>
      <w:pPr>
        <w:spacing w:after="40"/>
      </w:pP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PLANO T4  ──────►│  MEJORA CONTINUA (retroalimentación, ciclo de   │</w:t>
      </w:r>
    </w:p>
    <w:p>
      <w:pPr>
        <w:spacing w:after="20" w:line="240" w:lineRule="auto"/>
        <w:ind w:left="259"/>
      </w:pPr>
      <w:r>
        <w:rPr>
          <w:rFonts w:ascii="Consolas" w:hAnsi="Consolas"/>
          <w:sz w:val="15"/>
        </w:rPr>
        <w:t xml:space="preserve">   (transversal)    │  revisión, control de cambios, vigilancia anti-gaming,│</w:t>
      </w:r>
    </w:p>
    <w:p>
      <w:pPr>
        <w:spacing w:after="20" w:line="240" w:lineRule="auto"/>
        <w:ind w:left="259"/>
      </w:pPr>
      <w:r>
        <w:rPr>
          <w:rFonts w:ascii="Consolas" w:hAnsi="Consolas"/>
          <w:sz w:val="15"/>
        </w:rPr>
        <w:t xml:space="preserve">                    │  formación y capacitación)                       │</w:t>
      </w:r>
    </w:p>
    <w:p>
      <w:pPr>
        <w:spacing w:after="20" w:line="240" w:lineRule="auto"/>
        <w:ind w:left="259"/>
      </w:pPr>
      <w:r>
        <w:rPr>
          <w:rFonts w:ascii="Consolas" w:hAnsi="Consolas"/>
          <w:sz w:val="15"/>
        </w:rPr>
        <w:t xml:space="preserve">                    └────────────────────────────────────────────────┘</w:t>
      </w:r>
    </w:p>
    <w:p>
      <w:pPr>
        <w:spacing w:after="40"/>
      </w:pPr>
    </w:p>
    <w:p>
      <w:pPr>
        <w:pStyle w:val="Heading4"/>
      </w:pPr>
      <w:r>
        <w:t>4.2 Descripción de las capas</w:t>
      </w:r>
    </w:p>
    <w:p>
      <w:pPr>
        <w:spacing w:after="40"/>
      </w:pPr>
    </w:p>
    <w:p>
      <w:r>
        <w:t>Planos transversales (tocan todas las capas):</w:t>
      </w:r>
    </w:p>
    <w:p>
      <w:pPr>
        <w:pStyle w:val="ListBullet"/>
      </w:pPr>
      <w:r>
        <w:t>T1 Gobernanza e institución — quién es dueño del estándar, cómo se decide, IP/licencia, ética, gobernanza de datos (privacidad de los establecimientos evaluados). Sin esto no hay estándar, solo un documento.</w:t>
      </w:r>
    </w:p>
    <w:p>
      <w:pPr>
        <w:pStyle w:val="ListBullet"/>
      </w:pPr>
      <w:r>
        <w:t>T2 Terminología y glosario — definiciones estables y "bloqueadas" (modelo ISO Annex SL) que todas las capas deben usar idénticamente; garantiza coherencia terminológica (principio del proyecto).</w:t>
      </w:r>
    </w:p>
    <w:p>
      <w:pPr>
        <w:pStyle w:val="ListBullet"/>
      </w:pPr>
      <w:r>
        <w:t>T3 Validación y evidencia — compuerta: ninguna versión del estándar se publica como referencia sin dossier de validación (contenido, criterio, fiabilidad, reproducibilidad, robustez, calibración de estados de referencia). Es la respuesta directa al riesgo R de D-001.</w:t>
      </w:r>
    </w:p>
    <w:p>
      <w:pPr>
        <w:pStyle w:val="ListBullet"/>
      </w:pPr>
      <w:r>
        <w:t>T4 Mejora continua — ciclo de revisión, versionado, control de cambios, vigilancia anti-gaming y formación.</w:t>
      </w:r>
    </w:p>
    <w:p>
      <w:pPr>
        <w:spacing w:after="40"/>
      </w:pPr>
    </w:p>
    <w:p>
      <w:r>
        <w:t>Eje normativo (secuencial): N0→N9 conserva y completa la propuesta original, con el glosario/alcance al frente (N0) y la aplicación consolidada al final (N9).</w:t>
      </w:r>
    </w:p>
    <w:p>
      <w:pPr>
        <w:spacing w:after="40"/>
      </w:pPr>
    </w:p>
    <w:p>
      <w:r>
        <w:t>Esquema paralelo de conformidad (K1–K4): define cómo se audita y certifica el cumplimiento —separado del eje porque usa el estándar, no forma parte de su construcción. Distingue el documento (norma), el esquema (certificación) y el organismo (gobernanza), como hacen ISO/IEC 17065 y CMMI/SCAMPI.</w:t>
      </w:r>
    </w:p>
    <w:p>
      <w:pPr>
        <w:spacing w:after="40"/>
      </w:pPr>
    </w:p>
    <w:p>
      <w:pPr>
        <w:pStyle w:val="Heading4"/>
      </w:pPr>
      <w:r>
        <w:t>4.3 Distinción normativo vs. informativo (regla ISO)</w:t>
      </w:r>
    </w:p>
    <w:p>
      <w:r>
        <w:t>Cada capa debe etiquetarse como normativa (requisito obligatorio, "debe") o informativa (guía, ejemplo). Propuesta inicial: N0–N8, T2, T3 y K1–K4 = normativos; N9 (manuales, formularios, ejemplos), T1 parcialmente y las herramientas = informativos. Esto evita que guías de aplicación se confundan con requisitos.</w:t>
      </w:r>
    </w:p>
    <w:p>
      <w:pPr>
        <w:spacing w:after="40"/>
      </w:pPr>
    </w:p>
    <w:p>
      <w:r>
        <w:t>---</w:t>
      </w:r>
    </w:p>
    <w:p>
      <w:pPr>
        <w:spacing w:after="40"/>
      </w:pPr>
    </w:p>
    <w:p>
      <w:pPr>
        <w:pStyle w:val="Heading3"/>
      </w:pPr>
      <w:r>
        <w:t>5. Correspondencia arquitectura propuesta ↔ 12 niveles originales</w:t>
      </w:r>
    </w:p>
    <w:p>
      <w:pPr>
        <w:spacing w:after="40"/>
      </w:pPr>
    </w:p>
    <w:p>
      <w:pPr>
        <w:spacing w:after="20" w:line="240" w:lineRule="auto"/>
      </w:pPr>
      <w:r>
        <w:rPr>
          <w:rFonts w:ascii="Consolas" w:hAnsi="Consolas"/>
          <w:sz w:val="14"/>
        </w:rPr>
        <w:t>| Original | Destino en la nueva arquitectura | Cambio |</w:t>
      </w:r>
    </w:p>
    <w:p>
      <w:pPr>
        <w:spacing w:after="20" w:line="240" w:lineRule="auto"/>
      </w:pPr>
      <w:r>
        <w:rPr>
          <w:rFonts w:ascii="Consolas" w:hAnsi="Consolas"/>
          <w:sz w:val="14"/>
        </w:rPr>
        <w:t>|---|---|---|</w:t>
      </w:r>
    </w:p>
    <w:p>
      <w:pPr>
        <w:spacing w:after="20" w:line="240" w:lineRule="auto"/>
      </w:pPr>
      <w:r>
        <w:rPr>
          <w:rFonts w:ascii="Consolas" w:hAnsi="Consolas"/>
          <w:sz w:val="14"/>
        </w:rPr>
        <w:t>| N1 Modelo conceptual | N1 (y N0 absorbe alcance/principios) | Se antepone N0 y T2 |</w:t>
      </w:r>
    </w:p>
    <w:p>
      <w:pPr>
        <w:spacing w:after="20" w:line="240" w:lineRule="auto"/>
      </w:pPr>
      <w:r>
        <w:rPr>
          <w:rFonts w:ascii="Consolas" w:hAnsi="Consolas"/>
          <w:sz w:val="14"/>
        </w:rPr>
        <w:t>| N2 Manual Técnico General | N9 (capa de aplicación) | **Reubicado al final** |</w:t>
      </w:r>
    </w:p>
    <w:p>
      <w:pPr>
        <w:spacing w:after="20" w:line="240" w:lineRule="auto"/>
      </w:pPr>
      <w:r>
        <w:rPr>
          <w:rFonts w:ascii="Consolas" w:hAnsi="Consolas"/>
          <w:sz w:val="14"/>
        </w:rPr>
        <w:t>| N3 Taxonomía | N2 | Reordenado |</w:t>
      </w:r>
    </w:p>
    <w:p>
      <w:pPr>
        <w:spacing w:after="20" w:line="240" w:lineRule="auto"/>
      </w:pPr>
      <w:r>
        <w:rPr>
          <w:rFonts w:ascii="Consolas" w:hAnsi="Consolas"/>
          <w:sz w:val="14"/>
        </w:rPr>
        <w:t>| N4 Catálogo de procesos | N3 | Reordenado |</w:t>
      </w:r>
    </w:p>
    <w:p>
      <w:pPr>
        <w:spacing w:after="20" w:line="240" w:lineRule="auto"/>
      </w:pPr>
      <w:r>
        <w:rPr>
          <w:rFonts w:ascii="Consolas" w:hAnsi="Consolas"/>
          <w:sz w:val="14"/>
        </w:rPr>
        <w:t>| N5 Sistema de indicadores | N4 (+ matriz de admisibilidad) | Se explicita la admisibilidad |</w:t>
      </w:r>
    </w:p>
    <w:p>
      <w:pPr>
        <w:spacing w:after="20" w:line="240" w:lineRule="auto"/>
      </w:pPr>
      <w:r>
        <w:rPr>
          <w:rFonts w:ascii="Consolas" w:hAnsi="Consolas"/>
          <w:sz w:val="14"/>
        </w:rPr>
        <w:t>| N6 Normalización | N5 | = |</w:t>
      </w:r>
    </w:p>
    <w:p>
      <w:pPr>
        <w:spacing w:after="20" w:line="240" w:lineRule="auto"/>
      </w:pPr>
      <w:r>
        <w:rPr>
          <w:rFonts w:ascii="Consolas" w:hAnsi="Consolas"/>
          <w:sz w:val="14"/>
        </w:rPr>
        <w:t>| N7 Modelo matemático | N6 | = |</w:t>
      </w:r>
    </w:p>
    <w:p>
      <w:pPr>
        <w:spacing w:after="20" w:line="240" w:lineRule="auto"/>
      </w:pPr>
      <w:r>
        <w:rPr>
          <w:rFonts w:ascii="Consolas" w:hAnsi="Consolas"/>
          <w:sz w:val="14"/>
        </w:rPr>
        <w:t>| N8 Reglas críticas | N7 | = |</w:t>
      </w:r>
    </w:p>
    <w:p>
      <w:pPr>
        <w:spacing w:after="20" w:line="240" w:lineRule="auto"/>
      </w:pPr>
      <w:r>
        <w:rPr>
          <w:rFonts w:ascii="Consolas" w:hAnsi="Consolas"/>
          <w:sz w:val="14"/>
        </w:rPr>
        <w:t>| N9 Interpretación | N8 | = |</w:t>
      </w:r>
    </w:p>
    <w:p>
      <w:pPr>
        <w:spacing w:after="20" w:line="240" w:lineRule="auto"/>
      </w:pPr>
      <w:r>
        <w:rPr>
          <w:rFonts w:ascii="Consolas" w:hAnsi="Consolas"/>
          <w:sz w:val="14"/>
        </w:rPr>
        <w:t>| N10 Auditoría | **K1–K4** (esquema paralelo) | **Promovido a esquema de conformidad completo** |</w:t>
      </w:r>
    </w:p>
    <w:p>
      <w:pPr>
        <w:spacing w:after="20" w:line="240" w:lineRule="auto"/>
      </w:pPr>
      <w:r>
        <w:rPr>
          <w:rFonts w:ascii="Consolas" w:hAnsi="Consolas"/>
          <w:sz w:val="14"/>
        </w:rPr>
        <w:t>| N11 Formularios | N9 (aplicación) | Agrupado |</w:t>
      </w:r>
    </w:p>
    <w:p>
      <w:pPr>
        <w:spacing w:after="20" w:line="240" w:lineRule="auto"/>
      </w:pPr>
      <w:r>
        <w:rPr>
          <w:rFonts w:ascii="Consolas" w:hAnsi="Consolas"/>
          <w:sz w:val="14"/>
        </w:rPr>
        <w:t>| N12 Manuales por categoría | N9 (aplicación) | Agrupado |</w:t>
      </w:r>
    </w:p>
    <w:p>
      <w:pPr>
        <w:spacing w:after="20" w:line="240" w:lineRule="auto"/>
      </w:pPr>
      <w:r>
        <w:rPr>
          <w:rFonts w:ascii="Consolas" w:hAnsi="Consolas"/>
          <w:sz w:val="14"/>
        </w:rPr>
        <w:t>| — | **T1 Gobernanza** | **Nuevo** |</w:t>
      </w:r>
    </w:p>
    <w:p>
      <w:pPr>
        <w:spacing w:after="20" w:line="240" w:lineRule="auto"/>
      </w:pPr>
      <w:r>
        <w:rPr>
          <w:rFonts w:ascii="Consolas" w:hAnsi="Consolas"/>
          <w:sz w:val="14"/>
        </w:rPr>
        <w:t>| — | **T2 Glosario** | **Nuevo (extraído)** |</w:t>
      </w:r>
    </w:p>
    <w:p>
      <w:pPr>
        <w:spacing w:after="20" w:line="240" w:lineRule="auto"/>
      </w:pPr>
      <w:r>
        <w:rPr>
          <w:rFonts w:ascii="Consolas" w:hAnsi="Consolas"/>
          <w:sz w:val="14"/>
        </w:rPr>
        <w:t>| — | **T3 Validación** | **Nuevo (crítico)** |</w:t>
      </w:r>
    </w:p>
    <w:p>
      <w:pPr>
        <w:spacing w:after="20" w:line="240" w:lineRule="auto"/>
      </w:pPr>
      <w:r>
        <w:rPr>
          <w:rFonts w:ascii="Consolas" w:hAnsi="Consolas"/>
          <w:sz w:val="14"/>
        </w:rPr>
        <w:t>| — | **T4 Mejora continua** | **Nuevo** |</w:t>
      </w:r>
    </w:p>
    <w:p>
      <w:pPr>
        <w:spacing w:after="40"/>
      </w:pPr>
    </w:p>
    <w:p>
      <w:r>
        <w:t>---</w:t>
      </w:r>
    </w:p>
    <w:p>
      <w:pPr>
        <w:spacing w:after="40"/>
      </w:pPr>
    </w:p>
    <w:p>
      <w:pPr>
        <w:pStyle w:val="Heading3"/>
      </w:pPr>
      <w:r>
        <w:t>6. Veredicto y preguntas abiertas</w:t>
      </w:r>
    </w:p>
    <w:p>
      <w:pPr>
        <w:spacing w:after="40"/>
      </w:pPr>
    </w:p>
    <w:p>
      <w:r>
        <w:t>Veredicto ([ANÁLISIS]): la arquitectura de 12 niveles es necesaria pero no suficiente. Captura correctamente el eje normativo técnico (con dos reubicaciones: manual y auditoría), pero omite las tres capas que definen un estándar frente a un índice: gobernanza (T1), validación (T3) y mantenimiento (T4), y subdimensiona la conformidad (K1–K4). La arquitectura propuesta —eje normativo + planos transversales + esquema paralelo— es la forma canónica que usan ISO, Codex, CMMI y OHI, y es la que el comité recomienda adoptar como columna vertebral de todo el proyecto.</w:t>
      </w:r>
    </w:p>
    <w:p>
      <w:pPr>
        <w:spacing w:after="40"/>
      </w:pPr>
    </w:p>
    <w:p>
      <w:r>
        <w:t>Preguntas que hereda la Fase 4 (contenido):</w:t>
      </w:r>
    </w:p>
    <w:p>
      <w:pPr>
        <w:pStyle w:val="ListNumber"/>
      </w:pPr>
      <w:r>
        <w:t>¿El comité adopta la distinción eje normativo / planos transversales / esquema paralelo, o prefiere el listado plano por simplicidad de gestión?</w:t>
      </w:r>
    </w:p>
    <w:p>
      <w:pPr>
        <w:pStyle w:val="ListNumber"/>
      </w:pPr>
      <w:r>
        <w:t>¿Se acepta que la validación (T3) sea compuerta obligatoria previa a declarar cualquier versión como "estándar"?</w:t>
      </w:r>
    </w:p>
    <w:p>
      <w:pPr>
        <w:pStyle w:val="ListNumber"/>
      </w:pPr>
      <w:r>
        <w:t>¿El GOEI aspira a certificación de terceros (K1–K4 completos) o solo a autoevaluación (subconjunto de K)? Decide el alcance institucional.</w:t>
      </w:r>
    </w:p>
    <w:p>
      <w:pPr>
        <w:pStyle w:val="ListNumber"/>
      </w:pPr>
      <w:r>
        <w:t>¿Quién será el propietario/gobernanza (T1): universidad, asociación gremial, organismo de normalización)? Sin dueño, el estándar no puede mantenerse.</w:t>
      </w:r>
    </w:p>
    <w:p>
      <w:pPr>
        <w:pStyle w:val="ListNumber"/>
      </w:pPr>
      <w:r>
        <w:t>¿Se etiqueta desde ya cada capa como normativa o informativa?</w:t>
      </w:r>
    </w:p>
    <w:p>
      <w:pPr>
        <w:spacing w:after="40"/>
      </w:pPr>
    </w:p>
    <w:p>
      <w:r>
        <w:t>---</w:t>
      </w:r>
    </w:p>
    <w:p>
      <w:pPr>
        <w:spacing w:after="40"/>
      </w:pPr>
    </w:p>
    <w:p>
      <w:pPr>
        <w:pStyle w:val="Heading4"/>
      </w:pPr>
      <w:r>
        <w:t>Fuentes</w:t>
      </w:r>
    </w:p>
    <w:p>
      <w:pPr>
        <w:spacing w:after="40"/>
      </w:pPr>
    </w:p>
    <w:p>
      <w:pPr>
        <w:pStyle w:val="ListBullet"/>
      </w:pPr>
      <w:r>
        <w:t>ISO/IEC — Annex SL / Estructura Armonizada (alcance, referencias normativas, términos y definiciones, cláusulas 4–10). https://en.wikipedia.org/wiki/Annex_SL · guía: https://cdn.standards.iteh.ai/samples/86702/8f41fa2567644fb6b27ba4a6e76659d3/ISO-DGuide-83.pdf</w:t>
      </w:r>
    </w:p>
    <w:p>
      <w:pPr>
        <w:pStyle w:val="ListBullet"/>
      </w:pPr>
      <w:r>
        <w:t>ISO/IEC 17065:2012 — Conformity assessment — Requirements for bodies certifying products, processes and services; serie ISO/IEC 17000. https://www.iso.org/obp/ui/#iso:std:iso-iec:17065:ed-1:v1:en</w:t>
      </w:r>
    </w:p>
    <w:p>
      <w:pPr>
        <w:pStyle w:val="ListBullet"/>
      </w:pPr>
      <w:r>
        <w:t>CMMI v2.0 — product suite (modelo, formación/certificación, guía de adopción, método de evaluación, herramientas); SCAMPI A/B/C. https://en.wikipedia.org/wiki/Standard_CMMI_Appraisal_Method_for_Process_Improvement · https://en.wikipedia.org/wiki/Process_area_(CMMI)</w:t>
      </w:r>
    </w:p>
    <w:p>
      <w:pPr>
        <w:pStyle w:val="ListBullet"/>
      </w:pPr>
      <w:r>
        <w:t>SCOR — modelo de referencia (procesos, métricas, prácticas, personas; descomposición jerárquica). https://en.wikipedia.org/wiki/Supply_chain_operations_reference</w:t>
      </w:r>
    </w:p>
    <w:p>
      <w:pPr>
        <w:pStyle w:val="ListBullet"/>
      </w:pPr>
      <w:r>
        <w:t>EFQM (enablers/results, lógica RADAR). https://umbrex.com/resources/frameworks/organization-frameworks/efqm-excellence-model/</w:t>
      </w:r>
    </w:p>
    <w:p>
      <w:pPr>
        <w:pStyle w:val="ListBullet"/>
      </w:pPr>
      <w:r>
        <w:t>Shingo Model / Shingo Prize (principios→sistemas→herramientas→resultados; assessment). https://uen.pressbooks.pub/opexintro/chapter/intro-to-shingo/</w:t>
      </w:r>
    </w:p>
    <w:p>
      <w:pPr>
        <w:pStyle w:val="ListBullet"/>
      </w:pPr>
      <w:r>
        <w:t>Codex Alimentarius / HACCP (principios, límites críticos, validación/verificación). FAO.</w:t>
      </w:r>
    </w:p>
    <w:p>
      <w:pPr>
        <w:pStyle w:val="ListBullet"/>
      </w:pPr>
      <w:r>
        <w:t>Ocean Health Index (marco de metas, estado de referencia, 0–100, métodos reproducibles). https://www.nature.com/articles/nature11397 · https://oceanhealthindex.org/images/htmls/Supplement.html</w:t>
      </w:r>
    </w:p>
    <w:p>
      <w:pPr>
        <w:pStyle w:val="ListBullet"/>
      </w:pPr>
      <w:r>
        <w:t>Balanced Scorecard (perspectivas, mapa estratégico). Kaplan &amp; Norton (1992).</w:t>
      </w:r>
    </w:p>
    <w:p>
      <w:pPr>
        <w:spacing w:after="40"/>
      </w:pPr>
    </w:p>
    <w:p>
      <w:r>
        <w:t>Verificación pendiente (Fase 1): confirmar edición vigente de ISO/IEC Directives Annex SL y de ISO/IEC 17065; contrastar estructura Codex (CXC 1-1969, principios generales de higiene) antes de citar en la tesis.</w:t>
      </w:r>
    </w:p>
    <w:p>
      <w:r>
        <w:br w:type="page"/>
      </w:r>
    </w:p>
    <w:p>
      <w:pPr>
        <w:pStyle w:val="Heading1"/>
        <w:keepNext/>
      </w:pPr>
      <w:r>
        <w:t>Fuente 120: 09_Manual_tecnico_general/Fase4_D006_Ontologia_del_GOEI.md</w:t>
      </w:r>
    </w:p>
    <w:p>
      <w:pPr>
        <w:spacing w:after="200"/>
      </w:pPr>
      <w:r>
        <w:rPr>
          <w:rFonts w:ascii="Consolas" w:hAnsi="Consolas"/>
          <w:color w:val="595959"/>
          <w:sz w:val="16"/>
        </w:rPr>
        <w:t>Ruta: 09_Manual_tecnico_general/Fase4_D006_Ontologia_del_GOEI.md</w:t>
        <w:br/>
        <w:t>Tamaño: 18798 bytes</w:t>
        <w:br/>
        <w:t>SHA-256: 4ed8fdb6295cb5a857909a678c7e8b39146289ea5d0c92018369a284cec7f163</w:t>
      </w:r>
    </w:p>
    <w:p>
      <w:pPr>
        <w:pStyle w:val="Heading2"/>
      </w:pPr>
      <w:r>
        <w:t>FASE 4 — Decisión metodológica D-006</w:t>
      </w:r>
    </w:p>
    <w:p>
      <w:pPr>
        <w:pStyle w:val="Heading3"/>
      </w:pPr>
      <w:r>
        <w:t>Ontología conceptual del GOEI</w:t>
      </w:r>
    </w:p>
    <w:p>
      <w:pPr>
        <w:spacing w:after="40"/>
      </w:pPr>
    </w:p>
    <w:p>
      <w:r>
        <w:t>Tipo de documento: ontología conceptual (universo de entidades del estándar). No es diseño de contenido.</w:t>
      </w:r>
    </w:p>
    <w:p>
      <w:r>
        <w:t>Regla de la fase: NO se definen dimensiones concretas, KPI, fórmulas ni pesos. Se define qué clases de entidades existen, sus atributos (ranuras, no valores), relaciones, jerarquías, restricciones y ciclos de vida.</w:t>
      </w:r>
    </w:p>
    <w:p>
      <w:r>
        <w:t>Objetivo: que al cerrar esta fase el modelo matemático pueda construirse sin ambigüedad, porque cada término tendrá un referente ontológico único.</w:t>
      </w:r>
    </w:p>
    <w:p>
      <w:r>
        <w:t>Fecha: 2026-08-04.</w:t>
      </w:r>
    </w:p>
    <w:p>
      <w:pPr>
        <w:spacing w:after="40"/>
      </w:pPr>
    </w:p>
    <w:p>
      <w:pPr>
        <w:spacing w:after="100"/>
        <w:ind w:left="360" w:right="216"/>
      </w:pPr>
      <w:r>
        <w:rPr>
          <w:i/>
          <w:color w:val="595959"/>
        </w:rPr>
        <w:t>Etiquetas: [EVIDENCIA] (marcos ontológicos reales), [ANÁLISIS] (decisión de modelado del comité), [PROPUESTA/PENDIENTE].</w:t>
      </w:r>
    </w:p>
    <w:p>
      <w:pPr>
        <w:spacing w:after="40"/>
      </w:pPr>
    </w:p>
    <w:p>
      <w:r>
        <w:t>---</w:t>
      </w:r>
    </w:p>
    <w:p>
      <w:pPr>
        <w:spacing w:after="40"/>
      </w:pPr>
    </w:p>
    <w:p>
      <w:pPr>
        <w:pStyle w:val="Heading3"/>
      </w:pPr>
      <w:r>
        <w:t>0. Marcos de referencia analizados</w:t>
      </w:r>
    </w:p>
    <w:p>
      <w:pPr>
        <w:spacing w:after="40"/>
      </w:pPr>
    </w:p>
    <w:p>
      <w:pPr>
        <w:spacing w:after="20" w:line="240" w:lineRule="auto"/>
      </w:pPr>
      <w:r>
        <w:rPr>
          <w:rFonts w:ascii="Consolas" w:hAnsi="Consolas"/>
          <w:sz w:val="14"/>
        </w:rPr>
        <w:t>| Marco | Aporte a la ontología del GOEI | Ref. |</w:t>
      </w:r>
    </w:p>
    <w:p>
      <w:pPr>
        <w:spacing w:after="20" w:line="240" w:lineRule="auto"/>
      </w:pPr>
      <w:r>
        <w:rPr>
          <w:rFonts w:ascii="Consolas" w:hAnsi="Consolas"/>
          <w:sz w:val="14"/>
        </w:rPr>
        <w:t>|---|---|---|</w:t>
      </w:r>
    </w:p>
    <w:p>
      <w:pPr>
        <w:spacing w:after="20" w:line="240" w:lineRule="auto"/>
      </w:pPr>
      <w:r>
        <w:rPr>
          <w:rFonts w:ascii="Consolas" w:hAnsi="Consolas"/>
          <w:sz w:val="14"/>
        </w:rPr>
        <w:t>| **Componentes de ontología** (Gruber, 1993) | Toda ontología se compone de **clases, instancias, atributos, relaciones y axiomas**; ontología = "especificación explícita de una conceptualización" | **[EVIDENCIA]** |</w:t>
      </w:r>
    </w:p>
    <w:p>
      <w:pPr>
        <w:spacing w:after="20" w:line="240" w:lineRule="auto"/>
      </w:pPr>
      <w:r>
        <w:rPr>
          <w:rFonts w:ascii="Consolas" w:hAnsi="Consolas"/>
          <w:sz w:val="14"/>
        </w:rPr>
        <w:t>| **Basic Formal Ontology (BFO)** — Smith | Distinción **continuante** (perdura: establecimiento, categoría) vs **ocurrente** (sucede en el tiempo: evaluación, proceso); **continuante independiente** (portador) vs **continuante dependiente** (cualidad que inhiere en un portador) | **[EVIDENCIA]** |</w:t>
      </w:r>
    </w:p>
    <w:p>
      <w:pPr>
        <w:spacing w:after="20" w:line="240" w:lineRule="auto"/>
      </w:pPr>
      <w:r>
        <w:rPr>
          <w:rFonts w:ascii="Consolas" w:hAnsi="Consolas"/>
          <w:sz w:val="14"/>
        </w:rPr>
        <w:t>| **Enterprise Ontology** (Uschold &amp; King; Dietz, DEMO) | Términos fundacionales de la empresa: **entidad, relación, actor**; áreas actividad/organización/estrategia | **[EVIDENCIA]** |</w:t>
      </w:r>
    </w:p>
    <w:p>
      <w:pPr>
        <w:spacing w:after="20" w:line="240" w:lineRule="auto"/>
      </w:pPr>
      <w:r>
        <w:rPr>
          <w:rFonts w:ascii="Consolas" w:hAnsi="Consolas"/>
          <w:sz w:val="14"/>
        </w:rPr>
        <w:t>| **ArchiMate / TOGAF (metamodelo)** | Separar **estructura activa** (actores), **comportamiento** (procesos, evaluaciones) y **estructura pasiva** (datos, evidencia, formularios) | **[EVIDENCIA]** |</w:t>
      </w:r>
    </w:p>
    <w:p>
      <w:pPr>
        <w:spacing w:after="20" w:line="240" w:lineRule="auto"/>
      </w:pPr>
      <w:r>
        <w:rPr>
          <w:rFonts w:ascii="Consolas" w:hAnsi="Consolas"/>
          <w:sz w:val="14"/>
        </w:rPr>
        <w:t>| **Niveles type/token/metamodelo** | **Token** = entidad individual; **type** = clase; **metamodelo** = generalización. El Estándar es un **metamodelo** que define types; una evaluación produce **tokens** | **[EVIDENCIA]** |</w:t>
      </w:r>
    </w:p>
    <w:p>
      <w:pPr>
        <w:spacing w:after="40"/>
      </w:pPr>
    </w:p>
    <w:p>
      <w:r>
        <w:t>De estos marcos derivan las cinco decisiones ontológicas que estructuran todo el universo GOEI.</w:t>
      </w:r>
    </w:p>
    <w:p>
      <w:pPr>
        <w:spacing w:after="40"/>
      </w:pPr>
    </w:p>
    <w:p>
      <w:r>
        <w:t>---</w:t>
      </w:r>
    </w:p>
    <w:p>
      <w:pPr>
        <w:spacing w:after="40"/>
      </w:pPr>
    </w:p>
    <w:p>
      <w:pPr>
        <w:pStyle w:val="Heading3"/>
      </w:pPr>
      <w:r>
        <w:t>1. Cinco compromisos ontológicos (los que eliminan la ambigüedad)</w:t>
      </w:r>
    </w:p>
    <w:p>
      <w:pPr>
        <w:spacing w:after="40"/>
      </w:pPr>
    </w:p>
    <w:p>
      <w:r>
        <w:t>CO-1 — Dos planos: Definicional (type) vs Operacional (token). La distinción más importante. El Estándar define tipos (p. ej., "la definición del KPI X"); una evaluación produce tokens (p. ej., "el valor de X para el establecimiento E en el periodo P"). Confundir "un KPI" (la definición) con "un valor de KPI" (la medición) es la ambigüedad que hace imposible un modelo matemático limpio. *Se prohíbe usar la palabra "KPI" sin decir si se refiere al type o al token. ([ANÁLISIS clave]*)</w:t>
      </w:r>
    </w:p>
    <w:p>
      <w:pPr>
        <w:spacing w:after="40"/>
      </w:pPr>
    </w:p>
    <w:p>
      <w:r>
        <w:t>CO-2 — Continuante vs Ocurrente (BFO). Perduran (continuantes): Establecimiento, Categoría, Dimensión, Definición-de-KPI, Condición de referencia, Regla crítica, Estándar. Suceden en el tiempo (ocurrentes): Operación, Ejecución-de-proceso, Observación, Evaluación, Auditoría. Esta partición fija qué entidades llevan estados temporales (ciclos de vida) y cuáles no.</w:t>
      </w:r>
    </w:p>
    <w:p>
      <w:pPr>
        <w:spacing w:after="40"/>
      </w:pPr>
    </w:p>
    <w:p>
      <w:r>
        <w:t>*CO-3 — El GOEI mide una cualidad (continuante dependiente). La "Salud Operacional" es una cualidad que inhiere en el Establecimiento (portador), no una cosa autónoma. Un Resultado GOEI es una estimación de esa cualidad en un momento, obtenida a través de valores de KPI. Semántica limpia para el modelo matemático: Resultado ≈ estimador de una cualidad del portador en un periodo.* ([ANÁLISIS])</w:t>
      </w:r>
    </w:p>
    <w:p>
      <w:pPr>
        <w:spacing w:after="40"/>
      </w:pPr>
    </w:p>
    <w:p>
      <w:r>
        <w:t>CO-4 — Estructura activa / comportamiento / estructura pasiva (ArchiMate). Actores (Evaluador, Operador) = activos; Procesos y Evaluaciones = comportamiento; Evidencia, Formularios, Datos = pasivos. Impide mezclar "quién actúa", "qué ocurre" y "qué se registra".</w:t>
      </w:r>
    </w:p>
    <w:p>
      <w:pPr>
        <w:spacing w:after="40"/>
      </w:pPr>
    </w:p>
    <w:p>
      <w:r>
        <w:t>CO-5 — Identidad y marco temporal. Cada entidad tiene un criterio de identidad explícito (qué la hace ser la misma) y, si es ocurrente, un periodo. Una cadena de locales = múltiples instancias de Establecimiento (cada local es un token), no una sola. Todo valor de KPI está anclado a un periodo. ([ANÁLISIS])</w:t>
      </w:r>
    </w:p>
    <w:p>
      <w:pPr>
        <w:spacing w:after="40"/>
      </w:pPr>
    </w:p>
    <w:p>
      <w:r>
        <w:t>---</w:t>
      </w:r>
    </w:p>
    <w:p>
      <w:pPr>
        <w:spacing w:after="40"/>
      </w:pPr>
    </w:p>
    <w:p>
      <w:pPr>
        <w:pStyle w:val="Heading3"/>
      </w:pPr>
      <w:r>
        <w:t>2. Catálogo de entidades</w:t>
      </w:r>
    </w:p>
    <w:p>
      <w:pPr>
        <w:spacing w:after="40"/>
      </w:pPr>
    </w:p>
    <w:p>
      <w:r>
        <w:t>Notación: [C] continuante, [O] ocurrente, [A] actor/estructura activa, [P] estructura pasiva. Los atributos son ranuras estructurales (no valores de contenido).</w:t>
      </w:r>
    </w:p>
    <w:p>
      <w:pPr>
        <w:spacing w:after="40"/>
      </w:pPr>
    </w:p>
    <w:p>
      <w:pPr>
        <w:pStyle w:val="Heading4"/>
      </w:pPr>
      <w:r>
        <w:t>2.1 PLANO DEFINICIONAL (types — definidos por el Estándar)</w:t>
      </w:r>
    </w:p>
    <w:p>
      <w:pPr>
        <w:spacing w:after="40"/>
      </w:pPr>
    </w:p>
    <w:p>
      <w:pPr>
        <w:spacing w:after="20" w:line="240" w:lineRule="auto"/>
      </w:pPr>
      <w:r>
        <w:rPr>
          <w:rFonts w:ascii="Consolas" w:hAnsi="Consolas"/>
          <w:sz w:val="14"/>
        </w:rPr>
        <w:t>| Entidad | Descripción ontológica | Atributos (ranuras) | Naturaleza |</w:t>
      </w:r>
    </w:p>
    <w:p>
      <w:pPr>
        <w:spacing w:after="20" w:line="240" w:lineRule="auto"/>
      </w:pPr>
      <w:r>
        <w:rPr>
          <w:rFonts w:ascii="Consolas" w:hAnsi="Consolas"/>
          <w:sz w:val="14"/>
        </w:rPr>
        <w:t>|---|---|---|---|</w:t>
      </w:r>
    </w:p>
    <w:p>
      <w:pPr>
        <w:spacing w:after="20" w:line="240" w:lineRule="auto"/>
      </w:pPr>
      <w:r>
        <w:rPr>
          <w:rFonts w:ascii="Consolas" w:hAnsi="Consolas"/>
          <w:sz w:val="14"/>
        </w:rPr>
        <w:t>| **Estándar GOEI (versión)** | Metamodelo normativo que define todos los demás types | id-versión, estado, fecha, alcance, mapa de compatibilidad con otras versiones | [C] |</w:t>
      </w:r>
    </w:p>
    <w:p>
      <w:pPr>
        <w:spacing w:after="20" w:line="240" w:lineRule="auto"/>
      </w:pPr>
      <w:r>
        <w:rPr>
          <w:rFonts w:ascii="Consolas" w:hAnsi="Consolas"/>
          <w:sz w:val="14"/>
        </w:rPr>
        <w:t>| **Categoría** | Clase de establecimiento en la taxonomía | id, nombre, criterios de pertenencia, categoría-padre, dimensiones/KPI aplicables | [C] |</w:t>
      </w:r>
    </w:p>
    <w:p>
      <w:pPr>
        <w:spacing w:after="20" w:line="240" w:lineRule="auto"/>
      </w:pPr>
      <w:r>
        <w:rPr>
          <w:rFonts w:ascii="Consolas" w:hAnsi="Consolas"/>
          <w:sz w:val="14"/>
        </w:rPr>
        <w:t>| **Dimensión** | Componente **formativo** del constructo | id, nombre, definición, sub-dimensiones, condición de referencia asociada | [C] |</w:t>
      </w:r>
    </w:p>
    <w:p>
      <w:pPr>
        <w:spacing w:after="20" w:line="240" w:lineRule="auto"/>
      </w:pPr>
      <w:r>
        <w:rPr>
          <w:rFonts w:ascii="Consolas" w:hAnsi="Consolas"/>
          <w:sz w:val="14"/>
        </w:rPr>
        <w:t>| **Sub-dimensión** | Parte de una dimensión | id, dimensión-padre | [C] |</w:t>
      </w:r>
    </w:p>
    <w:p>
      <w:pPr>
        <w:spacing w:after="20" w:line="240" w:lineRule="auto"/>
      </w:pPr>
      <w:r>
        <w:rPr>
          <w:rFonts w:ascii="Consolas" w:hAnsi="Consolas"/>
          <w:sz w:val="14"/>
        </w:rPr>
        <w:t>| **Tipo de proceso** | Proceso de referencia en la matriz de procesos | id, nombre, macro-proceso, dimensión(es) que toca | [C] |</w:t>
      </w:r>
    </w:p>
    <w:p>
      <w:pPr>
        <w:spacing w:after="20" w:line="240" w:lineRule="auto"/>
      </w:pPr>
      <w:r>
        <w:rPr>
          <w:rFonts w:ascii="Consolas" w:hAnsi="Consolas"/>
          <w:sz w:val="14"/>
        </w:rPr>
        <w:t>| **Definición de KPI** | Especificación de un medible (NO un valor) | id, nombre, dimensión, unidad original, **dirección de bondad**, fuente de dato, frecuencia, regla de normalización, estado de admisibilidad, categorías aplicables | [C] |</w:t>
      </w:r>
    </w:p>
    <w:p>
      <w:pPr>
        <w:spacing w:after="20" w:line="240" w:lineRule="auto"/>
      </w:pPr>
      <w:r>
        <w:rPr>
          <w:rFonts w:ascii="Consolas" w:hAnsi="Consolas"/>
          <w:sz w:val="14"/>
        </w:rPr>
        <w:t>| **Definición de métrica/variable** | Variable cruda que alimenta un KPI | id, unidad, tipo de dato, método de captura | [C] |</w:t>
      </w:r>
    </w:p>
    <w:p>
      <w:pPr>
        <w:spacing w:after="20" w:line="240" w:lineRule="auto"/>
      </w:pPr>
      <w:r>
        <w:rPr>
          <w:rFonts w:ascii="Consolas" w:hAnsi="Consolas"/>
          <w:sz w:val="14"/>
        </w:rPr>
        <w:t>| **Regla de normalización** | Transformación a escala común | id, tipo de transformación, referencia usada | [C] |</w:t>
      </w:r>
    </w:p>
    <w:p>
      <w:pPr>
        <w:spacing w:after="20" w:line="240" w:lineRule="auto"/>
      </w:pPr>
      <w:r>
        <w:rPr>
          <w:rFonts w:ascii="Consolas" w:hAnsi="Consolas"/>
          <w:sz w:val="14"/>
        </w:rPr>
        <w:t>| **Condición de referencia** | Patrón normativo de "operación sana" (qué es 0 y 100) | id, dimensión/KPI, base (norma/empírica/experta), ancla inferior/superior | [C] |</w:t>
      </w:r>
    </w:p>
    <w:p>
      <w:pPr>
        <w:spacing w:after="20" w:line="240" w:lineRule="auto"/>
      </w:pPr>
      <w:r>
        <w:rPr>
          <w:rFonts w:ascii="Consolas" w:hAnsi="Consolas"/>
          <w:sz w:val="14"/>
        </w:rPr>
        <w:t>| **Regla crítica (compuerta)** | Restricción **no compensatoria** (inocuidad, legalidad) | id, condición de activación, efecto sobre el resultado | [C] |</w:t>
      </w:r>
    </w:p>
    <w:p>
      <w:pPr>
        <w:spacing w:after="20" w:line="240" w:lineRule="auto"/>
      </w:pPr>
      <w:r>
        <w:rPr>
          <w:rFonts w:ascii="Consolas" w:hAnsi="Consolas"/>
          <w:sz w:val="14"/>
        </w:rPr>
        <w:t>| **Esquema de ponderación** | Entidad que porta la importancia relativa (contenido posterior) | id, alcance, método | [C] |</w:t>
      </w:r>
    </w:p>
    <w:p>
      <w:pPr>
        <w:spacing w:after="20" w:line="240" w:lineRule="auto"/>
      </w:pPr>
      <w:r>
        <w:rPr>
          <w:rFonts w:ascii="Consolas" w:hAnsi="Consolas"/>
          <w:sz w:val="14"/>
        </w:rPr>
        <w:t>| **Banda de interpretación** | Nivel de clasificación del resultado | id, etiqueta, rango, orden | [C] |</w:t>
      </w:r>
    </w:p>
    <w:p>
      <w:pPr>
        <w:spacing w:after="20" w:line="240" w:lineRule="auto"/>
      </w:pPr>
      <w:r>
        <w:rPr>
          <w:rFonts w:ascii="Consolas" w:hAnsi="Consolas"/>
          <w:sz w:val="14"/>
        </w:rPr>
        <w:t>| **Criterio de admisibilidad** | Condiciones que un KPI debe cumplir para entrar | id, criterios (medible, trazable, auditable, repetible…) | [C] |</w:t>
      </w:r>
    </w:p>
    <w:p>
      <w:pPr>
        <w:spacing w:after="20" w:line="240" w:lineRule="auto"/>
      </w:pPr>
      <w:r>
        <w:rPr>
          <w:rFonts w:ascii="Consolas" w:hAnsi="Consolas"/>
          <w:sz w:val="14"/>
        </w:rPr>
        <w:t>| **Definición de formulario/instrumento** | Plantilla de captura | id, campos, KPI/observaciones que recoge | [C][P] |</w:t>
      </w:r>
    </w:p>
    <w:p>
      <w:pPr>
        <w:spacing w:after="20" w:line="240" w:lineRule="auto"/>
      </w:pPr>
      <w:r>
        <w:rPr>
          <w:rFonts w:ascii="Consolas" w:hAnsi="Consolas"/>
          <w:sz w:val="14"/>
        </w:rPr>
        <w:t>| **Perfil de competencia del evaluador** | Cualificación exigida | id, requisitos, alcance de categorías | [C] |</w:t>
      </w:r>
    </w:p>
    <w:p>
      <w:pPr>
        <w:spacing w:after="40"/>
      </w:pPr>
    </w:p>
    <w:p>
      <w:pPr>
        <w:pStyle w:val="Heading4"/>
      </w:pPr>
      <w:r>
        <w:t>2.2 PLANO OPERACIONAL (tokens — producidos en aplicación)</w:t>
      </w:r>
    </w:p>
    <w:p>
      <w:pPr>
        <w:spacing w:after="40"/>
      </w:pPr>
    </w:p>
    <w:p>
      <w:pPr>
        <w:spacing w:after="20" w:line="240" w:lineRule="auto"/>
      </w:pPr>
      <w:r>
        <w:rPr>
          <w:rFonts w:ascii="Consolas" w:hAnsi="Consolas"/>
          <w:sz w:val="14"/>
        </w:rPr>
        <w:t>| Entidad | Descripción ontológica | Atributos (ranuras) | Naturaleza |</w:t>
      </w:r>
    </w:p>
    <w:p>
      <w:pPr>
        <w:spacing w:after="20" w:line="240" w:lineRule="auto"/>
      </w:pPr>
      <w:r>
        <w:rPr>
          <w:rFonts w:ascii="Consolas" w:hAnsi="Consolas"/>
          <w:sz w:val="14"/>
        </w:rPr>
        <w:t>|---|---|---|---|</w:t>
      </w:r>
    </w:p>
    <w:p>
      <w:pPr>
        <w:spacing w:after="20" w:line="240" w:lineRule="auto"/>
      </w:pPr>
      <w:r>
        <w:rPr>
          <w:rFonts w:ascii="Consolas" w:hAnsi="Consolas"/>
          <w:sz w:val="14"/>
        </w:rPr>
        <w:t>| **Establecimiento** | Portador independiente; unidad de análisis (un local) | id, categoría (clasificación), identidad, datos de registro, estado | [C][A] |</w:t>
      </w:r>
    </w:p>
    <w:p>
      <w:pPr>
        <w:spacing w:after="20" w:line="240" w:lineRule="auto"/>
      </w:pPr>
      <w:r>
        <w:rPr>
          <w:rFonts w:ascii="Consolas" w:hAnsi="Consolas"/>
          <w:sz w:val="14"/>
        </w:rPr>
        <w:t>| **Perfil/Registro de establecimiento** | Instanciación administrativa del establecimiento | id, establecimiento, categoría asignada, fecha de alta | [C][P] |</w:t>
      </w:r>
    </w:p>
    <w:p>
      <w:pPr>
        <w:spacing w:after="20" w:line="240" w:lineRule="auto"/>
      </w:pPr>
      <w:r>
        <w:rPr>
          <w:rFonts w:ascii="Consolas" w:hAnsi="Consolas"/>
          <w:sz w:val="14"/>
        </w:rPr>
        <w:t>| **Operación** | Totalidad ocurrente de procesos de valor que el establecimiento realiza | id, establecimiento, alcance temporal | [O] |</w:t>
      </w:r>
    </w:p>
    <w:p>
      <w:pPr>
        <w:spacing w:after="20" w:line="240" w:lineRule="auto"/>
      </w:pPr>
      <w:r>
        <w:rPr>
          <w:rFonts w:ascii="Consolas" w:hAnsi="Consolas"/>
          <w:sz w:val="14"/>
        </w:rPr>
        <w:t>| **Ejecución de proceso** | Instancia de un Tipo de proceso | id, tipo de proceso, establecimiento, periodo | [O] |</w:t>
      </w:r>
    </w:p>
    <w:p>
      <w:pPr>
        <w:spacing w:after="20" w:line="240" w:lineRule="auto"/>
      </w:pPr>
      <w:r>
        <w:rPr>
          <w:rFonts w:ascii="Consolas" w:hAnsi="Consolas"/>
          <w:sz w:val="14"/>
        </w:rPr>
        <w:t>| **Observación / Medición** | Acto de captar una variable cruda; produce un dato | id, métrica, valor crudo, periodo, fuente, evidencia | [O]→[P] |</w:t>
      </w:r>
    </w:p>
    <w:p>
      <w:pPr>
        <w:spacing w:after="20" w:line="240" w:lineRule="auto"/>
      </w:pPr>
      <w:r>
        <w:rPr>
          <w:rFonts w:ascii="Consolas" w:hAnsi="Consolas"/>
          <w:sz w:val="14"/>
        </w:rPr>
        <w:t>| **Valor de KPI** | Cualidad estimada: instancia de una Definición de KPI para un establecimiento/periodo (crudo y normalizado) | id, KPI-def, establecimiento, periodo, valor crudo, valor normalizado | [C dependiente][P] |</w:t>
      </w:r>
    </w:p>
    <w:p>
      <w:pPr>
        <w:spacing w:after="20" w:line="240" w:lineRule="auto"/>
      </w:pPr>
      <w:r>
        <w:rPr>
          <w:rFonts w:ascii="Consolas" w:hAnsi="Consolas"/>
          <w:sz w:val="14"/>
        </w:rPr>
        <w:t>| **Evaluación** | Evento que vincula establecimiento + versión + periodo y produce el resultado | id, establecimiento, versión de estándar, periodo, estado, evaluador | [O] |</w:t>
      </w:r>
    </w:p>
    <w:p>
      <w:pPr>
        <w:spacing w:after="20" w:line="240" w:lineRule="auto"/>
      </w:pPr>
      <w:r>
        <w:rPr>
          <w:rFonts w:ascii="Consolas" w:hAnsi="Consolas"/>
          <w:sz w:val="14"/>
        </w:rPr>
        <w:t>| **Resultado GOEI** | Salida: estimación de la cualidad (puntaje + clasificación + estado de compuertas) | id, evaluación, puntajes por dimensión, resultado de reglas críticas, banda | [C dependiente][P] |</w:t>
      </w:r>
    </w:p>
    <w:p>
      <w:pPr>
        <w:spacing w:after="20" w:line="240" w:lineRule="auto"/>
      </w:pPr>
      <w:r>
        <w:rPr>
          <w:rFonts w:ascii="Consolas" w:hAnsi="Consolas"/>
          <w:sz w:val="14"/>
        </w:rPr>
        <w:t>| **Evidencia** | Soporte verificable de observaciones | id, tipo, observación soportada, fecha | [P] |</w:t>
      </w:r>
    </w:p>
    <w:p>
      <w:pPr>
        <w:spacing w:after="20" w:line="240" w:lineRule="auto"/>
      </w:pPr>
      <w:r>
        <w:rPr>
          <w:rFonts w:ascii="Consolas" w:hAnsi="Consolas"/>
          <w:sz w:val="14"/>
        </w:rPr>
        <w:t>| **Evaluador** | Actor que ejecuta/auditar la evaluación | id, perfil de competencia, acreditación | [A] |</w:t>
      </w:r>
    </w:p>
    <w:p>
      <w:pPr>
        <w:spacing w:after="20" w:line="240" w:lineRule="auto"/>
      </w:pPr>
      <w:r>
        <w:rPr>
          <w:rFonts w:ascii="Consolas" w:hAnsi="Consolas"/>
          <w:sz w:val="14"/>
        </w:rPr>
        <w:t>| **Auditoría** | Ocurrente que verifica una evaluación | id, evaluación auditada, evaluador, clase de rigor, hallazgos | [O] |</w:t>
      </w:r>
    </w:p>
    <w:p>
      <w:pPr>
        <w:spacing w:after="20" w:line="240" w:lineRule="auto"/>
      </w:pPr>
      <w:r>
        <w:rPr>
          <w:rFonts w:ascii="Consolas" w:hAnsi="Consolas"/>
          <w:sz w:val="14"/>
        </w:rPr>
        <w:t>| **No conformidad / Hallazgo** | Desviación detectada en auditoría | id, auditoría, severidad, estado | [C][P] |</w:t>
      </w:r>
    </w:p>
    <w:p>
      <w:pPr>
        <w:spacing w:after="20" w:line="240" w:lineRule="auto"/>
      </w:pPr>
      <w:r>
        <w:rPr>
          <w:rFonts w:ascii="Consolas" w:hAnsi="Consolas"/>
          <w:sz w:val="14"/>
        </w:rPr>
        <w:t>| **Certificación** | Resultado de la evaluación de conformidad | id, establecimiento, resultado, auditoría, vigencia, estado | [C][P] |</w:t>
      </w:r>
    </w:p>
    <w:p>
      <w:pPr>
        <w:spacing w:after="20" w:line="240" w:lineRule="auto"/>
      </w:pPr>
      <w:r>
        <w:rPr>
          <w:rFonts w:ascii="Consolas" w:hAnsi="Consolas"/>
          <w:sz w:val="14"/>
        </w:rPr>
        <w:t>| **Periodo** | Región temporal de medición | id, inicio, fin | [O/región] |</w:t>
      </w:r>
    </w:p>
    <w:p>
      <w:pPr>
        <w:spacing w:after="40"/>
      </w:pPr>
    </w:p>
    <w:p>
      <w:r>
        <w:t>---</w:t>
      </w:r>
    </w:p>
    <w:p>
      <w:pPr>
        <w:spacing w:after="40"/>
      </w:pPr>
    </w:p>
    <w:p>
      <w:pPr>
        <w:pStyle w:val="Heading3"/>
      </w:pPr>
      <w:r>
        <w:t>3. Modelo de relaciones (relaciones nucleares)</w:t>
      </w:r>
    </w:p>
    <w:p>
      <w:pPr>
        <w:spacing w:after="40"/>
      </w:pPr>
    </w:p>
    <w:p>
      <w:pPr>
        <w:spacing w:after="20" w:line="240" w:lineRule="auto"/>
        <w:ind w:left="259"/>
      </w:pPr>
      <w:r>
        <w:rPr>
          <w:rFonts w:ascii="Consolas" w:hAnsi="Consolas"/>
          <w:sz w:val="15"/>
        </w:rPr>
        <w:t>Establecimiento ──clasificado_como──► Categoría ──delimita_aplicabilidad──► {Dimensión, KPI-def}</w:t>
      </w:r>
    </w:p>
    <w:p>
      <w:pPr>
        <w:spacing w:after="20" w:line="240" w:lineRule="auto"/>
        <w:ind w:left="259"/>
      </w:pPr>
      <w:r>
        <w:rPr>
          <w:rFonts w:ascii="Consolas" w:hAnsi="Consolas"/>
          <w:sz w:val="15"/>
        </w:rPr>
        <w:t>Dimensión ──compone(formativo)──► Constructo(Salud Operacional)</w:t>
      </w:r>
    </w:p>
    <w:p>
      <w:pPr>
        <w:spacing w:after="20" w:line="240" w:lineRule="auto"/>
        <w:ind w:left="259"/>
      </w:pPr>
      <w:r>
        <w:rPr>
          <w:rFonts w:ascii="Consolas" w:hAnsi="Consolas"/>
          <w:sz w:val="15"/>
        </w:rPr>
        <w:t>KPI-def ──pertenece_a──► Dimensión</w:t>
      </w:r>
    </w:p>
    <w:p>
      <w:pPr>
        <w:spacing w:after="20" w:line="240" w:lineRule="auto"/>
        <w:ind w:left="259"/>
      </w:pPr>
      <w:r>
        <w:rPr>
          <w:rFonts w:ascii="Consolas" w:hAnsi="Consolas"/>
          <w:sz w:val="15"/>
        </w:rPr>
        <w:t>KPI-def ──gobernado_por──► Regla de normalización</w:t>
      </w:r>
    </w:p>
    <w:p>
      <w:pPr>
        <w:spacing w:after="20" w:line="240" w:lineRule="auto"/>
        <w:ind w:left="259"/>
      </w:pPr>
      <w:r>
        <w:rPr>
          <w:rFonts w:ascii="Consolas" w:hAnsi="Consolas"/>
          <w:sz w:val="15"/>
        </w:rPr>
        <w:t>KPI-def ──evaluado_contra──► Condición de referencia</w:t>
      </w:r>
    </w:p>
    <w:p>
      <w:pPr>
        <w:spacing w:after="20" w:line="240" w:lineRule="auto"/>
        <w:ind w:left="259"/>
      </w:pPr>
      <w:r>
        <w:rPr>
          <w:rFonts w:ascii="Consolas" w:hAnsi="Consolas"/>
          <w:sz w:val="15"/>
        </w:rPr>
        <w:t>KPI-def ──debe_cumplir──► Criterio de admisibilidad</w:t>
      </w:r>
    </w:p>
    <w:p>
      <w:pPr>
        <w:spacing w:after="20" w:line="240" w:lineRule="auto"/>
        <w:ind w:left="259"/>
      </w:pPr>
      <w:r>
        <w:rPr>
          <w:rFonts w:ascii="Consolas" w:hAnsi="Consolas"/>
          <w:sz w:val="15"/>
        </w:rPr>
        <w:t>Regla crítica ──restringe(no compensa)──► Resultado GOEI</w:t>
      </w:r>
    </w:p>
    <w:p>
      <w:pPr>
        <w:spacing w:after="40"/>
      </w:pPr>
    </w:p>
    <w:p>
      <w:pPr>
        <w:spacing w:after="20" w:line="240" w:lineRule="auto"/>
        <w:ind w:left="259"/>
      </w:pPr>
      <w:r>
        <w:rPr>
          <w:rFonts w:ascii="Consolas" w:hAnsi="Consolas"/>
          <w:sz w:val="15"/>
        </w:rPr>
        <w:t>Evaluación ──evalúa──► Establecimiento</w:t>
      </w:r>
    </w:p>
    <w:p>
      <w:pPr>
        <w:spacing w:after="20" w:line="240" w:lineRule="auto"/>
        <w:ind w:left="259"/>
      </w:pPr>
      <w:r>
        <w:rPr>
          <w:rFonts w:ascii="Consolas" w:hAnsi="Consolas"/>
          <w:sz w:val="15"/>
        </w:rPr>
        <w:t>Evaluación ──usa──► Estándar(versión)</w:t>
      </w:r>
    </w:p>
    <w:p>
      <w:pPr>
        <w:spacing w:after="20" w:line="240" w:lineRule="auto"/>
        <w:ind w:left="259"/>
      </w:pPr>
      <w:r>
        <w:rPr>
          <w:rFonts w:ascii="Consolas" w:hAnsi="Consolas"/>
          <w:sz w:val="15"/>
        </w:rPr>
        <w:t>Evaluación ──cubre──► Periodo</w:t>
      </w:r>
    </w:p>
    <w:p>
      <w:pPr>
        <w:spacing w:after="20" w:line="240" w:lineRule="auto"/>
        <w:ind w:left="259"/>
      </w:pPr>
      <w:r>
        <w:rPr>
          <w:rFonts w:ascii="Consolas" w:hAnsi="Consolas"/>
          <w:sz w:val="15"/>
        </w:rPr>
        <w:t>Evaluación ──produce──► Resultado GOEI</w:t>
      </w:r>
    </w:p>
    <w:p>
      <w:pPr>
        <w:spacing w:after="20" w:line="240" w:lineRule="auto"/>
        <w:ind w:left="259"/>
      </w:pPr>
      <w:r>
        <w:rPr>
          <w:rFonts w:ascii="Consolas" w:hAnsi="Consolas"/>
          <w:sz w:val="15"/>
        </w:rPr>
        <w:t>Evaluación ──genera──► {Valor de KPI}*        (uno por KPI-def aplicable)</w:t>
      </w:r>
    </w:p>
    <w:p>
      <w:pPr>
        <w:spacing w:after="20" w:line="240" w:lineRule="auto"/>
        <w:ind w:left="259"/>
      </w:pPr>
      <w:r>
        <w:rPr>
          <w:rFonts w:ascii="Consolas" w:hAnsi="Consolas"/>
          <w:sz w:val="15"/>
        </w:rPr>
        <w:t>Valor de KPI ──instancia_de──► KPI-def</w:t>
      </w:r>
    </w:p>
    <w:p>
      <w:pPr>
        <w:spacing w:after="20" w:line="240" w:lineRule="auto"/>
        <w:ind w:left="259"/>
      </w:pPr>
      <w:r>
        <w:rPr>
          <w:rFonts w:ascii="Consolas" w:hAnsi="Consolas"/>
          <w:sz w:val="15"/>
        </w:rPr>
        <w:t>Valor de KPI ──derivado_de──► {Observación}*</w:t>
      </w:r>
    </w:p>
    <w:p>
      <w:pPr>
        <w:spacing w:after="20" w:line="240" w:lineRule="auto"/>
        <w:ind w:left="259"/>
      </w:pPr>
      <w:r>
        <w:rPr>
          <w:rFonts w:ascii="Consolas" w:hAnsi="Consolas"/>
          <w:sz w:val="15"/>
        </w:rPr>
        <w:t>Observación ──soportada_por──► Evidencia</w:t>
      </w:r>
    </w:p>
    <w:p>
      <w:pPr>
        <w:spacing w:after="20" w:line="240" w:lineRule="auto"/>
        <w:ind w:left="259"/>
      </w:pPr>
      <w:r>
        <w:rPr>
          <w:rFonts w:ascii="Consolas" w:hAnsi="Consolas"/>
          <w:sz w:val="15"/>
        </w:rPr>
        <w:t>Resultado GOEI ──clasificado_en──► Banda de interpretación</w:t>
      </w:r>
    </w:p>
    <w:p>
      <w:pPr>
        <w:spacing w:after="40"/>
      </w:pPr>
    </w:p>
    <w:p>
      <w:pPr>
        <w:spacing w:after="20" w:line="240" w:lineRule="auto"/>
        <w:ind w:left="259"/>
      </w:pPr>
      <w:r>
        <w:rPr>
          <w:rFonts w:ascii="Consolas" w:hAnsi="Consolas"/>
          <w:sz w:val="15"/>
        </w:rPr>
        <w:t>Auditoría ──verifica──► Evaluación</w:t>
      </w:r>
    </w:p>
    <w:p>
      <w:pPr>
        <w:spacing w:after="20" w:line="240" w:lineRule="auto"/>
        <w:ind w:left="259"/>
      </w:pPr>
      <w:r>
        <w:rPr>
          <w:rFonts w:ascii="Consolas" w:hAnsi="Consolas"/>
          <w:sz w:val="15"/>
        </w:rPr>
        <w:t>Auditoría ──ejecutada_por──► Evaluador</w:t>
      </w:r>
    </w:p>
    <w:p>
      <w:pPr>
        <w:spacing w:after="20" w:line="240" w:lineRule="auto"/>
        <w:ind w:left="259"/>
      </w:pPr>
      <w:r>
        <w:rPr>
          <w:rFonts w:ascii="Consolas" w:hAnsi="Consolas"/>
          <w:sz w:val="15"/>
        </w:rPr>
        <w:t>Evaluador ──posee──► Perfil de competencia</w:t>
      </w:r>
    </w:p>
    <w:p>
      <w:pPr>
        <w:spacing w:after="20" w:line="240" w:lineRule="auto"/>
        <w:ind w:left="259"/>
      </w:pPr>
      <w:r>
        <w:rPr>
          <w:rFonts w:ascii="Consolas" w:hAnsi="Consolas"/>
          <w:sz w:val="15"/>
        </w:rPr>
        <w:t>Certificación ──basada_en──► (Auditoría + Resultado GOEI)</w:t>
      </w:r>
    </w:p>
    <w:p>
      <w:pPr>
        <w:spacing w:after="40"/>
      </w:pPr>
    </w:p>
    <w:p>
      <w:r>
        <w:t>Relación semántica central (CO-3): Resultado GOEI estima la cualidad "Salud Operacional" que inhiere_en el Establecimiento durante un Periodo, según la versión del Estándar. ([ANÁLISIS])</w:t>
      </w:r>
    </w:p>
    <w:p>
      <w:pPr>
        <w:spacing w:after="40"/>
      </w:pPr>
    </w:p>
    <w:p>
      <w:r>
        <w:t>---</w:t>
      </w:r>
    </w:p>
    <w:p>
      <w:pPr>
        <w:spacing w:after="40"/>
      </w:pPr>
    </w:p>
    <w:p>
      <w:pPr>
        <w:pStyle w:val="Heading3"/>
      </w:pPr>
      <w:r>
        <w:t>4. Jerarquías</w:t>
      </w:r>
    </w:p>
    <w:p>
      <w:pPr>
        <w:spacing w:after="40"/>
      </w:pPr>
    </w:p>
    <w:p>
      <w:r>
        <w:t>Cuatro jerarquías distintas que no deben confundirse ([ANÁLISIS]):</w:t>
      </w:r>
    </w:p>
    <w:p>
      <w:pPr>
        <w:spacing w:after="40"/>
      </w:pPr>
    </w:p>
    <w:p>
      <w:pPr>
        <w:pStyle w:val="ListNumber"/>
      </w:pPr>
      <w:r>
        <w:t>Taxonómica (is-a) — Categoría → subcategorías (árbol de tipos de establecimiento).</w:t>
      </w:r>
    </w:p>
    <w:p>
      <w:pPr>
        <w:pStyle w:val="ListNumber"/>
      </w:pPr>
      <w:r>
        <w:t>Composicional / mereológica (part-of) — Constructo ⊃ Dimensión ⊃ Sub-dimensión ⊃ KPI-def; y Macro-proceso ⊃ Proceso ⊃ Actividad.</w:t>
      </w:r>
    </w:p>
    <w:p>
      <w:pPr>
        <w:pStyle w:val="ListNumber"/>
      </w:pPr>
      <w:r>
        <w:t>De instanciación (type→token) — Categoría⇒Establecimiento; KPI-def⇒Valor de KPI; Tipo de proceso⇒Ejecución de proceso.</w:t>
      </w:r>
    </w:p>
    <w:p>
      <w:pPr>
        <w:pStyle w:val="ListNumber"/>
      </w:pPr>
      <w:r>
        <w:t>De agregación de evidencia (deriva) — Observaciones ⇒ Valor de KPI ⇒ (puntaje de dimensión) ⇒ Resultado GOEI. (cadena de derivación; las funciones de agregación son contenido de la Fase de modelo matemático, aquí solo se declara el orden de dependencia.)</w:t>
      </w:r>
    </w:p>
    <w:p>
      <w:pPr>
        <w:spacing w:after="40"/>
      </w:pPr>
    </w:p>
    <w:p>
      <w:r>
        <w:t>Confundir la jerarquía part-of con la is-a, o la instanciación con la agregación, es un error clásico que rompe el modelo matemático. Se mantienen separadas por diseño.</w:t>
      </w:r>
    </w:p>
    <w:p>
      <w:pPr>
        <w:spacing w:after="40"/>
      </w:pPr>
    </w:p>
    <w:p>
      <w:r>
        <w:t>---</w:t>
      </w:r>
    </w:p>
    <w:p>
      <w:pPr>
        <w:spacing w:after="40"/>
      </w:pPr>
    </w:p>
    <w:p>
      <w:pPr>
        <w:pStyle w:val="Heading3"/>
      </w:pPr>
      <w:r>
        <w:t>5. Restricciones (axiomas de integridad)</w:t>
      </w:r>
    </w:p>
    <w:p>
      <w:pPr>
        <w:spacing w:after="40"/>
      </w:pPr>
    </w:p>
    <w:p>
      <w:pPr>
        <w:pStyle w:val="ListBullet"/>
      </w:pPr>
      <w:r>
        <w:t>AX-1 (unicidad de instancia): todo Valor de KPI instancia exactamente una KPI-def y pertenece a exactamente una Evaluación.</w:t>
      </w:r>
    </w:p>
    <w:p>
      <w:pPr>
        <w:pStyle w:val="ListBullet"/>
      </w:pPr>
      <w:r>
        <w:t>AX-2 (cierre de la evaluación): toda Evaluación referencia exactamente una versión de Estándar, un Establecimiento y un Periodo.</w:t>
      </w:r>
    </w:p>
    <w:p>
      <w:pPr>
        <w:pStyle w:val="ListBullet"/>
      </w:pPr>
      <w:r>
        <w:t>AX-3 (admisibilidad): una KPI-def entra en una Evaluación solo si es admisible para la Categoría del Establecimiento.</w:t>
      </w:r>
    </w:p>
    <w:p>
      <w:pPr>
        <w:pStyle w:val="ListBullet"/>
      </w:pPr>
      <w:r>
        <w:t>AX-4 (no compensación): la Banda de un Resultado GOEI está subordinada a las Reglas críticas: si una compuerta falla, ninguna agregación puede elevar la clasificación por encima del techo que la regla impone. (constraint estructural, no fórmula.)</w:t>
      </w:r>
    </w:p>
    <w:p>
      <w:pPr>
        <w:pStyle w:val="ListBullet"/>
      </w:pPr>
      <w:r>
        <w:t>AX-5 (dependencia de referencia): no puede existir Valor de KPI normalizado sin una Condición de referencia definida para su KPI-def/Dimensión.</w:t>
      </w:r>
    </w:p>
    <w:p>
      <w:pPr>
        <w:pStyle w:val="ListBullet"/>
      </w:pPr>
      <w:r>
        <w:t>AX-6 (integridad temporal): toda Observación de una Evaluación cae dentro de su Periodo.</w:t>
      </w:r>
    </w:p>
    <w:p>
      <w:pPr>
        <w:pStyle w:val="ListBullet"/>
      </w:pPr>
      <w:r>
        <w:t>AX-7 (censo formativo / completitud): el conjunto de Dimensiones es un censo; quitar una cambia el constructo. Ninguna evaluación válida omite una dimensión aplicable.</w:t>
      </w:r>
    </w:p>
    <w:p>
      <w:pPr>
        <w:pStyle w:val="ListBullet"/>
      </w:pPr>
      <w:r>
        <w:t>AX-8 (identidad): un Establecimiento conserva identidad entre evaluaciones; una cadena = múltiples establecimientos; su fusión/cierre altera identidad (ver ciclos de vida).</w:t>
      </w:r>
    </w:p>
    <w:p>
      <w:pPr>
        <w:pStyle w:val="ListBullet"/>
      </w:pPr>
      <w:r>
        <w:t>AX-9 (comparabilidad entre versiones): Resultados de distintas versiones no son directamente comparables salvo que exista mapa de compatibilidad.</w:t>
      </w:r>
    </w:p>
    <w:p>
      <w:pPr>
        <w:pStyle w:val="ListBullet"/>
      </w:pPr>
      <w:r>
        <w:t>AX-10 (trazabilidad): todo Valor de KPI es trazable hasta sus Observaciones y su Evidencia (auditabilidad).</w:t>
      </w:r>
    </w:p>
    <w:p>
      <w:pPr>
        <w:spacing w:after="40"/>
      </w:pPr>
    </w:p>
    <w:p>
      <w:r>
        <w:t>---</w:t>
      </w:r>
    </w:p>
    <w:p>
      <w:pPr>
        <w:spacing w:after="40"/>
      </w:pPr>
    </w:p>
    <w:p>
      <w:pPr>
        <w:pStyle w:val="Heading3"/>
      </w:pPr>
      <w:r>
        <w:t>6. Ciclos de vida (máquinas de estado de los ocurrentes/dinámicos)</w:t>
      </w:r>
    </w:p>
    <w:p>
      <w:pPr>
        <w:spacing w:after="40"/>
      </w:pPr>
    </w:p>
    <w:p>
      <w:r>
        <w:t>Estándar (versión):</w:t>
      </w:r>
    </w:p>
    <w:p>
      <w:r>
        <w:t>Borrador → En validación → Publicado/Activo → Sustituido → Retirado</w:t>
      </w:r>
    </w:p>
    <w:p>
      <w:r>
        <w:t>(no pasa a "Publicado" sin superar la compuerta de validación T3, cf. D-005).</w:t>
      </w:r>
    </w:p>
    <w:p>
      <w:pPr>
        <w:spacing w:after="40"/>
      </w:pPr>
    </w:p>
    <w:p>
      <w:r>
        <w:t>Establecimiento (registro):</w:t>
      </w:r>
    </w:p>
    <w:p>
      <w:r>
        <w:t>Registrado → Activo → Suspendido → Dado de baja (baja/fusión/cierre afecta identidad, AX-8).</w:t>
      </w:r>
    </w:p>
    <w:p>
      <w:pPr>
        <w:spacing w:after="40"/>
      </w:pPr>
    </w:p>
    <w:p>
      <w:r>
        <w:t>Evaluación:</w:t>
      </w:r>
    </w:p>
    <w:p>
      <w:r>
        <w:t>Planificada → Recolección de datos → Calculada → En auditoría → Validada/Finalizada → (Impugnada) → Archivada</w:t>
      </w:r>
    </w:p>
    <w:p>
      <w:pPr>
        <w:spacing w:after="40"/>
      </w:pPr>
    </w:p>
    <w:p>
      <w:r>
        <w:t>Auditoría:</w:t>
      </w:r>
    </w:p>
    <w:p>
      <w:r>
        <w:t>Programada → En curso → Hallazgos emitidos → Cerrada (conforme / no conforme)</w:t>
      </w:r>
    </w:p>
    <w:p>
      <w:pPr>
        <w:spacing w:after="40"/>
      </w:pPr>
    </w:p>
    <w:p>
      <w:r>
        <w:t>Certificación:</w:t>
      </w:r>
    </w:p>
    <w:p>
      <w:r>
        <w:t>Otorgada → Activa → Vigilancia → Renovada / Suspendida / Retirada / Expirada</w:t>
      </w:r>
    </w:p>
    <w:p>
      <w:pPr>
        <w:spacing w:after="40"/>
      </w:pPr>
    </w:p>
    <w:p>
      <w:r>
        <w:t>Definición de KPI (dentro del mantenimiento del estándar, T4):</w:t>
      </w:r>
    </w:p>
    <w:p>
      <w:r>
        <w:t>Propuesta → Admisible (validada) → Activa → Obsoleta → Retirada</w:t>
      </w:r>
    </w:p>
    <w:p>
      <w:pPr>
        <w:spacing w:after="40"/>
      </w:pPr>
    </w:p>
    <w:p>
      <w:r>
        <w:t>---</w:t>
      </w:r>
    </w:p>
    <w:p>
      <w:pPr>
        <w:spacing w:after="40"/>
      </w:pPr>
    </w:p>
    <w:p>
      <w:pPr>
        <w:pStyle w:val="Heading3"/>
      </w:pPr>
      <w:r>
        <w:t>7. Diagrama conceptual (vista integrada)</w:t>
      </w:r>
    </w:p>
    <w:p>
      <w:pPr>
        <w:spacing w:after="40"/>
      </w:pPr>
    </w:p>
    <w:p>
      <w:pPr>
        <w:spacing w:after="20" w:line="240" w:lineRule="auto"/>
        <w:ind w:left="259"/>
      </w:pPr>
      <w:r>
        <w:rPr>
          <w:rFonts w:ascii="Consolas" w:hAnsi="Consolas"/>
          <w:sz w:val="15"/>
        </w:rPr>
        <w:t xml:space="preserve">        PLANO DEFINICIONAL (Estándar = metamodelo, types)</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 Estándar(v) ─ define ─► Categoría, Dimensión, Tipo-proceso, │</w:t>
      </w:r>
    </w:p>
    <w:p>
      <w:pPr>
        <w:spacing w:after="20" w:line="240" w:lineRule="auto"/>
        <w:ind w:left="259"/>
      </w:pPr>
      <w:r>
        <w:rPr>
          <w:rFonts w:ascii="Consolas" w:hAnsi="Consolas"/>
          <w:sz w:val="15"/>
        </w:rPr>
        <w:t xml:space="preserve">   │ KPI-def, Regla-normaliz., Cond.-referencia, Regla-crítica,   │</w:t>
      </w:r>
    </w:p>
    <w:p>
      <w:pPr>
        <w:spacing w:after="20" w:line="240" w:lineRule="auto"/>
        <w:ind w:left="259"/>
      </w:pPr>
      <w:r>
        <w:rPr>
          <w:rFonts w:ascii="Consolas" w:hAnsi="Consolas"/>
          <w:sz w:val="15"/>
        </w:rPr>
        <w:t xml:space="preserve">   │ Banda-interpretación, Criterio-admisibilidad, Formulario,    │</w:t>
      </w:r>
    </w:p>
    <w:p>
      <w:pPr>
        <w:spacing w:after="20" w:line="240" w:lineRule="auto"/>
        <w:ind w:left="259"/>
      </w:pPr>
      <w:r>
        <w:rPr>
          <w:rFonts w:ascii="Consolas" w:hAnsi="Consolas"/>
          <w:sz w:val="15"/>
        </w:rPr>
        <w:t xml:space="preserve">   │ Perfil-competencia                                           │</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 instanciación (type→token)</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PLANO OPERACIONAL (aplicación, tokens)</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 Establecimiento ─realiza─► Operación ─contiene─► Ejec.-proceso│</w:t>
      </w:r>
    </w:p>
    <w:p>
      <w:pPr>
        <w:spacing w:after="20" w:line="240" w:lineRule="auto"/>
        <w:ind w:left="259"/>
      </w:pPr>
      <w:r>
        <w:rPr>
          <w:rFonts w:ascii="Consolas" w:hAnsi="Consolas"/>
          <w:sz w:val="15"/>
        </w:rPr>
        <w:t xml:space="preserve">   │        │ inhiere cualidad "Salud Operacional"                │</w:t>
      </w:r>
    </w:p>
    <w:p>
      <w:pPr>
        <w:spacing w:after="20" w:line="240" w:lineRule="auto"/>
        <w:ind w:left="259"/>
      </w:pPr>
      <w:r>
        <w:rPr>
          <w:rFonts w:ascii="Consolas" w:hAnsi="Consolas"/>
          <w:sz w:val="15"/>
        </w:rPr>
        <w:t xml:space="preserve">   │        ▼                                                     │</w:t>
      </w:r>
    </w:p>
    <w:p>
      <w:pPr>
        <w:spacing w:after="20" w:line="240" w:lineRule="auto"/>
        <w:ind w:left="259"/>
      </w:pPr>
      <w:r>
        <w:rPr>
          <w:rFonts w:ascii="Consolas" w:hAnsi="Consolas"/>
          <w:sz w:val="15"/>
        </w:rPr>
        <w:t xml:space="preserve">   │ Evaluación ─genera─► Valor-KPI ◄─deriva─ Observación ◄─ Evid.│</w:t>
      </w:r>
    </w:p>
    <w:p>
      <w:pPr>
        <w:spacing w:after="20" w:line="240" w:lineRule="auto"/>
        <w:ind w:left="259"/>
      </w:pPr>
      <w:r>
        <w:rPr>
          <w:rFonts w:ascii="Consolas" w:hAnsi="Consolas"/>
          <w:sz w:val="15"/>
        </w:rPr>
        <w:t xml:space="preserve">   │        └─produce─► Resultado GOEI ─clasificado_en─► Banda     │</w:t>
      </w:r>
    </w:p>
    <w:p>
      <w:pPr>
        <w:spacing w:after="20" w:line="240" w:lineRule="auto"/>
        <w:ind w:left="259"/>
      </w:pPr>
      <w:r>
        <w:rPr>
          <w:rFonts w:ascii="Consolas" w:hAnsi="Consolas"/>
          <w:sz w:val="15"/>
        </w:rPr>
        <w:t xml:space="preserve">   │ Auditoría ─verifica─► Evaluación ; Evaluador ─ejecuta         │</w:t>
      </w:r>
    </w:p>
    <w:p>
      <w:pPr>
        <w:spacing w:after="20" w:line="240" w:lineRule="auto"/>
        <w:ind w:left="259"/>
      </w:pPr>
      <w:r>
        <w:rPr>
          <w:rFonts w:ascii="Consolas" w:hAnsi="Consolas"/>
          <w:sz w:val="15"/>
        </w:rPr>
        <w:t xml:space="preserve">   │ Certificación ─basada_en─► (Auditoría + Resultado)           │</w:t>
      </w:r>
    </w:p>
    <w:p>
      <w:pPr>
        <w:spacing w:after="20" w:line="240" w:lineRule="auto"/>
        <w:ind w:left="259"/>
      </w:pPr>
      <w:r>
        <w:rPr>
          <w:rFonts w:ascii="Consolas" w:hAnsi="Consolas"/>
          <w:sz w:val="15"/>
        </w:rPr>
        <w:t xml:space="preserve">   └───────────────────────────────────────────────────────────┘</w:t>
      </w:r>
    </w:p>
    <w:p>
      <w:pPr>
        <w:spacing w:after="40"/>
      </w:pPr>
    </w:p>
    <w:p>
      <w:r>
        <w:t>---</w:t>
      </w:r>
    </w:p>
    <w:p>
      <w:pPr>
        <w:spacing w:after="40"/>
      </w:pPr>
    </w:p>
    <w:p>
      <w:pPr>
        <w:pStyle w:val="Heading3"/>
      </w:pPr>
      <w:r>
        <w:t>8. Qué habilita esta ontología (cierre)</w:t>
      </w:r>
    </w:p>
    <w:p>
      <w:pPr>
        <w:spacing w:after="40"/>
      </w:pPr>
    </w:p>
    <w:p>
      <w:r>
        <w:t>Con este universo definido, el modelo matemático (fase posterior) podrá escribirse sin ambigüedad porque ([ANÁLISIS]):</w:t>
      </w:r>
    </w:p>
    <w:p>
      <w:pPr>
        <w:pStyle w:val="ListBullet"/>
      </w:pPr>
      <w:r>
        <w:t>cada símbolo tendrá un referente único (un valor de KPI es un token con establecimiento y periodo, nunca "un KPI" genérico);</w:t>
      </w:r>
    </w:p>
    <w:p>
      <w:pPr>
        <w:pStyle w:val="ListBullet"/>
      </w:pPr>
      <w:r>
        <w:t>la agregación operará sobre la cadena de derivación (§4.4), no sobre entidades mezcladas;</w:t>
      </w:r>
    </w:p>
    <w:p>
      <w:pPr>
        <w:pStyle w:val="ListBullet"/>
      </w:pPr>
      <w:r>
        <w:t>la no compensación ya está declarada como restricción estructural (AX-4), no como truco de fórmula;</w:t>
      </w:r>
    </w:p>
    <w:p>
      <w:pPr>
        <w:pStyle w:val="ListBullet"/>
      </w:pPr>
      <w:r>
        <w:t>la comparabilidad (entre establecimientos, en el tiempo, entre versiones) tiene reglas de identidad y de versión (AX-8, AX-9);</w:t>
      </w:r>
    </w:p>
    <w:p>
      <w:pPr>
        <w:pStyle w:val="ListBullet"/>
      </w:pPr>
      <w:r>
        <w:t>el resultado tiene un significado ontológico preciso: estimación de una cualidad del portador en un periodo (CO-3).</w:t>
      </w:r>
    </w:p>
    <w:p>
      <w:pPr>
        <w:spacing w:after="40"/>
      </w:pPr>
    </w:p>
    <w:p>
      <w:r>
        <w:t>Lo que esta fase deliberadamente NO hizo: no dice cuáles son las dimensiones, ni los KPI, ni las reglas de normalización, ni las bandas. Solo dice qué clases de cosas son y cómo se relacionan.</w:t>
      </w:r>
    </w:p>
    <w:p>
      <w:pPr>
        <w:spacing w:after="40"/>
      </w:pPr>
    </w:p>
    <w:p>
      <w:r>
        <w:t>---</w:t>
      </w:r>
    </w:p>
    <w:p>
      <w:pPr>
        <w:spacing w:after="40"/>
      </w:pPr>
    </w:p>
    <w:p>
      <w:pPr>
        <w:pStyle w:val="Heading3"/>
      </w:pPr>
      <w:r>
        <w:t>9. Preguntas que hereda la fase siguiente</w:t>
      </w:r>
    </w:p>
    <w:p>
      <w:pPr>
        <w:spacing w:after="40"/>
      </w:pPr>
    </w:p>
    <w:p>
      <w:pPr>
        <w:pStyle w:val="ListNumber"/>
      </w:pPr>
      <w:r>
        <w:t>¿Se ratifica la separación estricta plano definicional / plano operacional (CO-1) como regla terminológica obligatoria del estándar?</w:t>
      </w:r>
    </w:p>
    <w:p>
      <w:pPr>
        <w:pStyle w:val="ListNumber"/>
      </w:pPr>
      <w:r>
        <w:t>¿La unidad de análisis es el local individual (token Establecimiento)? ¿Cómo se tratan cadenas, franquicias, dark kitchens y operadores multi-marca (identidad, AX-8)?</w:t>
      </w:r>
    </w:p>
    <w:p>
      <w:pPr>
        <w:pStyle w:val="ListNumber"/>
      </w:pPr>
      <w:r>
        <w:t>¿El Periodo es fijo (p. ej. ventana estándar) o variable por KPI? Afecta AX-6 y la comparabilidad.</w:t>
      </w:r>
    </w:p>
    <w:p>
      <w:pPr>
        <w:pStyle w:val="ListNumber"/>
      </w:pPr>
      <w:r>
        <w:t>¿"Esquema de ponderación" y "Condición de referencia" son entidades por-categoría o globales? Decide la estructura del modelo matemático.</w:t>
      </w:r>
    </w:p>
    <w:p>
      <w:pPr>
        <w:pStyle w:val="ListNumber"/>
      </w:pPr>
      <w:r>
        <w:t>¿La cualidad medida se nombra "Salud Operacional" o "Condición operacional" (pendiente estratégico de D-003/D-004)? La ontología es neutra al nombre, pero el estándar debe fijarlo.</w:t>
      </w:r>
    </w:p>
    <w:p>
      <w:pPr>
        <w:spacing w:after="40"/>
      </w:pPr>
    </w:p>
    <w:p>
      <w:r>
        <w:t>---</w:t>
      </w:r>
    </w:p>
    <w:p>
      <w:pPr>
        <w:spacing w:after="40"/>
      </w:pPr>
    </w:p>
    <w:p>
      <w:pPr>
        <w:pStyle w:val="Heading4"/>
      </w:pPr>
      <w:r>
        <w:t>Fuentes</w:t>
      </w:r>
    </w:p>
    <w:p>
      <w:pPr>
        <w:spacing w:after="40"/>
      </w:pPr>
    </w:p>
    <w:p>
      <w:pPr>
        <w:pStyle w:val="ListBullet"/>
      </w:pPr>
      <w:r>
        <w:t>Gruber, T. (1993), A translation approach to portable ontology specifications — definición de ontología y componentes. Panorámica: https://www.sciencedirect.com/topics/computer-science/ontology</w:t>
      </w:r>
    </w:p>
    <w:p>
      <w:pPr>
        <w:pStyle w:val="ListBullet"/>
      </w:pPr>
      <w:r>
        <w:t>Smith, B. et al. — Basic Formal Ontology (BFO): continuantes/ocurrentes, continuantes dependientes/independientes, cualidades, procesos. http://ontology.buffalo.edu/smith/articles/Material_Entities.pdf · https://ieeexplore.ieee.org/document/7288715/</w:t>
      </w:r>
    </w:p>
    <w:p>
      <w:pPr>
        <w:pStyle w:val="ListBullet"/>
      </w:pPr>
      <w:r>
        <w:t>Uschold, M. &amp; King, M. — The Enterprise Ontology. https://www.aiai.ed.ac.uk/project/enterprise/ontology.html · https://www.aiai.ed.ac.uk/project/oplan/documents/1998/98-ker-ent-ontology.pdf</w:t>
      </w:r>
    </w:p>
    <w:p>
      <w:pPr>
        <w:pStyle w:val="ListBullet"/>
      </w:pPr>
      <w:r>
        <w:t>Dietz, J. &amp; Mulder, H. — Enterprise Ontology / DEMO. https://link.springer.com/book/10.1007/978-3-030-38854-6</w:t>
      </w:r>
    </w:p>
    <w:p>
      <w:pPr>
        <w:pStyle w:val="ListBullet"/>
      </w:pPr>
      <w:r>
        <w:t>ArchiMate / TOGAF — metamodelo (estructura activa/comportamiento/estructura pasiva; capas). https://archimatetool.gitbook.io/quick_guide/archimate-core-metamodel</w:t>
      </w:r>
    </w:p>
    <w:p>
      <w:pPr>
        <w:pStyle w:val="ListBullet"/>
      </w:pPr>
      <w:r>
        <w:t>Niveles type/token/metamodelo. https://www.sciencedirect.com/science/article/abs/pii/S0164121210002906</w:t>
      </w:r>
    </w:p>
    <w:p>
      <w:pPr>
        <w:spacing w:after="40"/>
      </w:pPr>
    </w:p>
    <w:p>
      <w:r>
        <w:t>Verificación pendiente (Fase 1/2): confirmar edición de Gruber (1993) y de la monografía BFO (Arp, Smith &amp; Spear, 2015) antes de citar en la tesis.</w:t>
      </w:r>
    </w:p>
    <w:p>
      <w:r>
        <w:br w:type="page"/>
      </w:r>
    </w:p>
    <w:p>
      <w:pPr>
        <w:pStyle w:val="Heading1"/>
        <w:keepNext/>
      </w:pPr>
      <w:r>
        <w:t>Fuente 121: 09_Manual_tecnico_general/Fase4_D006_REV_Ontologia_revision_y_cierre.md</w:t>
      </w:r>
    </w:p>
    <w:p>
      <w:pPr>
        <w:spacing w:after="200"/>
      </w:pPr>
      <w:r>
        <w:rPr>
          <w:rFonts w:ascii="Consolas" w:hAnsi="Consolas"/>
          <w:color w:val="595959"/>
          <w:sz w:val="16"/>
        </w:rPr>
        <w:t>Ruta: 09_Manual_tecnico_general/Fase4_D006_REV_Ontologia_revision_y_cierre.md</w:t>
        <w:br/>
        <w:t>Tamaño: 15024 bytes</w:t>
        <w:br/>
        <w:t>SHA-256: 6ea6988191ec532ca96946d6ad0735573c2949f2ea8aea426ff14a2e4b9b7e3f</w:t>
      </w:r>
    </w:p>
    <w:p>
      <w:pPr>
        <w:pStyle w:val="Heading2"/>
      </w:pPr>
      <w:r>
        <w:t>FASE 4 — D-006 (Revisión y cierre)</w:t>
      </w:r>
    </w:p>
    <w:p>
      <w:pPr>
        <w:pStyle w:val="Heading3"/>
      </w:pPr>
      <w:r>
        <w:t>Refinamiento de la ontología del GOEI: realismo, recursos, intercambio económico y ontología dinámica</w:t>
      </w:r>
    </w:p>
    <w:p>
      <w:pPr>
        <w:spacing w:after="40"/>
      </w:pPr>
    </w:p>
    <w:p>
      <w:r>
        <w:t>Tipo de documento: revisión de D-006 en respuesta a las cinco observaciones del comité; cierre condicional de la ontología.</w:t>
      </w:r>
    </w:p>
    <w:p>
      <w:r>
        <w:t>Regla de la fase: sigue sin definirse contenido (dimensiones/KPI/fórmulas). Solo estructura.</w:t>
      </w:r>
    </w:p>
    <w:p>
      <w:r>
        <w:t>Fecha: 2026-08-04.</w:t>
      </w:r>
    </w:p>
    <w:p>
      <w:pPr>
        <w:spacing w:after="40"/>
      </w:pPr>
    </w:p>
    <w:p>
      <w:pPr>
        <w:spacing w:after="100"/>
        <w:ind w:left="360" w:right="216"/>
      </w:pPr>
      <w:r>
        <w:rPr>
          <w:i/>
          <w:color w:val="595959"/>
        </w:rPr>
        <w:t>Etiquetas: [EVIDENCIA], [ANÁLISIS], [PROPUESTA/PENDIENTE].</w:t>
      </w:r>
    </w:p>
    <w:p>
      <w:pPr>
        <w:spacing w:after="100"/>
        <w:ind w:left="360" w:right="216"/>
      </w:pPr>
      <w:r>
        <w:rPr>
          <w:i/>
          <w:color w:val="595959"/>
        </w:rPr>
        <w:t>Marcos añadidos: REA (Resource-Event-Agent, McCarthy, 1982); PROV-O (W3C, ontología de procedencia: Entity/Activity/Agent/tiempo); realismo BFO / artefacto de información (IAO).</w:t>
      </w:r>
    </w:p>
    <w:p>
      <w:pPr>
        <w:spacing w:after="40"/>
      </w:pPr>
    </w:p>
    <w:p>
      <w:r>
        <w:t>El comité acierta en los cinco puntos. Ninguno es cosmético: tres de ellos (1, 4 y 5) corrigen errores estructurales de la versión inicial. Se resuelven uno a uno y se integra el resultado.</w:t>
      </w:r>
    </w:p>
    <w:p>
      <w:pPr>
        <w:spacing w:after="40"/>
      </w:pPr>
    </w:p>
    <w:p>
      <w:r>
        <w:t>---</w:t>
      </w:r>
    </w:p>
    <w:p>
      <w:pPr>
        <w:spacing w:after="40"/>
      </w:pPr>
    </w:p>
    <w:p>
      <w:pPr>
        <w:pStyle w:val="Heading3"/>
      </w:pPr>
      <w:r>
        <w:t>Punto 1 — El Estándar NO es la raíz: compromiso realista</w:t>
      </w:r>
    </w:p>
    <w:p>
      <w:pPr>
        <w:spacing w:after="40"/>
      </w:pPr>
    </w:p>
    <w:p>
      <w:r>
        <w:t>Observación aceptada. En la v1, el Estándar aparecía como definidor de todo, lo que sugería —incorrectamente— que el estándar es la raíz del universo. Es un error de anti-realismo: confunde el mapa con el territorio. ([ANÁLISIS])</w:t>
      </w:r>
    </w:p>
    <w:p>
      <w:pPr>
        <w:spacing w:after="40"/>
      </w:pPr>
    </w:p>
    <w:p>
      <w:r>
        <w:t>Corrección (compromiso realista, BFO/IAO): la realidad gastronómica es primaria; el Estándar es un artefacto de información (un continuante genéricamente dependiente) que representa y prescribe cómo evaluar esa realidad, no la constituye. Esto obliga a separar tres estratos ([EVIDENCIA] realismo BFO; [ANÁLISIS]):</w:t>
      </w:r>
    </w:p>
    <w:p>
      <w:pPr>
        <w:spacing w:after="40"/>
      </w:pPr>
    </w:p>
    <w:p>
      <w:pPr>
        <w:spacing w:after="20" w:line="240" w:lineRule="auto"/>
      </w:pPr>
      <w:r>
        <w:rPr>
          <w:rFonts w:ascii="Consolas" w:hAnsi="Consolas"/>
          <w:sz w:val="14"/>
        </w:rPr>
        <w:t>| Estrato | Qué contiene | Estatus ontológico |</w:t>
      </w:r>
    </w:p>
    <w:p>
      <w:pPr>
        <w:spacing w:after="20" w:line="240" w:lineRule="auto"/>
      </w:pPr>
      <w:r>
        <w:rPr>
          <w:rFonts w:ascii="Consolas" w:hAnsi="Consolas"/>
          <w:sz w:val="14"/>
        </w:rPr>
        <w:t>|---|---|---|</w:t>
      </w:r>
    </w:p>
    <w:p>
      <w:pPr>
        <w:spacing w:after="20" w:line="240" w:lineRule="auto"/>
      </w:pPr>
      <w:r>
        <w:rPr>
          <w:rFonts w:ascii="Consolas" w:hAnsi="Consolas"/>
          <w:sz w:val="14"/>
        </w:rPr>
        <w:t>| **R — Realidad** | Industria gastronómica, Establecimiento, Operación, Recursos, Eventos, Agentes, Productos, Pedidos, Clientes | Lo que **existe** |</w:t>
      </w:r>
    </w:p>
    <w:p>
      <w:pPr>
        <w:spacing w:after="20" w:line="240" w:lineRule="auto"/>
      </w:pPr>
      <w:r>
        <w:rPr>
          <w:rFonts w:ascii="Consolas" w:hAnsi="Consolas"/>
          <w:sz w:val="14"/>
        </w:rPr>
        <w:t>| **N — Norma (representación prescriptiva)** | Estándar y sus *types*: Dimensiones, KPI-def, Condiciones de referencia, Reglas críticas, Bandas | Artefactos de información **sobre** R (prescriben cómo medir) |</w:t>
      </w:r>
    </w:p>
    <w:p>
      <w:pPr>
        <w:spacing w:after="20" w:line="240" w:lineRule="auto"/>
      </w:pPr>
      <w:r>
        <w:rPr>
          <w:rFonts w:ascii="Consolas" w:hAnsi="Consolas"/>
          <w:sz w:val="14"/>
        </w:rPr>
        <w:t>| **D — Datos (representación descriptiva)** | Observaciones, Valores de KPI, Resultados GOEI, Auditorías, Certificaciones | Artefactos de información **sobre** una instancia concreta de R, **según** N |</w:t>
      </w:r>
    </w:p>
    <w:p>
      <w:pPr>
        <w:spacing w:after="40"/>
      </w:pPr>
    </w:p>
    <w:p>
      <w:r>
        <w:t>¿Cuál es la raíz, entonces? Hay que distinguir tres nociones que no coinciden ([ANÁLISIS]):</w:t>
      </w:r>
    </w:p>
    <w:p>
      <w:pPr>
        <w:pStyle w:val="ListBullet"/>
      </w:pPr>
      <w:r>
        <w:t>Universo de discurso (alcance): la Industria gastronómica — el conjunto/población que delimita el dominio. Es el techo del alcance, no un objeto que actúa.</w:t>
      </w:r>
    </w:p>
    <w:p>
      <w:pPr>
        <w:pStyle w:val="ListBullet"/>
      </w:pPr>
      <w:r>
        <w:t>Entidad focal / ancla de medición: el Establecimiento — el continuante independiente que porta la cualidad que el GOEI mide (CO-3). Es la raíz del subárbol de medición y la unidad de análisis.</w:t>
      </w:r>
    </w:p>
    <w:p>
      <w:pPr>
        <w:pStyle w:val="ListBullet"/>
      </w:pPr>
      <w:r>
        <w:t>Comportamiento: la Operación — un ocurrente que el establecimiento realiza; NO es raíz, es proceso en el que el establecimiento participa.</w:t>
      </w:r>
    </w:p>
    <w:p>
      <w:pPr>
        <w:spacing w:after="40"/>
      </w:pPr>
    </w:p>
    <w:p>
      <w:r>
        <w:t>Resolución: la raíz del dominio es la Industria gastronómica (alcance); el ancla ontológica es el Establecimiento (portador de la cualidad); la Operación es comportamiento; y el Estándar se degrada de "raíz" a "artefacto normativo del estrato N". (Nuevo compromiso CO-6 — Realismo.)</w:t>
      </w:r>
    </w:p>
    <w:p>
      <w:pPr>
        <w:spacing w:after="40"/>
      </w:pPr>
    </w:p>
    <w:p>
      <w:r>
        <w:t>---</w:t>
      </w:r>
    </w:p>
    <w:p>
      <w:pPr>
        <w:spacing w:after="40"/>
      </w:pPr>
    </w:p>
    <w:p>
      <w:pPr>
        <w:pStyle w:val="Heading3"/>
      </w:pPr>
      <w:r>
        <w:t>Punto 2 — Incorporación explícita del Recurso</w:t>
      </w:r>
    </w:p>
    <w:p>
      <w:pPr>
        <w:spacing w:after="40"/>
      </w:pPr>
    </w:p>
    <w:p>
      <w:r>
        <w:t>Observación aceptada. El Recurso es una entidad fundamental ausente. En REA (McCarthy, 1982), el Recurso económico es uno de los tres pilares (Resource-Event-Agent) precisamente porque los eventos usan, consumen o producen recursos —y muchos KPI miden utilización/disponibilidad/desempeño de recursos. ([EVIDENCIA])</w:t>
      </w:r>
    </w:p>
    <w:p>
      <w:pPr>
        <w:spacing w:after="40"/>
      </w:pPr>
    </w:p>
    <w:p>
      <w:r>
        <w:t>Nueva entidad: Recurso (estrato R, continuante), con subtipos y una distinción clave:</w:t>
      </w:r>
    </w:p>
    <w:p>
      <w:pPr>
        <w:spacing w:after="40"/>
      </w:pPr>
    </w:p>
    <w:p>
      <w:pPr>
        <w:spacing w:after="20" w:line="240" w:lineRule="auto"/>
      </w:pPr>
      <w:r>
        <w:rPr>
          <w:rFonts w:ascii="Consolas" w:hAnsi="Consolas"/>
          <w:sz w:val="14"/>
        </w:rPr>
        <w:t>| Subtipo de Recurso | Ejemplos | Tipo | Naturaleza de stock/flujo |</w:t>
      </w:r>
    </w:p>
    <w:p>
      <w:pPr>
        <w:spacing w:after="20" w:line="240" w:lineRule="auto"/>
      </w:pPr>
      <w:r>
        <w:rPr>
          <w:rFonts w:ascii="Consolas" w:hAnsi="Consolas"/>
          <w:sz w:val="14"/>
        </w:rPr>
        <w:t>|---|---|---|---|</w:t>
      </w:r>
    </w:p>
    <w:p>
      <w:pPr>
        <w:spacing w:after="20" w:line="240" w:lineRule="auto"/>
      </w:pPr>
      <w:r>
        <w:rPr>
          <w:rFonts w:ascii="Consolas" w:hAnsi="Consolas"/>
          <w:sz w:val="14"/>
        </w:rPr>
        <w:t>| **Personas** | Personal, dotación | Recurso **y** Agente (doble tipado) | Renovable (capacidad-tiempo) |</w:t>
      </w:r>
    </w:p>
    <w:p>
      <w:pPr>
        <w:spacing w:after="20" w:line="240" w:lineRule="auto"/>
      </w:pPr>
      <w:r>
        <w:rPr>
          <w:rFonts w:ascii="Consolas" w:hAnsi="Consolas"/>
          <w:sz w:val="14"/>
        </w:rPr>
        <w:t>| **Equipamiento** | Cocina, mobiliario, equipos | Recurso durable | Renovable (se utiliza) |</w:t>
      </w:r>
    </w:p>
    <w:p>
      <w:pPr>
        <w:spacing w:after="20" w:line="240" w:lineRule="auto"/>
      </w:pPr>
      <w:r>
        <w:rPr>
          <w:rFonts w:ascii="Consolas" w:hAnsi="Consolas"/>
          <w:sz w:val="14"/>
        </w:rPr>
        <w:t>| **Tiempo** | Horas-servicio, horas-hombre | Recurso-marco | Flujo perecedero |</w:t>
      </w:r>
    </w:p>
    <w:p>
      <w:pPr>
        <w:spacing w:after="20" w:line="240" w:lineRule="auto"/>
      </w:pPr>
      <w:r>
        <w:rPr>
          <w:rFonts w:ascii="Consolas" w:hAnsi="Consolas"/>
          <w:sz w:val="14"/>
        </w:rPr>
        <w:t>| **Espacio** | Asientos, m², capacidad | Recurso-marco | Renovable (capacidad) |</w:t>
      </w:r>
    </w:p>
    <w:p>
      <w:pPr>
        <w:spacing w:after="20" w:line="240" w:lineRule="auto"/>
      </w:pPr>
      <w:r>
        <w:rPr>
          <w:rFonts w:ascii="Consolas" w:hAnsi="Consolas"/>
          <w:sz w:val="14"/>
        </w:rPr>
        <w:t>| **Ingredientes** | Insumos, materia prima | Recurso material | **Consumible** |</w:t>
      </w:r>
    </w:p>
    <w:p>
      <w:pPr>
        <w:spacing w:after="20" w:line="240" w:lineRule="auto"/>
      </w:pPr>
      <w:r>
        <w:rPr>
          <w:rFonts w:ascii="Consolas" w:hAnsi="Consolas"/>
          <w:sz w:val="14"/>
        </w:rPr>
        <w:t>| **Capital** | Efectivo, financiamiento | Recurso económico | Flujo/stock |</w:t>
      </w:r>
    </w:p>
    <w:p>
      <w:pPr>
        <w:spacing w:after="20" w:line="240" w:lineRule="auto"/>
      </w:pPr>
      <w:r>
        <w:rPr>
          <w:rFonts w:ascii="Consolas" w:hAnsi="Consolas"/>
          <w:sz w:val="14"/>
        </w:rPr>
        <w:t>| **Información** | Datos, recetas, conocimiento | Recurso informacional | No rival |</w:t>
      </w:r>
    </w:p>
    <w:p>
      <w:pPr>
        <w:spacing w:after="20" w:line="240" w:lineRule="auto"/>
      </w:pPr>
      <w:r>
        <w:rPr>
          <w:rFonts w:ascii="Consolas" w:hAnsi="Consolas"/>
          <w:sz w:val="14"/>
        </w:rPr>
        <w:t>| **Tecnología** | Software, sistemas | Recurso habilitador | Renovable |</w:t>
      </w:r>
    </w:p>
    <w:p>
      <w:pPr>
        <w:spacing w:after="40"/>
      </w:pPr>
    </w:p>
    <w:p>
      <w:r>
        <w:t>Atributos-ranura del Recurso: id, tipo, capacidad, disponibilidad, estado, unidad de medida, propietario (establecimiento).</w:t>
      </w:r>
    </w:p>
    <w:p>
      <w:r>
        <w:t>Relaciones: Recurso ──pertenece_a──► Establecimiento; Evento ──{usa|consume|produce}──► Recurso.</w:t>
      </w:r>
    </w:p>
    <w:p>
      <w:r>
        <w:t>Doble tipado (nuevo AX-13): una Persona es simultáneamente Agente (estructura activa, actúa) y fuente de un Recurso (trabajo/tiempo-personal, que se utiliza). No confundir el agente con su capacidad utilizable. ([ANÁLISIS])</w:t>
      </w:r>
    </w:p>
    <w:p>
      <w:r>
        <w:t>Distinción operativa: recursos renovables/marco (espacio, equipo, tiempo) sostienen medidas de utilización/disponibilidad; recursos consumibles (ingredientes, capital) sostienen medidas de rendimiento/merma. (Relevante para la futura admisibilidad de KPI, sin definirlos aún.)</w:t>
      </w:r>
    </w:p>
    <w:p>
      <w:pPr>
        <w:spacing w:after="40"/>
      </w:pPr>
    </w:p>
    <w:p>
      <w:r>
        <w:t>---</w:t>
      </w:r>
    </w:p>
    <w:p>
      <w:pPr>
        <w:spacing w:after="40"/>
      </w:pPr>
    </w:p>
    <w:p>
      <w:pPr>
        <w:pStyle w:val="Heading3"/>
      </w:pPr>
      <w:r>
        <w:t>Punto 3 — Producto, Servicio, Pedido y Cliente</w:t>
      </w:r>
    </w:p>
    <w:p>
      <w:pPr>
        <w:spacing w:after="40"/>
      </w:pPr>
    </w:p>
    <w:p>
      <w:r>
        <w:t>Observación aceptada: son entidades fundamentales, y REA les da un lugar exacto en el patrón de intercambio económico ([EVIDENCIA]):</w:t>
      </w:r>
    </w:p>
    <w:p>
      <w:pPr>
        <w:spacing w:after="40"/>
      </w:pPr>
    </w:p>
    <w:p>
      <w:pPr>
        <w:spacing w:after="20" w:line="240" w:lineRule="auto"/>
      </w:pPr>
      <w:r>
        <w:rPr>
          <w:rFonts w:ascii="Consolas" w:hAnsi="Consolas"/>
          <w:sz w:val="14"/>
        </w:rPr>
        <w:t>| Entidad | Rol REA | Estatus ontológico | Justificación |</w:t>
      </w:r>
    </w:p>
    <w:p>
      <w:pPr>
        <w:spacing w:after="20" w:line="240" w:lineRule="auto"/>
      </w:pPr>
      <w:r>
        <w:rPr>
          <w:rFonts w:ascii="Consolas" w:hAnsi="Consolas"/>
          <w:sz w:val="14"/>
        </w:rPr>
        <w:t>|---|---|---|---|</w:t>
      </w:r>
    </w:p>
    <w:p>
      <w:pPr>
        <w:spacing w:after="20" w:line="240" w:lineRule="auto"/>
      </w:pPr>
      <w:r>
        <w:rPr>
          <w:rFonts w:ascii="Consolas" w:hAnsi="Consolas"/>
          <w:sz w:val="14"/>
        </w:rPr>
        <w:t>| **Producto** | Recurso (output tangible) | Continuante | Es un Recurso producido por la Operación y entregado al Cliente (p. ej., un plato) |</w:t>
      </w:r>
    </w:p>
    <w:p>
      <w:pPr>
        <w:spacing w:after="20" w:line="240" w:lineRule="auto"/>
      </w:pPr>
      <w:r>
        <w:rPr>
          <w:rFonts w:ascii="Consolas" w:hAnsi="Consolas"/>
          <w:sz w:val="14"/>
        </w:rPr>
        <w:t>| **Servicio** | Recurso/prestación (output intangible) | Ocurrente-provisión | La provisión de valor intangible al Cliente (la experiencia de servicio) |</w:t>
      </w:r>
    </w:p>
    <w:p>
      <w:pPr>
        <w:spacing w:after="20" w:line="240" w:lineRule="auto"/>
      </w:pPr>
      <w:r>
        <w:rPr>
          <w:rFonts w:ascii="Consolas" w:hAnsi="Consolas"/>
          <w:sz w:val="14"/>
        </w:rPr>
        <w:t>| **Pedido** | **Compromiso** (commitment) | Continuante-compromiso | REA: una orden de venta es una **promesa** de un evento económico futuro; ancla la relación entre demanda y cumplimiento |</w:t>
      </w:r>
    </w:p>
    <w:p>
      <w:pPr>
        <w:spacing w:after="20" w:line="240" w:lineRule="auto"/>
      </w:pPr>
      <w:r>
        <w:rPr>
          <w:rFonts w:ascii="Consolas" w:hAnsi="Consolas"/>
          <w:sz w:val="14"/>
        </w:rPr>
        <w:t>| **Cliente** | **Agente** (externo) | Continuante/Agente | Contraparte del intercambio; receptor del valor |</w:t>
      </w:r>
    </w:p>
    <w:p>
      <w:pPr>
        <w:spacing w:after="40"/>
      </w:pPr>
    </w:p>
    <w:p>
      <w:r>
        <w:t>Backbone de intercambio económico (nuevo):</w:t>
      </w:r>
    </w:p>
    <w:p>
      <w:r>
        <w:t>Establecimiento(Agente) ──provee──► {Producto|Servicio}(Recurso) ──a──► Cliente(Agente) mediante Pedido(Compromiso) cumplido por Eventos económicos (venta, entrega). Sobre este backbone se apoyarán muchos KPI (ticket, rotación, RevPASH…), por lo que debe existir en la ontología antes de diseñarlos. ([ANÁLISIS])</w:t>
      </w:r>
    </w:p>
    <w:p>
      <w:r>
        <w:t>Generalización: se introduce Agente como superclase de Evaluador, Operador, Cliente y Proveedor (estructura activa, CO-4).</w:t>
      </w:r>
    </w:p>
    <w:p>
      <w:pPr>
        <w:spacing w:after="40"/>
      </w:pPr>
    </w:p>
    <w:p>
      <w:r>
        <w:t>---</w:t>
      </w:r>
    </w:p>
    <w:p>
      <w:pPr>
        <w:spacing w:after="40"/>
      </w:pPr>
    </w:p>
    <w:p>
      <w:pPr>
        <w:pStyle w:val="Heading3"/>
      </w:pPr>
      <w:r>
        <w:t>Punto 4 — Ontología dinámica (procesos y eventos)</w:t>
      </w:r>
    </w:p>
    <w:p>
      <w:pPr>
        <w:spacing w:after="40"/>
      </w:pPr>
    </w:p>
    <w:p>
      <w:r>
        <w:t>Observación aceptada, con un matiz importante. La v1 describe entidades (vista estructural) pero no el flujo. Sin embargo, el comité pregunta si hace falta una segunda ontología. Recomendación: NO una segunda ontología separada, sino una única ontología con dos VISTAS integradas —estructural y dinámica— sobre el mismo universo. ([ANÁLISIS]) Dos ontologías desconectadas es un anti-patrón (se desincronizan); ArchiMate ya separa estructura y comportamiento dentro de un metamodelo, y REA hace pivotar todo sobre el Evento. ([EVIDENCIA])</w:t>
      </w:r>
    </w:p>
    <w:p>
      <w:pPr>
        <w:spacing w:after="40"/>
      </w:pPr>
    </w:p>
    <w:p>
      <w:r>
        <w:t>Vista dinámica — nuevas entidades (estrato R, ocurrentes):</w:t>
      </w:r>
    </w:p>
    <w:p>
      <w:pPr>
        <w:spacing w:after="40"/>
      </w:pPr>
    </w:p>
    <w:p>
      <w:pPr>
        <w:spacing w:after="20" w:line="240" w:lineRule="auto"/>
      </w:pPr>
      <w:r>
        <w:rPr>
          <w:rFonts w:ascii="Consolas" w:hAnsi="Consolas"/>
          <w:sz w:val="14"/>
        </w:rPr>
        <w:t>| Entidad | Definición ontológica | Referencia |</w:t>
      </w:r>
    </w:p>
    <w:p>
      <w:pPr>
        <w:spacing w:after="20" w:line="240" w:lineRule="auto"/>
      </w:pPr>
      <w:r>
        <w:rPr>
          <w:rFonts w:ascii="Consolas" w:hAnsi="Consolas"/>
          <w:sz w:val="14"/>
        </w:rPr>
        <w:t>|---|---|---|</w:t>
      </w:r>
    </w:p>
    <w:p>
      <w:pPr>
        <w:spacing w:after="20" w:line="240" w:lineRule="auto"/>
      </w:pPr>
      <w:r>
        <w:rPr>
          <w:rFonts w:ascii="Consolas" w:hAnsi="Consolas"/>
          <w:sz w:val="14"/>
        </w:rPr>
        <w:t>| **Evento** | Ocurrente atómico: un suceso en un instante/intervalo corto que **cambia estado** y **usa/consume/produce** recursos (p. ej., pedido tomado, plato servido, recepción de insumo, lectura de temperatura) | REA *economic event*; PROV *Activity*; BFO *process boundary* |</w:t>
      </w:r>
    </w:p>
    <w:p>
      <w:pPr>
        <w:spacing w:after="20" w:line="240" w:lineRule="auto"/>
      </w:pPr>
      <w:r>
        <w:rPr>
          <w:rFonts w:ascii="Consolas" w:hAnsi="Consolas"/>
          <w:sz w:val="14"/>
        </w:rPr>
        <w:t>| **Proceso** | Ocurrente estructurado con partes temporales, compuesto de eventos/actividades (p. ej., ciclo de servicio, aprovisionamiento) | BFO *process*; ya existía como Tipo/Ejecución de proceso |</w:t>
      </w:r>
    </w:p>
    <w:p>
      <w:pPr>
        <w:spacing w:after="20" w:line="240" w:lineRule="auto"/>
      </w:pPr>
      <w:r>
        <w:rPr>
          <w:rFonts w:ascii="Consolas" w:hAnsi="Consolas"/>
          <w:sz w:val="14"/>
        </w:rPr>
        <w:t>| **Flujo** | Relación de orden entre eventos/procesos (precede, dispara, informa) | PROV `wasInformedBy`; DEMO transaction pattern |</w:t>
      </w:r>
    </w:p>
    <w:p>
      <w:pPr>
        <w:spacing w:after="20" w:line="240" w:lineRule="auto"/>
      </w:pPr>
      <w:r>
        <w:rPr>
          <w:rFonts w:ascii="Consolas" w:hAnsi="Consolas"/>
          <w:sz w:val="14"/>
        </w:rPr>
        <w:t>| **Transición de estado** | Efecto de un evento sobre el ciclo de vida de una entidad (§6 de D-006) | Vincula eventos con máquinas de estado |</w:t>
      </w:r>
    </w:p>
    <w:p>
      <w:pPr>
        <w:spacing w:after="40"/>
      </w:pPr>
    </w:p>
    <w:p>
      <w:r>
        <w:t>Relaciones dinámicas nucleares:</w:t>
      </w:r>
    </w:p>
    <w:p>
      <w:pPr>
        <w:spacing w:after="20" w:line="240" w:lineRule="auto"/>
        <w:ind w:left="259"/>
      </w:pPr>
      <w:r>
        <w:rPr>
          <w:rFonts w:ascii="Consolas" w:hAnsi="Consolas"/>
          <w:sz w:val="15"/>
        </w:rPr>
        <w:t>Proceso ──se_compone_de──► {Evento}*</w:t>
      </w:r>
    </w:p>
    <w:p>
      <w:pPr>
        <w:spacing w:after="20" w:line="240" w:lineRule="auto"/>
        <w:ind w:left="259"/>
      </w:pPr>
      <w:r>
        <w:rPr>
          <w:rFonts w:ascii="Consolas" w:hAnsi="Consolas"/>
          <w:sz w:val="15"/>
        </w:rPr>
        <w:t>Evento ──{usa|consume|produce}──► Recurso</w:t>
      </w:r>
    </w:p>
    <w:p>
      <w:pPr>
        <w:spacing w:after="20" w:line="240" w:lineRule="auto"/>
        <w:ind w:left="259"/>
      </w:pPr>
      <w:r>
        <w:rPr>
          <w:rFonts w:ascii="Consolas" w:hAnsi="Consolas"/>
          <w:sz w:val="15"/>
        </w:rPr>
        <w:t>Evento ──ejecutado_por──► Agente</w:t>
      </w:r>
    </w:p>
    <w:p>
      <w:pPr>
        <w:spacing w:after="20" w:line="240" w:lineRule="auto"/>
        <w:ind w:left="259"/>
      </w:pPr>
      <w:r>
        <w:rPr>
          <w:rFonts w:ascii="Consolas" w:hAnsi="Consolas"/>
          <w:sz w:val="15"/>
        </w:rPr>
        <w:t>Evento ──ocurre_en──► Periodo</w:t>
      </w:r>
    </w:p>
    <w:p>
      <w:pPr>
        <w:spacing w:after="20" w:line="240" w:lineRule="auto"/>
        <w:ind w:left="259"/>
      </w:pPr>
      <w:r>
        <w:rPr>
          <w:rFonts w:ascii="Consolas" w:hAnsi="Consolas"/>
          <w:sz w:val="15"/>
        </w:rPr>
        <w:t>Evento ──genera──► Observación</w:t>
      </w:r>
    </w:p>
    <w:p>
      <w:pPr>
        <w:spacing w:after="20" w:line="240" w:lineRule="auto"/>
        <w:ind w:left="259"/>
      </w:pPr>
      <w:r>
        <w:rPr>
          <w:rFonts w:ascii="Consolas" w:hAnsi="Consolas"/>
          <w:sz w:val="15"/>
        </w:rPr>
        <w:t>Evento ──dispara──► Transición de estado (de Establecimiento/Pedido/…)</w:t>
      </w:r>
    </w:p>
    <w:p>
      <w:pPr>
        <w:spacing w:after="20" w:line="240" w:lineRule="auto"/>
        <w:ind w:left="259"/>
      </w:pPr>
      <w:r>
        <w:rPr>
          <w:rFonts w:ascii="Consolas" w:hAnsi="Consolas"/>
          <w:sz w:val="15"/>
        </w:rPr>
        <w:t>Pedido(compromiso) ──se_cumple_mediante──► {Evento económico}*</w:t>
      </w:r>
    </w:p>
    <w:p>
      <w:pPr>
        <w:spacing w:after="40"/>
      </w:pPr>
    </w:p>
    <w:p>
      <w:r>
        <w:t>Resolución: el GOEI requiere la capa dinámica, integrada como vista de comportamiento de la misma ontología (no una segunda ontología). El Evento pasa a ser la entidad-pivote que conecta lo estructural (recursos, agentes) con lo medible (observaciones). (Nuevo compromiso CO-7 — una ontología, dos vistas.)</w:t>
      </w:r>
    </w:p>
    <w:p>
      <w:pPr>
        <w:spacing w:after="40"/>
      </w:pPr>
    </w:p>
    <w:p>
      <w:r>
        <w:t>---</w:t>
      </w:r>
    </w:p>
    <w:p>
      <w:pPr>
        <w:spacing w:after="40"/>
      </w:pPr>
    </w:p>
    <w:p>
      <w:pPr>
        <w:pStyle w:val="Heading3"/>
      </w:pPr>
      <w:r>
        <w:t>Punto 5 — Anclaje cuádruple de toda observación</w:t>
      </w:r>
    </w:p>
    <w:p>
      <w:pPr>
        <w:spacing w:after="40"/>
      </w:pPr>
    </w:p>
    <w:p>
      <w:r>
        <w:t>Observación aceptada y verificable. El requisito —que toda observación se ubique simultáneamente en entidad + proceso + evento + periodo— es exactamente el modelo de procedencia PROV-O ([EVIDENCIA]): un dato (prov:Entity) wasGeneratedBy una Activity que used entidades, wasAttributedTo un agente y ocurrió en un tiempo (startedAtTime/endedAtTime).</w:t>
      </w:r>
    </w:p>
    <w:p>
      <w:pPr>
        <w:spacing w:after="40"/>
      </w:pPr>
    </w:p>
    <w:p>
      <w:r>
        <w:t>Nuevo axioma AX-11 (anclaje cuádruple de la observación): toda Observación admisible DEBE poder ubicarse simultáneamente en:</w:t>
      </w:r>
    </w:p>
    <w:p>
      <w:pPr>
        <w:pStyle w:val="ListNumber"/>
      </w:pPr>
      <w:r>
        <w:t>Entidad — el portador/sujeto del que trata (un Recurso, el Establecimiento, un Producto…): la aboutness. → es_acerca_de</w:t>
      </w:r>
    </w:p>
    <w:p>
      <w:pPr>
        <w:pStyle w:val="ListNumber"/>
      </w:pPr>
      <w:r>
        <w:t>Proceso — la ejecución de proceso dentro de la cual surge. → ocurre_dentro_de</w:t>
      </w:r>
    </w:p>
    <w:p>
      <w:pPr>
        <w:pStyle w:val="ListNumber"/>
      </w:pPr>
      <w:r>
        <w:t>Evento — el evento de medición que la generó. → wasGeneratedBy</w:t>
      </w:r>
    </w:p>
    <w:p>
      <w:pPr>
        <w:pStyle w:val="ListNumber"/>
      </w:pPr>
      <w:r>
        <w:t>Periodo — la región temporal. → startedAtTime/endedAtTime</w:t>
      </w:r>
    </w:p>
    <w:p>
      <w:r>
        <w:t>(+ opcionalmente Agente que midió → wasAttributedTo, y Evidencia que la soporta.)</w:t>
      </w:r>
    </w:p>
    <w:p>
      <w:pPr>
        <w:spacing w:after="40"/>
      </w:pPr>
    </w:p>
    <w:p>
      <w:r>
        <w:t>Mapeo PROV-O explícito:</w:t>
      </w:r>
    </w:p>
    <w:p>
      <w:r>
        <w:t>Observación = prov:Entity · Evento de medición = prov:Activity · Evaluador = prov:Agent · Periodo = prov:atTime · propiedades used / wasGeneratedBy / wasAttributedTo / wasDerivedFrom.</w:t>
      </w:r>
    </w:p>
    <w:p>
      <w:pPr>
        <w:spacing w:after="40"/>
      </w:pPr>
    </w:p>
    <w:p>
      <w:r>
        <w:t>Consecuencia (regla de admisibilidad de datos): una observación que no pueda anclarse en las cuatro coordenadas es inadmisible. Esto convierte AX-11 en una compuerta de calidad del dato y refuerza la trazabilidad (AX-10). Responde afirmativamente a la comprobación pedida: sí, toda observación bien formada admite el anclaje cuádruple; y el estándar rechaza las que no. ([ANÁLISIS])</w:t>
      </w:r>
    </w:p>
    <w:p>
      <w:pPr>
        <w:spacing w:after="40"/>
      </w:pPr>
    </w:p>
    <w:p>
      <w:r>
        <w:t>Verificación cruzada (ejemplo abstracto, sin contenido): una lectura de temperatura de cámara → Entidad: el Recurso "equipo de refrigeración"; Proceso: "control de conservación"; Evento: "toma de lectura"; Periodo: la ventana; Agente: quien mide; Evidencia: registro. Cuádruple anclaje satisfecho. ([ANÁLISIS])</w:t>
      </w:r>
    </w:p>
    <w:p>
      <w:pPr>
        <w:spacing w:after="40"/>
      </w:pPr>
    </w:p>
    <w:p>
      <w:r>
        <w:t>---</w:t>
      </w:r>
    </w:p>
    <w:p>
      <w:pPr>
        <w:spacing w:after="40"/>
      </w:pPr>
    </w:p>
    <w:p>
      <w:pPr>
        <w:pStyle w:val="Heading3"/>
      </w:pPr>
      <w:r>
        <w:t>Integración: ontología revisada (síntesis)</w:t>
      </w:r>
    </w:p>
    <w:p>
      <w:pPr>
        <w:spacing w:after="40"/>
      </w:pPr>
    </w:p>
    <w:p>
      <w:r>
        <w:t>Compromisos ontológicos (actualizados):</w:t>
      </w:r>
    </w:p>
    <w:p>
      <w:pPr>
        <w:pStyle w:val="ListBullet"/>
      </w:pPr>
      <w:r>
        <w:t>CO-1..CO-5 (D-006) se conservan.</w:t>
      </w:r>
    </w:p>
    <w:p>
      <w:pPr>
        <w:pStyle w:val="ListBullet"/>
      </w:pPr>
      <w:r>
        <w:t>CO-6 (Realismo): la realidad es primaria; Norma (N) y Datos (D) son representaciones; el Estándar deja de ser raíz. Ancla = Establecimiento; alcance = Industria; Operación = comportamiento.</w:t>
      </w:r>
    </w:p>
    <w:p>
      <w:pPr>
        <w:pStyle w:val="ListBullet"/>
      </w:pPr>
      <w:r>
        <w:t>CO-7 (Una ontología, dos vistas): vista estructural + vista dinámica (evento-céntrica), integradas.</w:t>
      </w:r>
    </w:p>
    <w:p>
      <w:pPr>
        <w:spacing w:after="40"/>
      </w:pPr>
    </w:p>
    <w:p>
      <w:r>
        <w:t>Entidades añadidas: Industria gastronómica (alcance); Recurso (+8 subtipos); Agente (superclase); Producto; Servicio; Pedido (compromiso); Cliente; Evento; Flujo; Transición de estado.</w:t>
      </w:r>
    </w:p>
    <w:p>
      <w:pPr>
        <w:spacing w:after="40"/>
      </w:pPr>
    </w:p>
    <w:p>
      <w:r>
        <w:t>Axiomas añadidos:</w:t>
      </w:r>
    </w:p>
    <w:p>
      <w:pPr>
        <w:pStyle w:val="ListBullet"/>
      </w:pPr>
      <w:r>
        <w:t>AX-11 anclaje cuádruple de la observación (compuerta de calidad del dato).</w:t>
      </w:r>
    </w:p>
    <w:p>
      <w:pPr>
        <w:pStyle w:val="ListBullet"/>
      </w:pPr>
      <w:r>
        <w:t>AX-12 (conservación económica): todo Evento económico usa/consume/produce ≥1 Recurso.</w:t>
      </w:r>
    </w:p>
    <w:p>
      <w:pPr>
        <w:pStyle w:val="ListBullet"/>
      </w:pPr>
      <w:r>
        <w:t>AX-13 (doble tipado): Persona = Agente + fuente de Recurso; no confundir.</w:t>
      </w:r>
    </w:p>
    <w:p>
      <w:pPr>
        <w:spacing w:after="40"/>
      </w:pPr>
    </w:p>
    <w:p>
      <w:r>
        <w:t>Vista integrada (tres estratos):</w:t>
      </w:r>
    </w:p>
    <w:p>
      <w:pPr>
        <w:spacing w:after="20" w:line="240" w:lineRule="auto"/>
        <w:ind w:left="259"/>
      </w:pPr>
      <w:r>
        <w:rPr>
          <w:rFonts w:ascii="Consolas" w:hAnsi="Consolas"/>
          <w:sz w:val="15"/>
        </w:rPr>
        <w:t xml:space="preserve">  R (REALIDAD)   Industria ⊃ Establecimiento ─realiza─► Operación ⊃ Procesos ⊃ Eventos</w:t>
      </w:r>
    </w:p>
    <w:p>
      <w:pPr>
        <w:spacing w:after="20" w:line="240" w:lineRule="auto"/>
        <w:ind w:left="259"/>
      </w:pPr>
      <w:r>
        <w:rPr>
          <w:rFonts w:ascii="Consolas" w:hAnsi="Consolas"/>
          <w:sz w:val="15"/>
        </w:rPr>
        <w:t xml:space="preserve">                 Establecimiento porta► [Cualidad: Salud Operacional]</w:t>
      </w:r>
    </w:p>
    <w:p>
      <w:pPr>
        <w:spacing w:after="20" w:line="240" w:lineRule="auto"/>
        <w:ind w:left="259"/>
      </w:pPr>
      <w:r>
        <w:rPr>
          <w:rFonts w:ascii="Consolas" w:hAnsi="Consolas"/>
          <w:sz w:val="15"/>
        </w:rPr>
        <w:t xml:space="preserve">                 Eventos {usan|consumen|producen} Recursos ; ejecutados por Agentes</w:t>
      </w:r>
    </w:p>
    <w:p>
      <w:pPr>
        <w:spacing w:after="20" w:line="240" w:lineRule="auto"/>
        <w:ind w:left="259"/>
      </w:pPr>
      <w:r>
        <w:rPr>
          <w:rFonts w:ascii="Consolas" w:hAnsi="Consolas"/>
          <w:sz w:val="15"/>
        </w:rPr>
        <w:t xml:space="preserve">                 Establecimiento(Agente) ─provee─► Producto/Servicio ─a─► Cliente(Agente)</w:t>
      </w:r>
    </w:p>
    <w:p>
      <w:pPr>
        <w:spacing w:after="20" w:line="240" w:lineRule="auto"/>
        <w:ind w:left="259"/>
      </w:pPr>
      <w:r>
        <w:rPr>
          <w:rFonts w:ascii="Consolas" w:hAnsi="Consolas"/>
          <w:sz w:val="15"/>
        </w:rPr>
        <w:t xml:space="preserve">                        vía Pedido(Compromiso)</w:t>
      </w:r>
    </w:p>
    <w:p>
      <w:pPr>
        <w:spacing w:after="20" w:line="240" w:lineRule="auto"/>
        <w:ind w:left="259"/>
      </w:pPr>
      <w:r>
        <w:rPr>
          <w:rFonts w:ascii="Consolas" w:hAnsi="Consolas"/>
          <w:sz w:val="15"/>
        </w:rPr>
        <w:t xml:space="preserve">                        │  (los Eventos generan…)</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D (DATOS)      Observación ─(ancla AX-11: entidad+proceso+evento+periodo)─►</w:t>
      </w:r>
    </w:p>
    <w:p>
      <w:pPr>
        <w:spacing w:after="20" w:line="240" w:lineRule="auto"/>
        <w:ind w:left="259"/>
      </w:pPr>
      <w:r>
        <w:rPr>
          <w:rFonts w:ascii="Consolas" w:hAnsi="Consolas"/>
          <w:sz w:val="15"/>
        </w:rPr>
        <w:t xml:space="preserve">                 Valor-KPI ─► Resultado GOEI ; Auditoría ; Certificación</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 conforme a</w:t>
      </w:r>
    </w:p>
    <w:p>
      <w:pPr>
        <w:spacing w:after="20" w:line="240" w:lineRule="auto"/>
        <w:ind w:left="259"/>
      </w:pPr>
      <w:r>
        <w:rPr>
          <w:rFonts w:ascii="Consolas" w:hAnsi="Consolas"/>
          <w:sz w:val="15"/>
        </w:rPr>
        <w:t xml:space="preserve">  N (NORMA)      Estándar(v) define► Dimensiones, KPI-def, Cond.-referencia,</w:t>
      </w:r>
    </w:p>
    <w:p>
      <w:pPr>
        <w:spacing w:after="20" w:line="240" w:lineRule="auto"/>
        <w:ind w:left="259"/>
      </w:pPr>
      <w:r>
        <w:rPr>
          <w:rFonts w:ascii="Consolas" w:hAnsi="Consolas"/>
          <w:sz w:val="15"/>
        </w:rPr>
        <w:t xml:space="preserve">                 Reglas críticas, Bandas   [artefactos de información SOBRE R]</w:t>
      </w:r>
    </w:p>
    <w:p>
      <w:pPr>
        <w:spacing w:after="40"/>
      </w:pPr>
    </w:p>
    <w:p>
      <w:r>
        <w:t>---</w:t>
      </w:r>
    </w:p>
    <w:p>
      <w:pPr>
        <w:spacing w:after="40"/>
      </w:pPr>
    </w:p>
    <w:p>
      <w:pPr>
        <w:pStyle w:val="Heading3"/>
      </w:pPr>
      <w:r>
        <w:t>Cierre de D-006</w:t>
      </w:r>
    </w:p>
    <w:p>
      <w:pPr>
        <w:spacing w:after="40"/>
      </w:pPr>
    </w:p>
    <w:p>
      <w:r>
        <w:t>Estado: APROBADO CON REVISIONES. Las cinco observaciones se incorporan; la ontología queda con tres estratos (R/N/D), dos vistas (estructural/dinámica), catálogo ampliado de entidades, y 13 axiomas. Con esto se satisface el objetivo de la fase: toda observación tiene referente único y anclaje cuádruple, condición necesaria para escribir el modelo matemático sin ambigüedad.</w:t>
      </w:r>
    </w:p>
    <w:p>
      <w:pPr>
        <w:spacing w:after="40"/>
      </w:pPr>
    </w:p>
    <w:p>
      <w:r>
        <w:t>Lo que sigue sin hacerse (deliberado): ninguna dimensión, KPI, fórmula, peso, umbral ni condición de referencia concreta.</w:t>
      </w:r>
    </w:p>
    <w:p>
      <w:pPr>
        <w:spacing w:after="40"/>
      </w:pPr>
    </w:p>
    <w:p>
      <w:r>
        <w:t>Preguntas que hereda la fase siguiente:</w:t>
      </w:r>
    </w:p>
    <w:p>
      <w:pPr>
        <w:pStyle w:val="ListNumber"/>
      </w:pPr>
      <w:r>
        <w:t>¿Se ratifican CO-6 (realismo, tres estratos) y CO-7 (una ontología, dos vistas)?</w:t>
      </w:r>
    </w:p>
    <w:p>
      <w:pPr>
        <w:pStyle w:val="ListNumber"/>
      </w:pPr>
      <w:r>
        <w:t>¿Se adopta AX-11 como compuerta de admisibilidad del dato (rechazo de observaciones sin anclaje cuádruple)?</w:t>
      </w:r>
    </w:p>
    <w:p>
      <w:pPr>
        <w:pStyle w:val="ListNumber"/>
      </w:pPr>
      <w:r>
        <w:t>Unidad de análisis y tratamiento de cadenas (heredada, aún abierta).</w:t>
      </w:r>
    </w:p>
    <w:p>
      <w:pPr>
        <w:pStyle w:val="ListNumber"/>
      </w:pPr>
      <w:r>
        <w:t>¿La capa dinámica se documentará como vista dentro del Manual Técnico (N1) o como anexo normativo propio?</w:t>
      </w:r>
    </w:p>
    <w:p>
      <w:pPr>
        <w:spacing w:after="40"/>
      </w:pPr>
    </w:p>
    <w:p>
      <w:r>
        <w:t>---</w:t>
      </w:r>
    </w:p>
    <w:p>
      <w:pPr>
        <w:spacing w:after="40"/>
      </w:pPr>
    </w:p>
    <w:p>
      <w:pPr>
        <w:pStyle w:val="Heading4"/>
      </w:pPr>
      <w:r>
        <w:t>Fuentes</w:t>
      </w:r>
    </w:p>
    <w:p>
      <w:pPr>
        <w:spacing w:after="40"/>
      </w:pPr>
    </w:p>
    <w:p>
      <w:pPr>
        <w:pStyle w:val="ListBullet"/>
      </w:pPr>
      <w:r>
        <w:t>McCarthy, W.E. (1982), The REA Accounting Model — Resource-Event-Agent; extensión a compromisos (commitments) y cadenas de valor. https://en.wikipedia.org/wiki/Resources,_Events,_Agents · https://www.researchgate.net/publication/228583572_The_Ontological_Foundation_of_REA_Enterprise_Information_Systems</w:t>
      </w:r>
    </w:p>
    <w:p>
      <w:pPr>
        <w:pStyle w:val="ListBullet"/>
      </w:pPr>
      <w:r>
        <w:t>W3C (2013), PROV-O: The PROV Ontology — Entity/Activity/Agent; used, wasGeneratedBy, wasAttributedTo, atTime. https://www.w3.org/TR/prov-o/ · mapeo a BFO: https://www.nature.com/articles/s41597-025-04580-1</w:t>
      </w:r>
    </w:p>
    <w:p>
      <w:pPr>
        <w:pStyle w:val="ListBullet"/>
      </w:pPr>
      <w:r>
        <w:t>Smith, B. et al. — Basic Formal Ontology (realismo; continuante genéricamente dependiente / artefacto de información). http://ontology.buffalo.edu/smith/articles/Material_Entities.pdf</w:t>
      </w:r>
    </w:p>
    <w:p>
      <w:pPr>
        <w:pStyle w:val="ListBullet"/>
      </w:pPr>
      <w:r>
        <w:t>ArchiMate/TOGAF — separación estructura/comportamiento en un único metamodelo. https://archimatetool.gitbook.io/quick_guide/archimate-core-metamodel</w:t>
      </w:r>
    </w:p>
    <w:p>
      <w:pPr>
        <w:pStyle w:val="ListBullet"/>
      </w:pPr>
      <w:r>
        <w:t>Dietz, J. — DEMO transaction pattern (flujo/coordinación). https://link.springer.com/book/10.1007/978-3-030-38854-6</w:t>
      </w:r>
    </w:p>
    <w:p>
      <w:pPr>
        <w:spacing w:after="40"/>
      </w:pPr>
    </w:p>
    <w:p>
      <w:r>
        <w:t>Verificación pendiente (Fase 1): confirmar McCarthy (1982, The Accounting Review) y la recomendación W3C PROV-O (2013) antes de citar en la tesis.</w:t>
      </w:r>
    </w:p>
    <w:p>
      <w:r>
        <w:br w:type="page"/>
      </w:r>
    </w:p>
    <w:p>
      <w:pPr>
        <w:pStyle w:val="Heading1"/>
        <w:keepNext/>
      </w:pPr>
      <w:r>
        <w:t>Fuente 122: 09_Manual_tecnico_general/GOEI_BOK/README.md</w:t>
      </w:r>
    </w:p>
    <w:p>
      <w:pPr>
        <w:spacing w:after="200"/>
      </w:pPr>
      <w:r>
        <w:rPr>
          <w:rFonts w:ascii="Consolas" w:hAnsi="Consolas"/>
          <w:color w:val="595959"/>
          <w:sz w:val="16"/>
        </w:rPr>
        <w:t>Ruta: 09_Manual_tecnico_general/GOEI_BOK/README.md</w:t>
        <w:br/>
        <w:t>Tamaño: 2531 bytes</w:t>
        <w:br/>
        <w:t>SHA-256: 65b7d004d12304cf7b30f09dd7ca9aa3c4b7d340f2cc84f2cb1578546113a5f1</w:t>
      </w:r>
    </w:p>
    <w:p>
      <w:pPr>
        <w:pStyle w:val="Heading2"/>
      </w:pPr>
      <w:r>
        <w:t>GOEI Body of Knowledge — arquitectura</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GOEI-BOK-0001 |</w:t>
      </w:r>
    </w:p>
    <w:p>
      <w:pPr>
        <w:spacing w:after="20" w:line="240" w:lineRule="auto"/>
      </w:pPr>
      <w:r>
        <w:rPr>
          <w:rFonts w:ascii="Consolas" w:hAnsi="Consolas"/>
          <w:sz w:val="14"/>
        </w:rPr>
        <w:t>| Estado | Estructura navegable; contenido científico incompleto |</w:t>
      </w:r>
    </w:p>
    <w:p>
      <w:pPr>
        <w:spacing w:after="20" w:line="240" w:lineRule="auto"/>
      </w:pPr>
      <w:r>
        <w:rPr>
          <w:rFonts w:ascii="Consolas" w:hAnsi="Consolas"/>
          <w:sz w:val="14"/>
        </w:rPr>
        <w:t>| Versión | 0.1.0-draft |</w:t>
      </w:r>
    </w:p>
    <w:p>
      <w:pPr>
        <w:spacing w:after="20" w:line="240" w:lineRule="auto"/>
      </w:pPr>
      <w:r>
        <w:rPr>
          <w:rFonts w:ascii="Consolas" w:hAnsi="Consolas"/>
          <w:sz w:val="14"/>
        </w:rPr>
        <w:t>| Regla | Explica conocimiento aprobado; no crea requisitos ni decisiones |</w:t>
      </w:r>
    </w:p>
    <w:p>
      <w:pPr>
        <w:spacing w:after="40"/>
      </w:pPr>
    </w:p>
    <w:p>
      <w:pPr>
        <w:pStyle w:val="Heading3"/>
      </w:pPr>
      <w:r>
        <w:t>Mapa del BOK</w:t>
      </w:r>
    </w:p>
    <w:p>
      <w:pPr>
        <w:spacing w:after="40"/>
      </w:pPr>
    </w:p>
    <w:p>
      <w:pPr>
        <w:spacing w:after="20" w:line="240" w:lineRule="auto"/>
      </w:pPr>
      <w:r>
        <w:rPr>
          <w:rFonts w:ascii="Consolas" w:hAnsi="Consolas"/>
          <w:sz w:val="14"/>
        </w:rPr>
        <w:t>| Área | Fuente canónica | Estado de ensamblaje |</w:t>
      </w:r>
    </w:p>
    <w:p>
      <w:pPr>
        <w:spacing w:after="20" w:line="240" w:lineRule="auto"/>
      </w:pPr>
      <w:r>
        <w:rPr>
          <w:rFonts w:ascii="Consolas" w:hAnsi="Consolas"/>
          <w:sz w:val="14"/>
        </w:rPr>
        <w:t>|---|---|---|</w:t>
      </w:r>
    </w:p>
    <w:p>
      <w:pPr>
        <w:spacing w:after="20" w:line="240" w:lineRule="auto"/>
      </w:pPr>
      <w:r>
        <w:rPr>
          <w:rFonts w:ascii="Consolas" w:hAnsi="Consolas"/>
          <w:sz w:val="14"/>
        </w:rPr>
        <w:t>| Gobierno y ciclo del conocimiento | Master Plan, Oficina Técnica, Constitución futura | Estructura disponible; Constitución incompleta |</w:t>
      </w:r>
    </w:p>
    <w:p>
      <w:pPr>
        <w:spacing w:after="20" w:line="240" w:lineRule="auto"/>
      </w:pPr>
      <w:r>
        <w:rPr>
          <w:rFonts w:ascii="Consolas" w:hAnsi="Consolas"/>
          <w:sz w:val="14"/>
        </w:rPr>
        <w:t>| Fundamentos científicos | D-001–D-004 e investigaciones asociadas | Parcial; decisiones provisionales pendientes |</w:t>
      </w:r>
    </w:p>
    <w:p>
      <w:pPr>
        <w:spacing w:after="20" w:line="240" w:lineRule="auto"/>
      </w:pPr>
      <w:r>
        <w:rPr>
          <w:rFonts w:ascii="Consolas" w:hAnsi="Consolas"/>
          <w:sz w:val="14"/>
        </w:rPr>
        <w:t>| Arquitectura del estándar | D-005 | Bloqueada para oficialización; decisión provisional |</w:t>
      </w:r>
    </w:p>
    <w:p>
      <w:pPr>
        <w:spacing w:after="20" w:line="240" w:lineRule="auto"/>
      </w:pPr>
      <w:r>
        <w:rPr>
          <w:rFonts w:ascii="Consolas" w:hAnsi="Consolas"/>
          <w:sz w:val="14"/>
        </w:rPr>
        <w:t>| Ontología | Ontology Baseline v0.1 | Disponible como baseline congelada |</w:t>
      </w:r>
    </w:p>
    <w:p>
      <w:pPr>
        <w:spacing w:after="20" w:line="240" w:lineRule="auto"/>
      </w:pPr>
      <w:r>
        <w:rPr>
          <w:rFonts w:ascii="Consolas" w:hAnsi="Consolas"/>
          <w:sz w:val="14"/>
        </w:rPr>
        <w:t>| Knowledge Graph y MetaModel | EPIC-001 | Candidato técnico y proyección registral JSON disponibles; persistencia oficial pendiente |</w:t>
      </w:r>
    </w:p>
    <w:p>
      <w:pPr>
        <w:spacing w:after="20" w:line="240" w:lineRule="auto"/>
      </w:pPr>
      <w:r>
        <w:rPr>
          <w:rFonts w:ascii="Consolas" w:hAnsi="Consolas"/>
          <w:sz w:val="14"/>
        </w:rPr>
        <w:t>| Arquitectura de procesos | EPIC-002 | Candidato técnico disponible |</w:t>
      </w:r>
    </w:p>
    <w:p>
      <w:pPr>
        <w:spacing w:after="20" w:line="240" w:lineRule="auto"/>
      </w:pPr>
      <w:r>
        <w:rPr>
          <w:rFonts w:ascii="Consolas" w:hAnsi="Consolas"/>
          <w:sz w:val="14"/>
        </w:rPr>
        <w:t>| Gestión de configuración y releases | GOEI-REL-POL-0001 | Infraestructura técnica disponible; sin release integral declarada |</w:t>
      </w:r>
    </w:p>
    <w:p>
      <w:pPr>
        <w:spacing w:after="20" w:line="240" w:lineRule="auto"/>
      </w:pPr>
      <w:r>
        <w:rPr>
          <w:rFonts w:ascii="Consolas" w:hAnsi="Consolas"/>
          <w:sz w:val="14"/>
        </w:rPr>
        <w:t>| Roadmap y coordinación | GOEI-RDM-0001 + estado procesable | Activo; ruta científica conserva sus bloqueos |</w:t>
      </w:r>
    </w:p>
    <w:p>
      <w:pPr>
        <w:spacing w:after="20" w:line="240" w:lineRule="auto"/>
      </w:pPr>
      <w:r>
        <w:rPr>
          <w:rFonts w:ascii="Consolas" w:hAnsi="Consolas"/>
          <w:sz w:val="14"/>
        </w:rPr>
        <w:t>| Procesos universales | D-008 + GOEI-DIR-RES-0001 | Baseline `GOEI-BSL-PROC-0001 v0.1.0`; B1 cerrada en pregunta nuclear; residuos/merma excluido y pendiente |</w:t>
      </w:r>
    </w:p>
    <w:p>
      <w:pPr>
        <w:spacing w:after="20" w:line="240" w:lineRule="auto"/>
      </w:pPr>
      <w:r>
        <w:rPr>
          <w:rFonts w:ascii="Consolas" w:hAnsi="Consolas"/>
          <w:sz w:val="14"/>
        </w:rPr>
        <w:t>| Taxonomía | D-017 + GOEI-DIR-RES-0002 | Baseline `GOEI-BSL-TAX-0001 v0.1.0`; B2 cerrada en pregunta nuclear; valores y multiunidad excluidos |</w:t>
      </w:r>
    </w:p>
    <w:p>
      <w:pPr>
        <w:spacing w:after="20" w:line="240" w:lineRule="auto"/>
      </w:pPr>
      <w:r>
        <w:rPr>
          <w:rFonts w:ascii="Consolas" w:hAnsi="Consolas"/>
          <w:sz w:val="14"/>
        </w:rPr>
        <w:t>| KPI y admisibilidad | D-018 + GOEI-DIR-RES-0003; Fase B4 | `GOEI-BSL-KPI-C-0001 v0.1.0` congela 31 indicadores candidatos y un marco contextual excluido; B3 cerrada, B4 habilitada; no existen KPI aprobados |</w:t>
      </w:r>
    </w:p>
    <w:p>
      <w:pPr>
        <w:spacing w:after="20" w:line="240" w:lineRule="auto"/>
      </w:pPr>
      <w:r>
        <w:rPr>
          <w:rFonts w:ascii="Consolas" w:hAnsi="Consolas"/>
          <w:sz w:val="14"/>
        </w:rPr>
        <w:t>| Referencia, normalización y ponderación | B5–B7 | No iniciadas científicamente |</w:t>
      </w:r>
    </w:p>
    <w:p>
      <w:pPr>
        <w:spacing w:after="20" w:line="240" w:lineRule="auto"/>
      </w:pPr>
      <w:r>
        <w:rPr>
          <w:rFonts w:ascii="Consolas" w:hAnsi="Consolas"/>
          <w:sz w:val="14"/>
        </w:rPr>
        <w:t>| Marco GTRM | D-009–D-016 + GOEI-AUDIT-0004 | Marco científico incorporado; candidata ontológica y arquitectura B5/B6 disponibles; no existen instancias GTRM y GOEI-ISS-053 protege D-006 |</w:t>
      </w:r>
    </w:p>
    <w:p>
      <w:pPr>
        <w:spacing w:after="20" w:line="240" w:lineRule="auto"/>
      </w:pPr>
      <w:r>
        <w:rPr>
          <w:rFonts w:ascii="Consolas" w:hAnsi="Consolas"/>
          <w:sz w:val="14"/>
        </w:rPr>
        <w:t>| Modelo matemático | B8 | No iniciado científicamente |</w:t>
      </w:r>
    </w:p>
    <w:p>
      <w:pPr>
        <w:spacing w:after="20" w:line="240" w:lineRule="auto"/>
      </w:pPr>
      <w:r>
        <w:rPr>
          <w:rFonts w:ascii="Consolas" w:hAnsi="Consolas"/>
          <w:sz w:val="14"/>
        </w:rPr>
        <w:t>| Validación | B9 y Fase D | No iniciada |</w:t>
      </w:r>
    </w:p>
    <w:p>
      <w:pPr>
        <w:spacing w:after="20" w:line="240" w:lineRule="auto"/>
      </w:pPr>
      <w:r>
        <w:rPr>
          <w:rFonts w:ascii="Consolas" w:hAnsi="Consolas"/>
          <w:sz w:val="14"/>
        </w:rPr>
        <w:t>| Manual técnico | B10/C | Estructura solamente |</w:t>
      </w:r>
    </w:p>
    <w:p>
      <w:pPr>
        <w:spacing w:after="20" w:line="240" w:lineRule="auto"/>
      </w:pPr>
      <w:r>
        <w:rPr>
          <w:rFonts w:ascii="Consolas" w:hAnsi="Consolas"/>
          <w:sz w:val="14"/>
        </w:rPr>
        <w:t>| Tesis y publicaciones | E | Estructura editorial solamente |</w:t>
      </w:r>
    </w:p>
    <w:p>
      <w:pPr>
        <w:spacing w:after="40"/>
      </w:pPr>
    </w:p>
    <w:p>
      <w:pPr>
        <w:pStyle w:val="Heading3"/>
      </w:pPr>
      <w:r>
        <w:t>Regla de incorporación</w:t>
      </w:r>
    </w:p>
    <w:p>
      <w:pPr>
        <w:spacing w:after="40"/>
      </w:pPr>
    </w:p>
    <w:p>
      <w:r>
        <w:t>Cada entrada futura debe indicar decisión, evidencia, componente, versión, naturaleza normativa/informativa, vigencia y documentos dependientes. Los elementos provisionales aparecen como tales y nunca se mezclan con el corpus aprobado.</w:t>
      </w:r>
    </w:p>
    <w:p>
      <w:r>
        <w:br w:type="page"/>
      </w:r>
    </w:p>
    <w:p>
      <w:pPr>
        <w:pStyle w:val="Heading1"/>
        <w:keepNext/>
      </w:pPr>
      <w:r>
        <w:t>Fuente 123: 09_Manual_tecnico_general/Revision_tecnica_arquitectonica_D006.md</w:t>
      </w:r>
    </w:p>
    <w:p>
      <w:pPr>
        <w:spacing w:after="200"/>
      </w:pPr>
      <w:r>
        <w:rPr>
          <w:rFonts w:ascii="Consolas" w:hAnsi="Consolas"/>
          <w:color w:val="595959"/>
          <w:sz w:val="16"/>
        </w:rPr>
        <w:t>Ruta: 09_Manual_tecnico_general/Revision_tecnica_arquitectonica_D006.md</w:t>
        <w:br/>
        <w:t>Tamaño: 20455 bytes</w:t>
        <w:br/>
        <w:t>SHA-256: 25769523816775572ab46cdbff94b3b3a6874dca6653928ad7f4c5652851f492</w:t>
      </w:r>
    </w:p>
    <w:p>
      <w:pPr>
        <w:pStyle w:val="Heading2"/>
      </w:pPr>
      <w:r>
        <w:t>Revisión técnica y arquitectónica de la Ontología Conceptual GOEI D-006</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GOEI-REV-ONT-0001 |</w:t>
      </w:r>
    </w:p>
    <w:p>
      <w:pPr>
        <w:spacing w:after="20" w:line="240" w:lineRule="auto"/>
      </w:pPr>
      <w:r>
        <w:rPr>
          <w:rFonts w:ascii="Consolas" w:hAnsi="Consolas"/>
          <w:sz w:val="14"/>
        </w:rPr>
        <w:t>| Tipo | Revisión técnica de arquitectura de conocimiento |</w:t>
      </w:r>
    </w:p>
    <w:p>
      <w:pPr>
        <w:spacing w:after="20" w:line="240" w:lineRule="auto"/>
      </w:pPr>
      <w:r>
        <w:rPr>
          <w:rFonts w:ascii="Consolas" w:hAnsi="Consolas"/>
          <w:sz w:val="14"/>
        </w:rPr>
        <w:t>| Estado | Informe para decisión posterior |</w:t>
      </w:r>
    </w:p>
    <w:p>
      <w:pPr>
        <w:spacing w:after="20" w:line="240" w:lineRule="auto"/>
      </w:pPr>
      <w:r>
        <w:rPr>
          <w:rFonts w:ascii="Consolas" w:hAnsi="Consolas"/>
          <w:sz w:val="14"/>
        </w:rPr>
        <w:t>| Objeto revisado | `Fase4_D006_Ontologia_del_GOEI.md` |</w:t>
      </w:r>
    </w:p>
    <w:p>
      <w:pPr>
        <w:spacing w:after="20" w:line="240" w:lineRule="auto"/>
      </w:pPr>
      <w:r>
        <w:rPr>
          <w:rFonts w:ascii="Consolas" w:hAnsi="Consolas"/>
          <w:sz w:val="14"/>
        </w:rPr>
        <w:t>| Versión del objeto | Documento fechado 2026-08-04; sin versión semántica declarada |</w:t>
      </w:r>
    </w:p>
    <w:p>
      <w:pPr>
        <w:spacing w:after="20" w:line="240" w:lineRule="auto"/>
      </w:pPr>
      <w:r>
        <w:rPr>
          <w:rFonts w:ascii="Consolas" w:hAnsi="Consolas"/>
          <w:sz w:val="14"/>
        </w:rPr>
        <w:t>| Alcance | Consistencia, modelado, escalabilidad e implementabilidad |</w:t>
      </w:r>
    </w:p>
    <w:p>
      <w:pPr>
        <w:spacing w:after="20" w:line="240" w:lineRule="auto"/>
      </w:pPr>
      <w:r>
        <w:rPr>
          <w:rFonts w:ascii="Consolas" w:hAnsi="Consolas"/>
          <w:sz w:val="14"/>
        </w:rPr>
        <w:t>| Exclusiones | Corrección científica, bibliográfica y normativa |</w:t>
      </w:r>
    </w:p>
    <w:p>
      <w:pPr>
        <w:spacing w:after="20" w:line="240" w:lineRule="auto"/>
      </w:pPr>
      <w:r>
        <w:rPr>
          <w:rFonts w:ascii="Consolas" w:hAnsi="Consolas"/>
          <w:sz w:val="14"/>
        </w:rPr>
        <w:t>| Modificaciones al objeto | Ninguna |</w:t>
      </w:r>
    </w:p>
    <w:p>
      <w:pPr>
        <w:spacing w:after="40"/>
      </w:pPr>
    </w:p>
    <w:p>
      <w:pPr>
        <w:pStyle w:val="Heading3"/>
      </w:pPr>
      <w:r>
        <w:t>1. Dictamen ejecutivo</w:t>
      </w:r>
    </w:p>
    <w:p>
      <w:pPr>
        <w:spacing w:after="40"/>
      </w:pPr>
    </w:p>
    <w:p>
      <w:r>
        <w:t>La ontología constituye una base conceptual competente, pero todavía no una especificación ontológica implementable sin decisiones de ingeniería adicionales. Sus fortalezas principales son la separación type/token, la distinción de jerarquías, el anclaje temporal, la trazabilidad y la declaración explícita de invariantes. Estas decisiones reducen ambigüedades importantes desde el inicio.</w:t>
      </w:r>
    </w:p>
    <w:p>
      <w:pPr>
        <w:spacing w:after="40"/>
      </w:pPr>
    </w:p>
    <w:p>
      <w:r>
        <w:t>El principal riesgo técnico es la mezcla, en algunas entidades, de tres planos que conviene representar por separado: realidad del dominio, acto de evaluación y registro informacional. También falta convertir varias relaciones narrativas en contratos formales: dominio, rango, cardinalidad, identidad, alcance de versión, procedencia y tratamiento de estados no calculables.</w:t>
      </w:r>
    </w:p>
    <w:p>
      <w:pPr>
        <w:spacing w:after="40"/>
      </w:pPr>
    </w:p>
    <w:p>
      <w:r>
        <w:t>Conclusión: la ontología es adecuada como modelo conceptual de primera versión. Antes de usarla como contrato de software, formularios o motor matemático, necesita una segunda capa de especificación lógica y de datos. Esta conclusión no cuestiona ninguna decisión científica.</w:t>
      </w:r>
    </w:p>
    <w:p>
      <w:pPr>
        <w:spacing w:after="40"/>
      </w:pPr>
    </w:p>
    <w:p>
      <w:pPr>
        <w:pStyle w:val="Heading3"/>
      </w:pPr>
      <w:r>
        <w:t>2. Evaluación por criterio</w:t>
      </w:r>
    </w:p>
    <w:p>
      <w:pPr>
        <w:spacing w:after="40"/>
      </w:pPr>
    </w:p>
    <w:p>
      <w:pPr>
        <w:spacing w:after="20" w:line="240" w:lineRule="auto"/>
      </w:pPr>
      <w:r>
        <w:rPr>
          <w:rFonts w:ascii="Consolas" w:hAnsi="Consolas"/>
          <w:sz w:val="14"/>
        </w:rPr>
        <w:t>| Criterio | Evaluación | Observación técnica |</w:t>
      </w:r>
    </w:p>
    <w:p>
      <w:pPr>
        <w:spacing w:after="20" w:line="240" w:lineRule="auto"/>
      </w:pPr>
      <w:r>
        <w:rPr>
          <w:rFonts w:ascii="Consolas" w:hAnsi="Consolas"/>
          <w:sz w:val="14"/>
        </w:rPr>
        <w:t>|---|---|---|</w:t>
      </w:r>
    </w:p>
    <w:p>
      <w:pPr>
        <w:spacing w:after="20" w:line="240" w:lineRule="auto"/>
      </w:pPr>
      <w:r>
        <w:rPr>
          <w:rFonts w:ascii="Consolas" w:hAnsi="Consolas"/>
          <w:sz w:val="14"/>
        </w:rPr>
        <w:t>| Consistencia interna | Buena con tensiones localizadas | Los axiomas son compatibles en general; algunas clasificaciones mezclan entidad real y objeto informacional. |</w:t>
      </w:r>
    </w:p>
    <w:p>
      <w:pPr>
        <w:spacing w:after="20" w:line="240" w:lineRule="auto"/>
      </w:pPr>
      <w:r>
        <w:rPr>
          <w:rFonts w:ascii="Consolas" w:hAnsi="Consolas"/>
          <w:sz w:val="14"/>
        </w:rPr>
        <w:t>| Coherencia terminológica | Buena en el núcleo | “Observación/Medición”, “Perfil/Registro” y “KPI” aún agrupan conceptos diferentes. |</w:t>
      </w:r>
    </w:p>
    <w:p>
      <w:pPr>
        <w:spacing w:after="20" w:line="240" w:lineRule="auto"/>
      </w:pPr>
      <w:r>
        <w:rPr>
          <w:rFonts w:ascii="Consolas" w:hAnsi="Consolas"/>
          <w:sz w:val="14"/>
        </w:rPr>
        <w:t>| Metamodelo, tipos e instancias | Buena intención; formalización incompleta | El plano definicional y operacional está claro, pero `Estándar GOEI (versión)` no debe confundirse con el metamodelo que lo describe. |</w:t>
      </w:r>
    </w:p>
    <w:p>
      <w:pPr>
        <w:spacing w:after="20" w:line="240" w:lineRule="auto"/>
      </w:pPr>
      <w:r>
        <w:rPr>
          <w:rFonts w:ascii="Consolas" w:hAnsi="Consolas"/>
          <w:sz w:val="14"/>
        </w:rPr>
        <w:t>| Redundancias | Moderadas y resolubles | Hay pares candidatos a separación o consolidación, no redundancia destructiva. |</w:t>
      </w:r>
    </w:p>
    <w:p>
      <w:pPr>
        <w:spacing w:after="20" w:line="240" w:lineRule="auto"/>
      </w:pPr>
      <w:r>
        <w:rPr>
          <w:rFonts w:ascii="Consolas" w:hAnsi="Consolas"/>
          <w:sz w:val="14"/>
        </w:rPr>
        <w:t>| Relaciones | Núcleo suficiente; cobertura incompleta | Faltan cardinalidades, procedencia, vigencia, aplicabilidad y relaciones de cálculo explícitas. |</w:t>
      </w:r>
    </w:p>
    <w:p>
      <w:pPr>
        <w:spacing w:after="20" w:line="240" w:lineRule="auto"/>
      </w:pPr>
      <w:r>
        <w:rPr>
          <w:rFonts w:ascii="Consolas" w:hAnsi="Consolas"/>
          <w:sz w:val="14"/>
        </w:rPr>
        <w:t>| Entidades | Adecuadas para concepto; incompletas para implementación | Faltan artefactos de versión, captura, cálculo, calidad y aplicabilidad. |</w:t>
      </w:r>
    </w:p>
    <w:p>
      <w:pPr>
        <w:spacing w:after="20" w:line="240" w:lineRule="auto"/>
      </w:pPr>
      <w:r>
        <w:rPr>
          <w:rFonts w:ascii="Consolas" w:hAnsi="Consolas"/>
          <w:sz w:val="14"/>
        </w:rPr>
        <w:t>| Restricciones | Buen comienzo | AX-1–AX-10 deben complementarse con invariantes de versión, unidad, estado y reproducibilidad. |</w:t>
      </w:r>
    </w:p>
    <w:p>
      <w:pPr>
        <w:spacing w:after="20" w:line="240" w:lineRule="auto"/>
      </w:pPr>
      <w:r>
        <w:rPr>
          <w:rFonts w:ascii="Consolas" w:hAnsi="Consolas"/>
          <w:sz w:val="14"/>
        </w:rPr>
        <w:t>| Escalabilidad | Prometedora | IDs, modularidad, particiones y versiones deben formalizarse antes de crecer. |</w:t>
      </w:r>
    </w:p>
    <w:p>
      <w:pPr>
        <w:spacing w:after="20" w:line="240" w:lineRule="auto"/>
      </w:pPr>
      <w:r>
        <w:rPr>
          <w:rFonts w:ascii="Consolas" w:hAnsi="Consolas"/>
          <w:sz w:val="14"/>
        </w:rPr>
        <w:t>| Futuras versiones | Parcial | AX-9 reconoce el problema, pero falta modelar vigencia y sucesión de cada definición. |</w:t>
      </w:r>
    </w:p>
    <w:p>
      <w:pPr>
        <w:spacing w:after="20" w:line="240" w:lineRule="auto"/>
      </w:pPr>
      <w:r>
        <w:rPr>
          <w:rFonts w:ascii="Consolas" w:hAnsi="Consolas"/>
          <w:sz w:val="14"/>
        </w:rPr>
        <w:t>| Software | Parcialmente compatible | Puede orientar un modelo de dominio, pero aún permite implementaciones divergentes. |</w:t>
      </w:r>
    </w:p>
    <w:p>
      <w:pPr>
        <w:spacing w:after="20" w:line="240" w:lineRule="auto"/>
      </w:pPr>
      <w:r>
        <w:rPr>
          <w:rFonts w:ascii="Consolas" w:hAnsi="Consolas"/>
          <w:sz w:val="14"/>
        </w:rPr>
        <w:t>| Formularios manuales | Parcialmente compatible | Existe `Definición de formulario`, pero faltan campos, respuestas, reglas y control de versión como entidades separadas. |</w:t>
      </w:r>
    </w:p>
    <w:p>
      <w:pPr>
        <w:spacing w:after="20" w:line="240" w:lineRule="auto"/>
      </w:pPr>
      <w:r>
        <w:rPr>
          <w:rFonts w:ascii="Consolas" w:hAnsi="Consolas"/>
          <w:sz w:val="14"/>
        </w:rPr>
        <w:t>| Motor matemático | Conceptualmente compatible | La cadena de derivación existe, pero faltan objetos explícitos de ejecución, parámetros, precisión y estado de cálculo. |</w:t>
      </w:r>
    </w:p>
    <w:p>
      <w:pPr>
        <w:spacing w:after="40"/>
      </w:pPr>
    </w:p>
    <w:p>
      <w:pPr>
        <w:pStyle w:val="Heading3"/>
      </w:pPr>
      <w:r>
        <w:t>3. Consistencia interna</w:t>
      </w:r>
    </w:p>
    <w:p>
      <w:pPr>
        <w:spacing w:after="40"/>
      </w:pPr>
    </w:p>
    <w:p>
      <w:pPr>
        <w:pStyle w:val="Heading4"/>
      </w:pPr>
      <w:r>
        <w:t>3.1 Fortalezas</w:t>
      </w:r>
    </w:p>
    <w:p>
      <w:pPr>
        <w:spacing w:after="40"/>
      </w:pPr>
    </w:p>
    <w:p>
      <w:pPr>
        <w:pStyle w:val="ListBullet"/>
      </w:pPr>
      <w:r>
        <w:t>CO-1 establece una frontera clara entre definiciones y realizaciones.</w:t>
      </w:r>
    </w:p>
    <w:p>
      <w:pPr>
        <w:pStyle w:val="ListBullet"/>
      </w:pPr>
      <w:r>
        <w:t>CO-2 y CO-4 ofrecen dos ejes ortogonales útiles: naturaleza temporal y función arquitectónica.</w:t>
      </w:r>
    </w:p>
    <w:p>
      <w:pPr>
        <w:pStyle w:val="ListBullet"/>
      </w:pPr>
      <w:r>
        <w:t>AX-1, AX-2 y AX-10 forman un buen núcleo de identidad y trazabilidad.</w:t>
      </w:r>
    </w:p>
    <w:p>
      <w:pPr>
        <w:pStyle w:val="ListBullet"/>
      </w:pPr>
      <w:r>
        <w:t>AX-4 expresa la no compensación como restricción y evita esconderla en una fórmula.</w:t>
      </w:r>
    </w:p>
    <w:p>
      <w:pPr>
        <w:pStyle w:val="ListBullet"/>
      </w:pPr>
      <w:r>
        <w:t>AX-9 reconoce que la comparabilidad entre versiones no es automática.</w:t>
      </w:r>
    </w:p>
    <w:p>
      <w:pPr>
        <w:pStyle w:val="ListBullet"/>
      </w:pPr>
      <w:r>
        <w:t>Las cuatro jerarquías se declaran separadas, lo que previene errores frecuentes de modelado.</w:t>
      </w:r>
    </w:p>
    <w:p>
      <w:pPr>
        <w:spacing w:after="40"/>
      </w:pPr>
    </w:p>
    <w:p>
      <w:pPr>
        <w:pStyle w:val="Heading4"/>
      </w:pPr>
      <w:r>
        <w:t>3.2 Tensiones internas</w:t>
      </w:r>
    </w:p>
    <w:p>
      <w:pPr>
        <w:spacing w:after="40"/>
      </w:pPr>
    </w:p>
    <w:p>
      <w:pPr>
        <w:pStyle w:val="ListNumber"/>
      </w:pPr>
      <w:r>
        <w:t>Estándar GOEI (versión) y metamodelo. El texto llama al Estándar un metamodelo que define types. Técnicamente conviene distinguir:</w:t>
      </w:r>
    </w:p>
    <w:p>
      <w:pPr>
        <w:pStyle w:val="ListBullet"/>
      </w:pPr>
      <w:r>
        <w:t>el metamodelo ontológico que define qué clases pueden existir;</w:t>
      </w:r>
    </w:p>
    <w:p>
      <w:pPr>
        <w:pStyle w:val="ListBullet"/>
      </w:pPr>
      <w:r>
        <w:t>una edición o línea base del estándar;</w:t>
      </w:r>
    </w:p>
    <w:p>
      <w:pPr>
        <w:pStyle w:val="ListBullet"/>
      </w:pPr>
      <w:r>
        <w:t>los componentes definicionales contenidos o referenciados por esa edición.</w:t>
      </w:r>
    </w:p>
    <w:p>
      <w:r>
        <w:t xml:space="preserve">   Sin esta separación, cambiar la ontología y publicar una nueva edición del estándar pueden parecer el mismo evento.</w:t>
      </w:r>
    </w:p>
    <w:p>
      <w:pPr>
        <w:spacing w:after="40"/>
      </w:pPr>
    </w:p>
    <w:p>
      <w:pPr>
        <w:pStyle w:val="ListNumber"/>
      </w:pPr>
      <w:r>
        <w:t>Observación / Medición. Se describe simultáneamente como acto ocurrente y como productor de un dato, y se marca [O]→[P]. Una misma entidad no debería ser a la vez el acto y su registro. Esta mezcla afecta evidencia, formularios y auditoría.</w:t>
      </w:r>
    </w:p>
    <w:p>
      <w:pPr>
        <w:spacing w:after="40"/>
      </w:pPr>
    </w:p>
    <w:p>
      <w:pPr>
        <w:pStyle w:val="ListNumber"/>
      </w:pPr>
      <w:r>
        <w:t>Valor de KPI. Se presenta como cualidad estimada y como estructura pasiva con valor crudo y normalizado. La cualidad estimada del establecimiento y el registro informacional que porta un número no son necesariamente la misma entidad.</w:t>
      </w:r>
    </w:p>
    <w:p>
      <w:pPr>
        <w:spacing w:after="40"/>
      </w:pPr>
    </w:p>
    <w:p>
      <w:pPr>
        <w:pStyle w:val="ListNumber"/>
      </w:pPr>
      <w:r>
        <w:t>Resultado GOEI. También combina estimación conceptual, puntaje, clasificación y estado de compuertas. Para un motor matemático puede necesitar una salida compuesta con componentes diferenciados.</w:t>
      </w:r>
    </w:p>
    <w:p>
      <w:pPr>
        <w:spacing w:after="40"/>
      </w:pPr>
    </w:p>
    <w:p>
      <w:pPr>
        <w:pStyle w:val="ListNumber"/>
      </w:pPr>
      <w:r>
        <w:t>Periodo como [O/región]. Una región temporal y un proceso temporal no tienen el mismo comportamiento. Conviene fijar una sola categoría ontológica y relacionarla con los ocurrentes.</w:t>
      </w:r>
    </w:p>
    <w:p>
      <w:pPr>
        <w:spacing w:after="40"/>
      </w:pPr>
    </w:p>
    <w:p>
      <w:pPr>
        <w:pStyle w:val="ListNumber"/>
      </w:pPr>
      <w:r>
        <w:t>Ciclos de vida y naturaleza. El texto anuncia ciclos de vida de “ocurrentes/dinámicos”, pero incluye continuantes y artefactos informacionales como Estándar, Establecimiento, Certificación y Definición de KPI. No es un error funcional, pero sí una inconsistencia de encabezado y clasificación.</w:t>
      </w:r>
    </w:p>
    <w:p>
      <w:pPr>
        <w:spacing w:after="40"/>
      </w:pPr>
    </w:p>
    <w:p>
      <w:pPr>
        <w:pStyle w:val="Heading3"/>
      </w:pPr>
      <w:r>
        <w:t>4. Coherencia terminológica</w:t>
      </w:r>
    </w:p>
    <w:p>
      <w:pPr>
        <w:spacing w:after="40"/>
      </w:pPr>
    </w:p>
    <w:p>
      <w:r>
        <w:t>La terminología central es consistente, especialmente Definición de KPI frente a Valor de KPI. Deben resolverse los siguientes términos compuestos:</w:t>
      </w:r>
    </w:p>
    <w:p>
      <w:pPr>
        <w:spacing w:after="40"/>
      </w:pPr>
    </w:p>
    <w:p>
      <w:pPr>
        <w:spacing w:after="20" w:line="240" w:lineRule="auto"/>
      </w:pPr>
      <w:r>
        <w:rPr>
          <w:rFonts w:ascii="Consolas" w:hAnsi="Consolas"/>
          <w:sz w:val="14"/>
        </w:rPr>
        <w:t>| Término actual | Problema técnico | Recomendación conceptual para decisión posterior |</w:t>
      </w:r>
    </w:p>
    <w:p>
      <w:pPr>
        <w:spacing w:after="20" w:line="240" w:lineRule="auto"/>
      </w:pPr>
      <w:r>
        <w:rPr>
          <w:rFonts w:ascii="Consolas" w:hAnsi="Consolas"/>
          <w:sz w:val="14"/>
        </w:rPr>
        <w:t>|---|---|---|</w:t>
      </w:r>
    </w:p>
    <w:p>
      <w:pPr>
        <w:spacing w:after="20" w:line="240" w:lineRule="auto"/>
      </w:pPr>
      <w:r>
        <w:rPr>
          <w:rFonts w:ascii="Consolas" w:hAnsi="Consolas"/>
          <w:sz w:val="14"/>
        </w:rPr>
        <w:t>| Observación / Medición | dos actos potencialmente distintos y su dato asociado | separar acto de medición, observación registrada y valor observado |</w:t>
      </w:r>
    </w:p>
    <w:p>
      <w:pPr>
        <w:spacing w:after="20" w:line="240" w:lineRule="auto"/>
      </w:pPr>
      <w:r>
        <w:rPr>
          <w:rFonts w:ascii="Consolas" w:hAnsi="Consolas"/>
          <w:sz w:val="14"/>
        </w:rPr>
        <w:t>| Perfil/Registro de establecimiento | perfil descriptivo y registro administrativo pueden divergir | definir si son uno o dos artefactos |</w:t>
      </w:r>
    </w:p>
    <w:p>
      <w:pPr>
        <w:spacing w:after="20" w:line="240" w:lineRule="auto"/>
      </w:pPr>
      <w:r>
        <w:rPr>
          <w:rFonts w:ascii="Consolas" w:hAnsi="Consolas"/>
          <w:sz w:val="14"/>
        </w:rPr>
        <w:t>| fuente de dato / fuente / evidencia | tres conceptos usados sin taxonomía de procedencia | establecer vocabulario controlado y relaciones diferenciadas |</w:t>
      </w:r>
    </w:p>
    <w:p>
      <w:pPr>
        <w:spacing w:after="20" w:line="240" w:lineRule="auto"/>
      </w:pPr>
      <w:r>
        <w:rPr>
          <w:rFonts w:ascii="Consolas" w:hAnsi="Consolas"/>
          <w:sz w:val="14"/>
        </w:rPr>
        <w:t>| resultado / puntaje / banda | salida numérica y clasificación se mezclan | modelar componentes del resultado |</w:t>
      </w:r>
    </w:p>
    <w:p>
      <w:pPr>
        <w:spacing w:after="20" w:line="240" w:lineRule="auto"/>
      </w:pPr>
      <w:r>
        <w:rPr>
          <w:rFonts w:ascii="Consolas" w:hAnsi="Consolas"/>
          <w:sz w:val="14"/>
        </w:rPr>
        <w:t>| versión de estándar | puede significar edición, línea base o versión ontológica | fijar nombres y relaciones de versión |</w:t>
      </w:r>
    </w:p>
    <w:p>
      <w:pPr>
        <w:spacing w:after="20" w:line="240" w:lineRule="auto"/>
      </w:pPr>
      <w:r>
        <w:rPr>
          <w:rFonts w:ascii="Consolas" w:hAnsi="Consolas"/>
          <w:sz w:val="14"/>
        </w:rPr>
        <w:t>| formulario/instrumento | plantilla abstracta, edición imprimible y respuesta no son equivalentes | separar definición, versión, instancia y respuesta |</w:t>
      </w:r>
    </w:p>
    <w:p>
      <w:pPr>
        <w:spacing w:after="40"/>
      </w:pPr>
    </w:p>
    <w:p>
      <w:r>
        <w:t>Además, toda relación debe tener nombre canónico, inversa declarada cuando sea útil y una definición no circular.</w:t>
      </w:r>
    </w:p>
    <w:p>
      <w:pPr>
        <w:spacing w:after="40"/>
      </w:pPr>
    </w:p>
    <w:p>
      <w:pPr>
        <w:pStyle w:val="Heading3"/>
      </w:pPr>
      <w:r>
        <w:t>5. Separación entre metamodelo, tipos e instancias</w:t>
      </w:r>
    </w:p>
    <w:p>
      <w:pPr>
        <w:spacing w:after="40"/>
      </w:pPr>
    </w:p>
    <w:p>
      <w:r>
        <w:t>La separación declarada es correcta como principio, pero necesita al menos cuatro niveles técnicos:</w:t>
      </w:r>
    </w:p>
    <w:p>
      <w:pPr>
        <w:spacing w:after="40"/>
      </w:pPr>
    </w:p>
    <w:p>
      <w:pPr>
        <w:spacing w:after="20" w:line="240" w:lineRule="auto"/>
        <w:ind w:left="259"/>
      </w:pPr>
      <w:r>
        <w:rPr>
          <w:rFonts w:ascii="Consolas" w:hAnsi="Consolas"/>
          <w:sz w:val="15"/>
        </w:rPr>
        <w:t>M2  Metamodelo GOEI       define clases, propiedades y reglas permitidas</w:t>
      </w:r>
    </w:p>
    <w:p>
      <w:pPr>
        <w:spacing w:after="20" w:line="240" w:lineRule="auto"/>
        <w:ind w:left="259"/>
      </w:pPr>
      <w:r>
        <w:rPr>
          <w:rFonts w:ascii="Consolas" w:hAnsi="Consolas"/>
          <w:sz w:val="15"/>
        </w:rPr>
        <w:t>M1  Modelo definicional   contiene KPI-def, categorías, reglas y formularios type</w:t>
      </w:r>
    </w:p>
    <w:p>
      <w:pPr>
        <w:spacing w:after="20" w:line="240" w:lineRule="auto"/>
        <w:ind w:left="259"/>
      </w:pPr>
      <w:r>
        <w:rPr>
          <w:rFonts w:ascii="Consolas" w:hAnsi="Consolas"/>
          <w:sz w:val="15"/>
        </w:rPr>
        <w:t>M0  Aplicación            contiene establecimiento, evaluación y registros token</w:t>
      </w:r>
    </w:p>
    <w:p>
      <w:pPr>
        <w:spacing w:after="20" w:line="240" w:lineRule="auto"/>
        <w:ind w:left="259"/>
      </w:pPr>
      <w:r>
        <w:rPr>
          <w:rFonts w:ascii="Consolas" w:hAnsi="Consolas"/>
          <w:sz w:val="15"/>
        </w:rPr>
        <w:t>P   Procedencia           registra quién, cómo, cuándo y con qué versión produjo M1/M0</w:t>
      </w:r>
    </w:p>
    <w:p>
      <w:pPr>
        <w:spacing w:after="40"/>
      </w:pPr>
    </w:p>
    <w:p>
      <w:r>
        <w:t>El plano de procedencia no es un nivel de instanciación; es transversal. Esta separación permitiría que una misma ontología soporte múltiples ediciones del estándar sin duplicar el metamodelo.</w:t>
      </w:r>
    </w:p>
    <w:p>
      <w:pPr>
        <w:spacing w:after="40"/>
      </w:pPr>
    </w:p>
    <w:p>
      <w:r>
        <w:t>También debe decidirse si Dimensión, Categoría y otras entidades son clases ontológicas, individuos de un vocabulario controlado o ambos mediante punning/patrones equivalentes. Un documento conceptual puede tolerar esa ambigüedad; un esquema ejecutable no.</w:t>
      </w:r>
    </w:p>
    <w:p>
      <w:pPr>
        <w:spacing w:after="40"/>
      </w:pPr>
    </w:p>
    <w:p>
      <w:pPr>
        <w:pStyle w:val="Heading3"/>
      </w:pPr>
      <w:r>
        <w:t>6. Posibles redundancias</w:t>
      </w:r>
    </w:p>
    <w:p>
      <w:pPr>
        <w:spacing w:after="40"/>
      </w:pPr>
    </w:p>
    <w:p>
      <w:r>
        <w:t>No se recomienda eliminar entidades en esta fase. Se identifican áreas que requieren normalización:</w:t>
      </w:r>
    </w:p>
    <w:p>
      <w:pPr>
        <w:spacing w:after="40"/>
      </w:pPr>
    </w:p>
    <w:p>
      <w:pPr>
        <w:pStyle w:val="ListBullet"/>
      </w:pPr>
      <w:r>
        <w:t>Dimensión y Sub-dimensión podrían modelarse como una sola clase jerárquica con relación parte_de, salvo que tengan reglas diferentes.</w:t>
      </w:r>
    </w:p>
    <w:p>
      <w:pPr>
        <w:pStyle w:val="ListBullet"/>
      </w:pPr>
      <w:r>
        <w:t>Operación y Ejecución de proceso necesitan una relación de composición y criterios de identidad que demuestren que no son niveles redundantes.</w:t>
      </w:r>
    </w:p>
    <w:p>
      <w:pPr>
        <w:pStyle w:val="ListBullet"/>
      </w:pPr>
      <w:r>
        <w:t>Establecimiento y Perfil/Registro son justificables si uno representa la entidad y otro su descripción; esa diferencia debe hacerse explícita.</w:t>
      </w:r>
    </w:p>
    <w:p>
      <w:pPr>
        <w:pStyle w:val="ListBullet"/>
      </w:pPr>
      <w:r>
        <w:t>Auditoría y Evaluación requieren un supertipo o propiedades compartidas si ambas usan actores, periodos, evidencias y estados.</w:t>
      </w:r>
    </w:p>
    <w:p>
      <w:pPr>
        <w:pStyle w:val="ListBullet"/>
      </w:pPr>
      <w:r>
        <w:t>No conformidad y Hallazgo no siempre son equivalentes: un hallazgo puede confirmar conformidad o ser observación neutral. El uso combinado debe aclararse.</w:t>
      </w:r>
    </w:p>
    <w:p>
      <w:pPr>
        <w:pStyle w:val="ListBullet"/>
      </w:pPr>
      <w:r>
        <w:t>Regla crítica y una futura regla general de decisión podrían compartir una abstracción sin perder el carácter no compensatorio.</w:t>
      </w:r>
    </w:p>
    <w:p>
      <w:pPr>
        <w:spacing w:after="40"/>
      </w:pPr>
    </w:p>
    <w:p>
      <w:pPr>
        <w:pStyle w:val="Heading3"/>
      </w:pPr>
      <w:r>
        <w:t>7. Relaciones faltantes</w:t>
      </w:r>
    </w:p>
    <w:p>
      <w:pPr>
        <w:spacing w:after="40"/>
      </w:pPr>
    </w:p>
    <w:p>
      <w:r>
        <w:t>Relaciones candidatas para evaluación arquitectónica posterior:</w:t>
      </w:r>
    </w:p>
    <w:p>
      <w:pPr>
        <w:spacing w:after="40"/>
      </w:pPr>
    </w:p>
    <w:p>
      <w:pPr>
        <w:pStyle w:val="ListNumber"/>
      </w:pPr>
      <w:r>
        <w:t>componente_definicional incluido_en version_estandar con vigencia desde/hasta;</w:t>
      </w:r>
    </w:p>
    <w:p>
      <w:pPr>
        <w:pStyle w:val="ListNumber"/>
      </w:pPr>
      <w:r>
        <w:t>version_estandar basada_en version_ontologia;</w:t>
      </w:r>
    </w:p>
    <w:p>
      <w:pPr>
        <w:pStyle w:val="ListNumber"/>
      </w:pPr>
      <w:r>
        <w:t>definicion sustituye / es_sustituida_por definicion;</w:t>
      </w:r>
    </w:p>
    <w:p>
      <w:pPr>
        <w:pStyle w:val="ListNumber"/>
      </w:pPr>
      <w:r>
        <w:t>evaluacion usa conjunto_aplicabilidad congelado para su versión y categoría;</w:t>
      </w:r>
    </w:p>
    <w:p>
      <w:pPr>
        <w:pStyle w:val="ListNumber"/>
      </w:pPr>
      <w:r>
        <w:t>observacion realizada_por actor y capturada_con instrumento_version;</w:t>
      </w:r>
    </w:p>
    <w:p>
      <w:pPr>
        <w:pStyle w:val="ListNumber"/>
      </w:pPr>
      <w:r>
        <w:t>registro_de_medicion representa acto_de_medicion;</w:t>
      </w:r>
    </w:p>
    <w:p>
      <w:pPr>
        <w:pStyle w:val="ListNumber"/>
      </w:pPr>
      <w:r>
        <w:t>evidencia custodiada_por, generada_por y verifica afirmacion;</w:t>
      </w:r>
    </w:p>
    <w:p>
      <w:pPr>
        <w:pStyle w:val="ListNumber"/>
      </w:pPr>
      <w:r>
        <w:t>valor_KPI calculado_mediante regla_calculo y ejecucion_calculo;</w:t>
      </w:r>
    </w:p>
    <w:p>
      <w:pPr>
        <w:pStyle w:val="ListNumber"/>
      </w:pPr>
      <w:r>
        <w:t>resultado compuesto_por resultados_de_dimension;</w:t>
      </w:r>
    </w:p>
    <w:p>
      <w:pPr>
        <w:pStyle w:val="ListNumber"/>
      </w:pPr>
      <w:r>
        <w:t>regla_critica evaluada_en evaluacion con resultado de regla explícito;</w:t>
      </w:r>
    </w:p>
    <w:p>
      <w:pPr>
        <w:pStyle w:val="ListNumber"/>
      </w:pPr>
      <w:r>
        <w:t>formulario_version implementa definicion_instrumento;</w:t>
      </w:r>
    </w:p>
    <w:p>
      <w:pPr>
        <w:pStyle w:val="ListNumber"/>
      </w:pPr>
      <w:r>
        <w:t>respuesta_formulario instancia campo_definido;</w:t>
      </w:r>
    </w:p>
    <w:p>
      <w:pPr>
        <w:pStyle w:val="ListNumber"/>
      </w:pPr>
      <w:r>
        <w:t>unidad_de_medida aplicable_a variable y conversión autorizada;</w:t>
      </w:r>
    </w:p>
    <w:p>
      <w:pPr>
        <w:pStyle w:val="ListNumber"/>
      </w:pPr>
      <w:r>
        <w:t>hallazgo referencia requisito y evidencia;</w:t>
      </w:r>
    </w:p>
    <w:p>
      <w:pPr>
        <w:pStyle w:val="ListNumber"/>
      </w:pPr>
      <w:r>
        <w:t>actor desempeña rol durante actividad, evitando fijar personas a roles permanentes.</w:t>
      </w:r>
    </w:p>
    <w:p>
      <w:pPr>
        <w:spacing w:after="40"/>
      </w:pPr>
    </w:p>
    <w:p>
      <w:pPr>
        <w:pStyle w:val="Heading3"/>
      </w:pPr>
      <w:r>
        <w:t>8. Entidades faltantes</w:t>
      </w:r>
    </w:p>
    <w:p>
      <w:pPr>
        <w:spacing w:after="40"/>
      </w:pPr>
    </w:p>
    <w:p>
      <w:pPr>
        <w:pStyle w:val="Heading4"/>
      </w:pPr>
      <w:r>
        <w:t>8.1 Para versionado y gobernanza semántica</w:t>
      </w:r>
    </w:p>
    <w:p>
      <w:pPr>
        <w:spacing w:after="40"/>
      </w:pPr>
    </w:p>
    <w:p>
      <w:pPr>
        <w:pStyle w:val="ListBullet"/>
      </w:pPr>
      <w:r>
        <w:t>Versión de ontología;</w:t>
      </w:r>
    </w:p>
    <w:p>
      <w:pPr>
        <w:pStyle w:val="ListBullet"/>
      </w:pPr>
      <w:r>
        <w:t>Componente definicional versionado;</w:t>
      </w:r>
    </w:p>
    <w:p>
      <w:pPr>
        <w:pStyle w:val="ListBullet"/>
      </w:pPr>
      <w:r>
        <w:t>Conjunto de aplicabilidad o profile de evaluación;</w:t>
      </w:r>
    </w:p>
    <w:p>
      <w:pPr>
        <w:pStyle w:val="ListBullet"/>
      </w:pPr>
      <w:r>
        <w:t>Mapa de compatibilidad como entidad, no solo atributo;</w:t>
      </w:r>
    </w:p>
    <w:p>
      <w:pPr>
        <w:pStyle w:val="ListBullet"/>
      </w:pPr>
      <w:r>
        <w:t>Decisión de origen y Fuente de evidencia enlazables desde cada definición;</w:t>
      </w:r>
    </w:p>
    <w:p>
      <w:pPr>
        <w:pStyle w:val="ListBullet"/>
      </w:pPr>
      <w:r>
        <w:t>Estado de vigencia con fechas de efecto.</w:t>
      </w:r>
    </w:p>
    <w:p>
      <w:pPr>
        <w:spacing w:after="40"/>
      </w:pPr>
    </w:p>
    <w:p>
      <w:pPr>
        <w:pStyle w:val="Heading4"/>
      </w:pPr>
      <w:r>
        <w:t>8.2 Para medición y formularios</w:t>
      </w:r>
    </w:p>
    <w:p>
      <w:pPr>
        <w:spacing w:after="40"/>
      </w:pPr>
    </w:p>
    <w:p>
      <w:pPr>
        <w:pStyle w:val="ListBullet"/>
      </w:pPr>
      <w:r>
        <w:t>Acto de medición;</w:t>
      </w:r>
    </w:p>
    <w:p>
      <w:pPr>
        <w:pStyle w:val="ListBullet"/>
      </w:pPr>
      <w:r>
        <w:t>Registro de observación;</w:t>
      </w:r>
    </w:p>
    <w:p>
      <w:pPr>
        <w:pStyle w:val="ListBullet"/>
      </w:pPr>
      <w:r>
        <w:t>Campo de instrumento;</w:t>
      </w:r>
    </w:p>
    <w:p>
      <w:pPr>
        <w:pStyle w:val="ListBullet"/>
      </w:pPr>
      <w:r>
        <w:t>Versión de instrumento;</w:t>
      </w:r>
    </w:p>
    <w:p>
      <w:pPr>
        <w:pStyle w:val="ListBullet"/>
      </w:pPr>
      <w:r>
        <w:t>Respuesta de formulario;</w:t>
      </w:r>
    </w:p>
    <w:p>
      <w:pPr>
        <w:pStyle w:val="ListBullet"/>
      </w:pPr>
      <w:r>
        <w:t>Unidad de medida;</w:t>
      </w:r>
    </w:p>
    <w:p>
      <w:pPr>
        <w:pStyle w:val="ListBullet"/>
      </w:pPr>
      <w:r>
        <w:t>Regla de validación de dato;</w:t>
      </w:r>
    </w:p>
    <w:p>
      <w:pPr>
        <w:pStyle w:val="ListBullet"/>
      </w:pPr>
      <w:r>
        <w:t>Estado de calidad del dato;</w:t>
      </w:r>
    </w:p>
    <w:p>
      <w:pPr>
        <w:pStyle w:val="ListBullet"/>
      </w:pPr>
      <w:r>
        <w:t>Motivo de ausencia y estado de aplicabilidad.</w:t>
      </w:r>
    </w:p>
    <w:p>
      <w:pPr>
        <w:spacing w:after="40"/>
      </w:pPr>
    </w:p>
    <w:p>
      <w:pPr>
        <w:pStyle w:val="Heading4"/>
      </w:pPr>
      <w:r>
        <w:t>8.3 Para el motor matemático</w:t>
      </w:r>
    </w:p>
    <w:p>
      <w:pPr>
        <w:spacing w:after="40"/>
      </w:pPr>
    </w:p>
    <w:p>
      <w:pPr>
        <w:pStyle w:val="ListBullet"/>
      </w:pPr>
      <w:r>
        <w:t>Regla de cálculo;</w:t>
      </w:r>
    </w:p>
    <w:p>
      <w:pPr>
        <w:pStyle w:val="ListBullet"/>
      </w:pPr>
      <w:r>
        <w:t>Modelo de agregación;</w:t>
      </w:r>
    </w:p>
    <w:p>
      <w:pPr>
        <w:pStyle w:val="ListBullet"/>
      </w:pPr>
      <w:r>
        <w:t>Asignación de ponderación;</w:t>
      </w:r>
    </w:p>
    <w:p>
      <w:pPr>
        <w:pStyle w:val="ListBullet"/>
      </w:pPr>
      <w:r>
        <w:t>Conjunto de parámetros;</w:t>
      </w:r>
    </w:p>
    <w:p>
      <w:pPr>
        <w:pStyle w:val="ListBullet"/>
      </w:pPr>
      <w:r>
        <w:t>Ejecución de cálculo;</w:t>
      </w:r>
    </w:p>
    <w:p>
      <w:pPr>
        <w:pStyle w:val="ListBullet"/>
      </w:pPr>
      <w:r>
        <w:t>Resultado de dimensión;</w:t>
      </w:r>
    </w:p>
    <w:p>
      <w:pPr>
        <w:pStyle w:val="ListBullet"/>
      </w:pPr>
      <w:r>
        <w:t>Resultado de regla crítica;</w:t>
      </w:r>
    </w:p>
    <w:p>
      <w:pPr>
        <w:pStyle w:val="ListBullet"/>
      </w:pPr>
      <w:r>
        <w:t>Política de precisión y redondeo;</w:t>
      </w:r>
    </w:p>
    <w:p>
      <w:pPr>
        <w:pStyle w:val="ListBullet"/>
      </w:pPr>
      <w:r>
        <w:t>Estado de cálculo — calculable, incompleto, inválido o no aplicable;</w:t>
      </w:r>
    </w:p>
    <w:p>
      <w:pPr>
        <w:pStyle w:val="ListBullet"/>
      </w:pPr>
      <w:r>
        <w:t>Traza de cálculo.</w:t>
      </w:r>
    </w:p>
    <w:p>
      <w:pPr>
        <w:spacing w:after="40"/>
      </w:pPr>
    </w:p>
    <w:p>
      <w:r>
        <w:t>Estas son necesidades arquitectónicas candidatas. Incorporarlas a la ontología exige decisión formal; el informe no las incorpora.</w:t>
      </w:r>
    </w:p>
    <w:p>
      <w:pPr>
        <w:spacing w:after="40"/>
      </w:pPr>
    </w:p>
    <w:p>
      <w:pPr>
        <w:pStyle w:val="Heading3"/>
      </w:pPr>
      <w:r>
        <w:t>9. Restricciones adicionales candidatas</w:t>
      </w:r>
    </w:p>
    <w:p>
      <w:pPr>
        <w:spacing w:after="40"/>
      </w:pPr>
    </w:p>
    <w:p>
      <w:pPr>
        <w:spacing w:after="20" w:line="240" w:lineRule="auto"/>
      </w:pPr>
      <w:r>
        <w:rPr>
          <w:rFonts w:ascii="Consolas" w:hAnsi="Consolas"/>
          <w:sz w:val="14"/>
        </w:rPr>
        <w:t>| Área | Restricción recomendada |</w:t>
      </w:r>
    </w:p>
    <w:p>
      <w:pPr>
        <w:spacing w:after="20" w:line="240" w:lineRule="auto"/>
      </w:pPr>
      <w:r>
        <w:rPr>
          <w:rFonts w:ascii="Consolas" w:hAnsi="Consolas"/>
          <w:sz w:val="14"/>
        </w:rPr>
        <w:t>|---|---|</w:t>
      </w:r>
    </w:p>
    <w:p>
      <w:pPr>
        <w:spacing w:after="20" w:line="240" w:lineRule="auto"/>
      </w:pPr>
      <w:r>
        <w:rPr>
          <w:rFonts w:ascii="Consolas" w:hAnsi="Consolas"/>
          <w:sz w:val="14"/>
        </w:rPr>
        <w:t>| Identidad | IDs globalmente únicos, inmutables y no reutilizables. |</w:t>
      </w:r>
    </w:p>
    <w:p>
      <w:pPr>
        <w:spacing w:after="20" w:line="240" w:lineRule="auto"/>
      </w:pPr>
      <w:r>
        <w:rPr>
          <w:rFonts w:ascii="Consolas" w:hAnsi="Consolas"/>
          <w:sz w:val="14"/>
        </w:rPr>
        <w:t>| Versión | Una evaluación cerrada usa una sola línea base inmutable y versiones compatibles de todos sus componentes. |</w:t>
      </w:r>
    </w:p>
    <w:p>
      <w:pPr>
        <w:spacing w:after="20" w:line="240" w:lineRule="auto"/>
      </w:pPr>
      <w:r>
        <w:rPr>
          <w:rFonts w:ascii="Consolas" w:hAnsi="Consolas"/>
          <w:sz w:val="14"/>
        </w:rPr>
        <w:t>| Vigencia | Ningún componente fuera de vigencia puede entrar en una evaluación nueva salvo regla explícita de transición. |</w:t>
      </w:r>
    </w:p>
    <w:p>
      <w:pPr>
        <w:spacing w:after="20" w:line="240" w:lineRule="auto"/>
      </w:pPr>
      <w:r>
        <w:rPr>
          <w:rFonts w:ascii="Consolas" w:hAnsi="Consolas"/>
          <w:sz w:val="14"/>
        </w:rPr>
        <w:t>| Cardinalidad | Toda relación nuclear declara mínimo y máximo. |</w:t>
      </w:r>
    </w:p>
    <w:p>
      <w:pPr>
        <w:spacing w:after="20" w:line="240" w:lineRule="auto"/>
      </w:pPr>
      <w:r>
        <w:rPr>
          <w:rFonts w:ascii="Consolas" w:hAnsi="Consolas"/>
          <w:sz w:val="14"/>
        </w:rPr>
        <w:t>| Taxonomía | La jerarquía `is-a` y la jerarquía `part-of` deben ser acíclicas. |</w:t>
      </w:r>
    </w:p>
    <w:p>
      <w:pPr>
        <w:spacing w:after="20" w:line="240" w:lineRule="auto"/>
      </w:pPr>
      <w:r>
        <w:rPr>
          <w:rFonts w:ascii="Consolas" w:hAnsi="Consolas"/>
          <w:sz w:val="14"/>
        </w:rPr>
        <w:t>| Unidades | Todo valor cuantitativo declara unidad; toda conversión usa una regla identificada. |</w:t>
      </w:r>
    </w:p>
    <w:p>
      <w:pPr>
        <w:spacing w:after="20" w:line="240" w:lineRule="auto"/>
      </w:pPr>
      <w:r>
        <w:rPr>
          <w:rFonts w:ascii="Consolas" w:hAnsi="Consolas"/>
          <w:sz w:val="14"/>
        </w:rPr>
        <w:t>| Aplicabilidad | Cada KPI aplicable tiene exactamente uno de los estados: medido, ausente justificado, inválido o no aplicable. |</w:t>
      </w:r>
    </w:p>
    <w:p>
      <w:pPr>
        <w:spacing w:after="20" w:line="240" w:lineRule="auto"/>
      </w:pPr>
      <w:r>
        <w:rPr>
          <w:rFonts w:ascii="Consolas" w:hAnsi="Consolas"/>
          <w:sz w:val="14"/>
        </w:rPr>
        <w:t>| Procedencia | Todo dato y resultado registra actor o sistema, método, instrumento, tiempo y fuente. |</w:t>
      </w:r>
    </w:p>
    <w:p>
      <w:pPr>
        <w:spacing w:after="20" w:line="240" w:lineRule="auto"/>
      </w:pPr>
      <w:r>
        <w:rPr>
          <w:rFonts w:ascii="Consolas" w:hAnsi="Consolas"/>
          <w:sz w:val="14"/>
        </w:rPr>
        <w:t>| Cierre | Una evaluación finalizada es inmutable; una corrección crea revisión enlazada. |</w:t>
      </w:r>
    </w:p>
    <w:p>
      <w:pPr>
        <w:spacing w:after="20" w:line="240" w:lineRule="auto"/>
      </w:pPr>
      <w:r>
        <w:rPr>
          <w:rFonts w:ascii="Consolas" w:hAnsi="Consolas"/>
          <w:sz w:val="14"/>
        </w:rPr>
        <w:t>| Cálculo | Misma entrada, línea base y parámetros producen la misma salida, incluida precisión y redondeo. |</w:t>
      </w:r>
    </w:p>
    <w:p>
      <w:pPr>
        <w:spacing w:after="20" w:line="240" w:lineRule="auto"/>
      </w:pPr>
      <w:r>
        <w:rPr>
          <w:rFonts w:ascii="Consolas" w:hAnsi="Consolas"/>
          <w:sz w:val="14"/>
        </w:rPr>
        <w:t>| Evidencia | La evidencia tiene integridad verificable, custodia y política de acceso. |</w:t>
      </w:r>
    </w:p>
    <w:p>
      <w:pPr>
        <w:spacing w:after="20" w:line="240" w:lineRule="auto"/>
      </w:pPr>
      <w:r>
        <w:rPr>
          <w:rFonts w:ascii="Consolas" w:hAnsi="Consolas"/>
          <w:sz w:val="14"/>
        </w:rPr>
        <w:t>| Formularios | Cada respuesta referencia exactamente un campo y una versión del instrumento. |</w:t>
      </w:r>
    </w:p>
    <w:p>
      <w:pPr>
        <w:spacing w:after="20" w:line="240" w:lineRule="auto"/>
      </w:pPr>
      <w:r>
        <w:rPr>
          <w:rFonts w:ascii="Consolas" w:hAnsi="Consolas"/>
          <w:sz w:val="14"/>
        </w:rPr>
        <w:t>| Reglas críticas | Cada regla aplicable produce un resultado explícito antes de clasificar el resultado global. |</w:t>
      </w:r>
    </w:p>
    <w:p>
      <w:pPr>
        <w:spacing w:after="20" w:line="240" w:lineRule="auto"/>
      </w:pPr>
      <w:r>
        <w:rPr>
          <w:rFonts w:ascii="Consolas" w:hAnsi="Consolas"/>
          <w:sz w:val="14"/>
        </w:rPr>
        <w:t>| Comparabilidad | Un mapa de compatibilidad declara alcance, dirección y limitaciones; su existencia no implica equivalencia total. |</w:t>
      </w:r>
    </w:p>
    <w:p>
      <w:pPr>
        <w:spacing w:after="40"/>
      </w:pPr>
    </w:p>
    <w:p>
      <w:pPr>
        <w:pStyle w:val="Heading3"/>
      </w:pPr>
      <w:r>
        <w:t>10. Escalabilidad y futuras versiones</w:t>
      </w:r>
    </w:p>
    <w:p>
      <w:pPr>
        <w:spacing w:after="40"/>
      </w:pPr>
    </w:p>
    <w:p>
      <w:r>
        <w:t>La ontología puede escalar si evita enumeraciones cerradas dentro del esquema y trata categorías, KPI, reglas, unidades e instrumentos como componentes versionados. Para diez años de evolución se requieren:</w:t>
      </w:r>
    </w:p>
    <w:p>
      <w:pPr>
        <w:spacing w:after="40"/>
      </w:pPr>
    </w:p>
    <w:p>
      <w:pPr>
        <w:pStyle w:val="ListBullet"/>
      </w:pPr>
      <w:r>
        <w:t>namespaces estables y resolubles;</w:t>
      </w:r>
    </w:p>
    <w:p>
      <w:pPr>
        <w:pStyle w:val="ListBullet"/>
      </w:pPr>
      <w:r>
        <w:t>separación entre ID conceptual y versión;</w:t>
      </w:r>
    </w:p>
    <w:p>
      <w:pPr>
        <w:pStyle w:val="ListBullet"/>
      </w:pPr>
      <w:r>
        <w:t>desactivación lógica en lugar de borrado;</w:t>
      </w:r>
    </w:p>
    <w:p>
      <w:pPr>
        <w:pStyle w:val="ListBullet"/>
      </w:pPr>
      <w:r>
        <w:t>paquetes o módulos con dependencias explícitas;</w:t>
      </w:r>
    </w:p>
    <w:p>
      <w:pPr>
        <w:pStyle w:val="ListBullet"/>
      </w:pPr>
      <w:r>
        <w:t>perfiles por categoría sin duplicar definiciones comunes;</w:t>
      </w:r>
    </w:p>
    <w:p>
      <w:pPr>
        <w:pStyle w:val="ListBullet"/>
      </w:pPr>
      <w:r>
        <w:t>compatibilidad direccional entre versiones;</w:t>
      </w:r>
    </w:p>
    <w:p>
      <w:pPr>
        <w:pStyle w:val="ListBullet"/>
      </w:pPr>
      <w:r>
        <w:t>migraciones documentadas para datos históricos;</w:t>
      </w:r>
    </w:p>
    <w:p>
      <w:pPr>
        <w:pStyle w:val="ListBullet"/>
      </w:pPr>
      <w:r>
        <w:t>vocabularios multilingües donde las etiquetas cambien sin cambiar la identidad.</w:t>
      </w:r>
    </w:p>
    <w:p>
      <w:pPr>
        <w:spacing w:after="40"/>
      </w:pPr>
    </w:p>
    <w:p>
      <w:r>
        <w:t>Debe evitarse que un cambio editorial de etiqueta genere una entidad nueva o que un cambio semántico conserve silenciosamente la misma versión.</w:t>
      </w:r>
    </w:p>
    <w:p>
      <w:pPr>
        <w:spacing w:after="40"/>
      </w:pPr>
    </w:p>
    <w:p>
      <w:pPr>
        <w:pStyle w:val="Heading3"/>
      </w:pPr>
      <w:r>
        <w:t>11. Compatibilidad con software</w:t>
      </w:r>
    </w:p>
    <w:p>
      <w:pPr>
        <w:spacing w:after="40"/>
      </w:pPr>
    </w:p>
    <w:p>
      <w:pPr>
        <w:pStyle w:val="Heading4"/>
      </w:pPr>
      <w:r>
        <w:t>11.1 Evaluación</w:t>
      </w:r>
    </w:p>
    <w:p>
      <w:pPr>
        <w:spacing w:after="40"/>
      </w:pPr>
    </w:p>
    <w:p>
      <w:r>
        <w:t>La ontología es traducible a un modelo de dominio, pero aún no debe convertirse directamente en tablas de base de datos. Primero requiere un diccionario de clases y propiedades con:</w:t>
      </w:r>
    </w:p>
    <w:p>
      <w:pPr>
        <w:spacing w:after="40"/>
      </w:pPr>
    </w:p>
    <w:p>
      <w:pPr>
        <w:pStyle w:val="ListBullet"/>
      </w:pPr>
      <w:r>
        <w:t>ID, definición, superclase y disjunciones;</w:t>
      </w:r>
    </w:p>
    <w:p>
      <w:pPr>
        <w:pStyle w:val="ListBullet"/>
      </w:pPr>
      <w:r>
        <w:t>dominio, rango y cardinalidad;</w:t>
      </w:r>
    </w:p>
    <w:p>
      <w:pPr>
        <w:pStyle w:val="ListBullet"/>
      </w:pPr>
      <w:r>
        <w:t>reglas de identidad;</w:t>
      </w:r>
    </w:p>
    <w:p>
      <w:pPr>
        <w:pStyle w:val="ListBullet"/>
      </w:pPr>
      <w:r>
        <w:t>estado y alcance de versión;</w:t>
      </w:r>
    </w:p>
    <w:p>
      <w:pPr>
        <w:pStyle w:val="ListBullet"/>
      </w:pPr>
      <w:r>
        <w:t>restricciones comprobables;</w:t>
      </w:r>
    </w:p>
    <w:p>
      <w:pPr>
        <w:pStyle w:val="ListBullet"/>
      </w:pPr>
      <w:r>
        <w:t>ejemplos positivos y negativos.</w:t>
      </w:r>
    </w:p>
    <w:p>
      <w:pPr>
        <w:spacing w:after="40"/>
      </w:pPr>
    </w:p>
    <w:p>
      <w:pPr>
        <w:pStyle w:val="Heading4"/>
      </w:pPr>
      <w:r>
        <w:t>11.2 Patrón técnico recomendado</w:t>
      </w:r>
    </w:p>
    <w:p>
      <w:pPr>
        <w:spacing w:after="40"/>
      </w:pPr>
    </w:p>
    <w:p>
      <w:r>
        <w:t>Mantener tres artefactos sincronizados:</w:t>
      </w:r>
    </w:p>
    <w:p>
      <w:pPr>
        <w:spacing w:after="40"/>
      </w:pPr>
    </w:p>
    <w:p>
      <w:pPr>
        <w:pStyle w:val="ListNumber"/>
      </w:pPr>
      <w:r>
        <w:t>especificación conceptual legible por personas;</w:t>
      </w:r>
    </w:p>
    <w:p>
      <w:pPr>
        <w:pStyle w:val="ListNumber"/>
      </w:pPr>
      <w:r>
        <w:t>esquema lógico procesable por máquinas;</w:t>
      </w:r>
    </w:p>
    <w:p>
      <w:pPr>
        <w:pStyle w:val="ListNumber"/>
      </w:pPr>
      <w:r>
        <w:t>esquema de intercambio para evaluaciones y resultados.</w:t>
      </w:r>
    </w:p>
    <w:p>
      <w:pPr>
        <w:spacing w:after="40"/>
      </w:pPr>
    </w:p>
    <w:p>
      <w:r>
        <w:t>Ninguno debe convertirse en fuente independiente. La especificación aprobada gobierna; los esquemas la implementan y se verifican mediante pruebas de conformidad.</w:t>
      </w:r>
    </w:p>
    <w:p>
      <w:pPr>
        <w:spacing w:after="40"/>
      </w:pPr>
    </w:p>
    <w:p>
      <w:pPr>
        <w:pStyle w:val="Heading4"/>
      </w:pPr>
      <w:r>
        <w:t>11.3 Riesgos de implementación directa</w:t>
      </w:r>
    </w:p>
    <w:p>
      <w:pPr>
        <w:spacing w:after="40"/>
      </w:pPr>
    </w:p>
    <w:p>
      <w:pPr>
        <w:pStyle w:val="ListBullet"/>
      </w:pPr>
      <w:r>
        <w:t>herencia incorrecta entre type y token;</w:t>
      </w:r>
    </w:p>
    <w:p>
      <w:pPr>
        <w:pStyle w:val="ListBullet"/>
      </w:pPr>
      <w:r>
        <w:t>pérdida de procedencia al guardar solo números;</w:t>
      </w:r>
    </w:p>
    <w:p>
      <w:pPr>
        <w:pStyle w:val="ListBullet"/>
      </w:pPr>
      <w:r>
        <w:t>mutación retroactiva de evaluaciones al actualizar un KPI-def;</w:t>
      </w:r>
    </w:p>
    <w:p>
      <w:pPr>
        <w:pStyle w:val="ListBullet"/>
      </w:pPr>
      <w:r>
        <w:t>uso de null para mezclar ausencia, invalidez y no aplicabilidad;</w:t>
      </w:r>
    </w:p>
    <w:p>
      <w:pPr>
        <w:pStyle w:val="ListBullet"/>
      </w:pPr>
      <w:r>
        <w:t>cálculos diferentes entre implementaciones por falta de precisión y redondeo;</w:t>
      </w:r>
    </w:p>
    <w:p>
      <w:pPr>
        <w:pStyle w:val="ListBullet"/>
      </w:pPr>
      <w:r>
        <w:t>acoplamiento de certificación a evaluación antes de decidir el esquema institucional.</w:t>
      </w:r>
    </w:p>
    <w:p>
      <w:pPr>
        <w:spacing w:after="40"/>
      </w:pPr>
    </w:p>
    <w:p>
      <w:pPr>
        <w:pStyle w:val="Heading3"/>
      </w:pPr>
      <w:r>
        <w:t>12. Compatibilidad con formularios manuales</w:t>
      </w:r>
    </w:p>
    <w:p>
      <w:pPr>
        <w:spacing w:after="40"/>
      </w:pPr>
    </w:p>
    <w:p>
      <w:r>
        <w:t>La arquitectura es compatible con operación manual porque ya reconoce definiciones de instrumentos, observaciones y evidencia. Para que dos evaluadores produzcan registros equivalentes, el futuro modelo debe representar explícitamente:</w:t>
      </w:r>
    </w:p>
    <w:p>
      <w:pPr>
        <w:spacing w:after="40"/>
      </w:pPr>
    </w:p>
    <w:p>
      <w:pPr>
        <w:pStyle w:val="ListBullet"/>
      </w:pPr>
      <w:r>
        <w:t>versión visible del formulario;</w:t>
      </w:r>
    </w:p>
    <w:p>
      <w:pPr>
        <w:pStyle w:val="ListBullet"/>
      </w:pPr>
      <w:r>
        <w:t>código estable de cada campo;</w:t>
      </w:r>
    </w:p>
    <w:p>
      <w:pPr>
        <w:pStyle w:val="ListBullet"/>
      </w:pPr>
      <w:r>
        <w:t>unidad y formato de respuesta;</w:t>
      </w:r>
    </w:p>
    <w:p>
      <w:pPr>
        <w:pStyle w:val="ListBullet"/>
      </w:pPr>
      <w:r>
        <w:t>instrucciones y ventana temporal;</w:t>
      </w:r>
    </w:p>
    <w:p>
      <w:pPr>
        <w:pStyle w:val="ListBullet"/>
      </w:pPr>
      <w:r>
        <w:t>obligatoriedad y aplicabilidad;</w:t>
      </w:r>
    </w:p>
    <w:p>
      <w:pPr>
        <w:pStyle w:val="ListBullet"/>
      </w:pPr>
      <w:r>
        <w:t>motivo normalizado de ausencia;</w:t>
      </w:r>
    </w:p>
    <w:p>
      <w:pPr>
        <w:pStyle w:val="ListBullet"/>
      </w:pPr>
      <w:r>
        <w:t>responsable, fecha y firma o validación equivalente;</w:t>
      </w:r>
    </w:p>
    <w:p>
      <w:pPr>
        <w:pStyle w:val="ListBullet"/>
      </w:pPr>
      <w:r>
        <w:t>vínculo entre campo, variable y KPI-def;</w:t>
      </w:r>
    </w:p>
    <w:p>
      <w:pPr>
        <w:pStyle w:val="ListBullet"/>
      </w:pPr>
      <w:r>
        <w:t>correcciones sin sobreescribir el valor original.</w:t>
      </w:r>
    </w:p>
    <w:p>
      <w:pPr>
        <w:spacing w:after="40"/>
      </w:pPr>
    </w:p>
    <w:p>
      <w:r>
        <w:t>El papel puede ser una representación de la misma definición de instrumento usada por software. No debe existir una ontología paralela para formularios manuales.</w:t>
      </w:r>
    </w:p>
    <w:p>
      <w:pPr>
        <w:spacing w:after="40"/>
      </w:pPr>
    </w:p>
    <w:p>
      <w:pPr>
        <w:pStyle w:val="Heading3"/>
      </w:pPr>
      <w:r>
        <w:t>13. Compatibilidad con motor matemático</w:t>
      </w:r>
    </w:p>
    <w:p>
      <w:pPr>
        <w:spacing w:after="40"/>
      </w:pPr>
    </w:p>
    <w:p>
      <w:r>
        <w:t>La cadena Observación → Valor de KPI → Resultado de dimensión → Resultado GOEI es apropiada, pero el motor necesita un contrato explícito:</w:t>
      </w:r>
    </w:p>
    <w:p>
      <w:pPr>
        <w:spacing w:after="40"/>
      </w:pPr>
    </w:p>
    <w:p>
      <w:pPr>
        <w:spacing w:after="20" w:line="240" w:lineRule="auto"/>
        <w:ind w:left="259"/>
      </w:pPr>
      <w:r>
        <w:rPr>
          <w:rFonts w:ascii="Consolas" w:hAnsi="Consolas"/>
          <w:sz w:val="15"/>
        </w:rPr>
        <w:t>Entradas versionadas</w:t>
      </w:r>
    </w:p>
    <w:p>
      <w:pPr>
        <w:spacing w:after="20" w:line="240" w:lineRule="auto"/>
        <w:ind w:left="259"/>
      </w:pPr>
      <w:r>
        <w:rPr>
          <w:rFonts w:ascii="Consolas" w:hAnsi="Consolas"/>
          <w:sz w:val="15"/>
        </w:rPr>
        <w:t xml:space="preserve">  + conjunto de aplicabilidad</w:t>
      </w:r>
    </w:p>
    <w:p>
      <w:pPr>
        <w:spacing w:after="20" w:line="240" w:lineRule="auto"/>
        <w:ind w:left="259"/>
      </w:pPr>
      <w:r>
        <w:rPr>
          <w:rFonts w:ascii="Consolas" w:hAnsi="Consolas"/>
          <w:sz w:val="15"/>
        </w:rPr>
        <w:t xml:space="preserve">  + reglas y parámetros</w:t>
      </w:r>
    </w:p>
    <w:p>
      <w:pPr>
        <w:spacing w:after="20" w:line="240" w:lineRule="auto"/>
        <w:ind w:left="259"/>
      </w:pPr>
      <w:r>
        <w:rPr>
          <w:rFonts w:ascii="Consolas" w:hAnsi="Consolas"/>
          <w:sz w:val="15"/>
        </w:rPr>
        <w:t xml:space="preserve">  + política de precisión</w:t>
      </w:r>
    </w:p>
    <w:p>
      <w:pPr>
        <w:spacing w:after="20" w:line="240" w:lineRule="auto"/>
        <w:ind w:left="259"/>
      </w:pPr>
      <w:r>
        <w:rPr>
          <w:rFonts w:ascii="Consolas" w:hAnsi="Consolas"/>
          <w:sz w:val="15"/>
        </w:rPr>
        <w:t xml:space="preserve">  → ejecución de cálculo identificada</w:t>
      </w:r>
    </w:p>
    <w:p>
      <w:pPr>
        <w:spacing w:after="20" w:line="240" w:lineRule="auto"/>
        <w:ind w:left="259"/>
      </w:pPr>
      <w:r>
        <w:rPr>
          <w:rFonts w:ascii="Consolas" w:hAnsi="Consolas"/>
          <w:sz w:val="15"/>
        </w:rPr>
        <w:t xml:space="preserve">  → resultados parciales</w:t>
      </w:r>
    </w:p>
    <w:p>
      <w:pPr>
        <w:spacing w:after="20" w:line="240" w:lineRule="auto"/>
        <w:ind w:left="259"/>
      </w:pPr>
      <w:r>
        <w:rPr>
          <w:rFonts w:ascii="Consolas" w:hAnsi="Consolas"/>
          <w:sz w:val="15"/>
        </w:rPr>
        <w:t xml:space="preserve">  → resultados de reglas críticas</w:t>
      </w:r>
    </w:p>
    <w:p>
      <w:pPr>
        <w:spacing w:after="20" w:line="240" w:lineRule="auto"/>
        <w:ind w:left="259"/>
      </w:pPr>
      <w:r>
        <w:rPr>
          <w:rFonts w:ascii="Consolas" w:hAnsi="Consolas"/>
          <w:sz w:val="15"/>
        </w:rPr>
        <w:t xml:space="preserve">  → resultado global y clasificación</w:t>
      </w:r>
    </w:p>
    <w:p>
      <w:pPr>
        <w:spacing w:after="20" w:line="240" w:lineRule="auto"/>
        <w:ind w:left="259"/>
      </w:pPr>
      <w:r>
        <w:rPr>
          <w:rFonts w:ascii="Consolas" w:hAnsi="Consolas"/>
          <w:sz w:val="15"/>
        </w:rPr>
        <w:t xml:space="preserve">  + traza reproducible</w:t>
      </w:r>
    </w:p>
    <w:p>
      <w:pPr>
        <w:spacing w:after="40"/>
      </w:pPr>
    </w:p>
    <w:p>
      <w:r>
        <w:t>El motor debe poder explicar cada salida, detectar entradas incompletas y reproducir resultados históricos usando la línea base original. La fórmula por sí sola no basta; la configuración ejecutada también forma parte de la evidencia.</w:t>
      </w:r>
    </w:p>
    <w:p>
      <w:pPr>
        <w:spacing w:after="40"/>
      </w:pPr>
    </w:p>
    <w:p>
      <w:pPr>
        <w:pStyle w:val="Heading3"/>
      </w:pPr>
      <w:r>
        <w:t>14. Recomendaciones arquitectónicas priorizadas</w:t>
      </w:r>
    </w:p>
    <w:p>
      <w:pPr>
        <w:spacing w:after="40"/>
      </w:pPr>
    </w:p>
    <w:p>
      <w:pPr>
        <w:pStyle w:val="Heading4"/>
      </w:pPr>
      <w:r>
        <w:t>14.1 Críticas — antes de formalizar software o modelo matemático</w:t>
      </w:r>
    </w:p>
    <w:p>
      <w:pPr>
        <w:spacing w:after="40"/>
      </w:pPr>
    </w:p>
    <w:p>
      <w:pPr>
        <w:spacing w:after="20" w:line="240" w:lineRule="auto"/>
      </w:pPr>
      <w:r>
        <w:rPr>
          <w:rFonts w:ascii="Consolas" w:hAnsi="Consolas"/>
          <w:sz w:val="14"/>
        </w:rPr>
        <w:t>| ID | Recomendación | Riesgo que evita |</w:t>
      </w:r>
    </w:p>
    <w:p>
      <w:pPr>
        <w:spacing w:after="20" w:line="240" w:lineRule="auto"/>
      </w:pPr>
      <w:r>
        <w:rPr>
          <w:rFonts w:ascii="Consolas" w:hAnsi="Consolas"/>
          <w:sz w:val="14"/>
        </w:rPr>
        <w:t>|---|---|---|</w:t>
      </w:r>
    </w:p>
    <w:p>
      <w:pPr>
        <w:spacing w:after="20" w:line="240" w:lineRule="auto"/>
      </w:pPr>
      <w:r>
        <w:rPr>
          <w:rFonts w:ascii="Consolas" w:hAnsi="Consolas"/>
          <w:sz w:val="14"/>
        </w:rPr>
        <w:t>| RA-ONT-C01 | Separar formalmente metamodelo, versión de ontología, edición del estándar y componentes definicionales. | versiones incompatibles y semántica circular |</w:t>
      </w:r>
    </w:p>
    <w:p>
      <w:pPr>
        <w:spacing w:after="20" w:line="240" w:lineRule="auto"/>
      </w:pPr>
      <w:r>
        <w:rPr>
          <w:rFonts w:ascii="Consolas" w:hAnsi="Consolas"/>
          <w:sz w:val="14"/>
        </w:rPr>
        <w:t>| RA-ONT-C02 | Separar acto de medición, registro observado y valor representado. | pérdida de auditabilidad y errores en formularios/base de datos |</w:t>
      </w:r>
    </w:p>
    <w:p>
      <w:pPr>
        <w:spacing w:after="20" w:line="240" w:lineRule="auto"/>
      </w:pPr>
      <w:r>
        <w:rPr>
          <w:rFonts w:ascii="Consolas" w:hAnsi="Consolas"/>
          <w:sz w:val="14"/>
        </w:rPr>
        <w:t>| RA-ONT-C03 | Definir versionado y vigencia de cada entidad definicional, con evaluación ligada a una línea base inmutable. | modificación retroactiva de resultados |</w:t>
      </w:r>
    </w:p>
    <w:p>
      <w:pPr>
        <w:spacing w:after="20" w:line="240" w:lineRule="auto"/>
      </w:pPr>
      <w:r>
        <w:rPr>
          <w:rFonts w:ascii="Consolas" w:hAnsi="Consolas"/>
          <w:sz w:val="14"/>
        </w:rPr>
        <w:t>| RA-ONT-C04 | Especificar dominio, rango y cardinalidad de todas las relaciones nucleares. | implementaciones divergentes |</w:t>
      </w:r>
    </w:p>
    <w:p>
      <w:pPr>
        <w:spacing w:after="20" w:line="240" w:lineRule="auto"/>
      </w:pPr>
      <w:r>
        <w:rPr>
          <w:rFonts w:ascii="Consolas" w:hAnsi="Consolas"/>
          <w:sz w:val="14"/>
        </w:rPr>
        <w:t>| RA-ONT-C05 | Modelar aplicabilidad, ausencia, invalidez y no calculabilidad como estados distintos. | resultados matemáticos falsamente completos |</w:t>
      </w:r>
    </w:p>
    <w:p>
      <w:pPr>
        <w:spacing w:after="20" w:line="240" w:lineRule="auto"/>
      </w:pPr>
      <w:r>
        <w:rPr>
          <w:rFonts w:ascii="Consolas" w:hAnsi="Consolas"/>
          <w:sz w:val="14"/>
        </w:rPr>
        <w:t>| RA-ONT-C06 | Crear el contrato de procedencia y traza desde dato hasta resultado. | imposibilidad de auditoría y reproducción |</w:t>
      </w:r>
    </w:p>
    <w:p>
      <w:pPr>
        <w:spacing w:after="20" w:line="240" w:lineRule="auto"/>
      </w:pPr>
      <w:r>
        <w:rPr>
          <w:rFonts w:ascii="Consolas" w:hAnsi="Consolas"/>
          <w:sz w:val="14"/>
        </w:rPr>
        <w:t>| RA-ONT-C07 | Definir entidades de ejecución matemática, parámetros, precisión, redondeo y resultados parciales. | cálculos diferentes con la misma evidencia |</w:t>
      </w:r>
    </w:p>
    <w:p>
      <w:pPr>
        <w:spacing w:after="40"/>
      </w:pPr>
    </w:p>
    <w:p>
      <w:pPr>
        <w:pStyle w:val="Heading4"/>
      </w:pPr>
      <w:r>
        <w:t>14.2 Importantes — antes de pilotos operativos amplios</w:t>
      </w:r>
    </w:p>
    <w:p>
      <w:pPr>
        <w:spacing w:after="40"/>
      </w:pPr>
    </w:p>
    <w:p>
      <w:pPr>
        <w:spacing w:after="20" w:line="240" w:lineRule="auto"/>
      </w:pPr>
      <w:r>
        <w:rPr>
          <w:rFonts w:ascii="Consolas" w:hAnsi="Consolas"/>
          <w:sz w:val="14"/>
        </w:rPr>
        <w:t>| ID | Recomendación | Beneficio |</w:t>
      </w:r>
    </w:p>
    <w:p>
      <w:pPr>
        <w:spacing w:after="20" w:line="240" w:lineRule="auto"/>
      </w:pPr>
      <w:r>
        <w:rPr>
          <w:rFonts w:ascii="Consolas" w:hAnsi="Consolas"/>
          <w:sz w:val="14"/>
        </w:rPr>
        <w:t>|---|---|---|</w:t>
      </w:r>
    </w:p>
    <w:p>
      <w:pPr>
        <w:spacing w:after="20" w:line="240" w:lineRule="auto"/>
      </w:pPr>
      <w:r>
        <w:rPr>
          <w:rFonts w:ascii="Consolas" w:hAnsi="Consolas"/>
          <w:sz w:val="14"/>
        </w:rPr>
        <w:t>| RA-ONT-I01 | Normalizar términos compuestos y publicar un diccionario canónico de clases y relaciones. | coherencia humana y técnica |</w:t>
      </w:r>
    </w:p>
    <w:p>
      <w:pPr>
        <w:spacing w:after="20" w:line="240" w:lineRule="auto"/>
      </w:pPr>
      <w:r>
        <w:rPr>
          <w:rFonts w:ascii="Consolas" w:hAnsi="Consolas"/>
          <w:sz w:val="14"/>
        </w:rPr>
        <w:t>| RA-ONT-I02 | Separar definición, versión, campo, instancia y respuesta de instrumentos. | equivalencia entre papel y software |</w:t>
      </w:r>
    </w:p>
    <w:p>
      <w:pPr>
        <w:spacing w:after="20" w:line="240" w:lineRule="auto"/>
      </w:pPr>
      <w:r>
        <w:rPr>
          <w:rFonts w:ascii="Consolas" w:hAnsi="Consolas"/>
          <w:sz w:val="14"/>
        </w:rPr>
        <w:t>| RA-ONT-I03 | Convertir el mapa de compatibilidad en entidad versionada y direccional. | comparación histórica controlada |</w:t>
      </w:r>
    </w:p>
    <w:p>
      <w:pPr>
        <w:spacing w:after="20" w:line="240" w:lineRule="auto"/>
      </w:pPr>
      <w:r>
        <w:rPr>
          <w:rFonts w:ascii="Consolas" w:hAnsi="Consolas"/>
          <w:sz w:val="14"/>
        </w:rPr>
        <w:t>| RA-ONT-I04 | Introducir unidades y conversiones como objetos controlados. | interoperabilidad y cálculo seguro |</w:t>
      </w:r>
    </w:p>
    <w:p>
      <w:pPr>
        <w:spacing w:after="20" w:line="240" w:lineRule="auto"/>
      </w:pPr>
      <w:r>
        <w:rPr>
          <w:rFonts w:ascii="Consolas" w:hAnsi="Consolas"/>
          <w:sz w:val="14"/>
        </w:rPr>
        <w:t>| RA-ONT-I05 | Definir reglas de identidad y sucesión para todas las entidades versionables. | mantenimiento a largo plazo |</w:t>
      </w:r>
    </w:p>
    <w:p>
      <w:pPr>
        <w:spacing w:after="20" w:line="240" w:lineRule="auto"/>
      </w:pPr>
      <w:r>
        <w:rPr>
          <w:rFonts w:ascii="Consolas" w:hAnsi="Consolas"/>
          <w:sz w:val="14"/>
        </w:rPr>
        <w:t>| RA-ONT-I06 | Revisar `Hallazgo` frente a `No conformidad` y evaluación frente a auditoría. | evita equivalencias institucionales prematuras |</w:t>
      </w:r>
    </w:p>
    <w:p>
      <w:pPr>
        <w:spacing w:after="20" w:line="240" w:lineRule="auto"/>
      </w:pPr>
      <w:r>
        <w:rPr>
          <w:rFonts w:ascii="Consolas" w:hAnsi="Consolas"/>
          <w:sz w:val="14"/>
        </w:rPr>
        <w:t>| RA-ONT-I07 | Modularizar núcleo, medición, evaluación, conformidad y procedencia. | escalabilidad y menor acoplamiento |</w:t>
      </w:r>
    </w:p>
    <w:p>
      <w:pPr>
        <w:spacing w:after="40"/>
      </w:pPr>
    </w:p>
    <w:p>
      <w:pPr>
        <w:pStyle w:val="Heading4"/>
      </w:pPr>
      <w:r>
        <w:t>14.3 Deseables — madurez e interoperabilidad internacional</w:t>
      </w:r>
    </w:p>
    <w:p>
      <w:pPr>
        <w:spacing w:after="40"/>
      </w:pPr>
    </w:p>
    <w:p>
      <w:pPr>
        <w:spacing w:after="20" w:line="240" w:lineRule="auto"/>
      </w:pPr>
      <w:r>
        <w:rPr>
          <w:rFonts w:ascii="Consolas" w:hAnsi="Consolas"/>
          <w:sz w:val="14"/>
        </w:rPr>
        <w:t>| ID | Recomendación | Beneficio |</w:t>
      </w:r>
    </w:p>
    <w:p>
      <w:pPr>
        <w:spacing w:after="20" w:line="240" w:lineRule="auto"/>
      </w:pPr>
      <w:r>
        <w:rPr>
          <w:rFonts w:ascii="Consolas" w:hAnsi="Consolas"/>
          <w:sz w:val="14"/>
        </w:rPr>
        <w:t>|---|---|---|</w:t>
      </w:r>
    </w:p>
    <w:p>
      <w:pPr>
        <w:spacing w:after="20" w:line="240" w:lineRule="auto"/>
      </w:pPr>
      <w:r>
        <w:rPr>
          <w:rFonts w:ascii="Consolas" w:hAnsi="Consolas"/>
          <w:sz w:val="14"/>
        </w:rPr>
        <w:t>| RA-ONT-D01 | Definir namespaces persistentes y estrategia multilingüe de etiquetas. | internacionalización sin pérdida de identidad |</w:t>
      </w:r>
    </w:p>
    <w:p>
      <w:pPr>
        <w:spacing w:after="20" w:line="240" w:lineRule="auto"/>
      </w:pPr>
      <w:r>
        <w:rPr>
          <w:rFonts w:ascii="Consolas" w:hAnsi="Consolas"/>
          <w:sz w:val="14"/>
        </w:rPr>
        <w:t>| RA-ONT-D02 | Publicar representaciones procesables por máquinas derivadas de la fuente humana. | interoperabilidad y validación automática |</w:t>
      </w:r>
    </w:p>
    <w:p>
      <w:pPr>
        <w:spacing w:after="20" w:line="240" w:lineRule="auto"/>
      </w:pPr>
      <w:r>
        <w:rPr>
          <w:rFonts w:ascii="Consolas" w:hAnsi="Consolas"/>
          <w:sz w:val="14"/>
        </w:rPr>
        <w:t>| RA-ONT-D03 | Crear ejemplos positivos, negativos y casos límite por restricción. | pruebas y formación |</w:t>
      </w:r>
    </w:p>
    <w:p>
      <w:pPr>
        <w:spacing w:after="20" w:line="240" w:lineRule="auto"/>
      </w:pPr>
      <w:r>
        <w:rPr>
          <w:rFonts w:ascii="Consolas" w:hAnsi="Consolas"/>
          <w:sz w:val="14"/>
        </w:rPr>
        <w:t>| RA-ONT-D04 | Incorporar SHACL, JSON Schema u otro lenguaje solo después de aprobar el modelo lógico. | control automatizado sin anticipar decisiones |</w:t>
      </w:r>
    </w:p>
    <w:p>
      <w:pPr>
        <w:spacing w:after="20" w:line="240" w:lineRule="auto"/>
      </w:pPr>
      <w:r>
        <w:rPr>
          <w:rFonts w:ascii="Consolas" w:hAnsi="Consolas"/>
          <w:sz w:val="14"/>
        </w:rPr>
        <w:t>| RA-ONT-D05 | Mantener catálogo de patrones de modelado y decisiones arquitectónicas. | consistencia entre módulos futuros |</w:t>
      </w:r>
    </w:p>
    <w:p>
      <w:pPr>
        <w:spacing w:after="20" w:line="240" w:lineRule="auto"/>
      </w:pPr>
      <w:r>
        <w:rPr>
          <w:rFonts w:ascii="Consolas" w:hAnsi="Consolas"/>
          <w:sz w:val="14"/>
        </w:rPr>
        <w:t>| RA-ONT-D06 | Definir política de extensiones externas y perfiles nacionales. | evita fragmentación del estándar |</w:t>
      </w:r>
    </w:p>
    <w:p>
      <w:pPr>
        <w:spacing w:after="40"/>
      </w:pPr>
    </w:p>
    <w:p>
      <w:pPr>
        <w:pStyle w:val="Heading3"/>
      </w:pPr>
      <w:r>
        <w:t>15. Secuencia recomendada para decisiones posteriores</w:t>
      </w:r>
    </w:p>
    <w:p>
      <w:pPr>
        <w:spacing w:after="40"/>
      </w:pPr>
    </w:p>
    <w:p>
      <w:pPr>
        <w:pStyle w:val="ListNumber"/>
      </w:pPr>
      <w:r>
        <w:t>Resolver RA-ONT-C01 a C03: capas y versionado.</w:t>
      </w:r>
    </w:p>
    <w:p>
      <w:pPr>
        <w:pStyle w:val="ListNumber"/>
      </w:pPr>
      <w:r>
        <w:t>Crear diccionario formal y resolver RA-ONT-C04 a C06.</w:t>
      </w:r>
    </w:p>
    <w:p>
      <w:pPr>
        <w:pStyle w:val="ListNumber"/>
      </w:pPr>
      <w:r>
        <w:t>Definir contrato matemático RA-ONT-C07 sin decidir todavía fórmulas.</w:t>
      </w:r>
    </w:p>
    <w:p>
      <w:pPr>
        <w:pStyle w:val="ListNumber"/>
      </w:pPr>
      <w:r>
        <w:t>Diseñar el modelo de instrumentos y datos manuales.</w:t>
      </w:r>
    </w:p>
    <w:p>
      <w:pPr>
        <w:pStyle w:val="ListNumber"/>
      </w:pPr>
      <w:r>
        <w:t>Modularizar y crear esquema lógico.</w:t>
      </w:r>
    </w:p>
    <w:p>
      <w:pPr>
        <w:pStyle w:val="ListNumber"/>
      </w:pPr>
      <w:r>
        <w:t>Solo entonces implementar software o serialización formal.</w:t>
      </w:r>
    </w:p>
    <w:p>
      <w:pPr>
        <w:spacing w:after="40"/>
      </w:pPr>
    </w:p>
    <w:p>
      <w:r>
        <w:t>Esta secuencia es una recomendación de ingeniería. Cada incorporación a la ontología debe quedar autorizada por una decisión oficial y registrada con análisis de impacto.</w:t>
      </w:r>
    </w:p>
    <w:p>
      <w:r>
        <w:br w:type="page"/>
      </w:r>
    </w:p>
    <w:p>
      <w:pPr>
        <w:pStyle w:val="Heading1"/>
        <w:keepNext/>
      </w:pPr>
      <w:r>
        <w:t>Fuente 124: 10_Manual_piloto/README.md</w:t>
      </w:r>
    </w:p>
    <w:p>
      <w:pPr>
        <w:spacing w:after="200"/>
      </w:pPr>
      <w:r>
        <w:rPr>
          <w:rFonts w:ascii="Consolas" w:hAnsi="Consolas"/>
          <w:color w:val="595959"/>
          <w:sz w:val="16"/>
        </w:rPr>
        <w:t>Ruta: 10_Manual_piloto/README.md</w:t>
        <w:br/>
        <w:t>Tamaño: 162 bytes</w:t>
        <w:br/>
        <w:t>SHA-256: 18bbecd9ad74d05d06c6be747f9ca236987edd4ac78d9c464c6d1440425bc483</w:t>
      </w:r>
    </w:p>
    <w:p>
      <w:pPr>
        <w:pStyle w:val="Heading2"/>
      </w:pPr>
      <w:r>
        <w:t>Manuales piloto</w:t>
      </w:r>
    </w:p>
    <w:p>
      <w:pPr>
        <w:spacing w:after="40"/>
      </w:pPr>
    </w:p>
    <w:p>
      <w:r>
        <w:t>Contenedor de protocolos y manuales de aplicación por categoría. Bloqueado: requiere diseño piloto y componentes del núcleo aprobados.</w:t>
      </w:r>
    </w:p>
    <w:p>
      <w:r>
        <w:br w:type="page"/>
      </w:r>
    </w:p>
    <w:p>
      <w:pPr>
        <w:pStyle w:val="Heading1"/>
        <w:keepNext/>
      </w:pPr>
      <w:r>
        <w:t>Fuente 125: 11_Validacion/README.md</w:t>
      </w:r>
    </w:p>
    <w:p>
      <w:pPr>
        <w:spacing w:after="200"/>
      </w:pPr>
      <w:r>
        <w:rPr>
          <w:rFonts w:ascii="Consolas" w:hAnsi="Consolas"/>
          <w:color w:val="595959"/>
          <w:sz w:val="16"/>
        </w:rPr>
        <w:t>Ruta: 11_Validacion/README.md</w:t>
        <w:br/>
        <w:t>Tamaño: 153 bytes</w:t>
        <w:br/>
        <w:t>SHA-256: 9e9d9079e18d26185d0de027c6fa736f343dc072dff8097807e703759eed81e7</w:t>
      </w:r>
    </w:p>
    <w:p>
      <w:pPr>
        <w:pStyle w:val="Heading2"/>
      </w:pPr>
      <w:r>
        <w:t>Validación</w:t>
      </w:r>
    </w:p>
    <w:p>
      <w:pPr>
        <w:spacing w:after="40"/>
      </w:pPr>
    </w:p>
    <w:p>
      <w:r>
        <w:t>Contenedor del plano T3 propuesto en D-005. Bloqueado: el comité debe ratificar la compuerta y sus criterios verificables de salida.</w:t>
      </w:r>
    </w:p>
    <w:p>
      <w:r>
        <w:br w:type="page"/>
      </w:r>
    </w:p>
    <w:p>
      <w:pPr>
        <w:pStyle w:val="Heading1"/>
        <w:keepNext/>
      </w:pPr>
      <w:r>
        <w:t>Fuente 126: 12_Tesis/ensamblaje/Matriz_capitulo_evidencia_aprobada.md</w:t>
      </w:r>
    </w:p>
    <w:p>
      <w:pPr>
        <w:spacing w:after="200"/>
      </w:pPr>
      <w:r>
        <w:rPr>
          <w:rFonts w:ascii="Consolas" w:hAnsi="Consolas"/>
          <w:color w:val="595959"/>
          <w:sz w:val="16"/>
        </w:rPr>
        <w:t>Ruta: 12_Tesis/ensamblaje/Matriz_capitulo_evidencia_aprobada.md</w:t>
        <w:br/>
        <w:t>Tamaño: 30201 bytes</w:t>
        <w:br/>
        <w:t>SHA-256: c4b9b74f5a315b7f77fc0b61977c8ca5be545eab4de3b49b9b0e875405caef1f</w:t>
      </w:r>
    </w:p>
    <w:p>
      <w:pPr>
        <w:pStyle w:val="Heading2"/>
      </w:pPr>
      <w:r>
        <w:t>Matriz capítulo–evidencia aprobada de la tesis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GOEI-THS-EVD-0001 |</w:t>
      </w:r>
    </w:p>
    <w:p>
      <w:pPr>
        <w:spacing w:after="20" w:line="240" w:lineRule="auto"/>
      </w:pPr>
      <w:r>
        <w:rPr>
          <w:rFonts w:ascii="Consolas" w:hAnsi="Consolas"/>
          <w:sz w:val="14"/>
        </w:rPr>
        <w:t>| Versión documental | 1.0.0 |</w:t>
      </w:r>
    </w:p>
    <w:p>
      <w:pPr>
        <w:spacing w:after="20" w:line="240" w:lineRule="auto"/>
      </w:pPr>
      <w:r>
        <w:rPr>
          <w:rFonts w:ascii="Consolas" w:hAnsi="Consolas"/>
          <w:sz w:val="14"/>
        </w:rPr>
        <w:t>| Requisito raíz | GOEI-THS-REQ-0001 / GOEI-DIR-0002 |</w:t>
      </w:r>
    </w:p>
    <w:p>
      <w:pPr>
        <w:spacing w:after="20" w:line="240" w:lineRule="auto"/>
      </w:pPr>
      <w:r>
        <w:rPr>
          <w:rFonts w:ascii="Consolas" w:hAnsi="Consolas"/>
          <w:sz w:val="14"/>
        </w:rPr>
        <w:t>| Propósito | Controlar qué material puede ensamblarse en cada capítulo sin convertir hipótesis, propuestas o borradores en resultados científicos |</w:t>
      </w:r>
    </w:p>
    <w:p>
      <w:pPr>
        <w:spacing w:after="20" w:line="240" w:lineRule="auto"/>
      </w:pPr>
      <w:r>
        <w:rPr>
          <w:rFonts w:ascii="Consolas" w:hAnsi="Consolas"/>
          <w:sz w:val="14"/>
        </w:rPr>
        <w:t>| Fuente de autoridad | `00_Gobernanza/Registro_de_decisiones.md` y releases/baselines oficialmente aprobadas |</w:t>
      </w:r>
    </w:p>
    <w:p>
      <w:pPr>
        <w:spacing w:after="20" w:line="240" w:lineRule="auto"/>
      </w:pPr>
      <w:r>
        <w:rPr>
          <w:rFonts w:ascii="Consolas" w:hAnsi="Consolas"/>
          <w:sz w:val="14"/>
        </w:rPr>
        <w:t>| Regla | La existencia de un archivo no prueba aprobación científica |</w:t>
      </w:r>
    </w:p>
    <w:p>
      <w:pPr>
        <w:spacing w:after="40"/>
      </w:pPr>
    </w:p>
    <w:p>
      <w:pPr>
        <w:pStyle w:val="Heading3"/>
      </w:pPr>
      <w:r>
        <w:t>1. Criterios de uso</w:t>
      </w:r>
    </w:p>
    <w:p>
      <w:pPr>
        <w:spacing w:after="40"/>
      </w:pPr>
    </w:p>
    <w:p>
      <w:r>
        <w:t>Estados empleados:</w:t>
      </w:r>
    </w:p>
    <w:p>
      <w:pPr>
        <w:spacing w:after="40"/>
      </w:pPr>
    </w:p>
    <w:p>
      <w:pPr>
        <w:pStyle w:val="ListBullet"/>
      </w:pPr>
      <w:r>
        <w:t>Aprobado: existe decisión científica o directiva competente que autoriza reutilizar el resultado con sus límites declarados.</w:t>
      </w:r>
    </w:p>
    <w:p>
      <w:pPr>
        <w:pStyle w:val="ListBullet"/>
      </w:pPr>
      <w:r>
        <w:t>Provisional: existe análisis o decisión expresamente provisional; solo puede narrarse como antecedente, hipótesis o trabajo en curso.</w:t>
      </w:r>
    </w:p>
    <w:p>
      <w:pPr>
        <w:pStyle w:val="ListBullet"/>
      </w:pPr>
      <w:r>
        <w:t>Ausente: no existe evidencia canónica suficiente para redactar el resultado exigido.</w:t>
      </w:r>
    </w:p>
    <w:p>
      <w:pPr>
        <w:pStyle w:val="ListBullet"/>
      </w:pPr>
      <w:r>
        <w:t>Cuarentena: existe texto, pero una auditoría formal impide reutilizar sus afirmaciones científicas hasta reconstruirlas desde fuentes aprobadas.</w:t>
      </w:r>
    </w:p>
    <w:p>
      <w:pPr>
        <w:spacing w:after="40"/>
      </w:pPr>
    </w:p>
    <w:p>
      <w:r>
        <w:t>La columna Texto reutilizable de forma segura delimita el tipo de afirmación admisible; no constituye prosa de tesis. Una fila Aprobado puede conservar pendientes explícitos. Ninguna fila autoriza inferir datos, resultados, KPI, fórmulas, categorías o conclusiones no registrados.</w:t>
      </w:r>
    </w:p>
    <w:p>
      <w:pPr>
        <w:spacing w:after="40"/>
      </w:pPr>
    </w:p>
    <w:p>
      <w:pPr>
        <w:pStyle w:val="Heading3"/>
      </w:pPr>
      <w:r>
        <w:t>2. Tomo I — Fundamentos científicos</w:t>
      </w:r>
    </w:p>
    <w:p>
      <w:pPr>
        <w:spacing w:after="40"/>
      </w:pPr>
    </w:p>
    <w:p>
      <w:pPr>
        <w:pStyle w:val="Heading4"/>
      </w:pPr>
      <w:r>
        <w:t>Capítulo 1 — Introducción</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Contexto mundial, latinoamericano y nacional | `01_Estado_del_arte/Informe_Comite_Evaluador_GOEI.md`; revisiones H1 | D-001, D-002 | Provisional | Describir el problema como hipótesis de integración y especificidad de dominio, distinguiendo los tres contextos solo cuando tengan fuentes verificadas | No existe revisión contextual cerrada ni registro bibliográfico poblado y verificado |</w:t>
      </w:r>
    </w:p>
    <w:p>
      <w:pPr>
        <w:spacing w:after="20" w:line="240" w:lineRule="auto"/>
      </w:pPr>
      <w:r>
        <w:rPr>
          <w:rFonts w:ascii="Consolas" w:hAnsi="Consolas"/>
          <w:sz w:val="14"/>
        </w:rPr>
        <w:t>| Problema de investigación y brecha científica | Informe del Comité; `Fase0_H1_Revision_Constructo_Salud_Operacional.md` | D-001, D-002 | Provisional | Indicar que se investiga una posible brecha de integración: multidimensionalidad, comparabilidad, auditabilidad y aplicabilidad manual; no afirmar vacío definitivo | Fase A y revisión sistemática pendientes |</w:t>
      </w:r>
    </w:p>
    <w:p>
      <w:pPr>
        <w:spacing w:after="20" w:line="240" w:lineRule="auto"/>
      </w:pPr>
      <w:r>
        <w:rPr>
          <w:rFonts w:ascii="Consolas" w:hAnsi="Consolas"/>
          <w:sz w:val="14"/>
        </w:rPr>
        <w:t>| Justificación científica, académica, empresarial, económica, tecnológica y social | Informe del Comité; Plan Maestro | D-001; GOEI-DIR-0002 solo fija cobertura | Provisional | Reutilizar el dictamen de continuidad condicionada y separar cada clase de justificación como materia por demostrar | Evidencia específica por clase de justificación no cerrada |</w:t>
      </w:r>
    </w:p>
    <w:p>
      <w:pPr>
        <w:spacing w:after="20" w:line="240" w:lineRule="auto"/>
      </w:pPr>
      <w:r>
        <w:rPr>
          <w:rFonts w:ascii="Consolas" w:hAnsi="Consolas"/>
          <w:sz w:val="14"/>
        </w:rPr>
        <w:t>| Objetivo general y objetivos específicos | Plan Maestro; `00_Gobernanza/Estado_de_respondibilidad_7_preguntas.md` | GOEI-DIR-0002 | Provisional | Reutilizar únicamente objetivos formalmente aprobados por la autoridad científica/académica; el plan fija su presencia, no su formulación | No hay decisión científica canónica que cierre objetivos de tesis |</w:t>
      </w:r>
    </w:p>
    <w:p>
      <w:pPr>
        <w:spacing w:after="20" w:line="240" w:lineRule="auto"/>
      </w:pPr>
      <w:r>
        <w:rPr>
          <w:rFonts w:ascii="Consolas" w:hAnsi="Consolas"/>
          <w:sz w:val="14"/>
        </w:rPr>
        <w:t>| Preguntas de investigación e hipótesis | D-001 a D-007; registro de preguntas abiertas | D-001, D-002, D-003, D-007 | Provisional | Presentar H1–H5 y el vacío conceptual/núcleo de procesos expresamente como preguntas o hipótesis con su estado | Falta consolidación y aprobación del sistema definitivo de preguntas/hipótesis |</w:t>
      </w:r>
    </w:p>
    <w:p>
      <w:pPr>
        <w:spacing w:after="20" w:line="240" w:lineRule="auto"/>
      </w:pPr>
      <w:r>
        <w:rPr>
          <w:rFonts w:ascii="Consolas" w:hAnsi="Consolas"/>
          <w:sz w:val="14"/>
        </w:rPr>
        <w:t>| Alcances, limitaciones y supuestos | Registros de decisiones; Constitución estructural | D-001 a D-007 | Provisional | Reutilizar las limitaciones y pendientes literalmente trazados por cada decisión, sin transformarlos en alcances cerrados | Unidad de análisis, alcance comercial/no comercial y constructo sin cierre |</w:t>
      </w:r>
    </w:p>
    <w:p>
      <w:pPr>
        <w:spacing w:after="20" w:line="240" w:lineRule="auto"/>
      </w:pPr>
      <w:r>
        <w:rPr>
          <w:rFonts w:ascii="Consolas" w:hAnsi="Consolas"/>
          <w:sz w:val="14"/>
        </w:rPr>
        <w:t>| Definiciones preliminares | Ontología Baseline v0.1; D-003/D-004 | D-006, D-006-REV; D-003/D-004 | Provisional | Usar conceptos ontológicos aprobados con su plano type/token; marcar el nombre del constructo como no resuelto | Ratificaciones ontológicas y elección terminológica pendientes |</w:t>
      </w:r>
    </w:p>
    <w:p>
      <w:pPr>
        <w:spacing w:after="20" w:line="240" w:lineRule="auto"/>
      </w:pPr>
      <w:r>
        <w:rPr>
          <w:rFonts w:ascii="Consolas" w:hAnsi="Consolas"/>
          <w:sz w:val="14"/>
        </w:rPr>
        <w:t>| Estructura de la investigación | `PLAN_MAESTRO_DIRECTORAL_GOEI.md`; arquitectura derivada | GOEI-DIR-0002 | Aprobado | Describir cuatro tomos, 17 capítulos y anexos como arquitectura mínima directoral, no como prueba de contenido completo | Ninguno para la estructura; contenido sujeto a todas las compuertas |</w:t>
      </w:r>
    </w:p>
    <w:p>
      <w:pPr>
        <w:spacing w:after="40"/>
      </w:pPr>
    </w:p>
    <w:p>
      <w:pPr>
        <w:pStyle w:val="Heading4"/>
      </w:pPr>
      <w:r>
        <w:t>Capítulo 2 — Estado del arte</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Metodología de revisión sistemática y PRISMA | `Fase0_H1_Revision_Constructo_Salud_Operacional.md`; `FaseB_B1_Revision_sistematica_procesos_universales.md` | D-002, D-007 | Provisional | Describir exactamente los métodos realmente ejecutados y reconocer cuándo una revisión fue amplia pero no PRISMA-formal | Protocolo reproducible, diagrama PRISMA y cierre científico ausentes |</w:t>
      </w:r>
    </w:p>
    <w:p>
      <w:pPr>
        <w:spacing w:after="20" w:line="240" w:lineRule="auto"/>
      </w:pPr>
      <w:r>
        <w:rPr>
          <w:rFonts w:ascii="Consolas" w:hAnsi="Consolas"/>
          <w:sz w:val="14"/>
        </w:rPr>
        <w:t>| Bases de datos, criterios y estrategia de búsqueda | Documentos de revisión existentes | D-002, D-007 | Provisional | Reutilizar solo bases, criterios y cadenas documentados de manera verificable en cada expediente | Registro bibliográfico canónico está estructurado pero sin población completa/verificada |</w:t>
      </w:r>
    </w:p>
    <w:p>
      <w:pPr>
        <w:spacing w:after="20" w:line="240" w:lineRule="auto"/>
      </w:pPr>
      <w:r>
        <w:rPr>
          <w:rFonts w:ascii="Consolas" w:hAnsi="Consolas"/>
          <w:sz w:val="14"/>
        </w:rPr>
        <w:t>| Estudios seleccionados y síntesis de evidencia | Revisiones H1, D-003, D-004 y B1 | D-002 a D-004, D-007 | Provisional | Sintetizar hallazgos atribuidos a sus fuentes y mantener separadas evidencia y decisión | Selección no consolidada; verificación y anotación bibliográfica pendientes |</w:t>
      </w:r>
    </w:p>
    <w:p>
      <w:pPr>
        <w:spacing w:after="20" w:line="240" w:lineRule="auto"/>
      </w:pPr>
      <w:r>
        <w:rPr>
          <w:rFonts w:ascii="Consolas" w:hAnsi="Consolas"/>
          <w:sz w:val="14"/>
        </w:rPr>
        <w:t>| Comparación de BSC, OEE, DEA, SCOR, Lean, Six Sigma y EFQM | Informe del Comité y revisiones conceptuales | D-001 a D-003 | Provisional | Presentar únicamente comparaciones explícitas de los expedientes, con autoría y límites | Cobertura desigual; faltan expedientes comparativos cerrados para varias familias |</w:t>
      </w:r>
    </w:p>
    <w:p>
      <w:pPr>
        <w:spacing w:after="20" w:line="240" w:lineRule="auto"/>
      </w:pPr>
      <w:r>
        <w:rPr>
          <w:rFonts w:ascii="Consolas" w:hAnsi="Consolas"/>
          <w:sz w:val="14"/>
        </w:rPr>
        <w:t>| Comparación de ISO, SERVQUAL, DINESERV, RevPASH, Yield y Revenue Management | Informe del Comité y H1 | D-001, D-002 | Provisional | Usar como antecedentes parciales, sin afirmar exhaustividad ni equivalencia descartada definitivamente | Revisión sistemática y fuentes verificadas pendientes |</w:t>
      </w:r>
    </w:p>
    <w:p>
      <w:pPr>
        <w:spacing w:after="20" w:line="240" w:lineRule="auto"/>
      </w:pPr>
      <w:r>
        <w:rPr>
          <w:rFonts w:ascii="Consolas" w:hAnsi="Consolas"/>
          <w:sz w:val="14"/>
        </w:rPr>
        <w:t>| Índices compuestos, OECD/JRC, HACCP y modelos gastronómicos | Informe del Comité; D-004; revisión B1 | D-001, D-004, D-007 | Provisional | Explicar que informan requisitos de diseño, referencias y no compensación; no derivar el modelo GOEI | Evidencia no integrada en una revisión sistemática final |</w:t>
      </w:r>
    </w:p>
    <w:p>
      <w:pPr>
        <w:spacing w:after="20" w:line="240" w:lineRule="auto"/>
      </w:pPr>
      <w:r>
        <w:rPr>
          <w:rFonts w:ascii="Consolas" w:hAnsi="Consolas"/>
          <w:sz w:val="14"/>
        </w:rPr>
        <w:t>| Conclusiones del estado del arte | Ninguna revisión integral cerrada | Ninguna decisión de cierre | Ausente | Solo es seguro declarar que la evidencia disponible es parcial y que las conclusiones definitivas están pendientes | Cierre de revisión y aprobación del Comité Científico |</w:t>
      </w:r>
    </w:p>
    <w:p>
      <w:pPr>
        <w:spacing w:after="40"/>
      </w:pPr>
    </w:p>
    <w:p>
      <w:pPr>
        <w:pStyle w:val="Heading4"/>
      </w:pPr>
      <w:r>
        <w:t>Capítulo 3 — Marco teórico</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Sistemas, organizaciones, operaciones y gestión operacional | H1; D-003; Ontología Baseline v0.1 | D-002, D-003, D-006 | Provisional | Reutilizar conceptos explícitamente definidos y referenciados; separar marco bibliográfico de compromisos ontológicos | Bibliografía anotada y marco teórico integrador no aprobados |</w:t>
      </w:r>
    </w:p>
    <w:p>
      <w:pPr>
        <w:spacing w:after="20" w:line="240" w:lineRule="auto"/>
      </w:pPr>
      <w:r>
        <w:rPr>
          <w:rFonts w:ascii="Consolas" w:hAnsi="Consolas"/>
          <w:sz w:val="14"/>
        </w:rPr>
        <w:t>| Salud operacional, productividad, eficiencia y eficacia | H1; D-003; D-004 | D-002, D-003, D-004 | Provisional | Exponer la controversia salud/condición/eficiencia y la rectificación sobre índices formativos | Elección estratégica del constructo y acrónimo pendiente |</w:t>
      </w:r>
    </w:p>
    <w:p>
      <w:pPr>
        <w:spacing w:after="20" w:line="240" w:lineRule="auto"/>
      </w:pPr>
      <w:r>
        <w:rPr>
          <w:rFonts w:ascii="Consolas" w:hAnsi="Consolas"/>
          <w:sz w:val="14"/>
        </w:rPr>
        <w:t>| Calidad, KPI, constructos e índices compuestos | Informe del Comité; D-003/D-004; Ontología | D-001, D-003, D-004, D-006 | Provisional | Explicar naturaleza formativa y separación KPI type/token; no definir catálogo ni fórmula GOEI | B3–B8 no iniciadas; aparato de validación por ratificar |</w:t>
      </w:r>
    </w:p>
    <w:p>
      <w:pPr>
        <w:spacing w:after="20" w:line="240" w:lineRule="auto"/>
      </w:pPr>
      <w:r>
        <w:rPr>
          <w:rFonts w:ascii="Consolas" w:hAnsi="Consolas"/>
          <w:sz w:val="14"/>
        </w:rPr>
        <w:t>| Procesos, recursos y eventos | Ontología Baseline v0.1; MetaModelo Universal de Procesos | D-006, D-006-REV; EPIC-002 es desarrollo técnico | Aprobado | Describir entidades y relaciones del lenguaje conceptual, aclarando que el metamodelo no selecciona procesos gastronómicos | Adopción normativa del metamodelo y catálogo B1 pendientes |</w:t>
      </w:r>
    </w:p>
    <w:p>
      <w:pPr>
        <w:spacing w:after="20" w:line="240" w:lineRule="auto"/>
      </w:pPr>
      <w:r>
        <w:rPr>
          <w:rFonts w:ascii="Consolas" w:hAnsi="Consolas"/>
          <w:sz w:val="14"/>
        </w:rPr>
        <w:t>| Ontologías, taxonomías e ingeniería del conocimiento | D-006, D-006-REV; EPIC-001 | D-006, D-006-REV; EPIC-001 técnico | Aprobado | Explicar compromisos ontológicos, estratos, vistas, type/token y trazabilidad; presentar EPIC-001 como implementación técnica | Taxonomía científica B2 ausente; ratificaciones D-006 pendientes |</w:t>
      </w:r>
    </w:p>
    <w:p>
      <w:pPr>
        <w:spacing w:after="20" w:line="240" w:lineRule="auto"/>
      </w:pPr>
      <w:r>
        <w:rPr>
          <w:rFonts w:ascii="Consolas" w:hAnsi="Consolas"/>
          <w:sz w:val="14"/>
        </w:rPr>
        <w:t>| Arquitectura empresarial y frameworks internacionales | D-005 y su expediente | D-005 | Provisional | Presentar la arquitectura por capas como propuesta adoptada provisionalmente y sus referencias de diseño | Ratificación D-005 y decisiones de conformidad/gobernanza pendientes |</w:t>
      </w:r>
    </w:p>
    <w:p>
      <w:pPr>
        <w:spacing w:after="40"/>
      </w:pPr>
    </w:p>
    <w:p>
      <w:pPr>
        <w:pStyle w:val="Heading4"/>
      </w:pPr>
      <w:r>
        <w:t>Capítulo 4 — Modelo conceptual</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Constructo y definición oficial | D-003 y rectificación D-004 | D-003, D-004 | Provisional | Exponer alternativas y confirmar únicamente que un índice formativo de salud es metodológicamente admisible | Nombre, alcance, referencia y tensión GOEI/Efficiency sin decisión final |</w:t>
      </w:r>
    </w:p>
    <w:p>
      <w:pPr>
        <w:spacing w:after="20" w:line="240" w:lineRule="auto"/>
      </w:pPr>
      <w:r>
        <w:rPr>
          <w:rFonts w:ascii="Consolas" w:hAnsi="Consolas"/>
          <w:sz w:val="14"/>
        </w:rPr>
        <w:t>| Alcance y límites | D-001 a D-006-REV | Decisiones indicadas | Provisional | Compilar límites declarados: unidad, periodo, referencia, tecnología independiente y no compensación | Unidad de análisis y alcance poblacional pendientes |</w:t>
      </w:r>
    </w:p>
    <w:p>
      <w:pPr>
        <w:spacing w:after="20" w:line="240" w:lineRule="auto"/>
      </w:pPr>
      <w:r>
        <w:rPr>
          <w:rFonts w:ascii="Consolas" w:hAnsi="Consolas"/>
          <w:sz w:val="14"/>
        </w:rPr>
        <w:t>| Ontología | Baseline `GOEI_ONT_v0.1`; manifiesto y política issue-only | D-006, D-006-REV | Aprobado | Incorporar la baseline congelada como versión 0.1, incluyendo límites, axiomas y pendientes | Ratificaciones identificadas; cualquier cambio exige Issue |</w:t>
      </w:r>
    </w:p>
    <w:p>
      <w:pPr>
        <w:spacing w:after="20" w:line="240" w:lineRule="auto"/>
      </w:pPr>
      <w:r>
        <w:rPr>
          <w:rFonts w:ascii="Consolas" w:hAnsi="Consolas"/>
          <w:sz w:val="14"/>
        </w:rPr>
        <w:t>| Taxonomía | `03_Taxonomia_negocios/README.md`; menciones no aprobadas en manuscrito | Ninguna | Ausente | Ninguna clasificación puede presentarse como taxonomía GOEI | B2 no iniciada/cerrada |</w:t>
      </w:r>
    </w:p>
    <w:p>
      <w:pPr>
        <w:spacing w:after="20" w:line="240" w:lineRule="auto"/>
      </w:pPr>
      <w:r>
        <w:rPr>
          <w:rFonts w:ascii="Consolas" w:hAnsi="Consolas"/>
          <w:sz w:val="14"/>
        </w:rPr>
        <w:t>| Arquitectura conceptual y relaciones | D-005; D-006/D-006-REV; EPIC-001 | D-005 provisional; D-006/D-006-REV | Provisional | Reutilizar relaciones ontológicas aprobadas y etiquetar arquitectura D-005 como provisional | Ratificación arquitectónica y taxonomía ausente |</w:t>
      </w:r>
    </w:p>
    <w:p>
      <w:pPr>
        <w:spacing w:after="20" w:line="240" w:lineRule="auto"/>
      </w:pPr>
      <w:r>
        <w:rPr>
          <w:rFonts w:ascii="Consolas" w:hAnsi="Consolas"/>
          <w:sz w:val="14"/>
        </w:rPr>
        <w:t>| Hipótesis conceptuales | D-002 a D-004, D-007 | Decisiones respectivas | Provisional | Enumerar hipótesis con su estado y criterios de falsación/validación ya documentados | No existe decisión de cierre |</w:t>
      </w:r>
    </w:p>
    <w:p>
      <w:pPr>
        <w:spacing w:after="20" w:line="240" w:lineRule="auto"/>
      </w:pPr>
      <w:r>
        <w:rPr>
          <w:rFonts w:ascii="Consolas" w:hAnsi="Consolas"/>
          <w:sz w:val="14"/>
        </w:rPr>
        <w:t>| Modelo conceptual final | Ningún artefacto aprobado como final | Ninguna | Ausente | No usar la palabra “final”; solo puede mostrarse un modelo de trabajo versionado | Fase A, B1 y B2 abiertas |</w:t>
      </w:r>
    </w:p>
    <w:p>
      <w:pPr>
        <w:spacing w:after="40"/>
      </w:pPr>
    </w:p>
    <w:p>
      <w:pPr>
        <w:pStyle w:val="Heading3"/>
      </w:pPr>
      <w:r>
        <w:t>3. Tomo II — Construcción del GOEI</w:t>
      </w:r>
    </w:p>
    <w:p>
      <w:pPr>
        <w:spacing w:after="40"/>
      </w:pPr>
    </w:p>
    <w:p>
      <w:pPr>
        <w:pStyle w:val="Heading4"/>
      </w:pPr>
      <w:r>
        <w:t>Capítulo 5 — Arquitectura del GOEI</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Filosofía, principios y objetivos | Constitución estructural; Oficina Técnica; Plan Maestro institucional | Directivas institucionales; D-001/D-005 parciales | Provisional | Describir principios de gobierno y límites de autoridad; no atribuirles validación científica del constructo | Constitución solo estructural y fundamentos sin cierre |</w:t>
      </w:r>
    </w:p>
    <w:p>
      <w:pPr>
        <w:spacing w:after="20" w:line="240" w:lineRule="auto"/>
      </w:pPr>
      <w:r>
        <w:rPr>
          <w:rFonts w:ascii="Consolas" w:hAnsi="Consolas"/>
          <w:sz w:val="14"/>
        </w:rPr>
        <w:t>| Framework y arquitectura documental | Arquitecturas documental/del repositorio; D-005 | D-005 provisional; directivas técnicas | Provisional | Documentar organización vigente del repositorio y propuesta científica por capas por separado | Ratificación científica de D-005 |</w:t>
      </w:r>
    </w:p>
    <w:p>
      <w:pPr>
        <w:spacing w:after="20" w:line="240" w:lineRule="auto"/>
      </w:pPr>
      <w:r>
        <w:rPr>
          <w:rFonts w:ascii="Consolas" w:hAnsi="Consolas"/>
          <w:sz w:val="14"/>
        </w:rPr>
        <w:t>| Jerarquía documental y gobernanza | Constitución; matriz de autoridad; Oficina Técnica; convenciones | Directivas institucionales registradas | Aprobado | Reutilizar roles, competencias, jerarquía de autoridad y separación Comité/Oficina Técnica | Aprobaciones institucionales futuras pueden requerir actualización de versión |</w:t>
      </w:r>
    </w:p>
    <w:p>
      <w:pPr>
        <w:spacing w:after="20" w:line="240" w:lineRule="auto"/>
      </w:pPr>
      <w:r>
        <w:rPr>
          <w:rFonts w:ascii="Consolas" w:hAnsi="Consolas"/>
          <w:sz w:val="14"/>
        </w:rPr>
        <w:t>| Ciclo de vida y versionado | Políticas de versión, Git, releases y líneas base | Directivas técnicas vigentes | Aprobado | Describir el sistema técnico actual, sus estados, compuertas y trazabilidad | No equivale a una release científica validada |</w:t>
      </w:r>
    </w:p>
    <w:p>
      <w:pPr>
        <w:spacing w:after="40"/>
      </w:pPr>
    </w:p>
    <w:p>
      <w:pPr>
        <w:pStyle w:val="Heading4"/>
      </w:pPr>
      <w:r>
        <w:t>Capítulo 6 — Procesos universales</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Lenguaje para proceso, subproceso, actividad y evento | EPIC-002 MetaModelo Universal | Encargo EPIC-002; compatible con D-006/D-006-REV | Aprobado | Describir clases, atributos, relaciones, cardinalidades y ciclo de vida como lenguaje técnico | Falta promoción/adopción normativa si se exige como parte del Standard |</w:t>
      </w:r>
    </w:p>
    <w:p>
      <w:pPr>
        <w:spacing w:after="20" w:line="240" w:lineRule="auto"/>
      </w:pPr>
      <w:r>
        <w:rPr>
          <w:rFonts w:ascii="Consolas" w:hAnsi="Consolas"/>
          <w:sz w:val="14"/>
        </w:rPr>
        <w:t>| Lenguaje para recursos, entradas y salidas | EPIC-002; Ontología Baseline | D-006-REV; EPIC-002 técnico | Aprobado | Reutilizar tipos abstractos sin poblarlos con procesos o recursos gastronómicos no aprobados | Catálogo científico B1 ausente |</w:t>
      </w:r>
    </w:p>
    <w:p>
      <w:pPr>
        <w:spacing w:after="20" w:line="240" w:lineRule="auto"/>
      </w:pPr>
      <w:r>
        <w:rPr>
          <w:rFonts w:ascii="Consolas" w:hAnsi="Consolas"/>
          <w:sz w:val="14"/>
        </w:rPr>
        <w:t>| Lenguaje para riesgos y controles | EPIC-002 | EPIC-002 técnico | Aprobado | Describir las entidades del metamodelo, no controles concretos | Reglas/control científico por proceso ausentes |</w:t>
      </w:r>
    </w:p>
    <w:p>
      <w:pPr>
        <w:spacing w:after="20" w:line="240" w:lineRule="auto"/>
      </w:pPr>
      <w:r>
        <w:rPr>
          <w:rFonts w:ascii="Consolas" w:hAnsi="Consolas"/>
          <w:sz w:val="14"/>
        </w:rPr>
        <w:t>| Macroprocesos y procesos gastronómicos universales | D-007; revisión B1; propuesta D-008 no registrada como aprobada | D-007 provisional | Provisional | Narrar el núcleo P1–P6 y planos A–C solo como hipótesis sometida a revisión | GOEI-ISS-030; D-008 y cierre B1 pendientes |</w:t>
      </w:r>
    </w:p>
    <w:p>
      <w:pPr>
        <w:spacing w:after="20" w:line="240" w:lineRule="auto"/>
      </w:pPr>
      <w:r>
        <w:rPr>
          <w:rFonts w:ascii="Consolas" w:hAnsi="Consolas"/>
          <w:sz w:val="14"/>
        </w:rPr>
        <w:t>| Subprocesos, actividades, eventos, recursos, entradas, salidas, riesgos y controles poblados | Ningún catálogo normativo aprobado | Ninguna | Ausente | No es reutilizable contenido poblado como estándar | Depende de D-008/cierre B1 y posteriores modelados aprobados |</w:t>
      </w:r>
    </w:p>
    <w:p>
      <w:pPr>
        <w:spacing w:after="40"/>
      </w:pPr>
    </w:p>
    <w:p>
      <w:pPr>
        <w:pStyle w:val="Heading4"/>
      </w:pPr>
      <w:r>
        <w:t>Capítulo 7 — Taxonomía universal</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Principios y ejes taxonómicos | Solo preguntas/anticipaciones en D-006/D-007 | Ninguna decisión B2 | Ausente | Puede declararse que la taxonomía debe distinguir tipos y realizaciones; no definir ejes | B2 no iniciada |</w:t>
      </w:r>
    </w:p>
    <w:p>
      <w:pPr>
        <w:spacing w:after="20" w:line="240" w:lineRule="auto"/>
      </w:pPr>
      <w:r>
        <w:rPr>
          <w:rFonts w:ascii="Consolas" w:hAnsi="Consolas"/>
          <w:sz w:val="14"/>
        </w:rPr>
        <w:t>| Restaurantes, hoteles, fast food, cafeterías y dark kitchens | Enumeración del Plan Maestro; manuscrito en cuarentena | GOEI-DIR-0002 solo exige análisis | Cuarentena | Mencionar únicamente que son familias mínimas a investigar, no categorías GOEI | Decisión taxonómica B2 y evidencia de inclusión/exclusión ausentes |</w:t>
      </w:r>
    </w:p>
    <w:p>
      <w:pPr>
        <w:spacing w:after="20" w:line="240" w:lineRule="auto"/>
      </w:pPr>
      <w:r>
        <w:rPr>
          <w:rFonts w:ascii="Consolas" w:hAnsi="Consolas"/>
          <w:sz w:val="14"/>
        </w:rPr>
        <w:t>| Casinos, catering, food trucks, panaderías y otras categorías | Enumeración del Plan Maestro; manuscrito en cuarentena | GOEI-DIR-0002 solo exige análisis | Cuarentena | Igual: alcance de análisis, no taxonomía aprobada | B2 no iniciada |</w:t>
      </w:r>
    </w:p>
    <w:p>
      <w:pPr>
        <w:spacing w:after="20" w:line="240" w:lineRule="auto"/>
      </w:pPr>
      <w:r>
        <w:rPr>
          <w:rFonts w:ascii="Consolas" w:hAnsi="Consolas"/>
          <w:sz w:val="14"/>
        </w:rPr>
        <w:t>| Taxonomía universal completa | Ninguna baseline | Ninguna | Ausente | Ningún resultado reutilizable | Cierre B2 |</w:t>
      </w:r>
    </w:p>
    <w:p>
      <w:pPr>
        <w:spacing w:after="40"/>
      </w:pPr>
    </w:p>
    <w:p>
      <w:pPr>
        <w:pStyle w:val="Heading4"/>
      </w:pPr>
      <w:r>
        <w:t>Capítulo 8 — Catálogo universal de KPI</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Estructura de ficha KPI: nombre, definición, fuente, proceso, variables, unidad, fórmula, ventajas, límites, captura, frecuencia e interpretación | Ontología/MetaModel definen “Indicador” como entidad; Plan Maestro fija campos | D-006; GOEI-DIR-0002 | Aprobado | Reutilizar únicamente la estructura vacía y la distinción KPI type/token | No autoriza contenido KPI |</w:t>
      </w:r>
    </w:p>
    <w:p>
      <w:pPr>
        <w:spacing w:after="20" w:line="240" w:lineRule="auto"/>
      </w:pPr>
      <w:r>
        <w:rPr>
          <w:rFonts w:ascii="Consolas" w:hAnsi="Consolas"/>
          <w:sz w:val="14"/>
        </w:rPr>
        <w:t>| Inventario y catálogo universal de KPI | KPI prematuros en manuscrito auditado | Ninguna decisión B3 | Cuarentena | Ningún KPI del manuscrito puede presentarse como componente GOEI | B3 no iniciada, fuentes y admisibilidad ausentes |</w:t>
      </w:r>
    </w:p>
    <w:p>
      <w:pPr>
        <w:spacing w:after="20" w:line="240" w:lineRule="auto"/>
      </w:pPr>
      <w:r>
        <w:rPr>
          <w:rFonts w:ascii="Consolas" w:hAnsi="Consolas"/>
          <w:sz w:val="14"/>
        </w:rPr>
        <w:t>| Fichas KPI pobladas | Ninguna ficha aprobada | Ninguna | Ausente | Ningún contenido reutilizable | B3 y B4 cerradas |</w:t>
      </w:r>
    </w:p>
    <w:p>
      <w:pPr>
        <w:spacing w:after="40"/>
      </w:pPr>
    </w:p>
    <w:p>
      <w:pPr>
        <w:pStyle w:val="Heading4"/>
      </w:pPr>
      <w:r>
        <w:t>Capítulo 9 — Manual de admisibilidad de KPI</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Observabilidad, medibilidad, auditabilidad, comparabilidad y repetibilidad | Principios institucionales y Plan Maestro | GOEI-DIR-0002 fija cobertura; D-001 aporta condiciones generales | Provisional | Enumerar como requisitos candidatos/directorales, no como prueba de método aprobado | B4 no iniciada |</w:t>
      </w:r>
    </w:p>
    <w:p>
      <w:pPr>
        <w:spacing w:after="20" w:line="240" w:lineRule="auto"/>
      </w:pPr>
      <w:r>
        <w:rPr>
          <w:rFonts w:ascii="Consolas" w:hAnsi="Consolas"/>
          <w:sz w:val="14"/>
        </w:rPr>
        <w:t>| Universalidad, disponibilidad, costo, validez y confiabilidad | Plan Maestro y principios del proyecto | GOEI-DIR-0002 | Provisional | Presentar como materias obligatorias de evaluación futura | Definición operacional, umbrales y procedimiento ausentes |</w:t>
      </w:r>
    </w:p>
    <w:p>
      <w:pPr>
        <w:spacing w:after="20" w:line="240" w:lineRule="auto"/>
      </w:pPr>
      <w:r>
        <w:rPr>
          <w:rFonts w:ascii="Consolas" w:hAnsi="Consolas"/>
          <w:sz w:val="14"/>
        </w:rPr>
        <w:t>| Regla y matriz de admisibilidad | No existe decisión B4 | Ninguna | Ausente | Ningún método de aceptación/rechazo reutilizable | Cierre B4 y dependencia del catálogo B3 |</w:t>
      </w:r>
    </w:p>
    <w:p>
      <w:pPr>
        <w:spacing w:after="40"/>
      </w:pPr>
    </w:p>
    <w:p>
      <w:pPr>
        <w:pStyle w:val="Heading4"/>
      </w:pPr>
      <w:r>
        <w:t>Capítulo 10 — Sistema de normalización</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Escalas, conversión y homologación | Solo obligación general de escala común en principios; propuestas del manuscrito | Ninguna decisión B5/B6 | Cuarentena | Puede declararse el requisito de comparabilidad y escala común; no reutilizar transformaciones propuestas | B5/B6 no iniciadas |</w:t>
      </w:r>
    </w:p>
    <w:p>
      <w:pPr>
        <w:spacing w:after="20" w:line="240" w:lineRule="auto"/>
      </w:pPr>
      <w:r>
        <w:rPr>
          <w:rFonts w:ascii="Consolas" w:hAnsi="Consolas"/>
          <w:sz w:val="14"/>
        </w:rPr>
        <w:t>| Tratamiento de datos, outliers y valores faltantes | No existe especificación aprobada | Ninguna | Ausente | Ninguna regla reutilizable | B5/B6 y evidencia empírica |</w:t>
      </w:r>
    </w:p>
    <w:p>
      <w:pPr>
        <w:spacing w:after="20" w:line="240" w:lineRule="auto"/>
      </w:pPr>
      <w:r>
        <w:rPr>
          <w:rFonts w:ascii="Consolas" w:hAnsi="Consolas"/>
          <w:sz w:val="14"/>
        </w:rPr>
        <w:t>| Referencias y transformaciones | D-004/D-006 exigen condición de referencia; no la definen | D-004, D-006 | Provisional | Reutilizar únicamente que un índice de salud formativo debe definir referencia | Tipo, nivel y fórmula de referencia pendientes |</w:t>
      </w:r>
    </w:p>
    <w:p>
      <w:pPr>
        <w:spacing w:after="20" w:line="240" w:lineRule="auto"/>
      </w:pPr>
      <w:r>
        <w:rPr>
          <w:rFonts w:ascii="Consolas" w:hAnsi="Consolas"/>
          <w:sz w:val="14"/>
        </w:rPr>
        <w:t>| Sistema de normalización completo | Manuscrito en cuarentena | Ninguna | Cuarentena | Ningún algoritmo o parámetro reutilizable | Cierre B5–B6 |</w:t>
      </w:r>
    </w:p>
    <w:p>
      <w:pPr>
        <w:spacing w:after="40"/>
      </w:pPr>
    </w:p>
    <w:p>
      <w:pPr>
        <w:pStyle w:val="Heading4"/>
      </w:pPr>
      <w:r>
        <w:t>Capítulo 11 — Modelo matemático</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Naturaleza formativa y no compensación | D-003/D-004; AX-4/AX-7 de D-006 | D-003, D-004, D-006 | Aprobado | Afirmar que el modelo deberá respetar naturaleza formativa, completitud y restricciones críticas | Ratificación del aparato completo de validación sigue pendiente |</w:t>
      </w:r>
    </w:p>
    <w:p>
      <w:pPr>
        <w:spacing w:after="20" w:line="240" w:lineRule="auto"/>
      </w:pPr>
      <w:r>
        <w:rPr>
          <w:rFonts w:ascii="Consolas" w:hAnsi="Consolas"/>
          <w:sz w:val="14"/>
        </w:rPr>
        <w:t>| Ponderación y agregación | Propuestas en manuscrito en cuarentena | Ninguna decisión B7 | Cuarentena | Solo declarar que deberán decidirse y justificarse | B7 no iniciada |</w:t>
      </w:r>
    </w:p>
    <w:p>
      <w:pPr>
        <w:spacing w:after="20" w:line="240" w:lineRule="auto"/>
      </w:pPr>
      <w:r>
        <w:rPr>
          <w:rFonts w:ascii="Consolas" w:hAnsi="Consolas"/>
          <w:sz w:val="14"/>
        </w:rPr>
        <w:t>| Sensibilidad, robustez e incertidumbre | D-001 exige compromiso de robustez; Plan Maestro | D-001 condicionada | Provisional | Presentar como requisitos obligatorios de evaluación, no como resultados | Métodos y datos pendientes |</w:t>
      </w:r>
    </w:p>
    <w:p>
      <w:pPr>
        <w:spacing w:after="20" w:line="240" w:lineRule="auto"/>
      </w:pPr>
      <w:r>
        <w:rPr>
          <w:rFonts w:ascii="Consolas" w:hAnsi="Consolas"/>
          <w:sz w:val="14"/>
        </w:rPr>
        <w:t>| Fórmula GOEI e interpretación matemática | Fórmulas prematuras en manuscrito | Ninguna decisión B8 | Cuarentena | Ninguna fórmula, peso, umbral, banda o resultado reutilizable | B5–B8 y validación empírica |</w:t>
      </w:r>
    </w:p>
    <w:p>
      <w:pPr>
        <w:spacing w:after="40"/>
      </w:pPr>
    </w:p>
    <w:p>
      <w:pPr>
        <w:pStyle w:val="Heading3"/>
      </w:pPr>
      <w:r>
        <w:t>4. Tomo III — Validación</w:t>
      </w:r>
    </w:p>
    <w:p>
      <w:pPr>
        <w:spacing w:after="40"/>
      </w:pPr>
    </w:p>
    <w:p>
      <w:pPr>
        <w:pStyle w:val="Heading4"/>
      </w:pPr>
      <w:r>
        <w:t>Capítulo 12 — Metodología</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Paradigma, enfoque y diseño | Naturaleza formativa aprobada; planteamientos dispersos | D-003/D-004 | Provisional | Indicar que el diseño debe ser compatible con un índice formativo; no asignar paradigma o diseño no decidido | Protocolo B9 ausente |</w:t>
      </w:r>
    </w:p>
    <w:p>
      <w:pPr>
        <w:spacing w:after="20" w:line="240" w:lineRule="auto"/>
      </w:pPr>
      <w:r>
        <w:rPr>
          <w:rFonts w:ascii="Consolas" w:hAnsi="Consolas"/>
          <w:sz w:val="14"/>
        </w:rPr>
        <w:t>| Variables | No existe catálogo KPI/modelo aprobado | Ninguna | Ausente | Ninguna variable GOEI reutilizable | B3–B8 |</w:t>
      </w:r>
    </w:p>
    <w:p>
      <w:pPr>
        <w:spacing w:after="20" w:line="240" w:lineRule="auto"/>
      </w:pPr>
      <w:r>
        <w:rPr>
          <w:rFonts w:ascii="Consolas" w:hAnsi="Consolas"/>
          <w:sz w:val="14"/>
        </w:rPr>
        <w:t>| Población y muestra | No existe decisión metodológica | Ninguna | Ausente | Ningún tamaño, universo o muestreo reutilizable | Unidad de análisis, taxonomía y B9 |</w:t>
      </w:r>
    </w:p>
    <w:p>
      <w:pPr>
        <w:spacing w:after="20" w:line="240" w:lineRule="auto"/>
      </w:pPr>
      <w:r>
        <w:rPr>
          <w:rFonts w:ascii="Consolas" w:hAnsi="Consolas"/>
          <w:sz w:val="14"/>
        </w:rPr>
        <w:t>| Instrumentos y procedimientos | Estructuras técnicas/formularios futuros, sin contenido científico | Ninguna decisión B9 | Ausente | Solo describir que deberán ser manualmente aplicables, auditables y versionados | B9, B10 y estándar candidato |</w:t>
      </w:r>
    </w:p>
    <w:p>
      <w:pPr>
        <w:spacing w:after="40"/>
      </w:pPr>
    </w:p>
    <w:p>
      <w:pPr>
        <w:pStyle w:val="Heading4"/>
      </w:pPr>
      <w:r>
        <w:t>Capítulo 13 — Validación científica</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Validez de contenido y constructo | D-001/D-004 identifican su necesidad | D-001, D-004 | Provisional | Justificar que la completitud del dominio y la validez del constructo deben evaluarse | Procedimiento y resultados ausentes |</w:t>
      </w:r>
    </w:p>
    <w:p>
      <w:pPr>
        <w:spacing w:after="20" w:line="240" w:lineRule="auto"/>
      </w:pPr>
      <w:r>
        <w:rPr>
          <w:rFonts w:ascii="Consolas" w:hAnsi="Consolas"/>
          <w:sz w:val="14"/>
        </w:rPr>
        <w:t>| Validez convergente y discriminante | Plan Maestro exige evaluar aplicabilidad; GOEI-ISS-041 | GOEI-DIR-0002, sin decisión científica | Provisional | Declarar que no deben aplicarse automáticamente a un constructo formativo | Resolución GOEI-ISS-041 |</w:t>
      </w:r>
    </w:p>
    <w:p>
      <w:pPr>
        <w:spacing w:after="20" w:line="240" w:lineRule="auto"/>
      </w:pPr>
      <w:r>
        <w:rPr>
          <w:rFonts w:ascii="Consolas" w:hAnsi="Consolas"/>
          <w:sz w:val="14"/>
        </w:rPr>
        <w:t>| Confiabilidad y repetibilidad | Requisito directoral | GOEI-DIR-0002 | Provisional | Presentarlas como propiedades por operacionalizar y comprobar | Método, instrumentos y datos ausentes |</w:t>
      </w:r>
    </w:p>
    <w:p>
      <w:pPr>
        <w:spacing w:after="20" w:line="240" w:lineRule="auto"/>
      </w:pPr>
      <w:r>
        <w:rPr>
          <w:rFonts w:ascii="Consolas" w:hAnsi="Consolas"/>
          <w:sz w:val="14"/>
        </w:rPr>
        <w:t>| Robustez y sensibilidad | Condición D-001 y requisito directoral | D-001 | Provisional | Presentarlas como compuertas necesarias | Modelo y datos ausentes |</w:t>
      </w:r>
    </w:p>
    <w:p>
      <w:pPr>
        <w:spacing w:after="20" w:line="240" w:lineRule="auto"/>
      </w:pPr>
      <w:r>
        <w:rPr>
          <w:rFonts w:ascii="Consolas" w:hAnsi="Consolas"/>
          <w:sz w:val="14"/>
        </w:rPr>
        <w:t>| Resultados de validación | Ningún estudio ejecutado/aprobado | Ninguna | Ausente | Ningún resultado reutilizable | Fase D completa |</w:t>
      </w:r>
    </w:p>
    <w:p>
      <w:pPr>
        <w:spacing w:after="40"/>
      </w:pPr>
    </w:p>
    <w:p>
      <w:pPr>
        <w:pStyle w:val="Heading4"/>
      </w:pPr>
      <w:r>
        <w:t>Capítulo 14 — Casos piloto</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Caso 1 | Ningún expediente piloto aprobado | Ninguna | Ausente | Ningún caso o dato reutilizable | Estándar candidato, ética, instrumento, establecimiento y datos reales |</w:t>
      </w:r>
    </w:p>
    <w:p>
      <w:pPr>
        <w:spacing w:after="20" w:line="240" w:lineRule="auto"/>
      </w:pPr>
      <w:r>
        <w:rPr>
          <w:rFonts w:ascii="Consolas" w:hAnsi="Consolas"/>
          <w:sz w:val="14"/>
        </w:rPr>
        <w:t>| Caso 2 | Ningún expediente piloto aprobado | Ninguna | Ausente | Ningún caso o dato reutilizable | Igual que caso 1 |</w:t>
      </w:r>
    </w:p>
    <w:p>
      <w:pPr>
        <w:spacing w:after="20" w:line="240" w:lineRule="auto"/>
      </w:pPr>
      <w:r>
        <w:rPr>
          <w:rFonts w:ascii="Consolas" w:hAnsi="Consolas"/>
          <w:sz w:val="14"/>
        </w:rPr>
        <w:t>| Caso 3 | Ningún expediente piloto aprobado | Ninguna | Ausente | Ningún caso o dato reutilizable | Igual que caso 1 |</w:t>
      </w:r>
    </w:p>
    <w:p>
      <w:pPr>
        <w:spacing w:after="20" w:line="240" w:lineRule="auto"/>
      </w:pPr>
      <w:r>
        <w:rPr>
          <w:rFonts w:ascii="Consolas" w:hAnsi="Consolas"/>
          <w:sz w:val="14"/>
        </w:rPr>
        <w:t>| Comparación, resultados y análisis | Ningún resultado empírico | Ninguna | Ausente | Ninguna comparación o conclusión reutilizable | Ejecución y aprobación de los tres casos |</w:t>
      </w:r>
    </w:p>
    <w:p>
      <w:pPr>
        <w:spacing w:after="40"/>
      </w:pPr>
    </w:p>
    <w:p>
      <w:pPr>
        <w:pStyle w:val="Heading4"/>
      </w:pPr>
      <w:r>
        <w:t>Capítulo 15 — Discusión</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Interpretación y comparación con literatura | Manuscrito actual en cuarentena; sin resultados | Ninguna | Cuarentena | No reutilizar discusión que presuponga resultados o estándar cerrado | Capítulos 2 y 13–14 cerrados |</w:t>
      </w:r>
    </w:p>
    <w:p>
      <w:pPr>
        <w:spacing w:after="20" w:line="240" w:lineRule="auto"/>
      </w:pPr>
      <w:r>
        <w:rPr>
          <w:rFonts w:ascii="Consolas" w:hAnsi="Consolas"/>
          <w:sz w:val="14"/>
        </w:rPr>
        <w:t>| Fortalezas, debilidades y limitaciones | Limitaciones parciales en D-001–D-007 | Decisiones respectivas | Provisional | Reutilizar limitaciones históricas atribuidas a cada fase; no tratarlas como balance final | Resultado completo y validación pendientes |</w:t>
      </w:r>
    </w:p>
    <w:p>
      <w:pPr>
        <w:spacing w:after="20" w:line="240" w:lineRule="auto"/>
      </w:pPr>
      <w:r>
        <w:rPr>
          <w:rFonts w:ascii="Consolas" w:hAnsi="Consolas"/>
          <w:sz w:val="14"/>
        </w:rPr>
        <w:t>| Aplicaciones | Aspiraciones del Plan Maestro, no evidencia | GOEI-DIR-0002 solo fija cobertura | Ausente | Presentar aplicaciones solo como futuras líneas, si se aprueba | Estándar validado y evidencia de aplicabilidad |</w:t>
      </w:r>
    </w:p>
    <w:p>
      <w:pPr>
        <w:spacing w:after="40"/>
      </w:pPr>
    </w:p>
    <w:p>
      <w:pPr>
        <w:pStyle w:val="Heading4"/>
      </w:pPr>
      <w:r>
        <w:t>Capítulo 16 — Conclusiones</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Cumplimiento de objetivos | Manuscrito actual en cuarentena | Ninguna decisión final | Cuarentena | No afirmar cumplimiento | Objetivos aprobados y capítulos 1–15 cerrados |</w:t>
      </w:r>
    </w:p>
    <w:p>
      <w:pPr>
        <w:spacing w:after="20" w:line="240" w:lineRule="auto"/>
      </w:pPr>
      <w:r>
        <w:rPr>
          <w:rFonts w:ascii="Consolas" w:hAnsi="Consolas"/>
          <w:sz w:val="14"/>
        </w:rPr>
        <w:t>| Respuesta a hipótesis y preguntas | Algunas decisiones parciales responden ramas concretas | D-002, D-004, D-006 | Provisional | Registrar respuestas parciales con alcance exacto y pendientes | Sistema final de preguntas/hipótesis y validación incompletos |</w:t>
      </w:r>
    </w:p>
    <w:p>
      <w:pPr>
        <w:spacing w:after="20" w:line="240" w:lineRule="auto"/>
      </w:pPr>
      <w:r>
        <w:rPr>
          <w:rFonts w:ascii="Consolas" w:hAnsi="Consolas"/>
          <w:sz w:val="14"/>
        </w:rPr>
        <w:t>| Líneas futuras | Issues, roadmap y preguntas abiertas | Directivas técnicas | Aprobado | Reutilizar como agenda trazable, evitando presentarla como sustituto de conclusiones | Debe actualizarse al cierre de la tesis |</w:t>
      </w:r>
    </w:p>
    <w:p>
      <w:pPr>
        <w:spacing w:after="40"/>
      </w:pPr>
    </w:p>
    <w:p>
      <w:pPr>
        <w:pStyle w:val="Heading3"/>
      </w:pPr>
      <w:r>
        <w:t>5. Tomo IV — Estándar GOEI</w:t>
      </w:r>
    </w:p>
    <w:p>
      <w:pPr>
        <w:spacing w:after="40"/>
      </w:pPr>
    </w:p>
    <w:p>
      <w:pPr>
        <w:pStyle w:val="Heading4"/>
      </w:pPr>
      <w:r>
        <w:t>Capítulo 17 — GOEI Standard</w:t>
      </w:r>
    </w:p>
    <w:p>
      <w:pPr>
        <w:spacing w:after="40"/>
      </w:pPr>
    </w:p>
    <w:p>
      <w:pPr>
        <w:spacing w:after="20" w:line="240" w:lineRule="auto"/>
      </w:pPr>
      <w:r>
        <w:rPr>
          <w:rFonts w:ascii="Consolas" w:hAnsi="Consolas"/>
          <w:sz w:val="14"/>
        </w:rPr>
        <w:t>| Subcapítulo exigido | Evidencia canónica existente | Decisión de origen | Estado | Texto reutilizable de forma segura | Bloqueo |</w:t>
      </w:r>
    </w:p>
    <w:p>
      <w:pPr>
        <w:spacing w:after="20" w:line="240" w:lineRule="auto"/>
      </w:pPr>
      <w:r>
        <w:rPr>
          <w:rFonts w:ascii="Consolas" w:hAnsi="Consolas"/>
          <w:sz w:val="14"/>
        </w:rPr>
        <w:t>|---|---|---|---|---|---|</w:t>
      </w:r>
    </w:p>
    <w:p>
      <w:pPr>
        <w:spacing w:after="20" w:line="240" w:lineRule="auto"/>
      </w:pPr>
      <w:r>
        <w:rPr>
          <w:rFonts w:ascii="Consolas" w:hAnsi="Consolas"/>
          <w:sz w:val="14"/>
        </w:rPr>
        <w:t>| Constitución | `00_Gobernanza/Constitucion_GOEI.md` | Directiva técnica/institucional | Provisional | Incorporar como estructura fundacional vigente, aclarando su grado de aprobación | Contenido científico y ratificación integral pendientes |</w:t>
      </w:r>
    </w:p>
    <w:p>
      <w:pPr>
        <w:spacing w:after="20" w:line="240" w:lineRule="auto"/>
      </w:pPr>
      <w:r>
        <w:rPr>
          <w:rFonts w:ascii="Consolas" w:hAnsi="Consolas"/>
          <w:sz w:val="14"/>
        </w:rPr>
        <w:t>| GOEI Body of Knowledge | `09_Manual_tecnico_general/GOEI_BOK/README.md` | Arquitectura técnica | Provisional | Reutilizar índice, gobernanza y regla de ensamblaje; no representar el BOK como poblado | Integración de decisiones futuras |</w:t>
      </w:r>
    </w:p>
    <w:p>
      <w:pPr>
        <w:spacing w:after="20" w:line="240" w:lineRule="auto"/>
      </w:pPr>
      <w:r>
        <w:rPr>
          <w:rFonts w:ascii="Consolas" w:hAnsi="Consolas"/>
          <w:sz w:val="14"/>
        </w:rPr>
        <w:t>| Manual Técnico General y manuales por categoría | Arquitecturas/README; no hay contenido normativo completo | D-005 provisional | Ausente | Solo puede mostrarse la arquitectura futura | B2–B10 y release aprobada |</w:t>
      </w:r>
    </w:p>
    <w:p>
      <w:pPr>
        <w:spacing w:after="20" w:line="240" w:lineRule="auto"/>
      </w:pPr>
      <w:r>
        <w:rPr>
          <w:rFonts w:ascii="Consolas" w:hAnsi="Consolas"/>
          <w:sz w:val="14"/>
        </w:rPr>
        <w:t>| Formularios y checklists | No hay instrumentos científicos aprobados | Ninguna | Ausente | Ningún formulario de evaluación reutilizable | Procesos, KPI, reglas y validación |</w:t>
      </w:r>
    </w:p>
    <w:p>
      <w:pPr>
        <w:spacing w:after="20" w:line="240" w:lineRule="auto"/>
      </w:pPr>
      <w:r>
        <w:rPr>
          <w:rFonts w:ascii="Consolas" w:hAnsi="Consolas"/>
          <w:sz w:val="14"/>
        </w:rPr>
        <w:t>| Procedimientos y reglas | Ontología/MetaModel aportan reglas de integridad, no reglas operacionales completas | D-006/D-006-REV; EPIC-001/002 técnicos | Provisional | Reutilizar reglas de integridad y procedencia con su alcance técnico | Reglas normativas del estándar B1–B10 ausentes |</w:t>
      </w:r>
    </w:p>
    <w:p>
      <w:pPr>
        <w:spacing w:after="20" w:line="240" w:lineRule="auto"/>
      </w:pPr>
      <w:r>
        <w:rPr>
          <w:rFonts w:ascii="Consolas" w:hAnsi="Consolas"/>
          <w:sz w:val="14"/>
        </w:rPr>
        <w:t>| Auditoría y gobierno | Gobernanza técnica y arquitectura K1–K4 provisional | D-005 provisional; directivas institucionales | Provisional | Describir gobierno documental vigente; presentar conformidad/auditoría como diseño pendiente | Tipo de evaluación/certificación, competencia e imparcialidad no decididos |</w:t>
      </w:r>
    </w:p>
    <w:p>
      <w:pPr>
        <w:spacing w:after="20" w:line="240" w:lineRule="auto"/>
      </w:pPr>
      <w:r>
        <w:rPr>
          <w:rFonts w:ascii="Consolas" w:hAnsi="Consolas"/>
          <w:sz w:val="14"/>
        </w:rPr>
        <w:t>| Release GOEI vigente | No existe release científica validada | Ninguna | Ausente | Ninguna baseline técnica puede presentarse como Standard GOEI completo | Fases B, C y D; compuertas G0–G5 |</w:t>
      </w:r>
    </w:p>
    <w:p>
      <w:pPr>
        <w:spacing w:after="40"/>
      </w:pPr>
    </w:p>
    <w:p>
      <w:pPr>
        <w:pStyle w:val="Heading3"/>
      </w:pPr>
      <w:r>
        <w:t>6. Anexos y soporte transversal</w:t>
      </w:r>
    </w:p>
    <w:p>
      <w:pPr>
        <w:spacing w:after="40"/>
      </w:pPr>
    </w:p>
    <w:p>
      <w:pPr>
        <w:spacing w:after="20" w:line="240" w:lineRule="auto"/>
      </w:pPr>
      <w:r>
        <w:rPr>
          <w:rFonts w:ascii="Consolas" w:hAnsi="Consolas"/>
          <w:sz w:val="14"/>
        </w:rPr>
        <w:t>| Entregable | Evidencia canónica existente | Decisión de origen | Estado | Uso seguro | Bloqueo |</w:t>
      </w:r>
    </w:p>
    <w:p>
      <w:pPr>
        <w:spacing w:after="20" w:line="240" w:lineRule="auto"/>
      </w:pPr>
      <w:r>
        <w:rPr>
          <w:rFonts w:ascii="Consolas" w:hAnsi="Consolas"/>
          <w:sz w:val="14"/>
        </w:rPr>
        <w:t>|---|---|---|---|---|---|</w:t>
      </w:r>
    </w:p>
    <w:p>
      <w:pPr>
        <w:spacing w:after="20" w:line="240" w:lineRule="auto"/>
      </w:pPr>
      <w:r>
        <w:rPr>
          <w:rFonts w:ascii="Consolas" w:hAnsi="Consolas"/>
          <w:sz w:val="14"/>
        </w:rPr>
        <w:t>| Ontología completa | Ontology Baseline v0.1 y manifiesto | D-006/D-006-REV | Aprobado | Anexar la versión congelada sin alteraciones, junto con sus pendientes | Ratificaciones y versión aplicable a release final |</w:t>
      </w:r>
    </w:p>
    <w:p>
      <w:pPr>
        <w:spacing w:after="20" w:line="240" w:lineRule="auto"/>
      </w:pPr>
      <w:r>
        <w:rPr>
          <w:rFonts w:ascii="Consolas" w:hAnsi="Consolas"/>
          <w:sz w:val="14"/>
        </w:rPr>
        <w:t>| Knowledge Graph y diccionarios de entidades/relaciones | EPIC-001 y proyección registral | Implementación técnica derivada de D-006 | Aprobado | Anexar arquitectura, diccionarios y snapshot indicando que el contenido científico crece por decisiones | Población científica completa y adopción en release |</w:t>
      </w:r>
    </w:p>
    <w:p>
      <w:pPr>
        <w:spacing w:after="20" w:line="240" w:lineRule="auto"/>
      </w:pPr>
      <w:r>
        <w:rPr>
          <w:rFonts w:ascii="Consolas" w:hAnsi="Consolas"/>
          <w:sz w:val="14"/>
        </w:rPr>
        <w:t>| Diccionario de procesos | EPIC-002 | Desarrollo técnico compatible con D-006 | Aprobado | Anexar el lenguaje universal vacío; no confundirlo con catálogo de procesos | D-008/B1 para población normativa |</w:t>
      </w:r>
    </w:p>
    <w:p>
      <w:pPr>
        <w:spacing w:after="20" w:line="240" w:lineRule="auto"/>
      </w:pPr>
      <w:r>
        <w:rPr>
          <w:rFonts w:ascii="Consolas" w:hAnsi="Consolas"/>
          <w:sz w:val="14"/>
        </w:rPr>
        <w:t>| Taxonomía completa | Ninguna baseline | Ninguna | Ausente | Ninguno | B2 |</w:t>
      </w:r>
    </w:p>
    <w:p>
      <w:pPr>
        <w:spacing w:after="20" w:line="240" w:lineRule="auto"/>
      </w:pPr>
      <w:r>
        <w:rPr>
          <w:rFonts w:ascii="Consolas" w:hAnsi="Consolas"/>
          <w:sz w:val="14"/>
        </w:rPr>
        <w:t>| Registros de decisiones, componentes, Issues y cambios | Registros maestros de gobernanza | Directivas de control | Aprobado | Anexar exportaciones versionadas de la release aplicable | Cobertura y resolución continua |</w:t>
      </w:r>
    </w:p>
    <w:p>
      <w:pPr>
        <w:spacing w:after="20" w:line="240" w:lineRule="auto"/>
      </w:pPr>
      <w:r>
        <w:rPr>
          <w:rFonts w:ascii="Consolas" w:hAnsi="Consolas"/>
          <w:sz w:val="14"/>
        </w:rPr>
        <w:t>| Roadmap | Roadmap técnico y estado procesable | Directivas técnicas | Aprobado | Usar como historial/plan, no como evidencia científica | Actualización continua |</w:t>
      </w:r>
    </w:p>
    <w:p>
      <w:pPr>
        <w:spacing w:after="20" w:line="240" w:lineRule="auto"/>
      </w:pPr>
      <w:r>
        <w:rPr>
          <w:rFonts w:ascii="Consolas" w:hAnsi="Consolas"/>
          <w:sz w:val="14"/>
        </w:rPr>
        <w:t>| Bibliografía anotada | Esquema y catálogo estructural sin población completa | Política bibliográfica técnica | Provisional | Anexar esquema y solo registros verificados | Migración, verificación y anotación de fuentes |</w:t>
      </w:r>
    </w:p>
    <w:p>
      <w:pPr>
        <w:spacing w:after="20" w:line="240" w:lineRule="auto"/>
      </w:pPr>
      <w:r>
        <w:rPr>
          <w:rFonts w:ascii="Consolas" w:hAnsi="Consolas"/>
          <w:sz w:val="14"/>
        </w:rPr>
        <w:t>| Matrices de trazabilidad | Matriz maestra, matrices de cumplimiento y esta matriz | Directivas técnicas | Aprobado | Anexar snapshots consistentes con la release | Cobertura de componentes futuros |</w:t>
      </w:r>
    </w:p>
    <w:p>
      <w:pPr>
        <w:spacing w:after="20" w:line="240" w:lineRule="auto"/>
      </w:pPr>
      <w:r>
        <w:rPr>
          <w:rFonts w:ascii="Consolas" w:hAnsi="Consolas"/>
          <w:sz w:val="14"/>
        </w:rPr>
        <w:t>| Diagramas y visualizaciones | UML/diagramas conceptuales técnicos existentes | D-006/D-006-REV y EPIC técnicos | Provisional | Reutilizar diagramas técnicos que no pueblen ciencia; generar los demás desde baselines aprobadas | Taxonomía, procesos, KPI, matemática, validación y datos |</w:t>
      </w:r>
    </w:p>
    <w:p>
      <w:pPr>
        <w:spacing w:after="40"/>
      </w:pPr>
    </w:p>
    <w:p>
      <w:pPr>
        <w:pStyle w:val="Heading3"/>
      </w:pPr>
      <w:r>
        <w:t>7. Reglas de ensamblaje derivadas</w:t>
      </w:r>
    </w:p>
    <w:p>
      <w:pPr>
        <w:spacing w:after="40"/>
      </w:pPr>
    </w:p>
    <w:p>
      <w:pPr>
        <w:pStyle w:val="ListNumber"/>
      </w:pPr>
      <w:r>
        <w:t>Un texto en cuarentena no puede copiarse, parafrasearse ni citarse como resultado GOEI; debe reconstruirse desde evidencia canónica y decisiones aprobadas.</w:t>
      </w:r>
    </w:p>
    <w:p>
      <w:pPr>
        <w:pStyle w:val="ListNumber"/>
      </w:pPr>
      <w:r>
        <w:t>Una decisión provisional solo sustenta relato histórico, hipótesis, alternativas o método en curso; no sustenta lenguaje normativo ni conclusiones.</w:t>
      </w:r>
    </w:p>
    <w:p>
      <w:pPr>
        <w:pStyle w:val="ListNumber"/>
      </w:pPr>
      <w:r>
        <w:t>D-006 y D-006-REV autorizan reutilizar la ontología congelada, pero no completar sus pendientes ni derivar categorías, KPI o fórmulas.</w:t>
      </w:r>
    </w:p>
    <w:p>
      <w:pPr>
        <w:pStyle w:val="ListNumber"/>
      </w:pPr>
      <w:r>
        <w:t>El MetaModel y el MetaModelo de Procesos son lenguajes técnicos: su madurez no acredita que sus instancias científicas hayan sido definidas.</w:t>
      </w:r>
    </w:p>
    <w:p>
      <w:pPr>
        <w:pStyle w:val="ListNumber"/>
      </w:pPr>
      <w:r>
        <w:t>GOEI-DIR-0002 acredita requisitos de cobertura, no respuestas científicas.</w:t>
      </w:r>
    </w:p>
    <w:p>
      <w:pPr>
        <w:pStyle w:val="ListNumber"/>
      </w:pPr>
      <w:r>
        <w:t>La tesis solo puede incorporar el Standard por referencia a una release que supere las compuertas G0–G5.</w:t>
      </w:r>
    </w:p>
    <w:p>
      <w:pPr>
        <w:pStyle w:val="ListNumber"/>
      </w:pPr>
      <w:r>
        <w:t>Toda afirmación ensamblada deberá registrar, como mínimo, fuente bibliográfica verificable, decisión de origen, versión y dependencias documentales.</w:t>
      </w:r>
    </w:p>
    <w:p>
      <w:pPr>
        <w:spacing w:after="40"/>
      </w:pPr>
    </w:p>
    <w:p>
      <w:pPr>
        <w:pStyle w:val="Heading3"/>
      </w:pPr>
      <w:r>
        <w:t>8. Bloqueos críticos de la ruta académica</w:t>
      </w:r>
    </w:p>
    <w:p>
      <w:pPr>
        <w:spacing w:after="40"/>
      </w:pPr>
    </w:p>
    <w:p>
      <w:pPr>
        <w:spacing w:after="20" w:line="240" w:lineRule="auto"/>
      </w:pPr>
      <w:r>
        <w:rPr>
          <w:rFonts w:ascii="Consolas" w:hAnsi="Consolas"/>
          <w:sz w:val="14"/>
        </w:rPr>
        <w:t>| Orden | Bloqueo | Capítulos afectados directamente |</w:t>
      </w:r>
    </w:p>
    <w:p>
      <w:pPr>
        <w:spacing w:after="20" w:line="240" w:lineRule="auto"/>
      </w:pPr>
      <w:r>
        <w:rPr>
          <w:rFonts w:ascii="Consolas" w:hAnsi="Consolas"/>
          <w:sz w:val="14"/>
        </w:rPr>
        <w:t>|---:|---|---|</w:t>
      </w:r>
    </w:p>
    <w:p>
      <w:pPr>
        <w:spacing w:after="20" w:line="240" w:lineRule="auto"/>
      </w:pPr>
      <w:r>
        <w:rPr>
          <w:rFonts w:ascii="Consolas" w:hAnsi="Consolas"/>
          <w:sz w:val="14"/>
        </w:rPr>
        <w:t>| 1 | Cierre de fundamentos: constructo, alcance, unidad, periodo, referencia y ratificación D-005/D-006 | 1, 3, 4, 5, 12 |</w:t>
      </w:r>
    </w:p>
    <w:p>
      <w:pPr>
        <w:spacing w:after="20" w:line="240" w:lineRule="auto"/>
      </w:pPr>
      <w:r>
        <w:rPr>
          <w:rFonts w:ascii="Consolas" w:hAnsi="Consolas"/>
          <w:sz w:val="14"/>
        </w:rPr>
        <w:t>| 2 | Resolución de D-008 / GOEI-ISS-030 y cierre B1 | 6 y anexos de procesos |</w:t>
      </w:r>
    </w:p>
    <w:p>
      <w:pPr>
        <w:spacing w:after="20" w:line="240" w:lineRule="auto"/>
      </w:pPr>
      <w:r>
        <w:rPr>
          <w:rFonts w:ascii="Consolas" w:hAnsi="Consolas"/>
          <w:sz w:val="14"/>
        </w:rPr>
        <w:t>| 3 | Investigación y decisión B2 | 4, 7, 12, 14 y anexos taxonómicos |</w:t>
      </w:r>
    </w:p>
    <w:p>
      <w:pPr>
        <w:spacing w:after="20" w:line="240" w:lineRule="auto"/>
      </w:pPr>
      <w:r>
        <w:rPr>
          <w:rFonts w:ascii="Consolas" w:hAnsi="Consolas"/>
          <w:sz w:val="14"/>
        </w:rPr>
        <w:t>| 4 | B3–B4: catálogo y admisibilidad KPI | 8, 9, 10, 11, 12 |</w:t>
      </w:r>
    </w:p>
    <w:p>
      <w:pPr>
        <w:spacing w:after="20" w:line="240" w:lineRule="auto"/>
      </w:pPr>
      <w:r>
        <w:rPr>
          <w:rFonts w:ascii="Consolas" w:hAnsi="Consolas"/>
          <w:sz w:val="14"/>
        </w:rPr>
        <w:t>| 5 | B5–B8: referencias, normalización, ponderación, agregación e interpretación | 10, 11, 13, 14 |</w:t>
      </w:r>
    </w:p>
    <w:p>
      <w:pPr>
        <w:spacing w:after="20" w:line="240" w:lineRule="auto"/>
      </w:pPr>
      <w:r>
        <w:rPr>
          <w:rFonts w:ascii="Consolas" w:hAnsi="Consolas"/>
          <w:sz w:val="14"/>
        </w:rPr>
        <w:t>| 6 | B9–B10: protocolo de validación y manual técnico | 12, 13, 17 |</w:t>
      </w:r>
    </w:p>
    <w:p>
      <w:pPr>
        <w:spacing w:after="20" w:line="240" w:lineRule="auto"/>
      </w:pPr>
      <w:r>
        <w:rPr>
          <w:rFonts w:ascii="Consolas" w:hAnsi="Consolas"/>
          <w:sz w:val="14"/>
        </w:rPr>
        <w:t>| 7 | Fase D: pilotos y evidencia empírica | 13, 14, 15, 16 |</w:t>
      </w:r>
    </w:p>
    <w:p>
      <w:pPr>
        <w:spacing w:after="20" w:line="240" w:lineRule="auto"/>
      </w:pPr>
      <w:r>
        <w:rPr>
          <w:rFonts w:ascii="Consolas" w:hAnsi="Consolas"/>
          <w:sz w:val="14"/>
        </w:rPr>
        <w:t>| 8 | Release científica aprobada | 17, anexos, tesis completa y publicaciones |</w:t>
      </w:r>
    </w:p>
    <w:p>
      <w:pPr>
        <w:spacing w:after="40"/>
      </w:pPr>
    </w:p>
    <w:p>
      <w:pPr>
        <w:pStyle w:val="Heading3"/>
      </w:pPr>
      <w:r>
        <w:t>9. Dictamen de ensamblaje</w:t>
      </w:r>
    </w:p>
    <w:p>
      <w:pPr>
        <w:spacing w:after="40"/>
      </w:pPr>
    </w:p>
    <w:p>
      <w:r>
        <w:t>La tesis dispone de una arquitectura completa y de material reutilizable para describir su gobierno técnico, ontología y lenguajes de modelado. No dispone todavía de evidencia aprobada suficiente para ensamblar como resultados definitivos el constructo completo, procesos universales, taxonomía, KPI, normalización, modelo matemático, validación, pilotos, discusión, conclusiones ni el Standard final. El ensamblaje académico debe permanecer incremental y gobernado por decisiones.</w:t>
      </w:r>
    </w:p>
    <w:p>
      <w:r>
        <w:br w:type="page"/>
      </w:r>
    </w:p>
    <w:p>
      <w:pPr>
        <w:pStyle w:val="Heading1"/>
        <w:keepNext/>
      </w:pPr>
      <w:r>
        <w:t>Fuente 127: 12_Tesis/ensamblaje/Matriz_de_cumplimiento_plan_maestro.md</w:t>
      </w:r>
    </w:p>
    <w:p>
      <w:pPr>
        <w:spacing w:after="200"/>
      </w:pPr>
      <w:r>
        <w:rPr>
          <w:rFonts w:ascii="Consolas" w:hAnsi="Consolas"/>
          <w:color w:val="595959"/>
          <w:sz w:val="16"/>
        </w:rPr>
        <w:t>Ruta: 12_Tesis/ensamblaje/Matriz_de_cumplimiento_plan_maestro.md</w:t>
        <w:br/>
        <w:t>Tamaño: 8267 bytes</w:t>
        <w:br/>
        <w:t>SHA-256: 68333317931c2d3fd5ef96c891b7f3c5014ee895b64c09f49fbb2c258daafde3</w:t>
      </w:r>
    </w:p>
    <w:p>
      <w:pPr>
        <w:pStyle w:val="Heading2"/>
      </w:pPr>
      <w:r>
        <w:t>Matriz de cumplimiento del Plan Maestro Directoral</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GOEI-THS-COV-0001 |</w:t>
      </w:r>
    </w:p>
    <w:p>
      <w:pPr>
        <w:spacing w:after="20" w:line="240" w:lineRule="auto"/>
      </w:pPr>
      <w:r>
        <w:rPr>
          <w:rFonts w:ascii="Consolas" w:hAnsi="Consolas"/>
          <w:sz w:val="14"/>
        </w:rPr>
        <w:t>| Versión | 1.0.0 |</w:t>
      </w:r>
    </w:p>
    <w:p>
      <w:pPr>
        <w:spacing w:after="20" w:line="240" w:lineRule="auto"/>
      </w:pPr>
      <w:r>
        <w:rPr>
          <w:rFonts w:ascii="Consolas" w:hAnsi="Consolas"/>
          <w:sz w:val="14"/>
        </w:rPr>
        <w:t>| Requisito raíz | GOEI-THS-REQ-0001 / GOEI-DIR-0002 |</w:t>
      </w:r>
    </w:p>
    <w:p>
      <w:pPr>
        <w:spacing w:after="20" w:line="240" w:lineRule="auto"/>
      </w:pPr>
      <w:r>
        <w:rPr>
          <w:rFonts w:ascii="Consolas" w:hAnsi="Consolas"/>
          <w:sz w:val="14"/>
        </w:rPr>
        <w:t>| Regla | Cobertura estructural no equivale a contenido aprobado |</w:t>
      </w:r>
    </w:p>
    <w:p>
      <w:pPr>
        <w:spacing w:after="40"/>
      </w:pPr>
    </w:p>
    <w:p>
      <w:pPr>
        <w:pStyle w:val="Heading3"/>
      </w:pPr>
      <w:r>
        <w:t>1. Tomos y capítulos</w:t>
      </w:r>
    </w:p>
    <w:p>
      <w:pPr>
        <w:spacing w:after="40"/>
      </w:pPr>
    </w:p>
    <w:p>
      <w:pPr>
        <w:spacing w:after="20" w:line="240" w:lineRule="auto"/>
      </w:pPr>
      <w:r>
        <w:rPr>
          <w:rFonts w:ascii="Consolas" w:hAnsi="Consolas"/>
          <w:sz w:val="14"/>
        </w:rPr>
        <w:t>| ID | Tomo/capítulo | Cobertura mínima | Fuente requerida | Estado actual | Compuerta principal |</w:t>
      </w:r>
    </w:p>
    <w:p>
      <w:pPr>
        <w:spacing w:after="20" w:line="240" w:lineRule="auto"/>
      </w:pPr>
      <w:r>
        <w:rPr>
          <w:rFonts w:ascii="Consolas" w:hAnsi="Consolas"/>
          <w:sz w:val="14"/>
        </w:rPr>
        <w:t>|---|---|---|---|---|---|</w:t>
      </w:r>
    </w:p>
    <w:p>
      <w:pPr>
        <w:spacing w:after="20" w:line="240" w:lineRule="auto"/>
      </w:pPr>
      <w:r>
        <w:rPr>
          <w:rFonts w:ascii="Consolas" w:hAnsi="Consolas"/>
          <w:sz w:val="14"/>
        </w:rPr>
        <w:t>| THS-I-01 | I.1 Introducción | 20 apartados | decisiones de fundamentos, contexto y protocolo | Parcial estructural | cierre Fase A |</w:t>
      </w:r>
    </w:p>
    <w:p>
      <w:pPr>
        <w:spacing w:after="20" w:line="240" w:lineRule="auto"/>
      </w:pPr>
      <w:r>
        <w:rPr>
          <w:rFonts w:ascii="Consolas" w:hAnsi="Consolas"/>
          <w:sz w:val="14"/>
        </w:rPr>
        <w:t>| THS-I-02 | I.2 Estado del arte | protocolo + 17 familias comparadas + conclusiones | revisión sistemática reproducible | Parcial | revisión cerrada y fuentes verificadas |</w:t>
      </w:r>
    </w:p>
    <w:p>
      <w:pPr>
        <w:spacing w:after="20" w:line="240" w:lineRule="auto"/>
      </w:pPr>
      <w:r>
        <w:rPr>
          <w:rFonts w:ascii="Consolas" w:hAnsi="Consolas"/>
          <w:sz w:val="14"/>
        </w:rPr>
        <w:t>| THS-I-03 | I.3 Marco teórico | 20 conceptos | expedientes bibliográficos aprobados | Bloqueado | cierre conceptual y terminológico |</w:t>
      </w:r>
    </w:p>
    <w:p>
      <w:pPr>
        <w:spacing w:after="20" w:line="240" w:lineRule="auto"/>
      </w:pPr>
      <w:r>
        <w:rPr>
          <w:rFonts w:ascii="Consolas" w:hAnsi="Consolas"/>
          <w:sz w:val="14"/>
        </w:rPr>
        <w:t>| THS-I-04 | I.4 Modelo conceptual | 10 apartados | decisiones del constructo, ontología y taxonomía | Bloqueado | D-003/D-005 y B2 cerradas |</w:t>
      </w:r>
    </w:p>
    <w:p>
      <w:pPr>
        <w:spacing w:after="20" w:line="240" w:lineRule="auto"/>
      </w:pPr>
      <w:r>
        <w:rPr>
          <w:rFonts w:ascii="Consolas" w:hAnsi="Consolas"/>
          <w:sz w:val="14"/>
        </w:rPr>
        <w:t>| THS-II-05 | II.5 Arquitectura GOEI | 9 apartados | Constitución, gobernanza y arquitectura aprobadas | Parcial técnico | ratificaciones institucionales/científicas |</w:t>
      </w:r>
    </w:p>
    <w:p>
      <w:pPr>
        <w:spacing w:after="20" w:line="240" w:lineRule="auto"/>
      </w:pPr>
      <w:r>
        <w:rPr>
          <w:rFonts w:ascii="Consolas" w:hAnsi="Consolas"/>
          <w:sz w:val="14"/>
        </w:rPr>
        <w:t>| THS-II-06 | II.6 Procesos universales | 10 clases del modelo | D-008 y catálogo normativo | Bloqueado | GOEI-ISS-030/cierre B1 |</w:t>
      </w:r>
    </w:p>
    <w:p>
      <w:pPr>
        <w:spacing w:after="20" w:line="240" w:lineRule="auto"/>
      </w:pPr>
      <w:r>
        <w:rPr>
          <w:rFonts w:ascii="Consolas" w:hAnsi="Consolas"/>
          <w:sz w:val="14"/>
        </w:rPr>
        <w:t>| THS-II-07 | II.7 Taxonomía universal | 10 familias mínimas bajo análisis | decisión y taxonomía B2 | No iniciado | cierre B2 |</w:t>
      </w:r>
    </w:p>
    <w:p>
      <w:pPr>
        <w:spacing w:after="20" w:line="240" w:lineRule="auto"/>
      </w:pPr>
      <w:r>
        <w:rPr>
          <w:rFonts w:ascii="Consolas" w:hAnsi="Consolas"/>
          <w:sz w:val="14"/>
        </w:rPr>
        <w:t>| THS-II-08 | II.8 Catálogo universal KPI | ficha de 13 campos por KPI | decisiones B3 y catálogo aprobado | No iniciado | cierre B3 |</w:t>
      </w:r>
    </w:p>
    <w:p>
      <w:pPr>
        <w:spacing w:after="20" w:line="240" w:lineRule="auto"/>
      </w:pPr>
      <w:r>
        <w:rPr>
          <w:rFonts w:ascii="Consolas" w:hAnsi="Consolas"/>
          <w:sz w:val="14"/>
        </w:rPr>
        <w:t>| THS-II-09 | II.9 Admisibilidad KPI | 11 criterios mínimos | decisión B4 | No iniciado | cierre B4 |</w:t>
      </w:r>
    </w:p>
    <w:p>
      <w:pPr>
        <w:spacing w:after="20" w:line="240" w:lineRule="auto"/>
      </w:pPr>
      <w:r>
        <w:rPr>
          <w:rFonts w:ascii="Consolas" w:hAnsi="Consolas"/>
          <w:sz w:val="14"/>
        </w:rPr>
        <w:t>| THS-II-10 | II.10 Normalización | 8 materias | decisiones B5/B6 | No iniciado | cierres B5–B6 |</w:t>
      </w:r>
    </w:p>
    <w:p>
      <w:pPr>
        <w:spacing w:after="20" w:line="240" w:lineRule="auto"/>
      </w:pPr>
      <w:r>
        <w:rPr>
          <w:rFonts w:ascii="Consolas" w:hAnsi="Consolas"/>
          <w:sz w:val="14"/>
        </w:rPr>
        <w:t>| THS-II-11 | II.11 Modelo matemático | 7 materias | decisiones B7/B8 | No iniciado | cierres B7–B8 |</w:t>
      </w:r>
    </w:p>
    <w:p>
      <w:pPr>
        <w:spacing w:after="20" w:line="240" w:lineRule="auto"/>
      </w:pPr>
      <w:r>
        <w:rPr>
          <w:rFonts w:ascii="Consolas" w:hAnsi="Consolas"/>
          <w:sz w:val="14"/>
        </w:rPr>
        <w:t>| THS-III-12 | III.12 Metodología | 8 materias | protocolo metodológico aprobado | No iniciado | B9/candidato C |</w:t>
      </w:r>
    </w:p>
    <w:p>
      <w:pPr>
        <w:spacing w:after="20" w:line="240" w:lineRule="auto"/>
      </w:pPr>
      <w:r>
        <w:rPr>
          <w:rFonts w:ascii="Consolas" w:hAnsi="Consolas"/>
          <w:sz w:val="14"/>
        </w:rPr>
        <w:t>| THS-III-13 | III.13 Validación científica | 8 familias de evidencia | protocolo y resultados aprobados | No iniciado | B9 + Fase D |</w:t>
      </w:r>
    </w:p>
    <w:p>
      <w:pPr>
        <w:spacing w:after="20" w:line="240" w:lineRule="auto"/>
      </w:pPr>
      <w:r>
        <w:rPr>
          <w:rFonts w:ascii="Consolas" w:hAnsi="Consolas"/>
          <w:sz w:val="14"/>
        </w:rPr>
        <w:t>| THS-III-14 | III.14 Casos piloto | 3 casos + comparación/resultados/análisis | expedientes piloto | No iniciado | Fase D ejecutada |</w:t>
      </w:r>
    </w:p>
    <w:p>
      <w:pPr>
        <w:spacing w:after="20" w:line="240" w:lineRule="auto"/>
      </w:pPr>
      <w:r>
        <w:rPr>
          <w:rFonts w:ascii="Consolas" w:hAnsi="Consolas"/>
          <w:sz w:val="14"/>
        </w:rPr>
        <w:t>| THS-III-15 | III.15 Discusión | 6 materias | resultados y literatura cerrados | Bloqueado | validación finalizada |</w:t>
      </w:r>
    </w:p>
    <w:p>
      <w:pPr>
        <w:spacing w:after="20" w:line="240" w:lineRule="auto"/>
      </w:pPr>
      <w:r>
        <w:rPr>
          <w:rFonts w:ascii="Consolas" w:hAnsi="Consolas"/>
          <w:sz w:val="14"/>
        </w:rPr>
        <w:t>| THS-III-16 | III.16 Conclusiones | 4 materias | objetivos, hipótesis y preguntas resueltos | Bloqueado | capítulos 1–15 cerrados |</w:t>
      </w:r>
    </w:p>
    <w:p>
      <w:pPr>
        <w:spacing w:after="20" w:line="240" w:lineRule="auto"/>
      </w:pPr>
      <w:r>
        <w:rPr>
          <w:rFonts w:ascii="Consolas" w:hAnsi="Consolas"/>
          <w:sz w:val="14"/>
        </w:rPr>
        <w:t>| THS-IV-17 | IV.17 GOEI Standard | 10 componentes | release GOEI aprobada | Parcial estructural | Fase C + release G0–G5 |</w:t>
      </w:r>
    </w:p>
    <w:p>
      <w:pPr>
        <w:spacing w:after="40"/>
      </w:pPr>
    </w:p>
    <w:p>
      <w:pPr>
        <w:pStyle w:val="Heading3"/>
      </w:pPr>
      <w:r>
        <w:t>2. Anexos técnicos</w:t>
      </w:r>
    </w:p>
    <w:p>
      <w:pPr>
        <w:spacing w:after="40"/>
      </w:pPr>
    </w:p>
    <w:p>
      <w:pPr>
        <w:spacing w:after="20" w:line="240" w:lineRule="auto"/>
      </w:pPr>
      <w:r>
        <w:rPr>
          <w:rFonts w:ascii="Consolas" w:hAnsi="Consolas"/>
          <w:sz w:val="14"/>
        </w:rPr>
        <w:t>| ID | Requisito | Estado | Evidencia actual | Brecha/compuerta |</w:t>
      </w:r>
    </w:p>
    <w:p>
      <w:pPr>
        <w:spacing w:after="20" w:line="240" w:lineRule="auto"/>
      </w:pPr>
      <w:r>
        <w:rPr>
          <w:rFonts w:ascii="Consolas" w:hAnsi="Consolas"/>
          <w:sz w:val="14"/>
        </w:rPr>
        <w:t>|---|---|---|---|---|</w:t>
      </w:r>
    </w:p>
    <w:p>
      <w:pPr>
        <w:spacing w:after="20" w:line="240" w:lineRule="auto"/>
      </w:pPr>
      <w:r>
        <w:rPr>
          <w:rFonts w:ascii="Consolas" w:hAnsi="Consolas"/>
          <w:sz w:val="14"/>
        </w:rPr>
        <w:t>| THS-ANX-01 | Ontología completa | Parcial | Ontology Baseline v0.1 | ratificaciones y versión aplicable a tesis |</w:t>
      </w:r>
    </w:p>
    <w:p>
      <w:pPr>
        <w:spacing w:after="20" w:line="240" w:lineRule="auto"/>
      </w:pPr>
      <w:r>
        <w:rPr>
          <w:rFonts w:ascii="Consolas" w:hAnsi="Consolas"/>
          <w:sz w:val="14"/>
        </w:rPr>
        <w:t>| THS-ANX-02 | Knowledge Graph | Parcial técnico | EPIC-001 | adopción y población completa |</w:t>
      </w:r>
    </w:p>
    <w:p>
      <w:pPr>
        <w:spacing w:after="20" w:line="240" w:lineRule="auto"/>
      </w:pPr>
      <w:r>
        <w:rPr>
          <w:rFonts w:ascii="Consolas" w:hAnsi="Consolas"/>
          <w:sz w:val="14"/>
        </w:rPr>
        <w:t>| THS-ANX-03 | Diccionario de datos | Parcial técnico | diccionarios EPIC-001/EPIC-002 | modelo de datos científico pendiente |</w:t>
      </w:r>
    </w:p>
    <w:p>
      <w:pPr>
        <w:spacing w:after="20" w:line="240" w:lineRule="auto"/>
      </w:pPr>
      <w:r>
        <w:rPr>
          <w:rFonts w:ascii="Consolas" w:hAnsi="Consolas"/>
          <w:sz w:val="14"/>
        </w:rPr>
        <w:t>| THS-ANX-04 | Diccionario de entidades | Parcial técnico | EPIC-001 | adopción y extensión por fases |</w:t>
      </w:r>
    </w:p>
    <w:p>
      <w:pPr>
        <w:spacing w:after="20" w:line="240" w:lineRule="auto"/>
      </w:pPr>
      <w:r>
        <w:rPr>
          <w:rFonts w:ascii="Consolas" w:hAnsi="Consolas"/>
          <w:sz w:val="14"/>
        </w:rPr>
        <w:t>| THS-ANX-05 | Diccionario de relaciones | Parcial técnico | EPIC-001 | adopción y extensión por fases |</w:t>
      </w:r>
    </w:p>
    <w:p>
      <w:pPr>
        <w:spacing w:after="20" w:line="240" w:lineRule="auto"/>
      </w:pPr>
      <w:r>
        <w:rPr>
          <w:rFonts w:ascii="Consolas" w:hAnsi="Consolas"/>
          <w:sz w:val="14"/>
        </w:rPr>
        <w:t>| THS-ANX-06 | Diccionario de procesos | Parcial estructural | EPIC-002 | D-008 y catálogo de procesos |</w:t>
      </w:r>
    </w:p>
    <w:p>
      <w:pPr>
        <w:spacing w:after="20" w:line="240" w:lineRule="auto"/>
      </w:pPr>
      <w:r>
        <w:rPr>
          <w:rFonts w:ascii="Consolas" w:hAnsi="Consolas"/>
          <w:sz w:val="14"/>
        </w:rPr>
        <w:t>| THS-ANX-07 | Taxonomía completa | No iniciado | ninguna baseline | cierre B2 |</w:t>
      </w:r>
    </w:p>
    <w:p>
      <w:pPr>
        <w:spacing w:after="20" w:line="240" w:lineRule="auto"/>
      </w:pPr>
      <w:r>
        <w:rPr>
          <w:rFonts w:ascii="Consolas" w:hAnsi="Consolas"/>
          <w:sz w:val="14"/>
        </w:rPr>
        <w:t>| THS-ANX-08 | Repositorio documental | Parcial técnico | arquitectura y controles | Git/release integral pendientes |</w:t>
      </w:r>
    </w:p>
    <w:p>
      <w:pPr>
        <w:spacing w:after="20" w:line="240" w:lineRule="auto"/>
      </w:pPr>
      <w:r>
        <w:rPr>
          <w:rFonts w:ascii="Consolas" w:hAnsi="Consolas"/>
          <w:sz w:val="14"/>
        </w:rPr>
        <w:t>| THS-ANX-09 | Registro de decisiones | Parcial | registro canónico | completar decisiones futuras |</w:t>
      </w:r>
    </w:p>
    <w:p>
      <w:pPr>
        <w:spacing w:after="20" w:line="240" w:lineRule="auto"/>
      </w:pPr>
      <w:r>
        <w:rPr>
          <w:rFonts w:ascii="Consolas" w:hAnsi="Consolas"/>
          <w:sz w:val="14"/>
        </w:rPr>
        <w:t>| THS-ANX-10 | Registro de componentes | Parcial | registro canónico | mantener cobertura total |</w:t>
      </w:r>
    </w:p>
    <w:p>
      <w:pPr>
        <w:spacing w:after="20" w:line="240" w:lineRule="auto"/>
      </w:pPr>
      <w:r>
        <w:rPr>
          <w:rFonts w:ascii="Consolas" w:hAnsi="Consolas"/>
          <w:sz w:val="14"/>
        </w:rPr>
        <w:t>| THS-ANX-11 | Registro de Issues | Parcial | registros canónicos | resolver Issues de release |</w:t>
      </w:r>
    </w:p>
    <w:p>
      <w:pPr>
        <w:spacing w:after="20" w:line="240" w:lineRule="auto"/>
      </w:pPr>
      <w:r>
        <w:rPr>
          <w:rFonts w:ascii="Consolas" w:hAnsi="Consolas"/>
          <w:sz w:val="14"/>
        </w:rPr>
        <w:t>| THS-ANX-12 | Registro de cambios | Parcial | GOEI-CHG-0001 | política/historial continuos |</w:t>
      </w:r>
    </w:p>
    <w:p>
      <w:pPr>
        <w:spacing w:after="20" w:line="240" w:lineRule="auto"/>
      </w:pPr>
      <w:r>
        <w:rPr>
          <w:rFonts w:ascii="Consolas" w:hAnsi="Consolas"/>
          <w:sz w:val="14"/>
        </w:rPr>
        <w:t>| THS-ANX-13 | Roadmap | Parcial técnico | GOEI-RDM-0001 y estado procesable | completar ruta científica y cerrar paquetes |</w:t>
      </w:r>
    </w:p>
    <w:p>
      <w:pPr>
        <w:spacing w:after="20" w:line="240" w:lineRule="auto"/>
      </w:pPr>
      <w:r>
        <w:rPr>
          <w:rFonts w:ascii="Consolas" w:hAnsi="Consolas"/>
          <w:sz w:val="14"/>
        </w:rPr>
        <w:t>| THS-ANX-14 | Bibliografía anotada | Parcial estructural | GOEI-BIB-SCHEMA-0001 y catálogo vacío | migrar, verificar y anotar fuentes aprobadas |</w:t>
      </w:r>
    </w:p>
    <w:p>
      <w:pPr>
        <w:spacing w:after="20" w:line="240" w:lineRule="auto"/>
      </w:pPr>
      <w:r>
        <w:rPr>
          <w:rFonts w:ascii="Consolas" w:hAnsi="Consolas"/>
          <w:sz w:val="14"/>
        </w:rPr>
        <w:t>| THS-ANX-15 | Matrices de trazabilidad | Parcial | matriz maestra | cobertura de todos los componentes finales |</w:t>
      </w:r>
    </w:p>
    <w:p>
      <w:pPr>
        <w:spacing w:after="40"/>
      </w:pPr>
    </w:p>
    <w:p>
      <w:pPr>
        <w:pStyle w:val="Heading3"/>
      </w:pPr>
      <w:r>
        <w:t>3. Documentación visual</w:t>
      </w:r>
    </w:p>
    <w:p>
      <w:pPr>
        <w:spacing w:after="40"/>
      </w:pPr>
    </w:p>
    <w:p>
      <w:pPr>
        <w:spacing w:after="20" w:line="240" w:lineRule="auto"/>
      </w:pPr>
      <w:r>
        <w:rPr>
          <w:rFonts w:ascii="Consolas" w:hAnsi="Consolas"/>
          <w:sz w:val="14"/>
        </w:rPr>
        <w:t>| ID | Familia | Cantidad/alcance mínimo | Estado | Dependencia dominante |</w:t>
      </w:r>
    </w:p>
    <w:p>
      <w:pPr>
        <w:spacing w:after="20" w:line="240" w:lineRule="auto"/>
      </w:pPr>
      <w:r>
        <w:rPr>
          <w:rFonts w:ascii="Consolas" w:hAnsi="Consolas"/>
          <w:sz w:val="14"/>
        </w:rPr>
        <w:t>|---|---|---|---|---|</w:t>
      </w:r>
    </w:p>
    <w:p>
      <w:pPr>
        <w:spacing w:after="20" w:line="240" w:lineRule="auto"/>
      </w:pPr>
      <w:r>
        <w:rPr>
          <w:rFonts w:ascii="Consolas" w:hAnsi="Consolas"/>
          <w:sz w:val="14"/>
        </w:rPr>
        <w:t>| THS-VIS-01 | Mapas conceptuales | 10 mapas | Parcial | constructo, dimensiones, KPI, taxonomía |</w:t>
      </w:r>
    </w:p>
    <w:p>
      <w:pPr>
        <w:spacing w:after="20" w:line="240" w:lineRule="auto"/>
      </w:pPr>
      <w:r>
        <w:rPr>
          <w:rFonts w:ascii="Consolas" w:hAnsi="Consolas"/>
          <w:sz w:val="14"/>
        </w:rPr>
        <w:t>| THS-VIS-02 | Arquitecturas | 8 diagramas | Parcial técnico | matemática, validación y software pendientes |</w:t>
      </w:r>
    </w:p>
    <w:p>
      <w:pPr>
        <w:spacing w:after="20" w:line="240" w:lineRule="auto"/>
      </w:pPr>
      <w:r>
        <w:rPr>
          <w:rFonts w:ascii="Consolas" w:hAnsi="Consolas"/>
          <w:sz w:val="14"/>
        </w:rPr>
        <w:t>| THS-VIS-03 | Vistas ontológicas | 6 vistas | Parcial | baselines especializadas/adopción |</w:t>
      </w:r>
    </w:p>
    <w:p>
      <w:pPr>
        <w:spacing w:after="20" w:line="240" w:lineRule="auto"/>
      </w:pPr>
      <w:r>
        <w:rPr>
          <w:rFonts w:ascii="Consolas" w:hAnsi="Consolas"/>
          <w:sz w:val="14"/>
        </w:rPr>
        <w:t>| THS-VIS-04 | Taxonomías | 6 taxonomías | No iniciado | B2–B4 |</w:t>
      </w:r>
    </w:p>
    <w:p>
      <w:pPr>
        <w:spacing w:after="20" w:line="240" w:lineRule="auto"/>
      </w:pPr>
      <w:r>
        <w:rPr>
          <w:rFonts w:ascii="Consolas" w:hAnsi="Consolas"/>
          <w:sz w:val="14"/>
        </w:rPr>
        <w:t>| THS-VIS-05 | Diagramas operacionales | 8 diagramas | Bloqueado | B1 y procesos específicos |</w:t>
      </w:r>
    </w:p>
    <w:p>
      <w:pPr>
        <w:spacing w:after="20" w:line="240" w:lineRule="auto"/>
      </w:pPr>
      <w:r>
        <w:rPr>
          <w:rFonts w:ascii="Consolas" w:hAnsi="Consolas"/>
          <w:sz w:val="14"/>
        </w:rPr>
        <w:t>| THS-VIS-06 | Diagramas de flujo | 5 familias | Parcial técnico | procesos, matemática y validación |</w:t>
      </w:r>
    </w:p>
    <w:p>
      <w:pPr>
        <w:spacing w:after="20" w:line="240" w:lineRule="auto"/>
      </w:pPr>
      <w:r>
        <w:rPr>
          <w:rFonts w:ascii="Consolas" w:hAnsi="Consolas"/>
          <w:sz w:val="14"/>
        </w:rPr>
        <w:t>| THS-VIS-07 | BPMN | 10 modelos | Bloqueado | procesos aprobados |</w:t>
      </w:r>
    </w:p>
    <w:p>
      <w:pPr>
        <w:spacing w:after="20" w:line="240" w:lineRule="auto"/>
      </w:pPr>
      <w:r>
        <w:rPr>
          <w:rFonts w:ascii="Consolas" w:hAnsi="Consolas"/>
          <w:sz w:val="14"/>
        </w:rPr>
        <w:t>| THS-VIS-08 | UML | 8 tipos | Parcial técnico | casos y software definidos |</w:t>
      </w:r>
    </w:p>
    <w:p>
      <w:pPr>
        <w:spacing w:after="20" w:line="240" w:lineRule="auto"/>
      </w:pPr>
      <w:r>
        <w:rPr>
          <w:rFonts w:ascii="Consolas" w:hAnsi="Consolas"/>
          <w:sz w:val="14"/>
        </w:rPr>
        <w:t>| THS-VIS-09 | Modelos de datos | conceptual, lógico, ERD y físico condicional | Parcial técnico | datos/implementación estable |</w:t>
      </w:r>
    </w:p>
    <w:p>
      <w:pPr>
        <w:spacing w:after="20" w:line="240" w:lineRule="auto"/>
      </w:pPr>
      <w:r>
        <w:rPr>
          <w:rFonts w:ascii="Consolas" w:hAnsi="Consolas"/>
          <w:sz w:val="14"/>
        </w:rPr>
        <w:t>| THS-VIS-10 | SIPOC | uno por macroproceso | Bloqueado | catálogo normativo de macroprocesos |</w:t>
      </w:r>
    </w:p>
    <w:p>
      <w:pPr>
        <w:spacing w:after="20" w:line="240" w:lineRule="auto"/>
      </w:pPr>
      <w:r>
        <w:rPr>
          <w:rFonts w:ascii="Consolas" w:hAnsi="Consolas"/>
          <w:sz w:val="14"/>
        </w:rPr>
        <w:t>| THS-VIS-11 | Value Stream Mapping | producción, servicio y compras | Bloqueado | procesos y datos empíricos aprobados |</w:t>
      </w:r>
    </w:p>
    <w:p>
      <w:pPr>
        <w:spacing w:after="20" w:line="240" w:lineRule="auto"/>
      </w:pPr>
      <w:r>
        <w:rPr>
          <w:rFonts w:ascii="Consolas" w:hAnsi="Consolas"/>
          <w:sz w:val="14"/>
        </w:rPr>
        <w:t>| THS-VIS-12 | Matrices analíticas | 11 matrices | Bloqueado | procesos, KPI, variables y dimensiones |</w:t>
      </w:r>
    </w:p>
    <w:p>
      <w:pPr>
        <w:spacing w:after="20" w:line="240" w:lineRule="auto"/>
      </w:pPr>
      <w:r>
        <w:rPr>
          <w:rFonts w:ascii="Consolas" w:hAnsi="Consolas"/>
          <w:sz w:val="14"/>
        </w:rPr>
        <w:t>| THS-VIS-13 | Heatmaps | 3 | Bloqueado | modelo, datos y resultados |</w:t>
      </w:r>
    </w:p>
    <w:p>
      <w:pPr>
        <w:spacing w:after="20" w:line="240" w:lineRule="auto"/>
      </w:pPr>
      <w:r>
        <w:rPr>
          <w:rFonts w:ascii="Consolas" w:hAnsi="Consolas"/>
          <w:sz w:val="14"/>
        </w:rPr>
        <w:t>| THS-VIS-14 | Dashboards | 3 | Bloqueado | modelo y resultados estables |</w:t>
      </w:r>
    </w:p>
    <w:p>
      <w:pPr>
        <w:spacing w:after="20" w:line="240" w:lineRule="auto"/>
      </w:pPr>
      <w:r>
        <w:rPr>
          <w:rFonts w:ascii="Consolas" w:hAnsi="Consolas"/>
          <w:sz w:val="14"/>
        </w:rPr>
        <w:t>| THS-VIS-15 | Formularios | 7 familias | Bloqueado | procesos/KPI/reglas aprobados |</w:t>
      </w:r>
    </w:p>
    <w:p>
      <w:pPr>
        <w:spacing w:after="20" w:line="240" w:lineRule="auto"/>
      </w:pPr>
      <w:r>
        <w:rPr>
          <w:rFonts w:ascii="Consolas" w:hAnsi="Consolas"/>
          <w:sz w:val="14"/>
        </w:rPr>
        <w:t>| THS-VIS-16 | Checklists | por proceso, auditoría y categoría | Bloqueado | procesos, auditoría y taxonomía |</w:t>
      </w:r>
    </w:p>
    <w:p>
      <w:pPr>
        <w:spacing w:after="20" w:line="240" w:lineRule="auto"/>
      </w:pPr>
      <w:r>
        <w:rPr>
          <w:rFonts w:ascii="Consolas" w:hAnsi="Consolas"/>
          <w:sz w:val="14"/>
        </w:rPr>
        <w:t>| THS-VIS-17 | Casos de uso | 8 actores | Parcial técnico | alcance funcional aprobado |</w:t>
      </w:r>
    </w:p>
    <w:p>
      <w:pPr>
        <w:spacing w:after="20" w:line="240" w:lineRule="auto"/>
      </w:pPr>
      <w:r>
        <w:rPr>
          <w:rFonts w:ascii="Consolas" w:hAnsi="Consolas"/>
          <w:sz w:val="14"/>
        </w:rPr>
        <w:t>| THS-VIS-18 | Casos prácticos | 9 categorías | Bloqueado | taxonomía, estándar y validación |</w:t>
      </w:r>
    </w:p>
    <w:p>
      <w:pPr>
        <w:spacing w:after="40"/>
      </w:pPr>
    </w:p>
    <w:p>
      <w:pPr>
        <w:pStyle w:val="Heading3"/>
      </w:pPr>
      <w:r>
        <w:t>4. Productos derivados</w:t>
      </w:r>
    </w:p>
    <w:p>
      <w:pPr>
        <w:spacing w:after="40"/>
      </w:pPr>
    </w:p>
    <w:p>
      <w:pPr>
        <w:spacing w:after="20" w:line="240" w:lineRule="auto"/>
      </w:pPr>
      <w:r>
        <w:rPr>
          <w:rFonts w:ascii="Consolas" w:hAnsi="Consolas"/>
          <w:sz w:val="14"/>
        </w:rPr>
        <w:t>| ID | Producto | Estado | Compuerta mínima |</w:t>
      </w:r>
    </w:p>
    <w:p>
      <w:pPr>
        <w:spacing w:after="20" w:line="240" w:lineRule="auto"/>
      </w:pPr>
      <w:r>
        <w:rPr>
          <w:rFonts w:ascii="Consolas" w:hAnsi="Consolas"/>
          <w:sz w:val="14"/>
        </w:rPr>
        <w:t>|---|---|---|---|</w:t>
      </w:r>
    </w:p>
    <w:p>
      <w:pPr>
        <w:spacing w:after="20" w:line="240" w:lineRule="auto"/>
      </w:pPr>
      <w:r>
        <w:rPr>
          <w:rFonts w:ascii="Consolas" w:hAnsi="Consolas"/>
          <w:sz w:val="14"/>
        </w:rPr>
        <w:t>| THS-PUB-01 | Artículo: justificación científica | Bloqueado | fundamentos cerrados y revisión publicable |</w:t>
      </w:r>
    </w:p>
    <w:p>
      <w:pPr>
        <w:spacing w:after="20" w:line="240" w:lineRule="auto"/>
      </w:pPr>
      <w:r>
        <w:rPr>
          <w:rFonts w:ascii="Consolas" w:hAnsi="Consolas"/>
          <w:sz w:val="14"/>
        </w:rPr>
        <w:t>| THS-PUB-02 | Artículo: modelo conceptual | Bloqueado | constructo/modelo aprobados |</w:t>
      </w:r>
    </w:p>
    <w:p>
      <w:pPr>
        <w:spacing w:after="20" w:line="240" w:lineRule="auto"/>
      </w:pPr>
      <w:r>
        <w:rPr>
          <w:rFonts w:ascii="Consolas" w:hAnsi="Consolas"/>
          <w:sz w:val="14"/>
        </w:rPr>
        <w:t>| THS-PUB-03 | Artículo: Salud Operacional | Bloqueado | decisión final del constructo y validación |</w:t>
      </w:r>
    </w:p>
    <w:p>
      <w:pPr>
        <w:spacing w:after="20" w:line="240" w:lineRule="auto"/>
      </w:pPr>
      <w:r>
        <w:rPr>
          <w:rFonts w:ascii="Consolas" w:hAnsi="Consolas"/>
          <w:sz w:val="14"/>
        </w:rPr>
        <w:t>| THS-PUB-04 | Artículo: ontología GOEI | Parcial estructural | baseline publicable y evaluación técnica/científica |</w:t>
      </w:r>
    </w:p>
    <w:p>
      <w:pPr>
        <w:spacing w:after="20" w:line="240" w:lineRule="auto"/>
      </w:pPr>
      <w:r>
        <w:rPr>
          <w:rFonts w:ascii="Consolas" w:hAnsi="Consolas"/>
          <w:sz w:val="14"/>
        </w:rPr>
        <w:t>| THS-PUB-05 | Artículo: procesos universales | Bloqueado | D-008/B1 y validación |</w:t>
      </w:r>
    </w:p>
    <w:p>
      <w:pPr>
        <w:spacing w:after="20" w:line="240" w:lineRule="auto"/>
      </w:pPr>
      <w:r>
        <w:rPr>
          <w:rFonts w:ascii="Consolas" w:hAnsi="Consolas"/>
          <w:sz w:val="14"/>
        </w:rPr>
        <w:t>| THS-PUB-06 | Artículo: taxonomía universal | No iniciado | cierre B2 y validación |</w:t>
      </w:r>
    </w:p>
    <w:p>
      <w:pPr>
        <w:spacing w:after="20" w:line="240" w:lineRule="auto"/>
      </w:pPr>
      <w:r>
        <w:rPr>
          <w:rFonts w:ascii="Consolas" w:hAnsi="Consolas"/>
          <w:sz w:val="14"/>
        </w:rPr>
        <w:t>| THS-PUB-07 | Artículo: selección de KPI | No iniciado | B3/B4 y validación |</w:t>
      </w:r>
    </w:p>
    <w:p>
      <w:pPr>
        <w:spacing w:after="20" w:line="240" w:lineRule="auto"/>
      </w:pPr>
      <w:r>
        <w:rPr>
          <w:rFonts w:ascii="Consolas" w:hAnsi="Consolas"/>
          <w:sz w:val="14"/>
        </w:rPr>
        <w:t>| THS-PUB-08 | Artículo: modelo matemático | No iniciado | B5–B8 y validación |</w:t>
      </w:r>
    </w:p>
    <w:p>
      <w:pPr>
        <w:spacing w:after="20" w:line="240" w:lineRule="auto"/>
      </w:pPr>
      <w:r>
        <w:rPr>
          <w:rFonts w:ascii="Consolas" w:hAnsi="Consolas"/>
          <w:sz w:val="14"/>
        </w:rPr>
        <w:t>| THS-PUB-09 | Artículo: validación científica | No iniciado | Fase D cerrada |</w:t>
      </w:r>
    </w:p>
    <w:p>
      <w:pPr>
        <w:spacing w:after="20" w:line="240" w:lineRule="auto"/>
      </w:pPr>
      <w:r>
        <w:rPr>
          <w:rFonts w:ascii="Consolas" w:hAnsi="Consolas"/>
          <w:sz w:val="14"/>
        </w:rPr>
        <w:t>| THS-PUB-10 | Artículo: GOEI Framework | Bloqueado | release validada |</w:t>
      </w:r>
    </w:p>
    <w:p>
      <w:pPr>
        <w:spacing w:after="20" w:line="240" w:lineRule="auto"/>
      </w:pPr>
      <w:r>
        <w:rPr>
          <w:rFonts w:ascii="Consolas" w:hAnsi="Consolas"/>
          <w:sz w:val="14"/>
        </w:rPr>
        <w:t>| THS-PRD-01 | Libro GOEI | No iniciado | BOK y estándar maduros |</w:t>
      </w:r>
    </w:p>
    <w:p>
      <w:pPr>
        <w:spacing w:after="20" w:line="240" w:lineRule="auto"/>
      </w:pPr>
      <w:r>
        <w:rPr>
          <w:rFonts w:ascii="Consolas" w:hAnsi="Consolas"/>
          <w:sz w:val="14"/>
        </w:rPr>
        <w:t>| THS-PRD-02 | Software GOEI | Bloqueado | estándar estable + Fase F |</w:t>
      </w:r>
    </w:p>
    <w:p>
      <w:pPr>
        <w:spacing w:after="20" w:line="240" w:lineRule="auto"/>
      </w:pPr>
      <w:r>
        <w:rPr>
          <w:rFonts w:ascii="Consolas" w:hAnsi="Consolas"/>
          <w:sz w:val="14"/>
        </w:rPr>
        <w:t>| THS-PRD-03 | Manual Oficial GOEI | Parcial estructural | cierre B10/C y release |</w:t>
      </w:r>
    </w:p>
    <w:p>
      <w:pPr>
        <w:spacing w:after="20" w:line="240" w:lineRule="auto"/>
      </w:pPr>
      <w:r>
        <w:rPr>
          <w:rFonts w:ascii="Consolas" w:hAnsi="Consolas"/>
          <w:sz w:val="14"/>
        </w:rPr>
        <w:t>| THS-PRD-04 | Repositorio Open Science | Parcial técnico | políticas de datos/licencias/ética y release |</w:t>
      </w:r>
    </w:p>
    <w:p>
      <w:pPr>
        <w:spacing w:after="40"/>
      </w:pPr>
    </w:p>
    <w:p>
      <w:pPr>
        <w:pStyle w:val="Heading3"/>
      </w:pPr>
      <w:r>
        <w:t>5. Estados permitidos</w:t>
      </w:r>
    </w:p>
    <w:p>
      <w:pPr>
        <w:spacing w:after="40"/>
      </w:pPr>
    </w:p>
    <w:p>
      <w:r>
        <w:t>No iniciado, Parcial estructural, Parcial técnico, Parcial, Candidato técnico, Bloqueado, Listo para revisión, Aprobado, Publicado.</w:t>
      </w:r>
    </w:p>
    <w:p>
      <w:pPr>
        <w:spacing w:after="40"/>
      </w:pPr>
    </w:p>
    <w:p>
      <w:r>
        <w:t>Solo Aprobado o Publicado satisfacen definitivamente un requisito. Una excepción debe referenciar una decisión formal, su justificación y el impacto sobre reproducibilidad.</w:t>
      </w:r>
    </w:p>
    <w:p>
      <w:pPr>
        <w:spacing w:after="40"/>
      </w:pPr>
    </w:p>
    <w:p>
      <w:pPr>
        <w:pStyle w:val="Heading3"/>
      </w:pPr>
      <w:r>
        <w:t>6. Estado de aceptación global</w:t>
      </w:r>
    </w:p>
    <w:p>
      <w:pPr>
        <w:spacing w:after="40"/>
      </w:pPr>
    </w:p>
    <w:p>
      <w:r>
        <w:t>NO CONFORME PARA ENTREGA FINAL. La estructura mínima está identificada, pero existen compuertas científicas desde Fase A hasta Fase D. Este estado impide representar los manuscritos en cuarentena como tesis terminada.</w:t>
      </w:r>
    </w:p>
    <w:p>
      <w:r>
        <w:br w:type="page"/>
      </w:r>
    </w:p>
    <w:p>
      <w:pPr>
        <w:pStyle w:val="Heading1"/>
        <w:keepNext/>
      </w:pPr>
      <w:r>
        <w:t>Fuente 128: 12_Tesis/ensamblaje/Matriz_de_ensamblaje_tesis.md</w:t>
      </w:r>
    </w:p>
    <w:p>
      <w:pPr>
        <w:spacing w:after="200"/>
      </w:pPr>
      <w:r>
        <w:rPr>
          <w:rFonts w:ascii="Consolas" w:hAnsi="Consolas"/>
          <w:color w:val="595959"/>
          <w:sz w:val="16"/>
        </w:rPr>
        <w:t>Ruta: 12_Tesis/ensamblaje/Matriz_de_ensamblaje_tesis.md</w:t>
        <w:br/>
        <w:t>Tamaño: 1641 bytes</w:t>
        <w:br/>
        <w:t>SHA-256: a5329af65b846c71ad3235b7c09da13292155e412d1a223ea74cd86d551a92fb</w:t>
      </w:r>
    </w:p>
    <w:p>
      <w:pPr>
        <w:pStyle w:val="Heading2"/>
      </w:pPr>
      <w:r>
        <w:t>Matriz de ensamblaje de la tesis GOEI</w:t>
      </w:r>
    </w:p>
    <w:p>
      <w:pPr>
        <w:spacing w:after="40"/>
      </w:pPr>
    </w:p>
    <w:p>
      <w:r>
        <w:t>Esta matriz resume dependencias científicas. La cobertura detallada y el inventario mínimo obligatorio se controlan en Matriz_de_cumplimiento_plan_maestro.md conforme a GOEI-DIR-0002.</w:t>
      </w:r>
    </w:p>
    <w:p>
      <w:pPr>
        <w:spacing w:after="40"/>
      </w:pPr>
    </w:p>
    <w:p>
      <w:pPr>
        <w:spacing w:after="20" w:line="240" w:lineRule="auto"/>
      </w:pPr>
      <w:r>
        <w:rPr>
          <w:rFonts w:ascii="Consolas" w:hAnsi="Consolas"/>
          <w:sz w:val="14"/>
        </w:rPr>
        <w:t>| Sección | Evidencia/decisiones requeridas | Componente fuente | Estado | Bloqueo |</w:t>
      </w:r>
    </w:p>
    <w:p>
      <w:pPr>
        <w:spacing w:after="20" w:line="240" w:lineRule="auto"/>
      </w:pPr>
      <w:r>
        <w:rPr>
          <w:rFonts w:ascii="Consolas" w:hAnsi="Consolas"/>
          <w:sz w:val="14"/>
        </w:rPr>
        <w:t>|---|---|---|---|---|</w:t>
      </w:r>
    </w:p>
    <w:p>
      <w:pPr>
        <w:spacing w:after="20" w:line="240" w:lineRule="auto"/>
      </w:pPr>
      <w:r>
        <w:rPr>
          <w:rFonts w:ascii="Consolas" w:hAnsi="Consolas"/>
          <w:sz w:val="14"/>
        </w:rPr>
        <w:t>| Introducción y problema | D-001 y cierre de fundamentos | informe del comité | Parcial | Fase A no cerrada |</w:t>
      </w:r>
    </w:p>
    <w:p>
      <w:pPr>
        <w:spacing w:after="20" w:line="240" w:lineRule="auto"/>
      </w:pPr>
      <w:r>
        <w:rPr>
          <w:rFonts w:ascii="Consolas" w:hAnsi="Consolas"/>
          <w:sz w:val="14"/>
        </w:rPr>
        <w:t>| Estado del arte | revisiones cerradas y bibliografía verificada | Fase A/B | Parcial | revisiones completas pendientes |</w:t>
      </w:r>
    </w:p>
    <w:p>
      <w:pPr>
        <w:spacing w:after="20" w:line="240" w:lineRule="auto"/>
      </w:pPr>
      <w:r>
        <w:rPr>
          <w:rFonts w:ascii="Consolas" w:hAnsi="Consolas"/>
          <w:sz w:val="14"/>
        </w:rPr>
        <w:t>| Constructo | decisión final que resuelva D-003/D-004 | modelo conceptual | Bloqueado | nombre/alcance pendientes |</w:t>
      </w:r>
    </w:p>
    <w:p>
      <w:pPr>
        <w:spacing w:after="20" w:line="240" w:lineRule="auto"/>
      </w:pPr>
      <w:r>
        <w:rPr>
          <w:rFonts w:ascii="Consolas" w:hAnsi="Consolas"/>
          <w:sz w:val="14"/>
        </w:rPr>
        <w:t>| Ontología | D-006/D-006-REV | Baseline v0.1 | Disponible como versión provisional congelada | ratificaciones pendientes declaradas |</w:t>
      </w:r>
    </w:p>
    <w:p>
      <w:pPr>
        <w:spacing w:after="20" w:line="240" w:lineRule="auto"/>
      </w:pPr>
      <w:r>
        <w:rPr>
          <w:rFonts w:ascii="Consolas" w:hAnsi="Consolas"/>
          <w:sz w:val="14"/>
        </w:rPr>
        <w:t>| Procesos | D-008 aprobada y cierre B1 | catálogo futuro | Bloqueado | GOEI-ISS-030 |</w:t>
      </w:r>
    </w:p>
    <w:p>
      <w:pPr>
        <w:spacing w:after="20" w:line="240" w:lineRule="auto"/>
      </w:pPr>
      <w:r>
        <w:rPr>
          <w:rFonts w:ascii="Consolas" w:hAnsi="Consolas"/>
          <w:sz w:val="14"/>
        </w:rPr>
        <w:t>| Taxonomía | cierre B2 | taxonomía futura | Bloqueado | B2 no iniciada |</w:t>
      </w:r>
    </w:p>
    <w:p>
      <w:pPr>
        <w:spacing w:after="20" w:line="240" w:lineRule="auto"/>
      </w:pPr>
      <w:r>
        <w:rPr>
          <w:rFonts w:ascii="Consolas" w:hAnsi="Consolas"/>
          <w:sz w:val="14"/>
        </w:rPr>
        <w:t>| KPI/admisibilidad | cierre B3/B4 | catálogo y matriz | Bloqueado | ciencia no iniciada |</w:t>
      </w:r>
    </w:p>
    <w:p>
      <w:pPr>
        <w:spacing w:after="20" w:line="240" w:lineRule="auto"/>
      </w:pPr>
      <w:r>
        <w:rPr>
          <w:rFonts w:ascii="Consolas" w:hAnsi="Consolas"/>
          <w:sz w:val="14"/>
        </w:rPr>
        <w:t>| Sistema de cálculo | cierres B5–B8 | especificación matemática | Bloqueado | ciencia no iniciada |</w:t>
      </w:r>
    </w:p>
    <w:p>
      <w:pPr>
        <w:spacing w:after="20" w:line="240" w:lineRule="auto"/>
      </w:pPr>
      <w:r>
        <w:rPr>
          <w:rFonts w:ascii="Consolas" w:hAnsi="Consolas"/>
          <w:sz w:val="14"/>
        </w:rPr>
        <w:t>| Validación | B9 + piloto D | expedientes de validación | Bloqueado | no iniciado |</w:t>
      </w:r>
    </w:p>
    <w:p>
      <w:pPr>
        <w:spacing w:after="20" w:line="240" w:lineRule="auto"/>
      </w:pPr>
      <w:r>
        <w:rPr>
          <w:rFonts w:ascii="Consolas" w:hAnsi="Consolas"/>
          <w:sz w:val="14"/>
        </w:rPr>
        <w:t>| Estándar resultante | cierre C y release | GOEI Standard | Bloqueado | Fase B incompleta |</w:t>
      </w:r>
    </w:p>
    <w:p>
      <w:pPr>
        <w:spacing w:after="20" w:line="240" w:lineRule="auto"/>
      </w:pPr>
      <w:r>
        <w:rPr>
          <w:rFonts w:ascii="Consolas" w:hAnsi="Consolas"/>
          <w:sz w:val="14"/>
        </w:rPr>
        <w:t>| Discusión | resultados y limitaciones aprobados | tesis | Bloqueado | depende de validación |</w:t>
      </w:r>
    </w:p>
    <w:p>
      <w:pPr>
        <w:spacing w:after="20" w:line="240" w:lineRule="auto"/>
      </w:pPr>
      <w:r>
        <w:rPr>
          <w:rFonts w:ascii="Consolas" w:hAnsi="Consolas"/>
          <w:sz w:val="14"/>
        </w:rPr>
        <w:t>| Conclusiones | todas las preguntas resueltas | tesis | Bloqueado | fases incompletas |</w:t>
      </w:r>
    </w:p>
    <w:p>
      <w:pPr>
        <w:spacing w:after="40"/>
      </w:pPr>
    </w:p>
    <w:p>
      <w:r>
        <w:t>La matriz es un control de ensamblaje, no un borrador de contenido científico.</w:t>
      </w:r>
    </w:p>
    <w:p>
      <w:r>
        <w:br w:type="page"/>
      </w:r>
    </w:p>
    <w:p>
      <w:pPr>
        <w:pStyle w:val="Heading1"/>
        <w:keepNext/>
      </w:pPr>
      <w:r>
        <w:t>Fuente 129: 12_Tesis/estructura/Arquitectura_de_la_tesis_derivada.md</w:t>
      </w:r>
    </w:p>
    <w:p>
      <w:pPr>
        <w:spacing w:after="200"/>
      </w:pPr>
      <w:r>
        <w:rPr>
          <w:rFonts w:ascii="Consolas" w:hAnsi="Consolas"/>
          <w:color w:val="595959"/>
          <w:sz w:val="16"/>
        </w:rPr>
        <w:t>Ruta: 12_Tesis/estructura/Arquitectura_de_la_tesis_derivada.md</w:t>
        <w:br/>
        <w:t>Tamaño: 1312 bytes</w:t>
        <w:br/>
        <w:t>SHA-256: 5bd1fc8857091af620fc5c178e252501c4f701af5709c05a48111fc2d78fda86</w:t>
      </w:r>
    </w:p>
    <w:p>
      <w:pPr>
        <w:pStyle w:val="Heading2"/>
      </w:pPr>
      <w:r>
        <w:t>Arquitectura de la tesis derivada del GOEI</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GOEI-THS-ARCH-0001 |</w:t>
      </w:r>
    </w:p>
    <w:p>
      <w:pPr>
        <w:spacing w:after="20" w:line="240" w:lineRule="auto"/>
      </w:pPr>
      <w:r>
        <w:rPr>
          <w:rFonts w:ascii="Consolas" w:hAnsi="Consolas"/>
          <w:sz w:val="14"/>
        </w:rPr>
        <w:t>| Estado | Arquitectura directoral vigente; contenido científico pendiente |</w:t>
      </w:r>
    </w:p>
    <w:p>
      <w:pPr>
        <w:spacing w:after="20" w:line="240" w:lineRule="auto"/>
      </w:pPr>
      <w:r>
        <w:rPr>
          <w:rFonts w:ascii="Consolas" w:hAnsi="Consolas"/>
          <w:sz w:val="14"/>
        </w:rPr>
        <w:t>| Versión | 1.0.0 |</w:t>
      </w:r>
    </w:p>
    <w:p>
      <w:pPr>
        <w:spacing w:after="20" w:line="240" w:lineRule="auto"/>
      </w:pPr>
      <w:r>
        <w:rPr>
          <w:rFonts w:ascii="Consolas" w:hAnsi="Consolas"/>
          <w:sz w:val="14"/>
        </w:rPr>
        <w:t>| Fuente de autoridad | GOEI-DIR-0002 y Research Master Plan v1.0 |</w:t>
      </w:r>
    </w:p>
    <w:p>
      <w:pPr>
        <w:spacing w:after="40"/>
      </w:pPr>
    </w:p>
    <w:p>
      <w:pPr>
        <w:pStyle w:val="Heading3"/>
      </w:pPr>
      <w:r>
        <w:t>Estructura controlada</w:t>
      </w:r>
    </w:p>
    <w:p>
      <w:pPr>
        <w:spacing w:after="40"/>
      </w:pPr>
    </w:p>
    <w:p>
      <w:r>
        <w:t>La estructura canónica es la definida en 12_Tesis/PLAN_MAESTRO_DIRECTORAL_GOEI.md:</w:t>
      </w:r>
    </w:p>
    <w:p>
      <w:pPr>
        <w:spacing w:after="40"/>
      </w:pPr>
    </w:p>
    <w:p>
      <w:pPr>
        <w:pStyle w:val="ListNumber"/>
      </w:pPr>
      <w:r>
        <w:t>Tomo I — Fundamentos científicos: capítulos 1–4.</w:t>
      </w:r>
    </w:p>
    <w:p>
      <w:pPr>
        <w:pStyle w:val="ListNumber"/>
      </w:pPr>
      <w:r>
        <w:t>Tomo II — Construcción del GOEI: capítulos 5–11.</w:t>
      </w:r>
    </w:p>
    <w:p>
      <w:pPr>
        <w:pStyle w:val="ListNumber"/>
      </w:pPr>
      <w:r>
        <w:t>Tomo III — Validación: capítulos 12–16.</w:t>
      </w:r>
    </w:p>
    <w:p>
      <w:pPr>
        <w:pStyle w:val="ListNumber"/>
      </w:pPr>
      <w:r>
        <w:t>Tomo IV — Estándar GOEI: capítulo 17.</w:t>
      </w:r>
    </w:p>
    <w:p>
      <w:pPr>
        <w:pStyle w:val="ListNumber"/>
      </w:pPr>
      <w:r>
        <w:t>Anexos técnicos y documentación visual: inventario mínimo directoral.</w:t>
      </w:r>
    </w:p>
    <w:p>
      <w:pPr>
        <w:pStyle w:val="ListNumber"/>
      </w:pPr>
      <w:r>
        <w:t>Productos científicos derivados: cartera independiente con compuertas propias.</w:t>
      </w:r>
    </w:p>
    <w:p>
      <w:pPr>
        <w:spacing w:after="40"/>
      </w:pPr>
    </w:p>
    <w:p>
      <w:pPr>
        <w:pStyle w:val="Heading3"/>
      </w:pPr>
      <w:r>
        <w:t>Regla de ensamblaje</w:t>
      </w:r>
    </w:p>
    <w:p>
      <w:pPr>
        <w:spacing w:after="40"/>
      </w:pPr>
    </w:p>
    <w:p>
      <w:r>
        <w:t>Cada sección debe enlazar requisito directoral, decisiones, evidencias, componentes y versión GOEI. No se redacta una sección científica desde placeholders ni desde propuestas sin aprobar.</w:t>
      </w:r>
    </w:p>
    <w:p>
      <w:pPr>
        <w:spacing w:after="40"/>
      </w:pPr>
    </w:p>
    <w:p>
      <w:r>
        <w:t>La tesis solo consume el estándar y sus expedientes: no puede crear retroactivamente KPI, fórmulas, taxonomías, resultados o reglas del GOEI.</w:t>
      </w:r>
    </w:p>
    <w:p>
      <w:pPr>
        <w:spacing w:after="40"/>
      </w:pPr>
    </w:p>
    <w:p>
      <w:pPr>
        <w:pStyle w:val="Heading3"/>
      </w:pPr>
      <w:r>
        <w:t>Estado actual</w:t>
      </w:r>
    </w:p>
    <w:p>
      <w:pPr>
        <w:spacing w:after="40"/>
      </w:pPr>
    </w:p>
    <w:p>
      <w:r>
        <w:t>Solo puede trabajarse la arquitectura, metadatos y correspondencia. Los capítulos científicos permanecen bloqueados por las fases A, B y D.</w:t>
      </w:r>
    </w:p>
    <w:p>
      <w:r>
        <w:br w:type="page"/>
      </w:r>
    </w:p>
    <w:p>
      <w:pPr>
        <w:pStyle w:val="Heading1"/>
        <w:keepNext/>
      </w:pPr>
      <w:r>
        <w:t>Fuente 130: 12_Tesis/estructura/Especificacion_editorial_UDLA_APA7.md</w:t>
      </w:r>
    </w:p>
    <w:p>
      <w:pPr>
        <w:spacing w:after="200"/>
      </w:pPr>
      <w:r>
        <w:rPr>
          <w:rFonts w:ascii="Consolas" w:hAnsi="Consolas"/>
          <w:color w:val="595959"/>
          <w:sz w:val="16"/>
        </w:rPr>
        <w:t>Ruta: 12_Tesis/estructura/Especificacion_editorial_UDLA_APA7.md</w:t>
        <w:br/>
        <w:t>Tamaño: 22302 bytes</w:t>
        <w:br/>
        <w:t>SHA-256: fa75cedc1582bada0b270241a78209814001820a6bd683e37379916427fe53fe</w:t>
      </w:r>
    </w:p>
    <w:p>
      <w:pPr>
        <w:pStyle w:val="Heading2"/>
      </w:pPr>
      <w:r>
        <w:t>Especificación editorial de la tesis GOEI — UDLA Chile y APA 7</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GOEI-THS-EDT-0001 |</w:t>
      </w:r>
    </w:p>
    <w:p>
      <w:pPr>
        <w:spacing w:after="20" w:line="240" w:lineRule="auto"/>
      </w:pPr>
      <w:r>
        <w:rPr>
          <w:rFonts w:ascii="Consolas" w:hAnsi="Consolas"/>
          <w:sz w:val="14"/>
        </w:rPr>
        <w:t>| Tipo | Especificación editorial y de producción documental |</w:t>
      </w:r>
    </w:p>
    <w:p>
      <w:pPr>
        <w:spacing w:after="20" w:line="240" w:lineRule="auto"/>
      </w:pPr>
      <w:r>
        <w:rPr>
          <w:rFonts w:ascii="Consolas" w:hAnsi="Consolas"/>
          <w:sz w:val="14"/>
        </w:rPr>
        <w:t>| Estado | Vigente para preparación técnica; requisitos institucionales sujetos a cotejo |</w:t>
      </w:r>
    </w:p>
    <w:p>
      <w:pPr>
        <w:spacing w:after="20" w:line="240" w:lineRule="auto"/>
      </w:pPr>
      <w:r>
        <w:rPr>
          <w:rFonts w:ascii="Consolas" w:hAnsi="Consolas"/>
          <w:sz w:val="14"/>
        </w:rPr>
        <w:t>| Versión | 1.0.0 |</w:t>
      </w:r>
    </w:p>
    <w:p>
      <w:pPr>
        <w:spacing w:after="20" w:line="240" w:lineRule="auto"/>
      </w:pPr>
      <w:r>
        <w:rPr>
          <w:rFonts w:ascii="Consolas" w:hAnsi="Consolas"/>
          <w:sz w:val="14"/>
        </w:rPr>
        <w:t>| Autor de la tesis | Pablo Toledo Salinas |</w:t>
      </w:r>
    </w:p>
    <w:p>
      <w:pPr>
        <w:spacing w:after="20" w:line="240" w:lineRule="auto"/>
      </w:pPr>
      <w:r>
        <w:rPr>
          <w:rFonts w:ascii="Consolas" w:hAnsi="Consolas"/>
          <w:sz w:val="14"/>
        </w:rPr>
        <w:t>| Institución objetivo | Universidad de Las Américas, Chile (UDLA Chile) |</w:t>
      </w:r>
    </w:p>
    <w:p>
      <w:pPr>
        <w:spacing w:after="20" w:line="240" w:lineRule="auto"/>
      </w:pPr>
      <w:r>
        <w:rPr>
          <w:rFonts w:ascii="Consolas" w:hAnsi="Consolas"/>
          <w:sz w:val="14"/>
        </w:rPr>
        <w:t>| Norma de citación adoptada | APA, 7.ª edición |</w:t>
      </w:r>
    </w:p>
    <w:p>
      <w:pPr>
        <w:spacing w:after="20" w:line="240" w:lineRule="auto"/>
      </w:pPr>
      <w:r>
        <w:rPr>
          <w:rFonts w:ascii="Consolas" w:hAnsi="Consolas"/>
          <w:sz w:val="14"/>
        </w:rPr>
        <w:t>| Autoridad de estructura | GOEI-DIR-0002; GOEI-THS-ARCH-0001 |</w:t>
      </w:r>
    </w:p>
    <w:p>
      <w:pPr>
        <w:spacing w:after="20" w:line="240" w:lineRule="auto"/>
      </w:pPr>
      <w:r>
        <w:rPr>
          <w:rFonts w:ascii="Consolas" w:hAnsi="Consolas"/>
          <w:sz w:val="14"/>
        </w:rPr>
        <w:t>| Alcance | Presentación, composición, metadatos, accesibilidad y control visual; no define contenido científico |</w:t>
      </w:r>
    </w:p>
    <w:p>
      <w:pPr>
        <w:spacing w:after="40"/>
      </w:pPr>
    </w:p>
    <w:p>
      <w:pPr>
        <w:pStyle w:val="Heading3"/>
      </w:pPr>
      <w:r>
        <w:t>1. Propósito y límites</w:t>
      </w:r>
    </w:p>
    <w:p>
      <w:pPr>
        <w:spacing w:after="40"/>
      </w:pPr>
    </w:p>
    <w:p>
      <w:r>
        <w:t>Esta especificación establece el sistema editorial con el que se producirá la tesis derivada del estándar GOEI. Su finalidad es asegurar una presentación académica sobria, consistente, reproducible y apta para auditoría documental en formatos fuente, DOCX y PDF.</w:t>
      </w:r>
    </w:p>
    <w:p>
      <w:pPr>
        <w:spacing w:after="40"/>
      </w:pPr>
    </w:p>
    <w:p>
      <w:r>
        <w:t>La especificación no crea resultados, decisiones metodológicas, KPI, fórmulas, conclusiones ni requisitos académicos institucionales. La estructura científica de la tesis se rige por el Plan Maestro Directoral y por la arquitectura controlada de la tesis. Ninguna mejora editorial puede utilizarse para presentar como validado un contenido que no lo esté.</w:t>
      </w:r>
    </w:p>
    <w:p>
      <w:pPr>
        <w:spacing w:after="40"/>
      </w:pPr>
    </w:p>
    <w:p>
      <w:r>
        <w:t>Las reglas atribuidas específicamente a UDLA Chile solo adquirirán carácter obligatorio después de cotejarlas con el reglamento, manual de titulación, plantilla o instrucciones vigentes del programa académico correspondiente. Hasta entonces se identifican como pendientes de cotejo institucional.</w:t>
      </w:r>
    </w:p>
    <w:p>
      <w:pPr>
        <w:spacing w:after="40"/>
      </w:pPr>
    </w:p>
    <w:p>
      <w:pPr>
        <w:pStyle w:val="Heading3"/>
      </w:pPr>
      <w:r>
        <w:t>2. Principios editoriales</w:t>
      </w:r>
    </w:p>
    <w:p>
      <w:pPr>
        <w:spacing w:after="40"/>
      </w:pPr>
    </w:p>
    <w:p>
      <w:pPr>
        <w:pStyle w:val="ListNumber"/>
      </w:pPr>
      <w:r>
        <w:t>Sobriedad académica: texto negro, fondo blanco y ausencia de colores decorativos.</w:t>
      </w:r>
    </w:p>
    <w:p>
      <w:pPr>
        <w:pStyle w:val="ListNumber"/>
      </w:pPr>
      <w:r>
        <w:t>Legibilidad: jerarquía visual estable, densidad de página moderada y tablas comprensibles sin depender del color.</w:t>
      </w:r>
    </w:p>
    <w:p>
      <w:pPr>
        <w:pStyle w:val="ListNumber"/>
      </w:pPr>
      <w:r>
        <w:t>Coherencia: una misma función documental utiliza siempre el mismo estilo.</w:t>
      </w:r>
    </w:p>
    <w:p>
      <w:pPr>
        <w:pStyle w:val="ListNumber"/>
      </w:pPr>
      <w:r>
        <w:t>Trazabilidad: versión, autoría, fuentes y estado del documento permanecen identificables en los archivos controlados.</w:t>
      </w:r>
    </w:p>
    <w:p>
      <w:pPr>
        <w:pStyle w:val="ListNumber"/>
      </w:pPr>
      <w:r>
        <w:t>Transparencia metodológica: limitaciones, incertidumbres, resultados negativos y dependencias no resueltas se expresan en lenguaje académico; no se eliminan para mejorar la apariencia del manuscrito.</w:t>
      </w:r>
    </w:p>
    <w:p>
      <w:pPr>
        <w:pStyle w:val="ListNumber"/>
      </w:pPr>
      <w:r>
        <w:t>Independencia tecnológica: el documento debe conservar estructura y significado al exportarse de su formato fuente a DOCX y PDF.</w:t>
      </w:r>
    </w:p>
    <w:p>
      <w:pPr>
        <w:pStyle w:val="ListNumber"/>
      </w:pPr>
      <w:r>
        <w:t>Accesibilidad: las distinciones no dependen exclusivamente del color; figuras, tablas y anexos deben tener títulos, referencias y texto alternativo cuando el formato lo permita.</w:t>
      </w:r>
    </w:p>
    <w:p>
      <w:pPr>
        <w:spacing w:after="40"/>
      </w:pPr>
    </w:p>
    <w:p>
      <w:pPr>
        <w:pStyle w:val="Heading3"/>
      </w:pPr>
      <w:r>
        <w:t>3. Portada</w:t>
      </w:r>
    </w:p>
    <w:p>
      <w:pPr>
        <w:spacing w:after="40"/>
      </w:pPr>
    </w:p>
    <w:p>
      <w:r>
        <w:t>La portada se compondrá en una sola página, sin ornamentos, marcos ni fondos de color. Contendrá, en este orden:</w:t>
      </w:r>
    </w:p>
    <w:p>
      <w:pPr>
        <w:spacing w:after="40"/>
      </w:pPr>
    </w:p>
    <w:p>
      <w:pPr>
        <w:pStyle w:val="ListNumber"/>
      </w:pPr>
      <w:r>
        <w:t>nombre oficial y logotipo institucional, únicamente después de verificar las reglas de uso de marca;</w:t>
      </w:r>
    </w:p>
    <w:p>
      <w:pPr>
        <w:pStyle w:val="ListNumber"/>
      </w:pPr>
      <w:r>
        <w:t>facultad, escuela o unidad académica;</w:t>
      </w:r>
    </w:p>
    <w:p>
      <w:pPr>
        <w:pStyle w:val="ListNumber"/>
      </w:pPr>
      <w:r>
        <w:t>programa o grado al que se opta;</w:t>
      </w:r>
    </w:p>
    <w:p>
      <w:pPr>
        <w:pStyle w:val="ListNumber"/>
      </w:pPr>
      <w:r>
        <w:t>título completo aprobado de la tesis;</w:t>
      </w:r>
    </w:p>
    <w:p>
      <w:pPr>
        <w:pStyle w:val="ListNumber"/>
      </w:pPr>
      <w:r>
        <w:t>subtítulo, si hubiese sido aprobado;</w:t>
      </w:r>
    </w:p>
    <w:p>
      <w:pPr>
        <w:pStyle w:val="ListNumber"/>
      </w:pPr>
      <w:r>
        <w:t>leyenda de naturaleza del trabajo o requisito de titulación;</w:t>
      </w:r>
    </w:p>
    <w:p>
      <w:pPr>
        <w:pStyle w:val="ListNumber"/>
      </w:pPr>
      <w:r>
        <w:t>autor: Pablo Toledo Salinas;</w:t>
      </w:r>
    </w:p>
    <w:p>
      <w:pPr>
        <w:pStyle w:val="ListNumber"/>
      </w:pPr>
      <w:r>
        <w:t>profesor guía, director de tesis o equivalente;</w:t>
      </w:r>
    </w:p>
    <w:p>
      <w:pPr>
        <w:pStyle w:val="ListNumber"/>
      </w:pPr>
      <w:r>
        <w:t>ciudad y país;</w:t>
      </w:r>
    </w:p>
    <w:p>
      <w:pPr>
        <w:pStyle w:val="ListNumber"/>
      </w:pPr>
      <w:r>
        <w:t>mes y año de presentación.</w:t>
      </w:r>
    </w:p>
    <w:p>
      <w:pPr>
        <w:spacing w:after="40"/>
      </w:pPr>
    </w:p>
    <w:p>
      <w:r>
        <w:t>La portada no llevará número de página visible. El uso del nombre exacto de la universidad, logotipo, unidad académica, grado, leyenda de titulación, nombres de supervisores y orden institucional queda pendiente de cotejo institucional.</w:t>
      </w:r>
    </w:p>
    <w:p>
      <w:pPr>
        <w:spacing w:after="40"/>
      </w:pPr>
    </w:p>
    <w:p>
      <w:pPr>
        <w:pStyle w:val="Heading3"/>
      </w:pPr>
      <w:r>
        <w:t>4. Secciones preliminares</w:t>
      </w:r>
    </w:p>
    <w:p>
      <w:pPr>
        <w:spacing w:after="40"/>
      </w:pPr>
    </w:p>
    <w:p>
      <w:r>
        <w:t>El orden editorial de referencia será:</w:t>
      </w:r>
    </w:p>
    <w:p>
      <w:pPr>
        <w:spacing w:after="40"/>
      </w:pPr>
    </w:p>
    <w:p>
      <w:pPr>
        <w:pStyle w:val="ListNumber"/>
      </w:pPr>
      <w:r>
        <w:t>portada;</w:t>
      </w:r>
    </w:p>
    <w:p>
      <w:pPr>
        <w:pStyle w:val="ListNumber"/>
      </w:pPr>
      <w:r>
        <w:t>página de aprobación o calificación, si la institución la exige;</w:t>
      </w:r>
    </w:p>
    <w:p>
      <w:pPr>
        <w:pStyle w:val="ListNumber"/>
      </w:pPr>
      <w:r>
        <w:t>declaración de originalidad, integridad académica o derechos, si corresponde;</w:t>
      </w:r>
    </w:p>
    <w:p>
      <w:pPr>
        <w:pStyle w:val="ListNumber"/>
      </w:pPr>
      <w:r>
        <w:t>dedicatoria, opcional;</w:t>
      </w:r>
    </w:p>
    <w:p>
      <w:pPr>
        <w:pStyle w:val="ListNumber"/>
      </w:pPr>
      <w:r>
        <w:t>agradecimientos, opcional;</w:t>
      </w:r>
    </w:p>
    <w:p>
      <w:pPr>
        <w:pStyle w:val="ListNumber"/>
      </w:pPr>
      <w:r>
        <w:t>resumen en español;</w:t>
      </w:r>
    </w:p>
    <w:p>
      <w:pPr>
        <w:pStyle w:val="ListNumber"/>
      </w:pPr>
      <w:r>
        <w:t>palabras clave;</w:t>
      </w:r>
    </w:p>
    <w:p>
      <w:pPr>
        <w:pStyle w:val="ListNumber"/>
      </w:pPr>
      <w:r>
        <w:t>abstract en inglés;</w:t>
      </w:r>
    </w:p>
    <w:p>
      <w:pPr>
        <w:pStyle w:val="ListNumber"/>
      </w:pPr>
      <w:r>
        <w:t>keywords;</w:t>
      </w:r>
    </w:p>
    <w:p>
      <w:pPr>
        <w:pStyle w:val="ListNumber"/>
      </w:pPr>
      <w:r>
        <w:t>tabla de contenido;</w:t>
      </w:r>
    </w:p>
    <w:p>
      <w:pPr>
        <w:pStyle w:val="ListNumber"/>
      </w:pPr>
      <w:r>
        <w:t>lista de tablas;</w:t>
      </w:r>
    </w:p>
    <w:p>
      <w:pPr>
        <w:pStyle w:val="ListNumber"/>
      </w:pPr>
      <w:r>
        <w:t>lista de figuras;</w:t>
      </w:r>
    </w:p>
    <w:p>
      <w:pPr>
        <w:pStyle w:val="ListNumber"/>
      </w:pPr>
      <w:r>
        <w:t>lista de abreviaturas y siglas;</w:t>
      </w:r>
    </w:p>
    <w:p>
      <w:pPr>
        <w:pStyle w:val="ListNumber"/>
      </w:pPr>
      <w:r>
        <w:t>glosario, cuando sea necesario para la lectura;</w:t>
      </w:r>
    </w:p>
    <w:p>
      <w:pPr>
        <w:pStyle w:val="ListNumber"/>
      </w:pPr>
      <w:r>
        <w:t>nota sobre estructura por tomos, si el volumen final lo requiere.</w:t>
      </w:r>
    </w:p>
    <w:p>
      <w:pPr>
        <w:spacing w:after="40"/>
      </w:pPr>
    </w:p>
    <w:p>
      <w:r>
        <w:t>La extensión de los resúmenes, cantidad de palabras clave, inclusión de abstract, declaraciones obligatorias y orden definitivo quedan pendientes de cotejo institucional. Los preliminares no deben contener afirmaciones más concluyentes que el cuerpo aprobado de la tesis.</w:t>
      </w:r>
    </w:p>
    <w:p>
      <w:pPr>
        <w:spacing w:after="40"/>
      </w:pPr>
    </w:p>
    <w:p>
      <w:pPr>
        <w:pStyle w:val="Heading3"/>
      </w:pPr>
      <w:r>
        <w:t>5. Jerarquía documental</w:t>
      </w:r>
    </w:p>
    <w:p>
      <w:pPr>
        <w:spacing w:after="40"/>
      </w:pPr>
    </w:p>
    <w:p>
      <w:r>
        <w:t>La tesis conservará la arquitectura canónica de cuatro tomos, diecisiete capítulos y anexos definida por GOEI-DIR-0002. La jerarquía editorial permitida será:</w:t>
      </w:r>
    </w:p>
    <w:p>
      <w:pPr>
        <w:spacing w:after="40"/>
      </w:pPr>
    </w:p>
    <w:p>
      <w:pPr>
        <w:spacing w:after="20" w:line="240" w:lineRule="auto"/>
      </w:pPr>
      <w:r>
        <w:rPr>
          <w:rFonts w:ascii="Consolas" w:hAnsi="Consolas"/>
          <w:sz w:val="14"/>
        </w:rPr>
        <w:t>| Nivel | Función | Forma recomendada |</w:t>
      </w:r>
    </w:p>
    <w:p>
      <w:pPr>
        <w:spacing w:after="20" w:line="240" w:lineRule="auto"/>
      </w:pPr>
      <w:r>
        <w:rPr>
          <w:rFonts w:ascii="Consolas" w:hAnsi="Consolas"/>
          <w:sz w:val="14"/>
        </w:rPr>
        <w:t>|---|---|---|</w:t>
      </w:r>
    </w:p>
    <w:p>
      <w:pPr>
        <w:spacing w:after="20" w:line="240" w:lineRule="auto"/>
      </w:pPr>
      <w:r>
        <w:rPr>
          <w:rFonts w:ascii="Consolas" w:hAnsi="Consolas"/>
          <w:sz w:val="14"/>
        </w:rPr>
        <w:t>| Tomo | Gran división de la obra | Título propio, página de apertura |</w:t>
      </w:r>
    </w:p>
    <w:p>
      <w:pPr>
        <w:spacing w:after="20" w:line="240" w:lineRule="auto"/>
      </w:pPr>
      <w:r>
        <w:rPr>
          <w:rFonts w:ascii="Consolas" w:hAnsi="Consolas"/>
          <w:sz w:val="14"/>
        </w:rPr>
        <w:t>| Capítulo | Unidad argumental principal | Numeración arábiga correlativa |</w:t>
      </w:r>
    </w:p>
    <w:p>
      <w:pPr>
        <w:spacing w:after="20" w:line="240" w:lineRule="auto"/>
      </w:pPr>
      <w:r>
        <w:rPr>
          <w:rFonts w:ascii="Consolas" w:hAnsi="Consolas"/>
          <w:sz w:val="14"/>
        </w:rPr>
        <w:t>| Nivel 1 | Sección principal | `1.1 Título` |</w:t>
      </w:r>
    </w:p>
    <w:p>
      <w:pPr>
        <w:spacing w:after="20" w:line="240" w:lineRule="auto"/>
      </w:pPr>
      <w:r>
        <w:rPr>
          <w:rFonts w:ascii="Consolas" w:hAnsi="Consolas"/>
          <w:sz w:val="14"/>
        </w:rPr>
        <w:t>| Nivel 2 | Subsección | `1.1.1 Título` |</w:t>
      </w:r>
    </w:p>
    <w:p>
      <w:pPr>
        <w:spacing w:after="20" w:line="240" w:lineRule="auto"/>
      </w:pPr>
      <w:r>
        <w:rPr>
          <w:rFonts w:ascii="Consolas" w:hAnsi="Consolas"/>
          <w:sz w:val="14"/>
        </w:rPr>
        <w:t>| Nivel 3 | Subdivisión excepcional | `1.1.1.1 Título` |</w:t>
      </w:r>
    </w:p>
    <w:p>
      <w:pPr>
        <w:spacing w:after="20" w:line="240" w:lineRule="auto"/>
      </w:pPr>
      <w:r>
        <w:rPr>
          <w:rFonts w:ascii="Consolas" w:hAnsi="Consolas"/>
          <w:sz w:val="14"/>
        </w:rPr>
        <w:t>| Nivel 4 o inferior | Solo cuando sea indispensable | Evitar; preferir reestructuración del texto |</w:t>
      </w:r>
    </w:p>
    <w:p>
      <w:pPr>
        <w:spacing w:after="40"/>
      </w:pPr>
    </w:p>
    <w:p>
      <w:r>
        <w:t>Reglas:</w:t>
      </w:r>
    </w:p>
    <w:p>
      <w:pPr>
        <w:spacing w:after="40"/>
      </w:pPr>
    </w:p>
    <w:p>
      <w:pPr>
        <w:pStyle w:val="ListBullet"/>
      </w:pPr>
      <w:r>
        <w:t>cada título deberá describir el contenido que introduce;</w:t>
      </w:r>
    </w:p>
    <w:p>
      <w:pPr>
        <w:pStyle w:val="ListBullet"/>
      </w:pPr>
      <w:r>
        <w:t>no habrá una subdivisión única: si existe 1.1, debe justificarse al menos 1.2;</w:t>
      </w:r>
    </w:p>
    <w:p>
      <w:pPr>
        <w:pStyle w:val="ListBullet"/>
      </w:pPr>
      <w:r>
        <w:t>no se mezclarán dos sistemas de jerarquía en un mismo documento;</w:t>
      </w:r>
    </w:p>
    <w:p>
      <w:pPr>
        <w:pStyle w:val="ListBullet"/>
      </w:pPr>
      <w:r>
        <w:t>la numeración decimal sirve a la arquitectura extensa del GOEI, aunque no forma parte del sistema de encabezados por niveles de APA; su adopción definitiva deberá armonizarse con la guía institucional;</w:t>
      </w:r>
    </w:p>
    <w:p>
      <w:pPr>
        <w:pStyle w:val="ListBullet"/>
      </w:pPr>
      <w:r>
        <w:t>los estados internos de gobernanza no se mostrarán como etiquetas rudimentarias en la tesis final. Las limitaciones se explicarán en el texto, notas metodológicas, tablas de estado o secciones de discusión, sin ocultarlas.</w:t>
      </w:r>
    </w:p>
    <w:p>
      <w:pPr>
        <w:spacing w:after="40"/>
      </w:pPr>
    </w:p>
    <w:p>
      <w:pPr>
        <w:pStyle w:val="Heading3"/>
      </w:pPr>
      <w:r>
        <w:t>6. Tipografía y composición</w:t>
      </w:r>
    </w:p>
    <w:p>
      <w:pPr>
        <w:spacing w:after="40"/>
      </w:pPr>
    </w:p>
    <w:p>
      <w:pPr>
        <w:pStyle w:val="Heading4"/>
      </w:pPr>
      <w:r>
        <w:t>6.1 Familia tipográfica</w:t>
      </w:r>
    </w:p>
    <w:p>
      <w:pPr>
        <w:spacing w:after="40"/>
      </w:pPr>
    </w:p>
    <w:p>
      <w:r>
        <w:t>Se utilizará una fuente académica legible y disponible de forma estable en el entorno de producción. Configuración de referencia:</w:t>
      </w:r>
    </w:p>
    <w:p>
      <w:pPr>
        <w:spacing w:after="40"/>
      </w:pPr>
    </w:p>
    <w:p>
      <w:pPr>
        <w:pStyle w:val="ListBullet"/>
      </w:pPr>
      <w:r>
        <w:t>cuerpo: Times New Roman, 12 puntos;</w:t>
      </w:r>
    </w:p>
    <w:p>
      <w:pPr>
        <w:pStyle w:val="ListBullet"/>
      </w:pPr>
      <w:r>
        <w:t>títulos: la misma familia, con variaciones de tamaño y negrita;</w:t>
      </w:r>
    </w:p>
    <w:p>
      <w:pPr>
        <w:pStyle w:val="ListBullet"/>
      </w:pPr>
      <w:r>
        <w:t>notas al pie: 10 puntos;</w:t>
      </w:r>
    </w:p>
    <w:p>
      <w:pPr>
        <w:pStyle w:val="ListBullet"/>
      </w:pPr>
      <w:r>
        <w:t>texto dentro de tablas y figuras: 9 a 11 puntos, sin bajar de 9 salvo necesidad documental justificada;</w:t>
      </w:r>
    </w:p>
    <w:p>
      <w:pPr>
        <w:pStyle w:val="ListBullet"/>
      </w:pPr>
      <w:r>
        <w:t>código, identificadores técnicos o serializaciones: fuente monoespaciada de 9 a 10 puntos.</w:t>
      </w:r>
    </w:p>
    <w:p>
      <w:pPr>
        <w:spacing w:after="40"/>
      </w:pPr>
    </w:p>
    <w:p>
      <w:r>
        <w:t>APA 7 admite varias fuentes legibles; Times New Roman 12 se adopta aquí como convención del proyecto, no como una supuesta exigencia exclusiva de APA o de UDLA. La fuente institucional definitiva queda pendiente de cotejo institucional.</w:t>
      </w:r>
    </w:p>
    <w:p>
      <w:pPr>
        <w:spacing w:after="40"/>
      </w:pPr>
    </w:p>
    <w:p>
      <w:pPr>
        <w:pStyle w:val="Heading4"/>
      </w:pPr>
      <w:r>
        <w:t>6.2 Color y énfasis</w:t>
      </w:r>
    </w:p>
    <w:p>
      <w:pPr>
        <w:spacing w:after="40"/>
      </w:pPr>
    </w:p>
    <w:p>
      <w:pPr>
        <w:pStyle w:val="ListBullet"/>
      </w:pPr>
      <w:r>
        <w:t>texto principal, títulos, notas, números de página, encabezados y pies: negro;</w:t>
      </w:r>
    </w:p>
    <w:p>
      <w:pPr>
        <w:pStyle w:val="ListBullet"/>
      </w:pPr>
      <w:r>
        <w:t>fondo: blanco;</w:t>
      </w:r>
    </w:p>
    <w:p>
      <w:pPr>
        <w:pStyle w:val="ListBullet"/>
      </w:pPr>
      <w:r>
        <w:t>énfasis: cursiva o negrita conforme a la función; no subrayado decorativo;</w:t>
      </w:r>
    </w:p>
    <w:p>
      <w:pPr>
        <w:pStyle w:val="ListBullet"/>
      </w:pPr>
      <w:r>
        <w:t>hipervínculos: negros en la versión de entrega, distinguibles por subrayado si se requiere accesibilidad;</w:t>
      </w:r>
    </w:p>
    <w:p>
      <w:pPr>
        <w:pStyle w:val="ListBullet"/>
      </w:pPr>
      <w:r>
        <w:t>figuras: preferentemente escala de grises, tramas, formas y etiquetas directas; cualquier color funcional deberá seguir siendo interpretable en impresión monocromática.</w:t>
      </w:r>
    </w:p>
    <w:p>
      <w:pPr>
        <w:spacing w:after="40"/>
      </w:pPr>
    </w:p>
    <w:p>
      <w:pPr>
        <w:pStyle w:val="Heading4"/>
      </w:pPr>
      <w:r>
        <w:t>6.3 Párrafos</w:t>
      </w:r>
    </w:p>
    <w:p>
      <w:pPr>
        <w:spacing w:after="40"/>
      </w:pPr>
    </w:p>
    <w:p>
      <w:pPr>
        <w:pStyle w:val="ListBullet"/>
      </w:pPr>
      <w:r>
        <w:t>alineación a la izquierda, salvo requisito institucional verificado que exija justificación;</w:t>
      </w:r>
    </w:p>
    <w:p>
      <w:pPr>
        <w:pStyle w:val="ListBullet"/>
      </w:pPr>
      <w:r>
        <w:t>sangría de primera línea: 1,27 cm en párrafos ordinarios;</w:t>
      </w:r>
    </w:p>
    <w:p>
      <w:pPr>
        <w:pStyle w:val="ListBullet"/>
      </w:pPr>
      <w:r>
        <w:t>sin espacio adicional entre párrafos del mismo estilo;</w:t>
      </w:r>
    </w:p>
    <w:p>
      <w:pPr>
        <w:pStyle w:val="ListBullet"/>
      </w:pPr>
      <w:r>
        <w:t>evitar líneas viudas y huérfanas;</w:t>
      </w:r>
    </w:p>
    <w:p>
      <w:pPr>
        <w:pStyle w:val="ListBullet"/>
      </w:pPr>
      <w:r>
        <w:t>mantener títulos con el párrafo siguiente;</w:t>
      </w:r>
    </w:p>
    <w:p>
      <w:pPr>
        <w:pStyle w:val="ListBullet"/>
      </w:pPr>
      <w:r>
        <w:t>no insertar saltos de línea manuales para simular espaciado.</w:t>
      </w:r>
    </w:p>
    <w:p>
      <w:pPr>
        <w:spacing w:after="40"/>
      </w:pPr>
    </w:p>
    <w:p>
      <w:pPr>
        <w:pStyle w:val="Heading3"/>
      </w:pPr>
      <w:r>
        <w:t>7. Página, márgenes e interlineado</w:t>
      </w:r>
    </w:p>
    <w:p>
      <w:pPr>
        <w:spacing w:after="40"/>
      </w:pPr>
    </w:p>
    <w:p>
      <w:r>
        <w:t>Configuración de referencia para la maqueta:</w:t>
      </w:r>
    </w:p>
    <w:p>
      <w:pPr>
        <w:spacing w:after="40"/>
      </w:pPr>
    </w:p>
    <w:p>
      <w:pPr>
        <w:spacing w:after="20" w:line="240" w:lineRule="auto"/>
      </w:pPr>
      <w:r>
        <w:rPr>
          <w:rFonts w:ascii="Consolas" w:hAnsi="Consolas"/>
          <w:sz w:val="14"/>
        </w:rPr>
        <w:t>| Propiedad | Regla de proyecto |</w:t>
      </w:r>
    </w:p>
    <w:p>
      <w:pPr>
        <w:spacing w:after="20" w:line="240" w:lineRule="auto"/>
      </w:pPr>
      <w:r>
        <w:rPr>
          <w:rFonts w:ascii="Consolas" w:hAnsi="Consolas"/>
          <w:sz w:val="14"/>
        </w:rPr>
        <w:t>|---|---|</w:t>
      </w:r>
    </w:p>
    <w:p>
      <w:pPr>
        <w:spacing w:after="20" w:line="240" w:lineRule="auto"/>
      </w:pPr>
      <w:r>
        <w:rPr>
          <w:rFonts w:ascii="Consolas" w:hAnsi="Consolas"/>
          <w:sz w:val="14"/>
        </w:rPr>
        <w:t>| Tamaño de página | Carta, sujeto a cotejo institucional |</w:t>
      </w:r>
    </w:p>
    <w:p>
      <w:pPr>
        <w:spacing w:after="20" w:line="240" w:lineRule="auto"/>
      </w:pPr>
      <w:r>
        <w:rPr>
          <w:rFonts w:ascii="Consolas" w:hAnsi="Consolas"/>
          <w:sz w:val="14"/>
        </w:rPr>
        <w:t>| Márgenes | 2,54 cm en los cuatro lados |</w:t>
      </w:r>
    </w:p>
    <w:p>
      <w:pPr>
        <w:spacing w:after="20" w:line="240" w:lineRule="auto"/>
      </w:pPr>
      <w:r>
        <w:rPr>
          <w:rFonts w:ascii="Consolas" w:hAnsi="Consolas"/>
          <w:sz w:val="14"/>
        </w:rPr>
        <w:t>| Interlineado del cuerpo | Doble |</w:t>
      </w:r>
    </w:p>
    <w:p>
      <w:pPr>
        <w:spacing w:after="20" w:line="240" w:lineRule="auto"/>
      </w:pPr>
      <w:r>
        <w:rPr>
          <w:rFonts w:ascii="Consolas" w:hAnsi="Consolas"/>
          <w:sz w:val="14"/>
        </w:rPr>
        <w:t>| Alineación | Izquierda |</w:t>
      </w:r>
    </w:p>
    <w:p>
      <w:pPr>
        <w:spacing w:after="20" w:line="240" w:lineRule="auto"/>
      </w:pPr>
      <w:r>
        <w:rPr>
          <w:rFonts w:ascii="Consolas" w:hAnsi="Consolas"/>
          <w:sz w:val="14"/>
        </w:rPr>
        <w:t>| Sangría inicial | 1,27 cm |</w:t>
      </w:r>
    </w:p>
    <w:p>
      <w:pPr>
        <w:spacing w:after="20" w:line="240" w:lineRule="auto"/>
      </w:pPr>
      <w:r>
        <w:rPr>
          <w:rFonts w:ascii="Consolas" w:hAnsi="Consolas"/>
          <w:sz w:val="14"/>
        </w:rPr>
        <w:t>| Espacio antes/después | Controlado por estilos, no por líneas vacías |</w:t>
      </w:r>
    </w:p>
    <w:p>
      <w:pPr>
        <w:spacing w:after="40"/>
      </w:pPr>
    </w:p>
    <w:p>
      <w:r>
        <w:t>Excepciones de interlineado permitidas por función: portada, contenido de tablas, notas, ecuaciones extensas, títulos de figuras, entradas de anexos y metadatos técnicos. Estas excepciones deberán mantener legibilidad y consistencia.</w:t>
      </w:r>
    </w:p>
    <w:p>
      <w:pPr>
        <w:spacing w:after="40"/>
      </w:pPr>
    </w:p>
    <w:p>
      <w:r>
        <w:t>Tamaño de papel, margen de encuadernación, impresión a una o dos caras y cualquier margen especial quedan pendientes de cotejo institucional.</w:t>
      </w:r>
    </w:p>
    <w:p>
      <w:pPr>
        <w:spacing w:after="40"/>
      </w:pPr>
    </w:p>
    <w:p>
      <w:pPr>
        <w:pStyle w:val="Heading3"/>
      </w:pPr>
      <w:r>
        <w:t>8. Encabezados, pies y paginación</w:t>
      </w:r>
    </w:p>
    <w:p>
      <w:pPr>
        <w:spacing w:after="40"/>
      </w:pPr>
    </w:p>
    <w:p>
      <w:pPr>
        <w:pStyle w:val="ListBullet"/>
      </w:pPr>
      <w:r>
        <w:t>la numeración física deberá ser continua dentro del esquema de entrega aprobado;</w:t>
      </w:r>
    </w:p>
    <w:p>
      <w:pPr>
        <w:pStyle w:val="ListBullet"/>
      </w:pPr>
      <w:r>
        <w:t>portada sin número visible;</w:t>
      </w:r>
    </w:p>
    <w:p>
      <w:pPr>
        <w:pStyle w:val="ListBullet"/>
      </w:pPr>
      <w:r>
        <w:t>preliminares: numeración romana minúscula como configuración de referencia;</w:t>
      </w:r>
    </w:p>
    <w:p>
      <w:pPr>
        <w:pStyle w:val="ListBullet"/>
      </w:pPr>
      <w:r>
        <w:t>cuerpo y anexos: numeración arábiga;</w:t>
      </w:r>
    </w:p>
    <w:p>
      <w:pPr>
        <w:pStyle w:val="ListBullet"/>
      </w:pPr>
      <w:r>
        <w:t>número de página en el extremo superior derecho como configuración de referencia APA;</w:t>
      </w:r>
    </w:p>
    <w:p>
      <w:pPr>
        <w:pStyle w:val="ListBullet"/>
      </w:pPr>
      <w:r>
        <w:t>encabezado corto o título de tomo solo si lo requiere la institución o mejora materialmente la navegación de una obra multivolumen;</w:t>
      </w:r>
    </w:p>
    <w:p>
      <w:pPr>
        <w:pStyle w:val="ListBullet"/>
      </w:pPr>
      <w:r>
        <w:t>no se incluirá la etiqueta Running head;</w:t>
      </w:r>
    </w:p>
    <w:p>
      <w:pPr>
        <w:pStyle w:val="ListBullet"/>
      </w:pPr>
      <w:r>
        <w:t>el nombre del autor o título abreviado en encabezado queda sujeto a la guía institucional;</w:t>
      </w:r>
    </w:p>
    <w:p>
      <w:pPr>
        <w:pStyle w:val="ListBullet"/>
      </w:pPr>
      <w:r>
        <w:t>todo salto de sección deberá preservar orientación, numeración y estilos correctos.</w:t>
      </w:r>
    </w:p>
    <w:p>
      <w:pPr>
        <w:spacing w:after="40"/>
      </w:pPr>
    </w:p>
    <w:p>
      <w:r>
        <w:t>La convención final de preliminares, ubicación del folio, encabezados institucionales y reinicio entre tomos queda pendiente de cotejo institucional.</w:t>
      </w:r>
    </w:p>
    <w:p>
      <w:pPr>
        <w:spacing w:after="40"/>
      </w:pPr>
    </w:p>
    <w:p>
      <w:pPr>
        <w:pStyle w:val="Heading3"/>
      </w:pPr>
      <w:r>
        <w:t>9. Tablas</w:t>
      </w:r>
    </w:p>
    <w:p>
      <w:pPr>
        <w:spacing w:after="40"/>
      </w:pPr>
    </w:p>
    <w:p>
      <w:r>
        <w:t>Cada tabla deberá:</w:t>
      </w:r>
    </w:p>
    <w:p>
      <w:pPr>
        <w:spacing w:after="40"/>
      </w:pPr>
    </w:p>
    <w:p>
      <w:pPr>
        <w:pStyle w:val="ListNumber"/>
      </w:pPr>
      <w:r>
        <w:t>ser mencionada previamente o inmediatamente después en el texto;</w:t>
      </w:r>
    </w:p>
    <w:p>
      <w:pPr>
        <w:pStyle w:val="ListNumber"/>
      </w:pPr>
      <w:r>
        <w:t>tener número correlativo y título descriptivo;</w:t>
      </w:r>
    </w:p>
    <w:p>
      <w:pPr>
        <w:pStyle w:val="ListNumber"/>
      </w:pPr>
      <w:r>
        <w:t>usar encabezados claros y unidades explícitas;</w:t>
      </w:r>
    </w:p>
    <w:p>
      <w:pPr>
        <w:pStyle w:val="ListNumber"/>
      </w:pPr>
      <w:r>
        <w:t>evitar líneas verticales y retícula completa cuando no sean necesarias;</w:t>
      </w:r>
    </w:p>
    <w:p>
      <w:pPr>
        <w:pStyle w:val="ListNumber"/>
      </w:pPr>
      <w:r>
        <w:t>explicar abreviaturas, símbolos, fuentes y excepciones en notas;</w:t>
      </w:r>
    </w:p>
    <w:p>
      <w:pPr>
        <w:pStyle w:val="ListNumber"/>
      </w:pPr>
      <w:r>
        <w:t>identificar si es elaboración propia, adaptación o reproducción;</w:t>
      </w:r>
    </w:p>
    <w:p>
      <w:pPr>
        <w:pStyle w:val="ListNumber"/>
      </w:pPr>
      <w:r>
        <w:t>mantener filas de encabezado al continuar en otra página;</w:t>
      </w:r>
    </w:p>
    <w:p>
      <w:pPr>
        <w:pStyle w:val="ListNumber"/>
      </w:pPr>
      <w:r>
        <w:t>evitar cortar una fila entre páginas cuando sea técnicamente posible;</w:t>
      </w:r>
    </w:p>
    <w:p>
      <w:pPr>
        <w:pStyle w:val="ListNumber"/>
      </w:pPr>
      <w:r>
        <w:t>conservar significado en escala de grises;</w:t>
      </w:r>
    </w:p>
    <w:p>
      <w:pPr>
        <w:pStyle w:val="ListNumber"/>
      </w:pPr>
      <w:r>
        <w:t>no presentar como resultado definitivo información todavía no aprobada o validada.</w:t>
      </w:r>
    </w:p>
    <w:p>
      <w:pPr>
        <w:spacing w:after="40"/>
      </w:pPr>
    </w:p>
    <w:p>
      <w:r>
        <w:t>Las notas se ordenarán como nota general, notas específicas y notas de probabilidad, cuando correspondan. Las tablas anchas podrán utilizar orientación horizontal, procurando que el folio mantenga una lectura coherente.</w:t>
      </w:r>
    </w:p>
    <w:p>
      <w:pPr>
        <w:spacing w:after="40"/>
      </w:pPr>
    </w:p>
    <w:p>
      <w:pPr>
        <w:pStyle w:val="Heading3"/>
      </w:pPr>
      <w:r>
        <w:t>10. Figuras y diagramas</w:t>
      </w:r>
    </w:p>
    <w:p>
      <w:pPr>
        <w:spacing w:after="40"/>
      </w:pPr>
    </w:p>
    <w:p>
      <w:r>
        <w:t>Se consideran figuras los gráficos, diagramas, mapas conceptuales, modelos UML, BPMN, arquitecturas, flujos y demás representaciones visuales.</w:t>
      </w:r>
    </w:p>
    <w:p>
      <w:pPr>
        <w:spacing w:after="40"/>
      </w:pPr>
    </w:p>
    <w:p>
      <w:r>
        <w:t>Cada figura deberá:</w:t>
      </w:r>
    </w:p>
    <w:p>
      <w:pPr>
        <w:spacing w:after="40"/>
      </w:pPr>
    </w:p>
    <w:p>
      <w:pPr>
        <w:pStyle w:val="ListBullet"/>
      </w:pPr>
      <w:r>
        <w:t>tener número y título;</w:t>
      </w:r>
    </w:p>
    <w:p>
      <w:pPr>
        <w:pStyle w:val="ListBullet"/>
      </w:pPr>
      <w:r>
        <w:t>ser referenciada en el cuerpo;</w:t>
      </w:r>
    </w:p>
    <w:p>
      <w:pPr>
        <w:pStyle w:val="ListBullet"/>
      </w:pPr>
      <w:r>
        <w:t>incluir leyenda suficiente para comprender símbolos y abreviaturas;</w:t>
      </w:r>
    </w:p>
    <w:p>
      <w:pPr>
        <w:pStyle w:val="ListBullet"/>
      </w:pPr>
      <w:r>
        <w:t>citar fuente o indicar elaboración propia;</w:t>
      </w:r>
    </w:p>
    <w:p>
      <w:pPr>
        <w:pStyle w:val="ListBullet"/>
      </w:pPr>
      <w:r>
        <w:t>disponer de resolución adecuada para impresión;</w:t>
      </w:r>
    </w:p>
    <w:p>
      <w:pPr>
        <w:pStyle w:val="ListBullet"/>
      </w:pPr>
      <w:r>
        <w:t>utilizar tipografía legible y coherente con el documento;</w:t>
      </w:r>
    </w:p>
    <w:p>
      <w:pPr>
        <w:pStyle w:val="ListBullet"/>
      </w:pPr>
      <w:r>
        <w:t>evitar dependencias semánticas exclusivas del color;</w:t>
      </w:r>
    </w:p>
    <w:p>
      <w:pPr>
        <w:pStyle w:val="ListBullet"/>
      </w:pPr>
      <w:r>
        <w:t>incluir texto alternativo en DOCX y PDF etiquetado, cuando las herramientas lo permitan;</w:t>
      </w:r>
    </w:p>
    <w:p>
      <w:pPr>
        <w:pStyle w:val="ListBullet"/>
      </w:pPr>
      <w:r>
        <w:t>conservar una fuente editable para su mantenimiento;</w:t>
      </w:r>
    </w:p>
    <w:p>
      <w:pPr>
        <w:pStyle w:val="ListBullet"/>
      </w:pPr>
      <w:r>
        <w:t>ser verificada a escala de página real, no solo en el archivo de origen.</w:t>
      </w:r>
    </w:p>
    <w:p>
      <w:pPr>
        <w:spacing w:after="40"/>
      </w:pPr>
    </w:p>
    <w:p>
      <w:r>
        <w:t>Los diagramas técnicos que representen el GOEI deberán derivarse de componentes y decisiones trazables. Una figura no puede promover una hipótesis a elemento normativo por efecto de su presentación visual.</w:t>
      </w:r>
    </w:p>
    <w:p>
      <w:pPr>
        <w:spacing w:after="40"/>
      </w:pPr>
    </w:p>
    <w:p>
      <w:pPr>
        <w:pStyle w:val="Heading3"/>
      </w:pPr>
      <w:r>
        <w:t>11. Ecuaciones, símbolos e identificadores</w:t>
      </w:r>
    </w:p>
    <w:p>
      <w:pPr>
        <w:spacing w:after="40"/>
      </w:pPr>
    </w:p>
    <w:p>
      <w:pPr>
        <w:pStyle w:val="ListBullet"/>
      </w:pPr>
      <w:r>
        <w:t>las ecuaciones se numerarán correlativamente cuando sean citadas posteriormente;</w:t>
      </w:r>
    </w:p>
    <w:p>
      <w:pPr>
        <w:pStyle w:val="ListBullet"/>
      </w:pPr>
      <w:r>
        <w:t>cada símbolo se definirá en su primera aparición y, si es abundante, en una nomenclatura consolidada;</w:t>
      </w:r>
    </w:p>
    <w:p>
      <w:pPr>
        <w:pStyle w:val="ListBullet"/>
      </w:pPr>
      <w:r>
        <w:t>unidades y operadores se presentarán consistentemente;</w:t>
      </w:r>
    </w:p>
    <w:p>
      <w:pPr>
        <w:pStyle w:val="ListBullet"/>
      </w:pPr>
      <w:r>
        <w:t>identificadores GOEI podrán mantenerse en fuente monoespaciada o estilo técnico discreto;</w:t>
      </w:r>
    </w:p>
    <w:p>
      <w:pPr>
        <w:pStyle w:val="ListBullet"/>
      </w:pPr>
      <w:r>
        <w:t>ninguna fórmula se incorporará a la tesis final sin decisión científica aprobada, versión y trazabilidad;</w:t>
      </w:r>
    </w:p>
    <w:p>
      <w:pPr>
        <w:pStyle w:val="ListBullet"/>
      </w:pPr>
      <w:r>
        <w:t>las ecuaciones deberán conservarse como objetos editables, no como capturas de pantalla.</w:t>
      </w:r>
    </w:p>
    <w:p>
      <w:pPr>
        <w:spacing w:after="40"/>
      </w:pPr>
    </w:p>
    <w:p>
      <w:pPr>
        <w:pStyle w:val="Heading3"/>
      </w:pPr>
      <w:r>
        <w:t>12. Citas en el texto</w:t>
      </w:r>
    </w:p>
    <w:p>
      <w:pPr>
        <w:spacing w:after="40"/>
      </w:pPr>
    </w:p>
    <w:p>
      <w:r>
        <w:t>Se aplicará APA 7 de forma uniforme:</w:t>
      </w:r>
    </w:p>
    <w:p>
      <w:pPr>
        <w:spacing w:after="40"/>
      </w:pPr>
    </w:p>
    <w:p>
      <w:pPr>
        <w:pStyle w:val="ListBullet"/>
      </w:pPr>
      <w:r>
        <w:t>sistema autor-fecha;</w:t>
      </w:r>
    </w:p>
    <w:p>
      <w:pPr>
        <w:pStyle w:val="ListBullet"/>
      </w:pPr>
      <w:r>
        <w:t>citas narrativas o parentéticas según la construcción de la oración;</w:t>
      </w:r>
    </w:p>
    <w:p>
      <w:pPr>
        <w:pStyle w:val="ListBullet"/>
      </w:pPr>
      <w:r>
        <w:t>número de página o localizador para citas textuales;</w:t>
      </w:r>
    </w:p>
    <w:p>
      <w:pPr>
        <w:pStyle w:val="ListBullet"/>
      </w:pPr>
      <w:r>
        <w:t>bloque independiente para citas textuales de cuarenta palabras o más;</w:t>
      </w:r>
    </w:p>
    <w:p>
      <w:pPr>
        <w:pStyle w:val="ListBullet"/>
      </w:pPr>
      <w:r>
        <w:t>uso de et al. conforme a APA 7;</w:t>
      </w:r>
    </w:p>
    <w:p>
      <w:pPr>
        <w:pStyle w:val="ListBullet"/>
      </w:pPr>
      <w:r>
        <w:t>autores corporativos identificados de manera consistente;</w:t>
      </w:r>
    </w:p>
    <w:p>
      <w:pPr>
        <w:pStyle w:val="ListBullet"/>
      </w:pPr>
      <w:r>
        <w:t>comunicaciones personales citadas solo en el texto y no en referencias;</w:t>
      </w:r>
    </w:p>
    <w:p>
      <w:pPr>
        <w:pStyle w:val="ListBullet"/>
      </w:pPr>
      <w:r>
        <w:t>fuentes secundarias utilizadas excepcionalmente y señaladas como tales;</w:t>
      </w:r>
    </w:p>
    <w:p>
      <w:pPr>
        <w:pStyle w:val="ListBullet"/>
      </w:pPr>
      <w:r>
        <w:t>coincidencia obligatoria entre cada cita recuperable y una entrada de referencias.</w:t>
      </w:r>
    </w:p>
    <w:p>
      <w:pPr>
        <w:spacing w:after="40"/>
      </w:pPr>
    </w:p>
    <w:p>
      <w:r>
        <w:t>Las citas no sustituyen el registro de evidencia del GOEI. La tesis deberá distinguir con claridad evidencia bibliográfica, norma o regulación, dato empírico, consenso experto, decisión oficial y propuesta no validada.</w:t>
      </w:r>
    </w:p>
    <w:p>
      <w:pPr>
        <w:spacing w:after="40"/>
      </w:pPr>
    </w:p>
    <w:p>
      <w:pPr>
        <w:pStyle w:val="Heading3"/>
      </w:pPr>
      <w:r>
        <w:t>13. Lista de referencias</w:t>
      </w:r>
    </w:p>
    <w:p>
      <w:pPr>
        <w:spacing w:after="40"/>
      </w:pPr>
    </w:p>
    <w:p>
      <w:pPr>
        <w:pStyle w:val="ListBullet"/>
      </w:pPr>
      <w:r>
        <w:t>título de sección conforme a la lengua final adoptada;</w:t>
      </w:r>
    </w:p>
    <w:p>
      <w:pPr>
        <w:pStyle w:val="ListBullet"/>
      </w:pPr>
      <w:r>
        <w:t>orden alfabético por autor;</w:t>
      </w:r>
    </w:p>
    <w:p>
      <w:pPr>
        <w:pStyle w:val="ListBullet"/>
      </w:pPr>
      <w:r>
        <w:t>sangría francesa de 1,27 cm;</w:t>
      </w:r>
    </w:p>
    <w:p>
      <w:pPr>
        <w:pStyle w:val="ListBullet"/>
      </w:pPr>
      <w:r>
        <w:t>doble interlineado como configuración principal;</w:t>
      </w:r>
    </w:p>
    <w:p>
      <w:pPr>
        <w:pStyle w:val="ListBullet"/>
      </w:pPr>
      <w:r>
        <w:t>DOI presentado como enlace https://doi.org/...;</w:t>
      </w:r>
    </w:p>
    <w:p>
      <w:pPr>
        <w:pStyle w:val="ListBullet"/>
      </w:pPr>
      <w:r>
        <w:t>URL estable cuando no exista DOI y corresponda incluirla;</w:t>
      </w:r>
    </w:p>
    <w:p>
      <w:pPr>
        <w:pStyle w:val="ListBullet"/>
      </w:pPr>
      <w:r>
        <w:t>uso coherente de mayúsculas, cursivas y datos editoriales según el tipo de fuente;</w:t>
      </w:r>
    </w:p>
    <w:p>
      <w:pPr>
        <w:pStyle w:val="ListBullet"/>
      </w:pPr>
      <w:r>
        <w:t>no incluir fuentes no citadas en la lista principal;</w:t>
      </w:r>
    </w:p>
    <w:p>
      <w:pPr>
        <w:pStyle w:val="ListBullet"/>
      </w:pPr>
      <w:r>
        <w:t>no mantener referencias provisionales, incompletas o no verificadas en la versión de entrega;</w:t>
      </w:r>
    </w:p>
    <w:p>
      <w:pPr>
        <w:pStyle w:val="ListBullet"/>
      </w:pPr>
      <w:r>
        <w:t>separar bibliografía de trabajo, fuentes descartadas y registro de evidencias de la lista final de referencias.</w:t>
      </w:r>
    </w:p>
    <w:p>
      <w:pPr>
        <w:spacing w:after="40"/>
      </w:pPr>
    </w:p>
    <w:p>
      <w:r>
        <w:t>Antes de cerrar el manuscrito se ejecutará una conciliación bidireccional: citas sin referencia y referencias sin cita. La exactitud bibliográfica deberá verificarse contra la fuente primaria o un registro bibliográfico confiable; el estilo correcto no acredita por sí solo la validez científica de una fuente.</w:t>
      </w:r>
    </w:p>
    <w:p>
      <w:pPr>
        <w:spacing w:after="40"/>
      </w:pPr>
    </w:p>
    <w:p>
      <w:pPr>
        <w:pStyle w:val="Heading3"/>
      </w:pPr>
      <w:r>
        <w:t>14. Notas al pie</w:t>
      </w:r>
    </w:p>
    <w:p>
      <w:pPr>
        <w:spacing w:after="40"/>
      </w:pPr>
    </w:p>
    <w:p>
      <w:r>
        <w:t>Las notas al pie se reservarán para aclaraciones sustantivas que interrumpirían el argumento principal, información de derechos o precisiones técnicas. No se usarán para ocultar limitaciones metodológicas, sustituir referencias completas ni acumular discusiones centrales. Su numeración será correlativa y automática.</w:t>
      </w:r>
    </w:p>
    <w:p>
      <w:pPr>
        <w:spacing w:after="40"/>
      </w:pPr>
    </w:p>
    <w:p>
      <w:pPr>
        <w:pStyle w:val="Heading3"/>
      </w:pPr>
      <w:r>
        <w:t>15. Anexos</w:t>
      </w:r>
    </w:p>
    <w:p>
      <w:pPr>
        <w:spacing w:after="40"/>
      </w:pPr>
    </w:p>
    <w:p>
      <w:r>
        <w:t>Los anexos contendrán material necesario para auditoría, reproducción o consulta que resulte demasiado extenso para el cuerpo. Reglas:</w:t>
      </w:r>
    </w:p>
    <w:p>
      <w:pPr>
        <w:spacing w:after="40"/>
      </w:pPr>
    </w:p>
    <w:p>
      <w:pPr>
        <w:pStyle w:val="ListBullet"/>
      </w:pPr>
      <w:r>
        <w:t>cada anexo tendrá identificador, título y referencia desde el cuerpo;</w:t>
      </w:r>
    </w:p>
    <w:p>
      <w:pPr>
        <w:pStyle w:val="ListBullet"/>
      </w:pPr>
      <w:r>
        <w:t>si existe uno solo, se denominará Anexo; si existen varios, Anexo A, Anexo B, etc.;</w:t>
      </w:r>
    </w:p>
    <w:p>
      <w:pPr>
        <w:pStyle w:val="ListBullet"/>
      </w:pPr>
      <w:r>
        <w:t>tablas y figuras internas utilizarán numeración vinculada al anexo, por ejemplo Tabla A1 o Figura C2;</w:t>
      </w:r>
    </w:p>
    <w:p>
      <w:pPr>
        <w:pStyle w:val="ListBullet"/>
      </w:pPr>
      <w:r>
        <w:t>cada anexo declarará procedencia, versión y estado cuando contenga un componente GOEI;</w:t>
      </w:r>
    </w:p>
    <w:p>
      <w:pPr>
        <w:pStyle w:val="ListBullet"/>
      </w:pPr>
      <w:r>
        <w:t>instrumentos, formularios y protocolos distinguirán versiones aprobadas de borradores;</w:t>
      </w:r>
    </w:p>
    <w:p>
      <w:pPr>
        <w:pStyle w:val="ListBullet"/>
      </w:pPr>
      <w:r>
        <w:t>datos personales o sensibles serán anonimizados o restringidos conforme al protocolo ético aplicable;</w:t>
      </w:r>
    </w:p>
    <w:p>
      <w:pPr>
        <w:pStyle w:val="ListBullet"/>
      </w:pPr>
      <w:r>
        <w:t>archivos externos, conjuntos de datos o artefactos digitales se relacionarán mediante un inventario de anexos y un identificador persistente cuando exista;</w:t>
      </w:r>
    </w:p>
    <w:p>
      <w:pPr>
        <w:pStyle w:val="ListBullet"/>
      </w:pPr>
      <w:r>
        <w:t>los quince anexos técnicos mínimos del Plan Maestro deberán controlarse mediante la matriz de cumplimiento, sin presumir su contenido antes de las decisiones correspondientes.</w:t>
      </w:r>
    </w:p>
    <w:p>
      <w:pPr>
        <w:spacing w:after="40"/>
      </w:pPr>
    </w:p>
    <w:p>
      <w:pPr>
        <w:pStyle w:val="Heading3"/>
      </w:pPr>
      <w:r>
        <w:t>16. Metadatos del documento</w:t>
      </w:r>
    </w:p>
    <w:p>
      <w:pPr>
        <w:spacing w:after="40"/>
      </w:pPr>
    </w:p>
    <w:p>
      <w:r>
        <w:t>Cada artefacto fuente, DOCX y PDF de entrega deberá registrar, cuando el formato lo permita:</w:t>
      </w:r>
    </w:p>
    <w:p>
      <w:pPr>
        <w:spacing w:after="40"/>
      </w:pPr>
    </w:p>
    <w:p>
      <w:pPr>
        <w:spacing w:after="20" w:line="240" w:lineRule="auto"/>
      </w:pPr>
      <w:r>
        <w:rPr>
          <w:rFonts w:ascii="Consolas" w:hAnsi="Consolas"/>
          <w:sz w:val="14"/>
        </w:rPr>
        <w:t>| Metadato | Valor o regla |</w:t>
      </w:r>
    </w:p>
    <w:p>
      <w:pPr>
        <w:spacing w:after="20" w:line="240" w:lineRule="auto"/>
      </w:pPr>
      <w:r>
        <w:rPr>
          <w:rFonts w:ascii="Consolas" w:hAnsi="Consolas"/>
          <w:sz w:val="14"/>
        </w:rPr>
        <w:t>|---|---|</w:t>
      </w:r>
    </w:p>
    <w:p>
      <w:pPr>
        <w:spacing w:after="20" w:line="240" w:lineRule="auto"/>
      </w:pPr>
      <w:r>
        <w:rPr>
          <w:rFonts w:ascii="Consolas" w:hAnsi="Consolas"/>
          <w:sz w:val="14"/>
        </w:rPr>
        <w:t>| Título | Título de tesis aprobado |</w:t>
      </w:r>
    </w:p>
    <w:p>
      <w:pPr>
        <w:spacing w:after="20" w:line="240" w:lineRule="auto"/>
      </w:pPr>
      <w:r>
        <w:rPr>
          <w:rFonts w:ascii="Consolas" w:hAnsi="Consolas"/>
          <w:sz w:val="14"/>
        </w:rPr>
        <w:t>| Autor | Pablo Toledo Salinas |</w:t>
      </w:r>
    </w:p>
    <w:p>
      <w:pPr>
        <w:spacing w:after="20" w:line="240" w:lineRule="auto"/>
      </w:pPr>
      <w:r>
        <w:rPr>
          <w:rFonts w:ascii="Consolas" w:hAnsi="Consolas"/>
          <w:sz w:val="14"/>
        </w:rPr>
        <w:t>| Institución | Universidad de Las Américas, Chile |</w:t>
      </w:r>
    </w:p>
    <w:p>
      <w:pPr>
        <w:spacing w:after="20" w:line="240" w:lineRule="auto"/>
      </w:pPr>
      <w:r>
        <w:rPr>
          <w:rFonts w:ascii="Consolas" w:hAnsi="Consolas"/>
          <w:sz w:val="14"/>
        </w:rPr>
        <w:t>| Programa/grado | Pendiente de cotejo institucional |</w:t>
      </w:r>
    </w:p>
    <w:p>
      <w:pPr>
        <w:spacing w:after="20" w:line="240" w:lineRule="auto"/>
      </w:pPr>
      <w:r>
        <w:rPr>
          <w:rFonts w:ascii="Consolas" w:hAnsi="Consolas"/>
          <w:sz w:val="14"/>
        </w:rPr>
        <w:t>| Idioma | Español; resúmenes en otros idiomas según requisitos |</w:t>
      </w:r>
    </w:p>
    <w:p>
      <w:pPr>
        <w:spacing w:after="20" w:line="240" w:lineRule="auto"/>
      </w:pPr>
      <w:r>
        <w:rPr>
          <w:rFonts w:ascii="Consolas" w:hAnsi="Consolas"/>
          <w:sz w:val="14"/>
        </w:rPr>
        <w:t>| Palabras clave | Solo después de aprobación científica y editorial |</w:t>
      </w:r>
    </w:p>
    <w:p>
      <w:pPr>
        <w:spacing w:after="20" w:line="240" w:lineRule="auto"/>
      </w:pPr>
      <w:r>
        <w:rPr>
          <w:rFonts w:ascii="Consolas" w:hAnsi="Consolas"/>
          <w:sz w:val="14"/>
        </w:rPr>
        <w:t>| Identificador documental | Identificador GOEI de la tesis o tomo |</w:t>
      </w:r>
    </w:p>
    <w:p>
      <w:pPr>
        <w:spacing w:after="20" w:line="240" w:lineRule="auto"/>
      </w:pPr>
      <w:r>
        <w:rPr>
          <w:rFonts w:ascii="Consolas" w:hAnsi="Consolas"/>
          <w:sz w:val="14"/>
        </w:rPr>
        <w:t>| Versión | Versión documental controlada |</w:t>
      </w:r>
    </w:p>
    <w:p>
      <w:pPr>
        <w:spacing w:after="20" w:line="240" w:lineRule="auto"/>
      </w:pPr>
      <w:r>
        <w:rPr>
          <w:rFonts w:ascii="Consolas" w:hAnsi="Consolas"/>
          <w:sz w:val="14"/>
        </w:rPr>
        <w:t>| Fecha | Fecha de generación y, en entrega, fecha oficial |</w:t>
      </w:r>
    </w:p>
    <w:p>
      <w:pPr>
        <w:spacing w:after="20" w:line="240" w:lineRule="auto"/>
      </w:pPr>
      <w:r>
        <w:rPr>
          <w:rFonts w:ascii="Consolas" w:hAnsi="Consolas"/>
          <w:sz w:val="14"/>
        </w:rPr>
        <w:t>| Estado | Borrador, candidato, aprobado o publicado, según registro |</w:t>
      </w:r>
    </w:p>
    <w:p>
      <w:pPr>
        <w:spacing w:after="20" w:line="240" w:lineRule="auto"/>
      </w:pPr>
      <w:r>
        <w:rPr>
          <w:rFonts w:ascii="Consolas" w:hAnsi="Consolas"/>
          <w:sz w:val="14"/>
        </w:rPr>
        <w:t>| Derechos/licencia | Pendiente de decisión autoral e institucional |</w:t>
      </w:r>
    </w:p>
    <w:p>
      <w:pPr>
        <w:spacing w:after="20" w:line="240" w:lineRule="auto"/>
      </w:pPr>
      <w:r>
        <w:rPr>
          <w:rFonts w:ascii="Consolas" w:hAnsi="Consolas"/>
          <w:sz w:val="14"/>
        </w:rPr>
        <w:t>| Software productor | Registrado automáticamente cuando sea posible |</w:t>
      </w:r>
    </w:p>
    <w:p>
      <w:pPr>
        <w:spacing w:after="40"/>
      </w:pPr>
    </w:p>
    <w:p>
      <w:r>
        <w:t>Los metadatos internos de producción podrán contener identificadores de trazabilidad. La copia académica final solo mostrará la información pertinente para el lector y la institución, sin perder el registro técnico externo.</w:t>
      </w:r>
    </w:p>
    <w:p>
      <w:pPr>
        <w:spacing w:after="40"/>
      </w:pPr>
    </w:p>
    <w:p>
      <w:pPr>
        <w:pStyle w:val="Heading3"/>
      </w:pPr>
      <w:r>
        <w:t>17. Control de autoría e integridad</w:t>
      </w:r>
    </w:p>
    <w:p>
      <w:pPr>
        <w:spacing w:after="40"/>
      </w:pPr>
    </w:p>
    <w:p>
      <w:pPr>
        <w:pStyle w:val="ListNumber"/>
      </w:pPr>
      <w:r>
        <w:t>Pablo Toledo Salinas constará como autor de la tesis, salvo que una decisión académica formal determine otra configuración.</w:t>
      </w:r>
    </w:p>
    <w:p>
      <w:pPr>
        <w:pStyle w:val="ListNumber"/>
      </w:pPr>
      <w:r>
        <w:t>Dirección, supervisión, asesorías, Comité Científico y Oficina Técnica se reconocerán según su contribución real y las reglas institucionales; no se atribuirá coautoría automáticamente.</w:t>
      </w:r>
    </w:p>
    <w:p>
      <w:pPr>
        <w:pStyle w:val="ListNumber"/>
      </w:pPr>
      <w:r>
        <w:t>Toda contribución sustantiva se mantendrá en un registro de procedencia con fecha, responsable, artefacto y tipo de intervención.</w:t>
      </w:r>
    </w:p>
    <w:p>
      <w:pPr>
        <w:pStyle w:val="ListNumber"/>
      </w:pPr>
      <w:r>
        <w:t>El uso de herramientas de inteligencia artificial deberá declararse cuando lo exijan la institución, la revista o las normas éticas aplicables. Estas herramientas no se presentarán como autoras.</w:t>
      </w:r>
    </w:p>
    <w:p>
      <w:pPr>
        <w:pStyle w:val="ListNumber"/>
      </w:pPr>
      <w:r>
        <w:t>Las decisiones científicas deberán estar aprobadas por la autoridad correspondiente antes de integrarse como contenido consolidado.</w:t>
      </w:r>
    </w:p>
    <w:p>
      <w:pPr>
        <w:pStyle w:val="ListNumber"/>
      </w:pPr>
      <w:r>
        <w:t>Las fuentes, citas textuales, adaptaciones y reproducciones se controlarán para evitar plagio e infracción de derechos.</w:t>
      </w:r>
    </w:p>
    <w:p>
      <w:pPr>
        <w:pStyle w:val="ListNumber"/>
      </w:pPr>
      <w:r>
        <w:t>Los resultados empíricos conservarán trazabilidad hacia datos, protocolos, instrumentos, transformaciones y versiones de análisis.</w:t>
      </w:r>
    </w:p>
    <w:p>
      <w:pPr>
        <w:pStyle w:val="ListNumber"/>
      </w:pPr>
      <w:r>
        <w:t>Las limitaciones metodológicas no podrán eliminarse, minimizarse visualmente ni trasladarse fuera del alcance normal del lector.</w:t>
      </w:r>
    </w:p>
    <w:p>
      <w:pPr>
        <w:pStyle w:val="ListNumber"/>
      </w:pPr>
      <w:r>
        <w:t>La versión entregable deberá quedar asociada a un commit, manifiesto o baseline reproducible.</w:t>
      </w:r>
    </w:p>
    <w:p>
      <w:pPr>
        <w:spacing w:after="40"/>
      </w:pPr>
    </w:p>
    <w:p>
      <w:r>
        <w:t>La declaración institucional exacta sobre originalidad, IA generativa, propiedad intelectual, confidencialidad y depósito queda pendiente de cotejo institucional.</w:t>
      </w:r>
    </w:p>
    <w:p>
      <w:pPr>
        <w:spacing w:after="40"/>
      </w:pPr>
    </w:p>
    <w:p>
      <w:pPr>
        <w:pStyle w:val="Heading3"/>
      </w:pPr>
      <w:r>
        <w:t>18. Control mediante estilos</w:t>
      </w:r>
    </w:p>
    <w:p>
      <w:pPr>
        <w:spacing w:after="40"/>
      </w:pPr>
    </w:p>
    <w:p>
      <w:r>
        <w:t>El archivo DOCX deberá generarse con estilos semánticos, no con formato manual repetido. Como mínimo:</w:t>
      </w:r>
    </w:p>
    <w:p>
      <w:pPr>
        <w:spacing w:after="40"/>
      </w:pPr>
    </w:p>
    <w:p>
      <w:pPr>
        <w:pStyle w:val="ListBullet"/>
      </w:pPr>
      <w:r>
        <w:t>Título de tesis;</w:t>
      </w:r>
    </w:p>
    <w:p>
      <w:pPr>
        <w:pStyle w:val="ListBullet"/>
      </w:pPr>
      <w:r>
        <w:t>Tomo;</w:t>
      </w:r>
    </w:p>
    <w:p>
      <w:pPr>
        <w:pStyle w:val="ListBullet"/>
      </w:pPr>
      <w:r>
        <w:t>Título 1 a Título 4;</w:t>
      </w:r>
    </w:p>
    <w:p>
      <w:pPr>
        <w:pStyle w:val="ListBullet"/>
      </w:pPr>
      <w:r>
        <w:t>Cuerpo;</w:t>
      </w:r>
    </w:p>
    <w:p>
      <w:pPr>
        <w:pStyle w:val="ListBullet"/>
      </w:pPr>
      <w:r>
        <w:t>Cita en bloque;</w:t>
      </w:r>
    </w:p>
    <w:p>
      <w:pPr>
        <w:pStyle w:val="ListBullet"/>
      </w:pPr>
      <w:r>
        <w:t>Nota al pie;</w:t>
      </w:r>
    </w:p>
    <w:p>
      <w:pPr>
        <w:pStyle w:val="ListBullet"/>
      </w:pPr>
      <w:r>
        <w:t>Título de tabla y Nota de tabla;</w:t>
      </w:r>
    </w:p>
    <w:p>
      <w:pPr>
        <w:pStyle w:val="ListBullet"/>
      </w:pPr>
      <w:r>
        <w:t>Título de figura y Nota de figura;</w:t>
      </w:r>
    </w:p>
    <w:p>
      <w:pPr>
        <w:pStyle w:val="ListBullet"/>
      </w:pPr>
      <w:r>
        <w:t>Referencia;</w:t>
      </w:r>
    </w:p>
    <w:p>
      <w:pPr>
        <w:pStyle w:val="ListBullet"/>
      </w:pPr>
      <w:r>
        <w:t>Anexo;</w:t>
      </w:r>
    </w:p>
    <w:p>
      <w:pPr>
        <w:pStyle w:val="ListBullet"/>
      </w:pPr>
      <w:r>
        <w:t>Código/identificador.</w:t>
      </w:r>
    </w:p>
    <w:p>
      <w:pPr>
        <w:spacing w:after="40"/>
      </w:pPr>
    </w:p>
    <w:p>
      <w:r>
        <w:t>Las tablas de contenido, listas de tablas y figuras, numeración de títulos, referencias cruzadas y campos de página deberán ser automáticos y actualizarse antes de cada candidato de entrega.</w:t>
      </w:r>
    </w:p>
    <w:p>
      <w:pPr>
        <w:spacing w:after="40"/>
      </w:pPr>
    </w:p>
    <w:p>
      <w:pPr>
        <w:pStyle w:val="Heading3"/>
      </w:pPr>
      <w:r>
        <w:t>19. Gate de render visual DOCX</w:t>
      </w:r>
    </w:p>
    <w:p>
      <w:pPr>
        <w:spacing w:after="40"/>
      </w:pPr>
    </w:p>
    <w:p>
      <w:r>
        <w:t>Ningún DOCX podrá declararse candidato de entrega solo porque se abra sin errores. Deberá superar una inspección visual renderizada de todas sus páginas.</w:t>
      </w:r>
    </w:p>
    <w:p>
      <w:pPr>
        <w:spacing w:after="40"/>
      </w:pPr>
    </w:p>
    <w:p>
      <w:pPr>
        <w:pStyle w:val="Heading4"/>
      </w:pPr>
      <w:r>
        <w:t>19.1 Entradas obligatorias</w:t>
      </w:r>
    </w:p>
    <w:p>
      <w:pPr>
        <w:spacing w:after="40"/>
      </w:pPr>
    </w:p>
    <w:p>
      <w:pPr>
        <w:pStyle w:val="ListBullet"/>
      </w:pPr>
      <w:r>
        <w:t>archivo fuente versionado;</w:t>
      </w:r>
    </w:p>
    <w:p>
      <w:pPr>
        <w:pStyle w:val="ListBullet"/>
      </w:pPr>
      <w:r>
        <w:t>DOCX generado;</w:t>
      </w:r>
    </w:p>
    <w:p>
      <w:pPr>
        <w:pStyle w:val="ListBullet"/>
      </w:pPr>
      <w:r>
        <w:t>PDF renderizado desde el DOCX o imágenes de todas las páginas;</w:t>
      </w:r>
    </w:p>
    <w:p>
      <w:pPr>
        <w:pStyle w:val="ListBullet"/>
      </w:pPr>
      <w:r>
        <w:t>manifiesto con versión, fecha, commit y herramienta de generación;</w:t>
      </w:r>
    </w:p>
    <w:p>
      <w:pPr>
        <w:pStyle w:val="ListBullet"/>
      </w:pPr>
      <w:r>
        <w:t>informe de inspección.</w:t>
      </w:r>
    </w:p>
    <w:p>
      <w:pPr>
        <w:spacing w:after="40"/>
      </w:pPr>
    </w:p>
    <w:p>
      <w:pPr>
        <w:pStyle w:val="Heading4"/>
      </w:pPr>
      <w:r>
        <w:t>19.2 Controles automáticos mínimos</w:t>
      </w:r>
    </w:p>
    <w:p>
      <w:pPr>
        <w:spacing w:after="40"/>
      </w:pPr>
    </w:p>
    <w:p>
      <w:pPr>
        <w:pStyle w:val="ListBullet"/>
      </w:pPr>
      <w:r>
        <w:t>archivo DOCX válido y no corrupto;</w:t>
      </w:r>
    </w:p>
    <w:p>
      <w:pPr>
        <w:pStyle w:val="ListBullet"/>
      </w:pPr>
      <w:r>
        <w:t>estilos requeridos presentes;</w:t>
      </w:r>
    </w:p>
    <w:p>
      <w:pPr>
        <w:pStyle w:val="ListBullet"/>
      </w:pPr>
      <w:r>
        <w:t>campos de contenido y numeración actualizados;</w:t>
      </w:r>
    </w:p>
    <w:p>
      <w:pPr>
        <w:pStyle w:val="ListBullet"/>
      </w:pPr>
      <w:r>
        <w:t>ausencia de texto de plantilla, marcadores sin resolver y enlaces internos rotos;</w:t>
      </w:r>
    </w:p>
    <w:p>
      <w:pPr>
        <w:pStyle w:val="ListBullet"/>
      </w:pPr>
      <w:r>
        <w:t>todas las figuras embebidas y con resolución suficiente;</w:t>
      </w:r>
    </w:p>
    <w:p>
      <w:pPr>
        <w:pStyle w:val="ListBullet"/>
      </w:pPr>
      <w:r>
        <w:t>coincidencia básica entre citas y referencias;</w:t>
      </w:r>
    </w:p>
    <w:p>
      <w:pPr>
        <w:pStyle w:val="ListBullet"/>
      </w:pPr>
      <w:r>
        <w:t>títulos y numeración de tablas, figuras, ecuaciones y anexos sin duplicados;</w:t>
      </w:r>
    </w:p>
    <w:p>
      <w:pPr>
        <w:pStyle w:val="ListBullet"/>
      </w:pPr>
      <w:r>
        <w:t>propiedades del documento con autor y versión correctos;</w:t>
      </w:r>
    </w:p>
    <w:p>
      <w:pPr>
        <w:pStyle w:val="ListBullet"/>
      </w:pPr>
      <w:r>
        <w:t>comparación de cantidad de páginas y objetos contra la versión anterior, con justificación para cambios anómalos.</w:t>
      </w:r>
    </w:p>
    <w:p>
      <w:pPr>
        <w:spacing w:after="40"/>
      </w:pPr>
    </w:p>
    <w:p>
      <w:pPr>
        <w:pStyle w:val="Heading4"/>
      </w:pPr>
      <w:r>
        <w:t>19.3 Inspección visual obligatoria</w:t>
      </w:r>
    </w:p>
    <w:p>
      <w:pPr>
        <w:spacing w:after="40"/>
      </w:pPr>
    </w:p>
    <w:p>
      <w:r>
        <w:t>Se revisará página por página, incluyendo:</w:t>
      </w:r>
    </w:p>
    <w:p>
      <w:pPr>
        <w:spacing w:after="40"/>
      </w:pPr>
    </w:p>
    <w:p>
      <w:pPr>
        <w:pStyle w:val="ListBullet"/>
      </w:pPr>
      <w:r>
        <w:t>portada y preliminares;</w:t>
      </w:r>
    </w:p>
    <w:p>
      <w:pPr>
        <w:pStyle w:val="ListBullet"/>
      </w:pPr>
      <w:r>
        <w:t>cortes, desbordamientos, superposiciones y elementos fuera de margen;</w:t>
      </w:r>
    </w:p>
    <w:p>
      <w:pPr>
        <w:pStyle w:val="ListBullet"/>
      </w:pPr>
      <w:r>
        <w:t>páginas en blanco no intencionales;</w:t>
      </w:r>
    </w:p>
    <w:p>
      <w:pPr>
        <w:pStyle w:val="ListBullet"/>
      </w:pPr>
      <w:r>
        <w:t>títulos huérfanos y líneas viudas;</w:t>
      </w:r>
    </w:p>
    <w:p>
      <w:pPr>
        <w:pStyle w:val="ListBullet"/>
      </w:pPr>
      <w:r>
        <w:t>tablas partidas, encabezados repetidos y notas visibles;</w:t>
      </w:r>
    </w:p>
    <w:p>
      <w:pPr>
        <w:pStyle w:val="ListBullet"/>
      </w:pPr>
      <w:r>
        <w:t>figuras legibles a tamaño real y en escala de grises;</w:t>
      </w:r>
    </w:p>
    <w:p>
      <w:pPr>
        <w:pStyle w:val="ListBullet"/>
      </w:pPr>
      <w:r>
        <w:t>ecuaciones completas y símbolos correctos;</w:t>
      </w:r>
    </w:p>
    <w:p>
      <w:pPr>
        <w:pStyle w:val="ListBullet"/>
      </w:pPr>
      <w:r>
        <w:t>cambios de orientación y saltos de sección;</w:t>
      </w:r>
    </w:p>
    <w:p>
      <w:pPr>
        <w:pStyle w:val="ListBullet"/>
      </w:pPr>
      <w:r>
        <w:t>paginación, encabezados y pies;</w:t>
      </w:r>
    </w:p>
    <w:p>
      <w:pPr>
        <w:pStyle w:val="ListBullet"/>
      </w:pPr>
      <w:r>
        <w:t>hipervínculos y referencias cruzadas;</w:t>
      </w:r>
    </w:p>
    <w:p>
      <w:pPr>
        <w:pStyle w:val="ListBullet"/>
      </w:pPr>
      <w:r>
        <w:t>caracteres faltantes o sustituciones de fuente;</w:t>
      </w:r>
    </w:p>
    <w:p>
      <w:pPr>
        <w:pStyle w:val="ListBullet"/>
      </w:pPr>
      <w:r>
        <w:t>consistencia de las páginas de apertura entre tomos;</w:t>
      </w:r>
    </w:p>
    <w:p>
      <w:pPr>
        <w:pStyle w:val="ListBullet"/>
      </w:pPr>
      <w:r>
        <w:t>legibilidad de anexos e instrumentos.</w:t>
      </w:r>
    </w:p>
    <w:p>
      <w:pPr>
        <w:spacing w:after="40"/>
      </w:pPr>
    </w:p>
    <w:p>
      <w:pPr>
        <w:pStyle w:val="Heading4"/>
      </w:pPr>
      <w:r>
        <w:t>19.4 Criterio de aprobación</w:t>
      </w:r>
    </w:p>
    <w:p>
      <w:pPr>
        <w:spacing w:after="40"/>
      </w:pPr>
    </w:p>
    <w:p>
      <w:r>
        <w:t>El gate solo será PASS cuando:</w:t>
      </w:r>
    </w:p>
    <w:p>
      <w:pPr>
        <w:spacing w:after="40"/>
      </w:pPr>
    </w:p>
    <w:p>
      <w:pPr>
        <w:pStyle w:val="ListNumber"/>
      </w:pPr>
      <w:r>
        <w:t>no existan defectos críticos ni mayores;</w:t>
      </w:r>
    </w:p>
    <w:p>
      <w:pPr>
        <w:pStyle w:val="ListNumber"/>
      </w:pPr>
      <w:r>
        <w:t>los defectos menores estén corregidos o aceptados con justificación;</w:t>
      </w:r>
    </w:p>
    <w:p>
      <w:pPr>
        <w:pStyle w:val="ListNumber"/>
      </w:pPr>
      <w:r>
        <w:t>una persona distinta del generador, cuando sea posible, haya realizado la revisión visual;</w:t>
      </w:r>
    </w:p>
    <w:p>
      <w:pPr>
        <w:pStyle w:val="ListNumber"/>
      </w:pPr>
      <w:r>
        <w:t>la versión inspeccionada sea exactamente la registrada en el manifiesto;</w:t>
      </w:r>
    </w:p>
    <w:p>
      <w:pPr>
        <w:pStyle w:val="ListNumber"/>
      </w:pPr>
      <w:r>
        <w:t>la conformidad editorial no contradiga el estado científico ni oculte limitaciones.</w:t>
      </w:r>
    </w:p>
    <w:p>
      <w:pPr>
        <w:spacing w:after="40"/>
      </w:pPr>
    </w:p>
    <w:p>
      <w:r>
        <w:t>Toda modificación posterior al archivo aprobado invalida el gate y exige una nueva generación e inspección.</w:t>
      </w:r>
    </w:p>
    <w:p>
      <w:pPr>
        <w:spacing w:after="40"/>
      </w:pPr>
    </w:p>
    <w:p>
      <w:pPr>
        <w:pStyle w:val="Heading3"/>
      </w:pPr>
      <w:r>
        <w:t>20. Lista de cotejo institucional pendiente</w:t>
      </w:r>
    </w:p>
    <w:p>
      <w:pPr>
        <w:spacing w:after="40"/>
      </w:pPr>
    </w:p>
    <w:p>
      <w:r>
        <w:t>Antes de congelar la plantilla final deberán verificarse, usando documentación oficial vigente de UDLA Chile y del programa específico:</w:t>
      </w:r>
    </w:p>
    <w:p>
      <w:pPr>
        <w:spacing w:after="40"/>
      </w:pPr>
    </w:p>
    <w:p>
      <w:pPr>
        <w:pStyle w:val="ListBullet"/>
      </w:pPr>
      <w:r>
        <w:t>nombre oficial de universidad, facultad, escuela, carrera y grado;</w:t>
      </w:r>
    </w:p>
    <w:p>
      <w:pPr>
        <w:pStyle w:val="ListBullet"/>
      </w:pPr>
      <w:r>
        <w:t>plantilla o formato obligatorio;</w:t>
      </w:r>
    </w:p>
    <w:p>
      <w:pPr>
        <w:pStyle w:val="ListBullet"/>
      </w:pPr>
      <w:r>
        <w:t>tamaño de papel, márgenes, fuente e interlineado;</w:t>
      </w:r>
    </w:p>
    <w:p>
      <w:pPr>
        <w:pStyle w:val="ListBullet"/>
      </w:pPr>
      <w:r>
        <w:t>composición y uso de logotipo en portada;</w:t>
      </w:r>
    </w:p>
    <w:p>
      <w:pPr>
        <w:pStyle w:val="ListBullet"/>
      </w:pPr>
      <w:r>
        <w:t>extensión y estructura de resumen y abstract;</w:t>
      </w:r>
    </w:p>
    <w:p>
      <w:pPr>
        <w:pStyle w:val="ListBullet"/>
      </w:pPr>
      <w:r>
        <w:t>orden de preliminares;</w:t>
      </w:r>
    </w:p>
    <w:p>
      <w:pPr>
        <w:pStyle w:val="ListBullet"/>
      </w:pPr>
      <w:r>
        <w:t>sistema de paginación y encabezados;</w:t>
      </w:r>
    </w:p>
    <w:p>
      <w:pPr>
        <w:pStyle w:val="ListBullet"/>
      </w:pPr>
      <w:r>
        <w:t>extensión máxima o mínima;</w:t>
      </w:r>
    </w:p>
    <w:p>
      <w:pPr>
        <w:pStyle w:val="ListBullet"/>
      </w:pPr>
      <w:r>
        <w:t>estructura obligatoria de capítulos;</w:t>
      </w:r>
    </w:p>
    <w:p>
      <w:pPr>
        <w:pStyle w:val="ListBullet"/>
      </w:pPr>
      <w:r>
        <w:t>documentos de aprobación y declaraciones de originalidad;</w:t>
      </w:r>
    </w:p>
    <w:p>
      <w:pPr>
        <w:pStyle w:val="ListBullet"/>
      </w:pPr>
      <w:r>
        <w:t>política de uso y declaración de inteligencia artificial;</w:t>
      </w:r>
    </w:p>
    <w:p>
      <w:pPr>
        <w:pStyle w:val="ListBullet"/>
      </w:pPr>
      <w:r>
        <w:t>requisitos éticos, confidencialidad y tratamiento de datos;</w:t>
      </w:r>
    </w:p>
    <w:p>
      <w:pPr>
        <w:pStyle w:val="ListBullet"/>
      </w:pPr>
      <w:r>
        <w:t>formato de entrega, nombre de archivos y depósito digital;</w:t>
      </w:r>
    </w:p>
    <w:p>
      <w:pPr>
        <w:pStyle w:val="ListBullet"/>
      </w:pPr>
      <w:r>
        <w:t>licencias, embargo y propiedad intelectual;</w:t>
      </w:r>
    </w:p>
    <w:p>
      <w:pPr>
        <w:pStyle w:val="ListBullet"/>
      </w:pPr>
      <w:r>
        <w:t>exigencia de revisión antiplagio;</w:t>
      </w:r>
    </w:p>
    <w:p>
      <w:pPr>
        <w:pStyle w:val="ListBullet"/>
      </w:pPr>
      <w:r>
        <w:t>firmas, aprobaciones y fechas;</w:t>
      </w:r>
    </w:p>
    <w:p>
      <w:pPr>
        <w:pStyle w:val="ListBullet"/>
      </w:pPr>
      <w:r>
        <w:t>requisitos particulares para tesis por compendio, tomos, anexos digitales o artículos derivados.</w:t>
      </w:r>
    </w:p>
    <w:p>
      <w:pPr>
        <w:spacing w:after="40"/>
      </w:pPr>
    </w:p>
    <w:p>
      <w:r>
        <w:t>Hasta completar este cotejo, ninguna convención de este documento deberá describirse públicamente como “formato oficial UDLA”. Es una especificación editorial GOEI orientada a una futura presentación en UDLA Chile y armonizada con APA 7.</w:t>
      </w:r>
    </w:p>
    <w:p>
      <w:pPr>
        <w:spacing w:after="40"/>
      </w:pPr>
    </w:p>
    <w:p>
      <w:pPr>
        <w:pStyle w:val="Heading3"/>
      </w:pPr>
      <w:r>
        <w:t>21. Criterio de cierre editorial</w:t>
      </w:r>
    </w:p>
    <w:p>
      <w:pPr>
        <w:spacing w:after="40"/>
      </w:pPr>
    </w:p>
    <w:p>
      <w:r>
        <w:t>La tesis estará editorialmente apta para entrega únicamente cuando:</w:t>
      </w:r>
    </w:p>
    <w:p>
      <w:pPr>
        <w:spacing w:after="40"/>
      </w:pPr>
    </w:p>
    <w:p>
      <w:pPr>
        <w:pStyle w:val="ListBullet"/>
      </w:pPr>
      <w:r>
        <w:t>la estructura canónica tenga cobertura completa y trazable;</w:t>
      </w:r>
    </w:p>
    <w:p>
      <w:pPr>
        <w:pStyle w:val="ListBullet"/>
      </w:pPr>
      <w:r>
        <w:t>el contenido científico haya superado sus propias compuertas, independientemente del diseño;</w:t>
      </w:r>
    </w:p>
    <w:p>
      <w:pPr>
        <w:pStyle w:val="ListBullet"/>
      </w:pPr>
      <w:r>
        <w:t>las referencias estén verificadas y conciliadas;</w:t>
      </w:r>
    </w:p>
    <w:p>
      <w:pPr>
        <w:pStyle w:val="ListBullet"/>
      </w:pPr>
      <w:r>
        <w:t>los requisitos institucionales hayan sido cotejados y documentados;</w:t>
      </w:r>
    </w:p>
    <w:p>
      <w:pPr>
        <w:pStyle w:val="ListBullet"/>
      </w:pPr>
      <w:r>
        <w:t>los metadatos y la autoría sean correctos;</w:t>
      </w:r>
    </w:p>
    <w:p>
      <w:pPr>
        <w:pStyle w:val="ListBullet"/>
      </w:pPr>
      <w:r>
        <w:t>el DOCX y su PDF equivalente hayan superado el gate de render visual;</w:t>
      </w:r>
    </w:p>
    <w:p>
      <w:pPr>
        <w:pStyle w:val="ListBullet"/>
      </w:pPr>
      <w:r>
        <w:t>la versión final esté congelada mediante un identificador, commit y manifiesto reproducible.</w:t>
      </w:r>
    </w:p>
    <w:p>
      <w:pPr>
        <w:spacing w:after="40"/>
      </w:pPr>
    </w:p>
    <w:p>
      <w:r>
        <w:t>La aptitud editorial no equivale a aprobación científica, metodológica, ética ni institucional.</w:t>
      </w:r>
    </w:p>
    <w:p>
      <w:r>
        <w:br w:type="page"/>
      </w:r>
    </w:p>
    <w:p>
      <w:pPr>
        <w:pStyle w:val="Heading1"/>
        <w:keepNext/>
      </w:pPr>
      <w:r>
        <w:t>Fuente 131: 12_Tesis/GOEI_Tesis_Manuscrito.md</w:t>
      </w:r>
    </w:p>
    <w:p>
      <w:pPr>
        <w:spacing w:after="200"/>
      </w:pPr>
      <w:r>
        <w:rPr>
          <w:rFonts w:ascii="Consolas" w:hAnsi="Consolas"/>
          <w:color w:val="595959"/>
          <w:sz w:val="16"/>
        </w:rPr>
        <w:t>Ruta: 12_Tesis/GOEI_Tesis_Manuscrito.md</w:t>
        <w:br/>
        <w:t>Tamaño: 20590 bytes</w:t>
        <w:br/>
        <w:t>SHA-256: e2fcf13e93123ba0f2bb3bb71a7b3837dfc3967e8dd4c6e9e883c8a754fb1a9f</w:t>
      </w:r>
    </w:p>
    <w:p>
      <w:r>
        <w:t>---</w:t>
      </w:r>
    </w:p>
    <w:p>
      <w:r>
        <w:t>title: "GOEI — Índice de Eficiencia Operacional Gastronómica"</w:t>
      </w:r>
    </w:p>
    <w:p>
      <w:r>
        <w:t>subtitle: "Fundamentación científica, construcción metodológica y protocolo de validación de un estándar para evaluar la Salud Operacional de establecimientos gastronómicos"</w:t>
      </w:r>
    </w:p>
    <w:p>
      <w:r>
        <w:t>author: "Proyecto GOEI · Dirección General: Pablo Toledo Salinas · Comité Científico"</w:t>
      </w:r>
    </w:p>
    <w:p>
      <w:r>
        <w:t>date: "2026"</w:t>
      </w:r>
    </w:p>
    <w:p>
      <w:r>
        <w:t>lang: es</w:t>
      </w:r>
    </w:p>
    <w:p>
      <w:r>
        <w:t>---</w:t>
      </w:r>
    </w:p>
    <w:p>
      <w:pPr>
        <w:spacing w:after="40"/>
      </w:pPr>
    </w:p>
    <w:p>
      <w:r>
        <w:t>\newpage</w:t>
      </w:r>
    </w:p>
    <w:p>
      <w:pPr>
        <w:spacing w:after="40"/>
      </w:pPr>
    </w:p>
    <w:p>
      <w:pPr>
        <w:pStyle w:val="Heading3"/>
      </w:pPr>
      <w:r>
        <w:t>Nota de estatus y convenciones</w:t>
      </w:r>
    </w:p>
    <w:p>
      <w:pPr>
        <w:spacing w:after="40"/>
      </w:pPr>
    </w:p>
    <w:p>
      <w:r>
        <w:t>Manuscrito alineado al Plan Maestro de la Tesis (Versión Directoral). Integra el conocimiento de los Decision Records D-001 a D-007 y de la revisión sistemática B1. Conforme al Principio P-005, ningún número, peso, umbral o clasificación se presenta como definitivo.</w:t>
      </w:r>
    </w:p>
    <w:p>
      <w:pPr>
        <w:spacing w:after="40"/>
      </w:pPr>
    </w:p>
    <w:p>
      <w:r>
        <w:t>Etiquetas de sección: [REDACTADO] contenido con respaldo bibliográfico; [PROVISIONAL] diseño propuesto pendiente de validación; [PROTOCOLO] diseño de método aún no ejecutado; [PENDIENTE-EMPÍRICO] requiere datos de campo (piloto/Delphi) inexistentes hoy. Etiquetas de evidencia: [EVIDENCIA], [CONSENSO], [DATO], [PROPUESTA].</w:t>
      </w:r>
    </w:p>
    <w:p>
      <w:pPr>
        <w:spacing w:after="40"/>
      </w:pPr>
    </w:p>
    <w:p>
      <w:r>
        <w:t>Estado global: Tomo I mayormente [REDACTADO]; Tomo II [REDACTADO/PROVISIONAL]; Tomo III [PROTOCOLO/PENDIENTE-EMPÍRICO]; Tomo IV [PROVISIONAL].</w:t>
      </w:r>
    </w:p>
    <w:p>
      <w:pPr>
        <w:spacing w:after="40"/>
      </w:pPr>
    </w:p>
    <w:p>
      <w:r>
        <w:t>\newpage</w:t>
      </w:r>
    </w:p>
    <w:p>
      <w:pPr>
        <w:spacing w:after="40"/>
      </w:pPr>
    </w:p>
    <w:p>
      <w:pPr>
        <w:pStyle w:val="Heading2"/>
      </w:pPr>
      <w:r>
        <w:t>TOMO I — FUNDAMENTOS CIENTÍFICOS</w:t>
      </w:r>
    </w:p>
    <w:p>
      <w:pPr>
        <w:spacing w:after="40"/>
      </w:pPr>
    </w:p>
    <w:p>
      <w:pPr>
        <w:pStyle w:val="Heading3"/>
      </w:pPr>
      <w:r>
        <w:t>1. Introducción</w:t>
      </w:r>
    </w:p>
    <w:p>
      <w:pPr>
        <w:spacing w:after="40"/>
      </w:pPr>
    </w:p>
    <w:p>
      <w:r>
        <w:t>1.1 Contexto mundial. La gastronomía comercial es un sector global intensivo en mano de obra, con márgenes estrechos, alta rotación de negocios y creciente exigencia regulatoria en inocuidad y sostenibilidad. La digitalización (delivery, dark kitchens) ha reconfigurado sus operaciones. [REDACTADO] (Datos cuantitativos específicos a incorporar de fuentes primarias — [DATO a completar en Fase 1]).</w:t>
      </w:r>
    </w:p>
    <w:p>
      <w:pPr>
        <w:spacing w:after="40"/>
      </w:pPr>
    </w:p>
    <w:p>
      <w:r>
        <w:t>1.2 Contexto latinoamericano. Predominio de micro y pequeñas empresas, alta informalidad, baja adopción tecnológica y capacidad técnica limitada, lo que hace inviables los instrumentos que exigen analista experto o software. [REDACTADO]</w:t>
      </w:r>
    </w:p>
    <w:p>
      <w:pPr>
        <w:spacing w:after="40"/>
      </w:pPr>
    </w:p>
    <w:p>
      <w:r>
        <w:t>1.3 Contexto nacional. Marco sanitario aplicable (p. ej., Reglamento Sanitario de los Alimentos, en el caso chileno) y estructura de PYMES gastronómicas como destinatario principal del GOEI. [REDACTADO] (precisar según país objeto de la tesis).</w:t>
      </w:r>
    </w:p>
    <w:p>
      <w:pPr>
        <w:spacing w:after="40"/>
      </w:pPr>
    </w:p>
    <w:p>
      <w:r>
        <w:t>1.4 Problema de investigación. No existe una forma estandarizada, comparable, auditable y de bajo costo tecnológico de expresar la condición operacional integral de un establecimiento gastronómico y compararlo consigo mismo y con pares de su categoría. [REDACTADO]</w:t>
      </w:r>
    </w:p>
    <w:p>
      <w:pPr>
        <w:spacing w:after="40"/>
      </w:pPr>
    </w:p>
    <w:p>
      <w:r>
        <w:t>1.5 Brecha científica. Cada propiedad deseada existe por separado (multidimensionalidad, comparabilidad, auditabilidad, cálculo manual) pero ninguna las reúne; y, más profundamente, no está demostrado que el constructo sea indexable sin pérdida inaceptable de validez (validez de constructo). [REDACTADO] (D-001, D-002).</w:t>
      </w:r>
    </w:p>
    <w:p>
      <w:pPr>
        <w:spacing w:after="40"/>
      </w:pPr>
    </w:p>
    <w:p>
      <w:r>
        <w:t>1.6 Justificación científica. Aporta una pregunta original y resoluble sobre validez de constructo y un marco metodológico reproducible. 1.7 Académica. Genera tesis y artículos derivados. 1.8 Empresarial. Provee a las PYMES un diagnóstico integral accionable. 1.9 Económica. Bajo costo de aplicación (lápiz y papel). 1.10 Tecnológica. Independiente de software (P-003). 1.11 Social. Mejora la seguridad alimentaria y la sostenibilidad de los negocios. [REDACTADO/PROPUESTA]</w:t>
      </w:r>
    </w:p>
    <w:p>
      <w:pPr>
        <w:spacing w:after="40"/>
      </w:pPr>
    </w:p>
    <w:p>
      <w:r>
        <w:t>1.12 Objetivo general. Fundamentar, diseñar y especificar la validación de un estándar (GOEI) para evaluar la Salud Operacional Gastronómica.</w:t>
      </w:r>
    </w:p>
    <w:p>
      <w:pPr>
        <w:spacing w:after="40"/>
      </w:pPr>
    </w:p>
    <w:p>
      <w:r>
        <w:t>1.13 Objetivos específicos. (i) Demostrar la brecha; (ii) definir el constructo y su modelo de medición; (iii) diseñar arquitectura y ontología; (iv) identificar el núcleo universal de procesos; (v) proponer dimensiones, KPI, normalización, agregación y reglas críticas; (vi) especificar la validación.</w:t>
      </w:r>
    </w:p>
    <w:p>
      <w:pPr>
        <w:spacing w:after="40"/>
      </w:pPr>
    </w:p>
    <w:p>
      <w:r>
        <w:t>1.14 Preguntas de investigación. P-central: ¿es la Salud Operacional un constructo multidimensional válidamente representable como índice compuesto, comparable entre establecimientos heterogéneos y calculable manualmente? + preguntas secundarias por objetivo.</w:t>
      </w:r>
    </w:p>
    <w:p>
      <w:pPr>
        <w:spacing w:after="40"/>
      </w:pPr>
    </w:p>
    <w:p>
      <w:r>
        <w:t>1.15 Hipótesis. H1: la Salud Operacional es un constructo formativo válidamente indexable. H2: existe un núcleo universal de macroprocesos a nivel de subsistema. H3: un índice con compuertas no compensatorias representa mejor la condición operacional que uno lineal compensatorio. [PROPUESTA — a contrastar]</w:t>
      </w:r>
    </w:p>
    <w:p>
      <w:pPr>
        <w:spacing w:after="40"/>
      </w:pPr>
    </w:p>
    <w:p>
      <w:r>
        <w:t>1.16 Alcances. Foodservice comercial y no comercial; unidad de análisis = establecimiento individual. [PROVISIONAL] 1.17 Limitaciones. Validación empírica no ejecutada; revisión aún no PRISMA plena. 1.18 Supuestos. Datos observables y obtenibles sin tecnología (P-005). 1.19 Definiciones preliminares. Ver glosario (Anexos). 1.20 Estructura de la investigación. Cuatro tomos (Fundamentos, Construcción, Validación, Estándar).</w:t>
      </w:r>
    </w:p>
    <w:p>
      <w:pPr>
        <w:spacing w:after="40"/>
      </w:pPr>
    </w:p>
    <w:p>
      <w:pPr>
        <w:pStyle w:val="Heading3"/>
      </w:pPr>
      <w:r>
        <w:t>2. Estado del arte</w:t>
      </w:r>
    </w:p>
    <w:p>
      <w:pPr>
        <w:spacing w:after="40"/>
      </w:pPr>
    </w:p>
    <w:p>
      <w:r>
        <w:t>2.1 Metodología de revisión sistemática. Revisión estructurada con aproximación PRISMA. 2.2 PRISMA. Se declara que la revisión actual aproxima PRISMA; la PRISMA plena multibase con doble cribado y diagrama de flujo queda como tarea de cierre (B1/Fase 1). [PROTOCOLO] 2.3 Bases de datos. Objetivo: Scopus, Web of Science, ScienceDirect, PubMed (pendiente de ejecución sistemática). 2.4 Inclusión / 2.5 Exclusión / 2.6 Estrategia de búsqueda. Definidas en el protocolo B1. 2.7 Estudios seleccionados / 2.8 Síntesis. Base convergente actual.</w:t>
      </w:r>
    </w:p>
    <w:p>
      <w:pPr>
        <w:spacing w:after="40"/>
      </w:pPr>
    </w:p>
    <w:p>
      <w:r>
        <w:t>Análisis comparativo (síntesis) [REDACTADO]:</w:t>
      </w:r>
    </w:p>
    <w:p>
      <w:pPr>
        <w:spacing w:after="40"/>
      </w:pPr>
    </w:p>
    <w:p>
      <w:pPr>
        <w:spacing w:after="20" w:line="240" w:lineRule="auto"/>
      </w:pPr>
      <w:r>
        <w:rPr>
          <w:rFonts w:ascii="Consolas" w:hAnsi="Consolas"/>
          <w:sz w:val="14"/>
        </w:rPr>
        <w:t>| Modelo | Qué mide | Fortaleza | Límite para el GOEI |</w:t>
      </w:r>
    </w:p>
    <w:p>
      <w:pPr>
        <w:spacing w:after="20" w:line="240" w:lineRule="auto"/>
      </w:pPr>
      <w:r>
        <w:rPr>
          <w:rFonts w:ascii="Consolas" w:hAnsi="Consolas"/>
          <w:sz w:val="14"/>
        </w:rPr>
        <w:t>|---|---|---|---|</w:t>
      </w:r>
    </w:p>
    <w:p>
      <w:pPr>
        <w:spacing w:after="20" w:line="240" w:lineRule="auto"/>
      </w:pPr>
      <w:r>
        <w:rPr>
          <w:rFonts w:ascii="Consolas" w:hAnsi="Consolas"/>
          <w:sz w:val="14"/>
        </w:rPr>
        <w:t>| Balanced Scorecard | Desempeño multidimensional | No reduce a lo financiero | No da número comparable entre empresas |</w:t>
      </w:r>
    </w:p>
    <w:p>
      <w:pPr>
        <w:spacing w:after="20" w:line="240" w:lineRule="auto"/>
      </w:pPr>
      <w:r>
        <w:rPr>
          <w:rFonts w:ascii="Consolas" w:hAnsi="Consolas"/>
          <w:sz w:val="14"/>
        </w:rPr>
        <w:t>| OEE | Efectividad de activo (Disp×Rend×Cal) | Agregación **no compensatoria** | Diseñado para equipos |</w:t>
      </w:r>
    </w:p>
    <w:p>
      <w:pPr>
        <w:spacing w:after="20" w:line="240" w:lineRule="auto"/>
      </w:pPr>
      <w:r>
        <w:rPr>
          <w:rFonts w:ascii="Consolas" w:hAnsi="Consolas"/>
          <w:sz w:val="14"/>
        </w:rPr>
        <w:t>| DEA | Eficiencia relativa | Base matemática fuerte | No manual; exige frontera |</w:t>
      </w:r>
    </w:p>
    <w:p>
      <w:pPr>
        <w:spacing w:after="20" w:line="240" w:lineRule="auto"/>
      </w:pPr>
      <w:r>
        <w:rPr>
          <w:rFonts w:ascii="Consolas" w:hAnsi="Consolas"/>
          <w:sz w:val="14"/>
        </w:rPr>
        <w:t>| SCOR | Referencia de operaciones (5 atributos) | Estándar jerárquico | Complejo; no manual |</w:t>
      </w:r>
    </w:p>
    <w:p>
      <w:pPr>
        <w:spacing w:after="20" w:line="240" w:lineRule="auto"/>
      </w:pPr>
      <w:r>
        <w:rPr>
          <w:rFonts w:ascii="Consolas" w:hAnsi="Consolas"/>
          <w:sz w:val="14"/>
        </w:rPr>
        <w:t>| Lean / Six Sigma | Flujo/desperdicio; variación/defectos | Enfoque en merma y calidad | Método, no constructo de estado |</w:t>
      </w:r>
    </w:p>
    <w:p>
      <w:pPr>
        <w:spacing w:after="20" w:line="240" w:lineRule="auto"/>
      </w:pPr>
      <w:r>
        <w:rPr>
          <w:rFonts w:ascii="Consolas" w:hAnsi="Consolas"/>
          <w:sz w:val="14"/>
        </w:rPr>
        <w:t>| EFQM | Excelencia (enablers→results) | Puntaje agregado auditado | Pesado; no PYME |</w:t>
      </w:r>
    </w:p>
    <w:p>
      <w:pPr>
        <w:spacing w:after="20" w:line="240" w:lineRule="auto"/>
      </w:pPr>
      <w:r>
        <w:rPr>
          <w:rFonts w:ascii="Consolas" w:hAnsi="Consolas"/>
          <w:sz w:val="14"/>
        </w:rPr>
        <w:t>| ISO (22000/9001) | Gestión de calidad/inocuidad | Norma reconocida | Certificación, no índice comparativo |</w:t>
      </w:r>
    </w:p>
    <w:p>
      <w:pPr>
        <w:spacing w:after="20" w:line="240" w:lineRule="auto"/>
      </w:pPr>
      <w:r>
        <w:rPr>
          <w:rFonts w:ascii="Consolas" w:hAnsi="Consolas"/>
          <w:sz w:val="14"/>
        </w:rPr>
        <w:t>| SERVQUAL / DINESERV | Calidad de servicio percibida | Validado, específico restaurantes | Mide percepción, no operación física |</w:t>
      </w:r>
    </w:p>
    <w:p>
      <w:pPr>
        <w:spacing w:after="20" w:line="240" w:lineRule="auto"/>
      </w:pPr>
      <w:r>
        <w:rPr>
          <w:rFonts w:ascii="Consolas" w:hAnsi="Consolas"/>
          <w:sz w:val="14"/>
        </w:rPr>
        <w:t>| RevPASH / Yield &amp; Revenue Mgmt | Rendimiento de capacidad/ingreso | Combina tiempo y capacidad | Faceta única (ingreso) |</w:t>
      </w:r>
    </w:p>
    <w:p>
      <w:pPr>
        <w:spacing w:after="20" w:line="240" w:lineRule="auto"/>
      </w:pPr>
      <w:r>
        <w:rPr>
          <w:rFonts w:ascii="Consolas" w:hAnsi="Consolas"/>
          <w:sz w:val="14"/>
        </w:rPr>
        <w:t>| Índices compuestos (OECD/JRC) | Método de agregación | El "cómo" del GOEI | Fuente de sus propias objeciones (robustez) |</w:t>
      </w:r>
    </w:p>
    <w:p>
      <w:pPr>
        <w:spacing w:after="20" w:line="240" w:lineRule="auto"/>
      </w:pPr>
      <w:r>
        <w:rPr>
          <w:rFonts w:ascii="Consolas" w:hAnsi="Consolas"/>
          <w:sz w:val="14"/>
        </w:rPr>
        <w:t>| HACCP | Control de inocuidad | Norma de seguridad | Solo inocuidad |</w:t>
      </w:r>
    </w:p>
    <w:p>
      <w:pPr>
        <w:spacing w:after="40"/>
      </w:pPr>
    </w:p>
    <w:p>
      <w:r>
        <w:t>Conclusiones del estado del arte. La brecha es de integración estandarizada + especificidad de dominio; la novedad metodológica pura es baja (normalización/ponderación/agregación ya resueltas en abstracto), por lo que el valor original del GOEI es empírico y de dominio. [REDACTADO]</w:t>
      </w:r>
    </w:p>
    <w:p>
      <w:pPr>
        <w:spacing w:after="40"/>
      </w:pPr>
    </w:p>
    <w:p>
      <w:pPr>
        <w:pStyle w:val="Heading3"/>
      </w:pPr>
      <w:r>
        <w:t>3. Marco teórico</w:t>
      </w:r>
    </w:p>
    <w:p>
      <w:pPr>
        <w:spacing w:after="40"/>
      </w:pPr>
    </w:p>
    <w:p>
      <w:r>
        <w:t>3.1 Sistemas / 3.2 Organizaciones / 3.3 Operaciones / 3.4 Gestión operacional. Teoría de sistemas (entrada-transformación-salida) como base; la operación como sistema socio-técnico. [REDACTADO]</w:t>
      </w:r>
    </w:p>
    <w:p>
      <w:pPr>
        <w:spacing w:after="40"/>
      </w:pPr>
    </w:p>
    <w:p>
      <w:r>
        <w:t>3.5 Salud operacional. Constructo objeto: condición dinámica del sistema operativo. Distinguido de: 3.6 Productividad (output/insumo), 3.7 Eficiencia (relación con frontera), 3.8 Eficacia (logro de objetivos), 3.9 Calidad (conformidad). [REDACTADO] (D-003).</w:t>
      </w:r>
    </w:p>
    <w:p>
      <w:pPr>
        <w:spacing w:after="40"/>
      </w:pPr>
    </w:p>
    <w:p>
      <w:r>
        <w:t>3.10 KPI / 3.11 Constructos / 3.12 Índices compuestos. Distinción type/token; constructos formativos vs reflectivos (Bollen &amp; Lennox, 1991; Jarvis et al., 2003); índices compuestos (OECD/JRC, 2008). [REDACTADO] (D-004).</w:t>
      </w:r>
    </w:p>
    <w:p>
      <w:pPr>
        <w:spacing w:after="40"/>
      </w:pPr>
    </w:p>
    <w:p>
      <w:r>
        <w:t>3.13 Procesos / 3.14 Recursos / 3.15 Eventos. Marco REA (McCarthy, 1982) y BFO (continuante/ocurrente). 3.16 Ontologías / 3.17 Taxonomías / 3.18 Arquitectura empresarial. ArchiMate/TOGAF; APQC. 3.19 Ingeniería del conocimiento. PROV-O; grafos de conocimiento. 3.20 Frameworks internacionales. ISO Annex SL, CMMI, SCOR, Ocean Health Index. [REDACTADO] (D-005, D-006).</w:t>
      </w:r>
    </w:p>
    <w:p>
      <w:pPr>
        <w:spacing w:after="40"/>
      </w:pPr>
    </w:p>
    <w:p>
      <w:pPr>
        <w:pStyle w:val="Heading3"/>
      </w:pPr>
      <w:r>
        <w:t>4. Modelo conceptual</w:t>
      </w:r>
    </w:p>
    <w:p>
      <w:pPr>
        <w:spacing w:after="40"/>
      </w:pPr>
    </w:p>
    <w:p>
      <w:r>
        <w:t>4.1 Constructo. Salud Operacional Gastronómica. 4.2 Definición oficial. Respaldada por D-004 (no por instrumentos de gobernanza); su redacción formal es competencia de la Oficina Técnica tras el cierre de Fase A. [PROVISIONAL] 4.3 Alcance / 4.4 Límites. Condición operacional presente evaluada contra estado de referencia; no mide reputación de marca ni percepción longitudinal (salvo Vía B). 4.5 Ontología (cap. 6/anexos). 4.6 Taxonomía (cap. 7). 4.7 Arquitectura conceptual / 4.8 Relaciones / 4.9 Hipótesis conceptuales. Ver ontología de tres estratos. 4.10 Modelo conceptual final. Salud Operacional = compuesto formativo de dimensiones constitutivas, con compuertas críticas, estimado como cualidad del establecimiento en un periodo. [REDACTADO/PROVISIONAL]</w:t>
      </w:r>
    </w:p>
    <w:p>
      <w:pPr>
        <w:spacing w:after="40"/>
      </w:pPr>
    </w:p>
    <w:p>
      <w:r>
        <w:t>\newpage</w:t>
      </w:r>
    </w:p>
    <w:p>
      <w:pPr>
        <w:spacing w:after="40"/>
      </w:pPr>
    </w:p>
    <w:p>
      <w:pPr>
        <w:pStyle w:val="Heading2"/>
      </w:pPr>
      <w:r>
        <w:t>TOMO II — CONSTRUCCIÓN DEL GOEI</w:t>
      </w:r>
    </w:p>
    <w:p>
      <w:pPr>
        <w:spacing w:after="40"/>
      </w:pPr>
    </w:p>
    <w:p>
      <w:pPr>
        <w:pStyle w:val="Heading3"/>
      </w:pPr>
      <w:r>
        <w:t>5. Arquitectura del GOEI</w:t>
      </w:r>
    </w:p>
    <w:p>
      <w:pPr>
        <w:spacing w:after="40"/>
      </w:pPr>
    </w:p>
    <w:p>
      <w:r>
        <w:t>5.1 Filosofía. El conocimiento precede al estándar; el estándar precede al software (P-007, P-008). 5.2 Principios. P-001..P-010 del Master Plan. 5.3 Objetivos. Estándar reproducible e independiente de software. 5.4 Framework / 5.5 Arquitectura documental / 5.6 Jerarquía documental. Eje normativo N0–N9 + planos transversales T1–T4 + esquema de conformidad K1–K4 (D-005). 5.7 Gobernanza. Propietario, comité, IP, ética, gobernanza de datos (T1; pendiente GOEI-ISS-003). 5.8 Ciclo de vida / 5.9 Versionado. Estados de versión (borrador→en validación→publicado→sustituido→retirado); competencia de la Oficina Técnica. [REDACTADO/PROVISIONAL]</w:t>
      </w:r>
    </w:p>
    <w:p>
      <w:pPr>
        <w:spacing w:after="40"/>
      </w:pPr>
    </w:p>
    <w:p>
      <w:pPr>
        <w:pStyle w:val="Heading3"/>
      </w:pPr>
      <w:r>
        <w:t>6. Procesos universales</w:t>
      </w:r>
    </w:p>
    <w:p>
      <w:pPr>
        <w:spacing w:after="40"/>
      </w:pPr>
    </w:p>
    <w:p>
      <w:r>
        <w:t>Núcleo a dos niveles (D-007, B1), convergente en Spears &amp; Gregoire, APQC, BPM de restaurantes y foodservice hospitalario. [REDACTADO]</w:t>
      </w:r>
    </w:p>
    <w:p>
      <w:pPr>
        <w:spacing w:after="40"/>
      </w:pPr>
    </w:p>
    <w:p>
      <w:r>
        <w:t>6.1 Macroprocesos. Cadena primaria: P1 planificación/menú · P2 aprovisionamiento · P3 recepción-almacenamiento-inventario · P4 producción · P5 distribución/entrega · P6 cierre transaccional. Transversales: inocuidad, mantenimiento, gestión, residuos.</w:t>
      </w:r>
    </w:p>
    <w:p>
      <w:r>
        <w:t>6.2 Procesos / 6.3 Subprocesos / 6.4 Actividades. Descomposición jerárquica por macroproceso [PROVISIONAL]. 6.5 Eventos / 6.6 Recursos / 6.7 Entradas / 6.8 Salidas. Modelados por REA (evento usa/consume/produce recurso). 6.9 Riesgos / 6.10 Controles. Inocuidad con puntos de control en cada eslabón (doble rol: proceso + regla crítica). [REDACTADO/PROVISIONAL]</w:t>
      </w:r>
    </w:p>
    <w:p>
      <w:pPr>
        <w:spacing w:after="40"/>
      </w:pPr>
    </w:p>
    <w:p>
      <w:pPr>
        <w:pStyle w:val="Heading3"/>
      </w:pPr>
      <w:r>
        <w:t>7. Taxonomía universal [PROVISIONAL]</w:t>
      </w:r>
    </w:p>
    <w:p>
      <w:pPr>
        <w:spacing w:after="40"/>
      </w:pPr>
    </w:p>
    <w:p>
      <w:r>
        <w:t>Taxonomía multieje (no lista plana), anclada en sistemas reales de clasificación: NAICS 722 (Full-Service 7221, Limited-Service 7222, Special Food Services 7223, Drinking Places 7224); segmentación comercial QSR/Fast Casual/Casual/Fine Dining; y la partición comercial/no comercial. [EVIDENCIA de clasificaciones existentes; combinación PROPUESTA]</w:t>
      </w:r>
    </w:p>
    <w:p>
      <w:pPr>
        <w:spacing w:after="40"/>
      </w:pPr>
    </w:p>
    <w:p>
      <w:r>
        <w:t>Ejes candidatos: (1) modo de entrega (mesa/mostrador/autoservicio/delivery/banquete/bandeja institucional); (2) sistema de producción (convencional/cook-chill/commissary/assembly-serve); (3) naturaleza económica (comercial/no comercial); (4) complejidad de oferta.</w:t>
      </w:r>
    </w:p>
    <w:p>
      <w:pPr>
        <w:spacing w:after="40"/>
      </w:pPr>
    </w:p>
    <w:p>
      <w:r>
        <w:t>Las categorías del Plan Maestro se ubican como combinaciones de ejes:</w:t>
      </w:r>
    </w:p>
    <w:p>
      <w:pPr>
        <w:spacing w:after="40"/>
      </w:pPr>
    </w:p>
    <w:p>
      <w:pPr>
        <w:spacing w:after="20" w:line="240" w:lineRule="auto"/>
      </w:pPr>
      <w:r>
        <w:rPr>
          <w:rFonts w:ascii="Consolas" w:hAnsi="Consolas"/>
          <w:sz w:val="14"/>
        </w:rPr>
        <w:t>| 7.x Categoría | Modo entrega | Naturaleza | Nota |</w:t>
      </w:r>
    </w:p>
    <w:p>
      <w:pPr>
        <w:spacing w:after="20" w:line="240" w:lineRule="auto"/>
      </w:pPr>
      <w:r>
        <w:rPr>
          <w:rFonts w:ascii="Consolas" w:hAnsi="Consolas"/>
          <w:sz w:val="14"/>
        </w:rPr>
        <w:t>|---|---|---|---|</w:t>
      </w:r>
    </w:p>
    <w:p>
      <w:pPr>
        <w:spacing w:after="20" w:line="240" w:lineRule="auto"/>
      </w:pPr>
      <w:r>
        <w:rPr>
          <w:rFonts w:ascii="Consolas" w:hAnsi="Consolas"/>
          <w:sz w:val="14"/>
        </w:rPr>
        <w:t>| 7.1 Restaurantes (full/casual/fine) | mesa | comercial | NAICS 7221 |</w:t>
      </w:r>
    </w:p>
    <w:p>
      <w:pPr>
        <w:spacing w:after="20" w:line="240" w:lineRule="auto"/>
      </w:pPr>
      <w:r>
        <w:rPr>
          <w:rFonts w:ascii="Consolas" w:hAnsi="Consolas"/>
          <w:sz w:val="14"/>
        </w:rPr>
        <w:t>| 7.2 Hoteles (A&amp;B/banquete) | mesa/banquete | comercial | multi-outlet |</w:t>
      </w:r>
    </w:p>
    <w:p>
      <w:pPr>
        <w:spacing w:after="20" w:line="240" w:lineRule="auto"/>
      </w:pPr>
      <w:r>
        <w:rPr>
          <w:rFonts w:ascii="Consolas" w:hAnsi="Consolas"/>
          <w:sz w:val="14"/>
        </w:rPr>
        <w:t>| 7.3 Fast food / QSR | mostrador | comercial | NAICS 7222 |</w:t>
      </w:r>
    </w:p>
    <w:p>
      <w:pPr>
        <w:spacing w:after="20" w:line="240" w:lineRule="auto"/>
      </w:pPr>
      <w:r>
        <w:rPr>
          <w:rFonts w:ascii="Consolas" w:hAnsi="Consolas"/>
          <w:sz w:val="14"/>
        </w:rPr>
        <w:t>| 7.4 Cafeterías | mostrador/mesa | comercial | |</w:t>
      </w:r>
    </w:p>
    <w:p>
      <w:pPr>
        <w:spacing w:after="20" w:line="240" w:lineRule="auto"/>
      </w:pPr>
      <w:r>
        <w:rPr>
          <w:rFonts w:ascii="Consolas" w:hAnsi="Consolas"/>
          <w:sz w:val="14"/>
        </w:rPr>
        <w:t>| 7.5 Dark kitchens | delivery | comercial | sin FOH |</w:t>
      </w:r>
    </w:p>
    <w:p>
      <w:pPr>
        <w:spacing w:after="20" w:line="240" w:lineRule="auto"/>
      </w:pPr>
      <w:r>
        <w:rPr>
          <w:rFonts w:ascii="Consolas" w:hAnsi="Consolas"/>
          <w:sz w:val="14"/>
        </w:rPr>
        <w:t>| 7.6 Casinos (comedores institucionales) | autoservicio/bandeja | comercial/no comercial | |</w:t>
      </w:r>
    </w:p>
    <w:p>
      <w:pPr>
        <w:spacing w:after="20" w:line="240" w:lineRule="auto"/>
      </w:pPr>
      <w:r>
        <w:rPr>
          <w:rFonts w:ascii="Consolas" w:hAnsi="Consolas"/>
          <w:sz w:val="14"/>
        </w:rPr>
        <w:t>| 7.7 Catering | transporte/evento | comercial | NAICS 7223 |</w:t>
      </w:r>
    </w:p>
    <w:p>
      <w:pPr>
        <w:spacing w:after="20" w:line="240" w:lineRule="auto"/>
      </w:pPr>
      <w:r>
        <w:rPr>
          <w:rFonts w:ascii="Consolas" w:hAnsi="Consolas"/>
          <w:sz w:val="14"/>
        </w:rPr>
        <w:t>| 7.8 Food trucks | mostrador/móvil | comercial | NAICS 7223 |</w:t>
      </w:r>
    </w:p>
    <w:p>
      <w:pPr>
        <w:spacing w:after="20" w:line="240" w:lineRule="auto"/>
      </w:pPr>
      <w:r>
        <w:rPr>
          <w:rFonts w:ascii="Consolas" w:hAnsi="Consolas"/>
          <w:sz w:val="14"/>
        </w:rPr>
        <w:t>| 7.9 Panaderías | mostrador | comercial | producción intensiva |</w:t>
      </w:r>
    </w:p>
    <w:p>
      <w:pPr>
        <w:spacing w:after="20" w:line="240" w:lineRule="auto"/>
      </w:pPr>
      <w:r>
        <w:rPr>
          <w:rFonts w:ascii="Consolas" w:hAnsi="Consolas"/>
          <w:sz w:val="14"/>
        </w:rPr>
        <w:t>| 7.10 Otras (hospitalario, escolar, penitenciario, aéreo) | bandeja/distribución | no comercial | tensiona P6 |</w:t>
      </w:r>
    </w:p>
    <w:p>
      <w:pPr>
        <w:spacing w:after="40"/>
      </w:pPr>
    </w:p>
    <w:p>
      <w:r>
        <w:t>El GOEI aplica el núcleo universal a todas y KPI/umbrales específicos por combinación. [PROVISIONAL — validar exhaustividad y exclusión mutua]</w:t>
      </w:r>
    </w:p>
    <w:p>
      <w:pPr>
        <w:spacing w:after="40"/>
      </w:pPr>
    </w:p>
    <w:p>
      <w:pPr>
        <w:pStyle w:val="Heading3"/>
      </w:pPr>
      <w:r>
        <w:t>8. Catálogo universal de KPI [PROVISIONAL — candidatos, sin pesos ni umbrales validados]</w:t>
      </w:r>
    </w:p>
    <w:p>
      <w:pPr>
        <w:spacing w:after="40"/>
      </w:pPr>
    </w:p>
    <w:p>
      <w:r>
        <w:t>Estructura de ficha por KPI (según Plan Maestro): nombre · definición · autor · bibliografía · proceso asociado · variables · unidad · fórmula original · ventajas · limitaciones · método de captura · frecuencia · interpretación. Candidatos ilustrativos por dimensión:</w:t>
      </w:r>
    </w:p>
    <w:p>
      <w:pPr>
        <w:spacing w:after="40"/>
      </w:pPr>
    </w:p>
    <w:p>
      <w:pPr>
        <w:pStyle w:val="ListBullet"/>
      </w:pPr>
      <w:r>
        <w:t>Costos: food cost %, prime cost %, costo laboral % (proceso P2/P4/gestión).</w:t>
      </w:r>
    </w:p>
    <w:p>
      <w:pPr>
        <w:pStyle w:val="ListBullet"/>
      </w:pPr>
      <w:r>
        <w:t>Productividad de recursos: RevPASH (Kimes), rotación de mesas, productividad laboral, utilización de capacidad (P5/gestión).</w:t>
      </w:r>
    </w:p>
    <w:p>
      <w:pPr>
        <w:pStyle w:val="ListBullet"/>
      </w:pPr>
      <w:r>
        <w:t>Calidad de producto: tasa de rehechos/conformidad (P4).</w:t>
      </w:r>
    </w:p>
    <w:p>
      <w:pPr>
        <w:pStyle w:val="ListBullet"/>
      </w:pPr>
      <w:r>
        <w:t>Servicio/experiencia: ítems tipo DINESERV, tiempo de servicio, error en pedidos (P5).</w:t>
      </w:r>
    </w:p>
    <w:p>
      <w:pPr>
        <w:pStyle w:val="ListBullet"/>
      </w:pPr>
      <w:r>
        <w:t>Inocuidad: cumplimiento de PCC HACCP, hallazgos críticos (transversal — gatekeeper).</w:t>
      </w:r>
    </w:p>
    <w:p>
      <w:pPr>
        <w:pStyle w:val="ListBullet"/>
      </w:pPr>
      <w:r>
        <w:t>Personas: rotación de personal, cobertura de capacitación (gestión).</w:t>
      </w:r>
    </w:p>
    <w:p>
      <w:pPr>
        <w:pStyle w:val="ListBullet"/>
      </w:pPr>
      <w:r>
        <w:t>Sostenibilidad: % de merma, desperdicio por cubierto (residuos).</w:t>
      </w:r>
    </w:p>
    <w:p>
      <w:pPr>
        <w:spacing w:after="40"/>
      </w:pPr>
    </w:p>
    <w:p>
      <w:r>
        <w:t>Cada ficha completa se poblará y depurará contra la matriz de admisibilidad y el Delphi. [PENDIENTE-EMPÍRICO para la selección definitiva]</w:t>
      </w:r>
    </w:p>
    <w:p>
      <w:pPr>
        <w:spacing w:after="40"/>
      </w:pPr>
    </w:p>
    <w:p>
      <w:pPr>
        <w:pStyle w:val="Heading3"/>
      </w:pPr>
      <w:r>
        <w:t>9. Manual de admisibilidad de KPI [PROVISIONAL]</w:t>
      </w:r>
    </w:p>
    <w:p>
      <w:pPr>
        <w:spacing w:after="40"/>
      </w:pPr>
    </w:p>
    <w:p>
      <w:r>
        <w:t>Criterios (derivados de principios del proyecto + anclaje ontológico AX-11): observabilidad · medibilidad · auditabilidad · comparabilidad · repetibilidad · universalidad (realizable por la categoría) · disponibilidad · costo (obtenible sin tecnología) · validez · confiabilidad · no redundancia (colinealidad). Cada KPI candidato se puntúa contra estos criterios; solo los admisibles entran. [PROPUESTA]</w:t>
      </w:r>
    </w:p>
    <w:p>
      <w:pPr>
        <w:spacing w:after="40"/>
      </w:pPr>
    </w:p>
    <w:p>
      <w:pPr>
        <w:pStyle w:val="Heading3"/>
      </w:pPr>
      <w:r>
        <w:t>10. Sistema de normalización [PROVISIONAL]</w:t>
      </w:r>
    </w:p>
    <w:p>
      <w:pPr>
        <w:spacing w:after="40"/>
      </w:pPr>
    </w:p>
    <w:p>
      <w:r>
        <w:t>Normalización a estado de referencia 0–100 (análoga a IBI/OHI/HEI): cada KPI se transforma según su distancia entre un ancla inferior (inaceptable) y superior (referencia "sana"), respetando su dirección de bondad. Tratamiento de outliers y valores faltantes según OECD/JRC; homologación a escala común mediante tablas de conversión calculables a mano. Las anclas concretas requieren calibración. [PROTOCOLO/PENDIENTE-EMPÍRICO]</w:t>
      </w:r>
    </w:p>
    <w:p>
      <w:pPr>
        <w:spacing w:after="40"/>
      </w:pPr>
    </w:p>
    <w:p>
      <w:pPr>
        <w:pStyle w:val="Heading3"/>
      </w:pPr>
      <w:r>
        <w:t>11. Modelo matemático [PROVISIONAL — estructura, sin pesos]</w:t>
      </w:r>
    </w:p>
    <w:p>
      <w:pPr>
        <w:spacing w:after="40"/>
      </w:pPr>
    </w:p>
    <w:p>
      <w:pPr>
        <w:pStyle w:val="ListBullet"/>
      </w:pPr>
      <w:r>
        <w:t>Ponderación: por definir (igual / consenso experto / basada en datos), con justificación y análisis de sensibilidad. No se fijan pesos aquí.</w:t>
      </w:r>
    </w:p>
    <w:p>
      <w:pPr>
        <w:pStyle w:val="ListBullet"/>
      </w:pPr>
      <w:r>
        <w:t>Agregación: intra-dimensión (KPI→dimensión) e inter-dimensión con compensación limitada (media geométrica o agregación penalizada) coherente con la crítica a la agregación lineal.</w:t>
      </w:r>
    </w:p>
    <w:p>
      <w:pPr>
        <w:pStyle w:val="ListBullet"/>
      </w:pPr>
      <w:r>
        <w:t>Compuertas críticas: reglas no compensatorias (inocuidad/legalidad) como techos del resultado.</w:t>
      </w:r>
    </w:p>
    <w:p>
      <w:pPr>
        <w:pStyle w:val="ListBullet"/>
      </w:pPr>
      <w:r>
        <w:t>Sensibilidad / robustez / incertidumbre: análisis obligatorio (OECD/JRC); si el ordenamiento no es robusto, se rediseña.</w:t>
      </w:r>
    </w:p>
    <w:p>
      <w:pPr>
        <w:pStyle w:val="ListBullet"/>
      </w:pPr>
      <w:r>
        <w:t>Fórmula GOEI: se especifica la forma GOEI = f(puntajes de dimensión) sujeta a compuertas; los coeficientes se calibran en validación. [PROTOCOLO]</w:t>
      </w:r>
    </w:p>
    <w:p>
      <w:pPr>
        <w:spacing w:after="40"/>
      </w:pPr>
    </w:p>
    <w:p>
      <w:r>
        <w:t>\newpage</w:t>
      </w:r>
    </w:p>
    <w:p>
      <w:pPr>
        <w:spacing w:after="40"/>
      </w:pPr>
    </w:p>
    <w:p>
      <w:pPr>
        <w:pStyle w:val="Heading2"/>
      </w:pPr>
      <w:r>
        <w:t>TOMO III — VALIDACIÓN</w:t>
      </w:r>
    </w:p>
    <w:p>
      <w:pPr>
        <w:spacing w:after="40"/>
      </w:pPr>
    </w:p>
    <w:p>
      <w:pPr>
        <w:pStyle w:val="Heading3"/>
      </w:pPr>
      <w:r>
        <w:t>12. Metodología</w:t>
      </w:r>
    </w:p>
    <w:p>
      <w:pPr>
        <w:spacing w:after="40"/>
      </w:pPr>
    </w:p>
    <w:p>
      <w:r>
        <w:t>Paradigma pospositivista; enfoque mixto; diseño de investigación de diseño + validación psicométrica de constructo formativo. Variables, población (establecimientos por categoría), muestra, instrumentos (formularios de captura) y procedimientos definidos en el protocolo. [PROTOCOLO]</w:t>
      </w:r>
    </w:p>
    <w:p>
      <w:pPr>
        <w:spacing w:after="40"/>
      </w:pPr>
    </w:p>
    <w:p>
      <w:pPr>
        <w:pStyle w:val="Heading3"/>
      </w:pPr>
      <w:r>
        <w:t>13. Validación científica</w:t>
      </w:r>
    </w:p>
    <w:p>
      <w:pPr>
        <w:spacing w:after="40"/>
      </w:pPr>
    </w:p>
    <w:p>
      <w:pPr>
        <w:pStyle w:val="ListBullet"/>
      </w:pPr>
      <w:r>
        <w:t>Validez de contenido / completitud: panel de expertos (Delphi).</w:t>
      </w:r>
    </w:p>
    <w:p>
      <w:pPr>
        <w:pStyle w:val="ListBullet"/>
      </w:pPr>
      <w:r>
        <w:t>Validez de constructo (formativo): especificación causal indicador→constructo; colinealidad (VIF); modelos MIMIC. (Nota: validez convergente/discriminante y α de Cronbach NO aplican a constructos formativos; se documenta explícitamente para evitar el error de coherencia.)</w:t>
      </w:r>
    </w:p>
    <w:p>
      <w:pPr>
        <w:pStyle w:val="ListBullet"/>
      </w:pPr>
      <w:r>
        <w:t>Validez de criterio (externa): asociación con continuidad del negocio, rentabilidad, satisfacción, no conformidades.</w:t>
      </w:r>
    </w:p>
    <w:p>
      <w:pPr>
        <w:pStyle w:val="ListBullet"/>
      </w:pPr>
      <w:r>
        <w:t>Confiabilidad / repetibilidad: concordancia inter-evaluador y test-retest.</w:t>
      </w:r>
    </w:p>
    <w:p>
      <w:pPr>
        <w:pStyle w:val="ListBullet"/>
      </w:pPr>
      <w:r>
        <w:t>Robustez / sensibilidad: incertidumbre y sensibilidad (OECD/JRC). [PROTOCOLO]</w:t>
      </w:r>
    </w:p>
    <w:p>
      <w:pPr>
        <w:spacing w:after="40"/>
      </w:pPr>
    </w:p>
    <w:p>
      <w:pPr>
        <w:pStyle w:val="Heading3"/>
      </w:pPr>
      <w:r>
        <w:t>14. Casos piloto [PENDIENTE-EMPÍRICO]</w:t>
      </w:r>
    </w:p>
    <w:p>
      <w:pPr>
        <w:spacing w:after="40"/>
      </w:pPr>
    </w:p>
    <w:p>
      <w:r>
        <w:t>Aplicación manual por categoría (p. ej. Caso 1 casual, Caso 2 fine dining, Caso 3 dark kitchen), comparación, resultados y análisis. No ejecutables sin datos de campo reales; estructura preparada, resultados pendientes.</w:t>
      </w:r>
    </w:p>
    <w:p>
      <w:pPr>
        <w:spacing w:after="40"/>
      </w:pPr>
    </w:p>
    <w:p>
      <w:pPr>
        <w:pStyle w:val="Heading3"/>
      </w:pPr>
      <w:r>
        <w:t>15. Discusión</w:t>
      </w:r>
    </w:p>
    <w:p>
      <w:pPr>
        <w:spacing w:after="40"/>
      </w:pPr>
    </w:p>
    <w:p>
      <w:r>
        <w:t>Interpretación; comparación con literatura; fortalezas (integración, no compensación, auditabilidad, cálculo manual); debilidades (novedad metodológica baja; carga de calibración); limitaciones (validación no ejecutada); aplicaciones (autoevaluación PYME, consultoría, regulación). [REDACTADO parcialmente; completar tras piloto]</w:t>
      </w:r>
    </w:p>
    <w:p>
      <w:pPr>
        <w:spacing w:after="40"/>
      </w:pPr>
    </w:p>
    <w:p>
      <w:pPr>
        <w:pStyle w:val="Heading3"/>
      </w:pPr>
      <w:r>
        <w:t>16. Conclusiones</w:t>
      </w:r>
    </w:p>
    <w:p>
      <w:pPr>
        <w:spacing w:after="40"/>
      </w:pPr>
    </w:p>
    <w:p>
      <w:r>
        <w:t>Cumplimiento de objetivos y contraste de hipótesis (parcial: H1–H3 fundamentadas, no aún validadas empíricamente); respuestas a preguntas; líneas futuras (Delphi, calibración, robustez, piloto, longitudinal/Vía B, software). [REDACTADO/PENDIENTE]</w:t>
      </w:r>
    </w:p>
    <w:p>
      <w:pPr>
        <w:spacing w:after="40"/>
      </w:pPr>
    </w:p>
    <w:p>
      <w:r>
        <w:t>\newpage</w:t>
      </w:r>
    </w:p>
    <w:p>
      <w:pPr>
        <w:spacing w:after="40"/>
      </w:pPr>
    </w:p>
    <w:p>
      <w:pPr>
        <w:pStyle w:val="Heading2"/>
      </w:pPr>
      <w:r>
        <w:t>TOMO IV — ESTÁNDAR GOEI [PROVISIONAL]</w:t>
      </w:r>
    </w:p>
    <w:p>
      <w:pPr>
        <w:spacing w:after="40"/>
      </w:pPr>
    </w:p>
    <w:p>
      <w:pPr>
        <w:pStyle w:val="Heading3"/>
      </w:pPr>
      <w:r>
        <w:t>17. GOEI Standard</w:t>
      </w:r>
    </w:p>
    <w:p>
      <w:pPr>
        <w:spacing w:after="40"/>
      </w:pPr>
    </w:p>
    <w:p>
      <w:r>
        <w:t>17.1 Constitución (principios y gobernanza) · 17.2 Body of Knowledge · 17.3 Manual Técnico General (empaqueta N0–N9) · 17.4 Manuales por categoría · 17.5 Formularios · 17.6 Checklists · 17.7 Procedimientos · 17.8 Reglas (críticas y de validez) · 17.9 Auditoría (esquema K1–K4) · 17.10 Gobierno (T1). Producción y versionado a cargo de la Oficina Técnica (Codex) tras el cierre de Fase B. [PROVISIONAL]</w:t>
      </w:r>
    </w:p>
    <w:p>
      <w:pPr>
        <w:spacing w:after="40"/>
      </w:pPr>
    </w:p>
    <w:p>
      <w:r>
        <w:t>\newpage</w:t>
      </w:r>
    </w:p>
    <w:p>
      <w:pPr>
        <w:spacing w:after="40"/>
      </w:pPr>
    </w:p>
    <w:p>
      <w:pPr>
        <w:pStyle w:val="Heading2"/>
      </w:pPr>
      <w:r>
        <w:t>ANEXOS TÉCNICOS (estado)</w:t>
      </w:r>
    </w:p>
    <w:p>
      <w:pPr>
        <w:spacing w:after="40"/>
      </w:pPr>
    </w:p>
    <w:p>
      <w:r>
        <w:t>Ontología completa (D-006/D-006-REV, tres estratos) [REDACTADO]; Knowledge Graph [en producción — Codex, EPIC-001]; diccionarios de datos/entidades/relaciones/procesos [PROVISIONAL]; taxonomía completa [PROVISIONAL, cap. 7]; repositorio documental y registros (decisiones D-001..D-008-propuesta, issues GOEI-ISS, cambios, roadmap) [en gobernanza — Codex]; bibliografía anotada [PROTOCOLO — Fase 1]; matrices de trazabilidad [PROVISIONAL].</w:t>
      </w:r>
    </w:p>
    <w:p>
      <w:pPr>
        <w:spacing w:after="40"/>
      </w:pPr>
    </w:p>
    <w:p>
      <w:pPr>
        <w:pStyle w:val="Heading2"/>
      </w:pPr>
      <w:r>
        <w:t>DOCUMENTACIÓN VISUAL (estado)</w:t>
      </w:r>
    </w:p>
    <w:p>
      <w:pPr>
        <w:spacing w:after="40"/>
      </w:pPr>
    </w:p>
    <w:p>
      <w:r>
        <w:t>Mapas conceptuales, diagramas de arquitectura, ontologías, taxonomías, diagramas operacionales, flujogramas, BPMN, UML, modelos de datos (ERD), SIPOC por macroproceso, VSM, matrices (proceso×KPI, proceso×recursos, KPI×bibliografía, dimensiones×procesos, etc.), heatmaps, dashboards, formularios y checklists: estructura definida; producción gráfica a cargo de la Oficina Técnica (Codex). Diagramas conceptuales base ya disponibles en los Decision Records (arquitectura por capas D-005; ontología de tres estratos y anclaje cuádruple D-006-REV; núcleo de procesos D-007). [PROVISIONAL / en producción]</w:t>
      </w:r>
    </w:p>
    <w:p>
      <w:pPr>
        <w:spacing w:after="40"/>
      </w:pPr>
    </w:p>
    <w:p>
      <w:pPr>
        <w:pStyle w:val="Heading2"/>
      </w:pPr>
      <w:r>
        <w:t>PRODUCTOS CIENTÍFICOS DERIVADOS (estado)</w:t>
      </w:r>
    </w:p>
    <w:p>
      <w:pPr>
        <w:spacing w:after="40"/>
      </w:pPr>
    </w:p>
    <w:p>
      <w:pPr>
        <w:pStyle w:val="ListBullet"/>
      </w:pPr>
      <w:r>
        <w:t>Artículo 1 (Justificación científica) [borrador disponible: 13_Publicaciones].</w:t>
      </w:r>
    </w:p>
    <w:p>
      <w:pPr>
        <w:pStyle w:val="ListBullet"/>
      </w:pPr>
      <w:r>
        <w:t>Artículos 2–9 (modelo conceptual, constructo, ontología, procesos, taxonomía, selección de KPI, modelo matemático, validación): [PLANIFICADOS], cada uno derivable de un capítulo/Decision Record.</w:t>
      </w:r>
    </w:p>
    <w:p>
      <w:pPr>
        <w:pStyle w:val="ListBullet"/>
      </w:pPr>
      <w:r>
        <w:t>Libro GOEI, Software GOEI, Manual Oficial, Repositorio Open Science: [FASES POSTERIORES].</w:t>
      </w:r>
    </w:p>
    <w:p>
      <w:pPr>
        <w:spacing w:after="40"/>
      </w:pPr>
    </w:p>
    <w:p>
      <w:pPr>
        <w:pStyle w:val="Heading2"/>
      </w:pPr>
      <w:r>
        <w:t>Objetivo final</w:t>
      </w:r>
    </w:p>
    <w:p>
      <w:pPr>
        <w:spacing w:after="40"/>
      </w:pPr>
    </w:p>
    <w:p>
      <w:r>
        <w:t>Que cualquier investigador, consultor, auditor o empresa pueda comprender, implementar, auditar y reproducir el GOEI usando solo la documentación oficial, con resultados consistentes y comparables, sin depender de los autores. Este manuscrito hace ese objetivo posible y riguroso; su realización plena depende del ciclo empírico de validación aún no ejecutado.</w:t>
      </w:r>
    </w:p>
    <w:p>
      <w:pPr>
        <w:spacing w:after="40"/>
      </w:pPr>
    </w:p>
    <w:p>
      <w:r>
        <w:t>\newpage</w:t>
      </w:r>
    </w:p>
    <w:p>
      <w:pPr>
        <w:spacing w:after="40"/>
      </w:pPr>
    </w:p>
    <w:p>
      <w:pPr>
        <w:pStyle w:val="Heading3"/>
      </w:pPr>
      <w:r>
        <w:t>Referencias</w:t>
      </w:r>
    </w:p>
    <w:p>
      <w:pPr>
        <w:spacing w:after="40"/>
      </w:pPr>
    </w:p>
    <w:p>
      <w:r>
        <w:t>Bollen &amp; Lennox (1991); Charnes, Cooper &amp; Rhodes (1978); Diamantopoulos &amp; Winklhofer (2001); Elkington (1994); Gregoire &amp; Spears, Foodservice Organizations; Halpern et al. (2012, Nature); Jarvis, MacKenzie &amp; Podsakoff (2003); Kaplan &amp; Norton (1992); Karr (1981); Kimes (RevPASH, Cornell); McCarthy (1982); Miles (1969); Nakajima (OEE/TPM); Neely, Gregory &amp; Platts (1995); OECD/JRC — Nardo, Saisana, Saltelli &amp; Tarantola (2008); Richard, Devinney, Yip &amp; Johnson (2009); Stevens, Knutson &amp; Patton (1995); APQC PCF; W3C PROV-O (2013); ISO/IEC Annex SL; ISO/IEC 17065; NAICS 722.</w:t>
      </w:r>
    </w:p>
    <w:p>
      <w:pPr>
        <w:spacing w:after="40"/>
      </w:pPr>
    </w:p>
    <w:p>
      <w:r>
        <w:t>Bibliografía a verificar en edición exacta y anotar (Fase 1) antes de someter a publicación.</w:t>
      </w:r>
    </w:p>
    <w:p>
      <w:r>
        <w:br w:type="page"/>
      </w:r>
    </w:p>
    <w:p>
      <w:pPr>
        <w:pStyle w:val="Heading1"/>
        <w:keepNext/>
      </w:pPr>
      <w:r>
        <w:t>Fuente 132: 12_Tesis/GOEI_Tesis_Manuscrito.STATUS.md</w:t>
      </w:r>
    </w:p>
    <w:p>
      <w:pPr>
        <w:spacing w:after="200"/>
      </w:pPr>
      <w:r>
        <w:rPr>
          <w:rFonts w:ascii="Consolas" w:hAnsi="Consolas"/>
          <w:color w:val="595959"/>
          <w:sz w:val="16"/>
        </w:rPr>
        <w:t>Ruta: 12_Tesis/GOEI_Tesis_Manuscrito.STATUS.md</w:t>
        <w:br/>
        <w:t>Tamaño: 538 bytes</w:t>
        <w:br/>
        <w:t>SHA-256: 9167d595595170a1ae09f05ae47b4535f6ab00e7d63aa7a5330d425c96b880f7</w:t>
      </w:r>
    </w:p>
    <w:p>
      <w:pPr>
        <w:pStyle w:val="Heading2"/>
      </w:pPr>
      <w:r>
        <w:t>Estado controlado — GOEI_Tesis_Manuscrito.md</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Estado | CUARENTENA — no integrable |</w:t>
      </w:r>
    </w:p>
    <w:p>
      <w:pPr>
        <w:spacing w:after="20" w:line="240" w:lineRule="auto"/>
      </w:pPr>
      <w:r>
        <w:rPr>
          <w:rFonts w:ascii="Consolas" w:hAnsi="Consolas"/>
          <w:sz w:val="14"/>
        </w:rPr>
        <w:t>| Naturaleza | Borrador exploratorio no autorizado |</w:t>
      </w:r>
    </w:p>
    <w:p>
      <w:pPr>
        <w:spacing w:after="20" w:line="240" w:lineRule="auto"/>
      </w:pPr>
      <w:r>
        <w:rPr>
          <w:rFonts w:ascii="Consolas" w:hAnsi="Consolas"/>
          <w:sz w:val="14"/>
        </w:rPr>
        <w:t>| Auditoría | GOEI-AUDIT-0001 |</w:t>
      </w:r>
    </w:p>
    <w:p>
      <w:pPr>
        <w:spacing w:after="20" w:line="240" w:lineRule="auto"/>
      </w:pPr>
      <w:r>
        <w:rPr>
          <w:rFonts w:ascii="Consolas" w:hAnsi="Consolas"/>
          <w:sz w:val="14"/>
        </w:rPr>
        <w:t>| Puede entrar en baseline | No |</w:t>
      </w:r>
    </w:p>
    <w:p>
      <w:pPr>
        <w:spacing w:after="20" w:line="240" w:lineRule="auto"/>
      </w:pPr>
      <w:r>
        <w:rPr>
          <w:rFonts w:ascii="Consolas" w:hAnsi="Consolas"/>
          <w:sz w:val="14"/>
        </w:rPr>
        <w:t>| Puede presentarse como tesis terminada | No |</w:t>
      </w:r>
    </w:p>
    <w:p>
      <w:pPr>
        <w:spacing w:after="20" w:line="240" w:lineRule="auto"/>
      </w:pPr>
      <w:r>
        <w:rPr>
          <w:rFonts w:ascii="Consolas" w:hAnsi="Consolas"/>
          <w:sz w:val="14"/>
        </w:rPr>
        <w:t>| Puede usarse como fuente científica | No |</w:t>
      </w:r>
    </w:p>
    <w:p>
      <w:pPr>
        <w:spacing w:after="20" w:line="240" w:lineRule="auto"/>
      </w:pPr>
      <w:r>
        <w:rPr>
          <w:rFonts w:ascii="Consolas" w:hAnsi="Consolas"/>
          <w:sz w:val="14"/>
        </w:rPr>
        <w:t>| Acción futura | Reconstruir desde decisiones aprobadas y matriz de ensamblaje |</w:t>
      </w:r>
    </w:p>
    <w:p>
      <w:pPr>
        <w:spacing w:after="40"/>
      </w:pPr>
    </w:p>
    <w:p>
      <w:r>
        <w:t>El archivo original se conserva intacto para trazabilidad. Este sidecar prevalece para determinar su estado documental.</w:t>
      </w:r>
    </w:p>
    <w:p>
      <w:r>
        <w:br w:type="page"/>
      </w:r>
    </w:p>
    <w:p>
      <w:pPr>
        <w:pStyle w:val="Heading1"/>
        <w:keepNext/>
      </w:pPr>
      <w:r>
        <w:t>Fuente 133: 12_Tesis/PLAN_MAESTRO_DIRECTORAL_GOEI.md</w:t>
      </w:r>
    </w:p>
    <w:p>
      <w:pPr>
        <w:spacing w:after="200"/>
      </w:pPr>
      <w:r>
        <w:rPr>
          <w:rFonts w:ascii="Consolas" w:hAnsi="Consolas"/>
          <w:color w:val="595959"/>
          <w:sz w:val="16"/>
        </w:rPr>
        <w:t>Ruta: 12_Tesis/PLAN_MAESTRO_DIRECTORAL_GOEI.md</w:t>
        <w:br/>
        <w:t>Tamaño: 9406 bytes</w:t>
        <w:br/>
        <w:t>SHA-256: 477e103e21a1e2b6934668878ee480cffa7989db6ee9de251b87d984c755650c</w:t>
      </w:r>
    </w:p>
    <w:p>
      <w:pPr>
        <w:pStyle w:val="Heading2"/>
      </w:pPr>
      <w:r>
        <w:t>GOEI — Plan Maestro Directoral de la Tesis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GOEI-THS-REQ-0001 |</w:t>
      </w:r>
    </w:p>
    <w:p>
      <w:pPr>
        <w:spacing w:after="20" w:line="240" w:lineRule="auto"/>
      </w:pPr>
      <w:r>
        <w:rPr>
          <w:rFonts w:ascii="Consolas" w:hAnsi="Consolas"/>
          <w:sz w:val="14"/>
        </w:rPr>
        <w:t>| Estado | Requisito mínimo directoral vigente |</w:t>
      </w:r>
    </w:p>
    <w:p>
      <w:pPr>
        <w:spacing w:after="20" w:line="240" w:lineRule="auto"/>
      </w:pPr>
      <w:r>
        <w:rPr>
          <w:rFonts w:ascii="Consolas" w:hAnsi="Consolas"/>
          <w:sz w:val="14"/>
        </w:rPr>
        <w:t>| Versión documental | 1.0.0 |</w:t>
      </w:r>
    </w:p>
    <w:p>
      <w:pPr>
        <w:spacing w:after="20" w:line="240" w:lineRule="auto"/>
      </w:pPr>
      <w:r>
        <w:rPr>
          <w:rFonts w:ascii="Consolas" w:hAnsi="Consolas"/>
          <w:sz w:val="14"/>
        </w:rPr>
        <w:t>| Autoridad | Dirección General GOEI |</w:t>
      </w:r>
    </w:p>
    <w:p>
      <w:pPr>
        <w:spacing w:after="20" w:line="240" w:lineRule="auto"/>
      </w:pPr>
      <w:r>
        <w:rPr>
          <w:rFonts w:ascii="Consolas" w:hAnsi="Consolas"/>
          <w:sz w:val="14"/>
        </w:rPr>
        <w:t>| Directiva | GOEI-DIR-0002 |</w:t>
      </w:r>
    </w:p>
    <w:p>
      <w:pPr>
        <w:spacing w:after="20" w:line="240" w:lineRule="auto"/>
      </w:pPr>
      <w:r>
        <w:rPr>
          <w:rFonts w:ascii="Consolas" w:hAnsi="Consolas"/>
          <w:sz w:val="14"/>
        </w:rPr>
        <w:t>| Naturaleza | Arquitectura y alcance mínimo; no aprobación de contenido científico |</w:t>
      </w:r>
    </w:p>
    <w:p>
      <w:pPr>
        <w:spacing w:after="20" w:line="240" w:lineRule="auto"/>
      </w:pPr>
      <w:r>
        <w:rPr>
          <w:rFonts w:ascii="Consolas" w:hAnsi="Consolas"/>
          <w:sz w:val="14"/>
        </w:rPr>
        <w:t>| Fuente recibida | `GOEI Gastronomic Operational Efficiency Index — PLAN MAESTRO DE LA TESIS — Versión Directoral` |</w:t>
      </w:r>
    </w:p>
    <w:p>
      <w:pPr>
        <w:spacing w:after="20" w:line="240" w:lineRule="auto"/>
      </w:pPr>
      <w:r>
        <w:rPr>
          <w:rFonts w:ascii="Consolas" w:hAnsi="Consolas"/>
          <w:sz w:val="14"/>
        </w:rPr>
        <w:t>| Huella de la fuente | SHA-256 `e534c4e92302590b7fd4b5c6ea86c06f265e8e28e3f72e28487e9ee550bc9342` |</w:t>
      </w:r>
    </w:p>
    <w:p>
      <w:pPr>
        <w:spacing w:after="20" w:line="240" w:lineRule="auto"/>
      </w:pPr>
      <w:r>
        <w:rPr>
          <w:rFonts w:ascii="Consolas" w:hAnsi="Consolas"/>
          <w:sz w:val="14"/>
        </w:rPr>
        <w:t>| Fecha de incorporación | 2026-08-04 |</w:t>
      </w:r>
    </w:p>
    <w:p>
      <w:pPr>
        <w:spacing w:after="40"/>
      </w:pPr>
    </w:p>
    <w:p>
      <w:pPr>
        <w:pStyle w:val="Heading3"/>
      </w:pPr>
      <w:r>
        <w:t>1. Regla de interpretación</w:t>
      </w:r>
    </w:p>
    <w:p>
      <w:pPr>
        <w:spacing w:after="40"/>
      </w:pPr>
    </w:p>
    <w:p>
      <w:r>
        <w:t>Este documento fija el contenido mínimo exigible al entregable final. Los nombres de capítulos, análisis, productos, diagramas, casos y materias incluidas constituyen requisitos de cobertura, no resultados ni decisiones científicas. Cada elemento deberá poblarse exclusivamente desde evidencia, decisiones y validaciones aprobadas.</w:t>
      </w:r>
    </w:p>
    <w:p>
      <w:pPr>
        <w:spacing w:after="40"/>
      </w:pPr>
    </w:p>
    <w:p>
      <w:r>
        <w:t>Cuando un elemento no resulte científicamente aplicable, su exclusión deberá quedar sustentada por una decisión formal y conservar trazabilidad con este requisito original.</w:t>
      </w:r>
    </w:p>
    <w:p>
      <w:pPr>
        <w:spacing w:after="40"/>
      </w:pPr>
    </w:p>
    <w:p>
      <w:pPr>
        <w:pStyle w:val="Heading3"/>
      </w:pPr>
      <w:r>
        <w:t>2. Tomo I — Fundamentos científicos</w:t>
      </w:r>
    </w:p>
    <w:p>
      <w:pPr>
        <w:spacing w:after="40"/>
      </w:pPr>
    </w:p>
    <w:p>
      <w:pPr>
        <w:pStyle w:val="Heading4"/>
      </w:pPr>
      <w:r>
        <w:t>2.1 Capítulo 1 — Introducción</w:t>
      </w:r>
    </w:p>
    <w:p>
      <w:pPr>
        <w:spacing w:after="40"/>
      </w:pPr>
    </w:p>
    <w:p>
      <w:r>
        <w:t>Contexto mundial; contexto latinoamericano; contexto nacional; problema de investigación; brecha científica; justificación científica, académica, empresarial, económica, tecnológica y social; objetivo general; objetivos específicos; preguntas de investigación; hipótesis; alcances; limitaciones; supuestos; definiciones preliminares; estructura de la investigación.</w:t>
      </w:r>
    </w:p>
    <w:p>
      <w:pPr>
        <w:spacing w:after="40"/>
      </w:pPr>
    </w:p>
    <w:p>
      <w:pPr>
        <w:pStyle w:val="Heading4"/>
      </w:pPr>
      <w:r>
        <w:t>2.2 Capítulo 2 — Estado del arte</w:t>
      </w:r>
    </w:p>
    <w:p>
      <w:pPr>
        <w:spacing w:after="40"/>
      </w:pPr>
    </w:p>
    <w:p>
      <w:r>
        <w:t>Metodología de revisión sistemática; PRISMA; bases de datos; criterios de inclusión y exclusión; estrategia de búsqueda; estudios seleccionados; síntesis de evidencia.</w:t>
      </w:r>
    </w:p>
    <w:p>
      <w:pPr>
        <w:spacing w:after="40"/>
      </w:pPr>
    </w:p>
    <w:p>
      <w:r>
        <w:t>El análisis comparativo mínimo comprende: Balanced Scorecard, OEE, DEA, SCOR, Lean, Six Sigma, EFQM, ISO, SERVQUAL, DINESERV, RevPASH, Yield Management, Revenue Management, índices compuestos, OECD/JRC, HACCP y modelos gastronómicos existentes. Debe cerrar con conclusiones del estado del arte.</w:t>
      </w:r>
    </w:p>
    <w:p>
      <w:pPr>
        <w:spacing w:after="40"/>
      </w:pPr>
    </w:p>
    <w:p>
      <w:pPr>
        <w:pStyle w:val="Heading4"/>
      </w:pPr>
      <w:r>
        <w:t>2.3 Capítulo 3 — Marco teórico</w:t>
      </w:r>
    </w:p>
    <w:p>
      <w:pPr>
        <w:spacing w:after="40"/>
      </w:pPr>
    </w:p>
    <w:p>
      <w:r>
        <w:t>Sistemas; organizaciones; operaciones; gestión operacional; salud operacional; productividad; eficiencia; eficacia; calidad; KPI; constructos; índices compuestos; procesos; recursos; eventos; ontologías; taxonomías; arquitectura empresarial; ingeniería del conocimiento; frameworks internacionales.</w:t>
      </w:r>
    </w:p>
    <w:p>
      <w:pPr>
        <w:spacing w:after="40"/>
      </w:pPr>
    </w:p>
    <w:p>
      <w:pPr>
        <w:pStyle w:val="Heading4"/>
      </w:pPr>
      <w:r>
        <w:t>2.4 Capítulo 4 — Modelo conceptual</w:t>
      </w:r>
    </w:p>
    <w:p>
      <w:pPr>
        <w:spacing w:after="40"/>
      </w:pPr>
    </w:p>
    <w:p>
      <w:r>
        <w:t>Constructo; definición oficial; alcance; límites; ontología; taxonomía; arquitectura conceptual; relaciones; hipótesis conceptuales; modelo conceptual final.</w:t>
      </w:r>
    </w:p>
    <w:p>
      <w:pPr>
        <w:spacing w:after="40"/>
      </w:pPr>
    </w:p>
    <w:p>
      <w:pPr>
        <w:pStyle w:val="Heading3"/>
      </w:pPr>
      <w:r>
        <w:t>3. Tomo II — Construcción del GOEI</w:t>
      </w:r>
    </w:p>
    <w:p>
      <w:pPr>
        <w:spacing w:after="40"/>
      </w:pPr>
    </w:p>
    <w:p>
      <w:pPr>
        <w:pStyle w:val="Heading4"/>
      </w:pPr>
      <w:r>
        <w:t>3.1 Capítulo 5 — Arquitectura del GOEI</w:t>
      </w:r>
    </w:p>
    <w:p>
      <w:pPr>
        <w:spacing w:after="40"/>
      </w:pPr>
    </w:p>
    <w:p>
      <w:r>
        <w:t>Filosofía; principios; objetivos; Framework; arquitectura documental; jerarquía documental; gobernanza; ciclo de vida; versionado.</w:t>
      </w:r>
    </w:p>
    <w:p>
      <w:pPr>
        <w:spacing w:after="40"/>
      </w:pPr>
    </w:p>
    <w:p>
      <w:pPr>
        <w:pStyle w:val="Heading4"/>
      </w:pPr>
      <w:r>
        <w:t>3.2 Capítulo 6 — Procesos universales</w:t>
      </w:r>
    </w:p>
    <w:p>
      <w:pPr>
        <w:spacing w:after="40"/>
      </w:pPr>
    </w:p>
    <w:p>
      <w:r>
        <w:t>Macroprocesos; procesos; subprocesos; actividades; eventos; recursos; entradas; salidas; riesgos; controles.</w:t>
      </w:r>
    </w:p>
    <w:p>
      <w:pPr>
        <w:spacing w:after="40"/>
      </w:pPr>
    </w:p>
    <w:p>
      <w:pPr>
        <w:pStyle w:val="Heading4"/>
      </w:pPr>
      <w:r>
        <w:t>3.3 Capítulo 7 — Taxonomía universal</w:t>
      </w:r>
    </w:p>
    <w:p>
      <w:pPr>
        <w:spacing w:after="40"/>
      </w:pPr>
    </w:p>
    <w:p>
      <w:r>
        <w:t>Restaurantes; hoteles; fast food; cafeterías; dark kitchens; casinos; catering; food trucks; panaderías; otras categorías.</w:t>
      </w:r>
    </w:p>
    <w:p>
      <w:pPr>
        <w:spacing w:after="40"/>
      </w:pPr>
    </w:p>
    <w:p>
      <w:r>
        <w:t>La enumeración es alcance mínimo de análisis y no afirma que las categorías estén científicamente aprobadas.</w:t>
      </w:r>
    </w:p>
    <w:p>
      <w:pPr>
        <w:spacing w:after="40"/>
      </w:pPr>
    </w:p>
    <w:p>
      <w:pPr>
        <w:pStyle w:val="Heading4"/>
      </w:pPr>
      <w:r>
        <w:t>3.4 Capítulo 8 — Catálogo universal de KPI</w:t>
      </w:r>
    </w:p>
    <w:p>
      <w:pPr>
        <w:spacing w:after="40"/>
      </w:pPr>
    </w:p>
    <w:p>
      <w:r>
        <w:t>Cada KPI aprobado deberá contener: nombre, definición, autor, bibliografía, proceso asociado, variables, unidad de medida, fórmula original, ventajas, limitaciones, método de captura, frecuencia e interpretación.</w:t>
      </w:r>
    </w:p>
    <w:p>
      <w:pPr>
        <w:spacing w:after="40"/>
      </w:pPr>
    </w:p>
    <w:p>
      <w:pPr>
        <w:pStyle w:val="Heading4"/>
      </w:pPr>
      <w:r>
        <w:t>3.5 Capítulo 9 — Manual de admisibilidad de KPI</w:t>
      </w:r>
    </w:p>
    <w:p>
      <w:pPr>
        <w:spacing w:after="40"/>
      </w:pPr>
    </w:p>
    <w:p>
      <w:r>
        <w:t>Criterios de selección, observabilidad, medibilidad, auditabilidad, comparabilidad, repetibilidad, universalidad, disponibilidad, costo, validez y confiabilidad.</w:t>
      </w:r>
    </w:p>
    <w:p>
      <w:pPr>
        <w:spacing w:after="40"/>
      </w:pPr>
    </w:p>
    <w:p>
      <w:pPr>
        <w:pStyle w:val="Heading4"/>
      </w:pPr>
      <w:r>
        <w:t>3.6 Capítulo 10 — Sistema de normalización</w:t>
      </w:r>
    </w:p>
    <w:p>
      <w:pPr>
        <w:spacing w:after="40"/>
      </w:pPr>
    </w:p>
    <w:p>
      <w:r>
        <w:t>Escalas, conversión, tratamiento de datos, outliers, valores faltantes, referencias, homologación y transformaciones.</w:t>
      </w:r>
    </w:p>
    <w:p>
      <w:pPr>
        <w:spacing w:after="40"/>
      </w:pPr>
    </w:p>
    <w:p>
      <w:pPr>
        <w:pStyle w:val="Heading4"/>
      </w:pPr>
      <w:r>
        <w:t>3.7 Capítulo 11 — Modelo matemático</w:t>
      </w:r>
    </w:p>
    <w:p>
      <w:pPr>
        <w:spacing w:after="40"/>
      </w:pPr>
    </w:p>
    <w:p>
      <w:r>
        <w:t>Ponderación, agregación, sensibilidad, robustez, incertidumbre, fórmula GOEI e interpretación matemática.</w:t>
      </w:r>
    </w:p>
    <w:p>
      <w:pPr>
        <w:spacing w:after="40"/>
      </w:pPr>
    </w:p>
    <w:p>
      <w:pPr>
        <w:pStyle w:val="Heading3"/>
      </w:pPr>
      <w:r>
        <w:t>4. Tomo III — Validación</w:t>
      </w:r>
    </w:p>
    <w:p>
      <w:pPr>
        <w:spacing w:after="40"/>
      </w:pPr>
    </w:p>
    <w:p>
      <w:pPr>
        <w:pStyle w:val="Heading4"/>
      </w:pPr>
      <w:r>
        <w:t>4.1 Capítulo 12 — Metodología</w:t>
      </w:r>
    </w:p>
    <w:p>
      <w:pPr>
        <w:spacing w:after="40"/>
      </w:pPr>
    </w:p>
    <w:p>
      <w:r>
        <w:t>Paradigma, enfoque, diseño, variables, población, muestra, instrumentos y procedimientos.</w:t>
      </w:r>
    </w:p>
    <w:p>
      <w:pPr>
        <w:spacing w:after="40"/>
      </w:pPr>
    </w:p>
    <w:p>
      <w:pPr>
        <w:pStyle w:val="Heading4"/>
      </w:pPr>
      <w:r>
        <w:t>4.2 Capítulo 13 — Validación científica</w:t>
      </w:r>
    </w:p>
    <w:p>
      <w:pPr>
        <w:spacing w:after="40"/>
      </w:pPr>
    </w:p>
    <w:p>
      <w:r>
        <w:t>Validez de contenido, validez de constructo, validez convergente, validez discriminante, confiabilidad, repetibilidad, robustez y sensibilidad.</w:t>
      </w:r>
    </w:p>
    <w:p>
      <w:pPr>
        <w:spacing w:after="40"/>
      </w:pPr>
    </w:p>
    <w:p>
      <w:r>
        <w:t>La aplicabilidad de cada técnica debe resolverse científicamente; su presencia en el plan no autoriza aplicarla a un constructo incompatible.</w:t>
      </w:r>
    </w:p>
    <w:p>
      <w:pPr>
        <w:spacing w:after="40"/>
      </w:pPr>
    </w:p>
    <w:p>
      <w:pPr>
        <w:pStyle w:val="Heading4"/>
      </w:pPr>
      <w:r>
        <w:t>4.3 Capítulo 14 — Casos piloto</w:t>
      </w:r>
    </w:p>
    <w:p>
      <w:pPr>
        <w:spacing w:after="40"/>
      </w:pPr>
    </w:p>
    <w:p>
      <w:r>
        <w:t>Caso 1, caso 2, caso 3, comparación, resultados y análisis.</w:t>
      </w:r>
    </w:p>
    <w:p>
      <w:pPr>
        <w:spacing w:after="40"/>
      </w:pPr>
    </w:p>
    <w:p>
      <w:pPr>
        <w:pStyle w:val="Heading4"/>
      </w:pPr>
      <w:r>
        <w:t>4.4 Capítulo 15 — Discusión</w:t>
      </w:r>
    </w:p>
    <w:p>
      <w:pPr>
        <w:spacing w:after="40"/>
      </w:pPr>
    </w:p>
    <w:p>
      <w:r>
        <w:t>Interpretación, comparación con literatura, fortalezas, debilidades, limitaciones y aplicaciones.</w:t>
      </w:r>
    </w:p>
    <w:p>
      <w:pPr>
        <w:spacing w:after="40"/>
      </w:pPr>
    </w:p>
    <w:p>
      <w:pPr>
        <w:pStyle w:val="Heading4"/>
      </w:pPr>
      <w:r>
        <w:t>4.5 Capítulo 16 — Conclusiones</w:t>
      </w:r>
    </w:p>
    <w:p>
      <w:pPr>
        <w:spacing w:after="40"/>
      </w:pPr>
    </w:p>
    <w:p>
      <w:r>
        <w:t>Objetivos, hipótesis, preguntas y líneas futuras.</w:t>
      </w:r>
    </w:p>
    <w:p>
      <w:pPr>
        <w:spacing w:after="40"/>
      </w:pPr>
    </w:p>
    <w:p>
      <w:pPr>
        <w:pStyle w:val="Heading3"/>
      </w:pPr>
      <w:r>
        <w:t>5. Tomo IV — Estándar GOEI</w:t>
      </w:r>
    </w:p>
    <w:p>
      <w:pPr>
        <w:spacing w:after="40"/>
      </w:pPr>
    </w:p>
    <w:p>
      <w:pPr>
        <w:pStyle w:val="Heading4"/>
      </w:pPr>
      <w:r>
        <w:t>5.1 Capítulo 17 — GOEI Standard</w:t>
      </w:r>
    </w:p>
    <w:p>
      <w:pPr>
        <w:spacing w:after="40"/>
      </w:pPr>
    </w:p>
    <w:p>
      <w:r>
        <w:t>Constitución, Body of Knowledge, Manual Técnico General, manuales por categoría, formularios, checklists, procedimientos, reglas, auditoría y gobierno.</w:t>
      </w:r>
    </w:p>
    <w:p>
      <w:pPr>
        <w:spacing w:after="40"/>
      </w:pPr>
    </w:p>
    <w:p>
      <w:r>
        <w:t>El Tomo IV incorpora o referencia una release aprobada del estándar; la tesis no puede convertirse en fuente normativa sustitutiva.</w:t>
      </w:r>
    </w:p>
    <w:p>
      <w:pPr>
        <w:spacing w:after="40"/>
      </w:pPr>
    </w:p>
    <w:p>
      <w:pPr>
        <w:pStyle w:val="Heading3"/>
      </w:pPr>
      <w:r>
        <w:t>6. Anexos técnicos mínimos</w:t>
      </w:r>
    </w:p>
    <w:p>
      <w:pPr>
        <w:spacing w:after="40"/>
      </w:pPr>
    </w:p>
    <w:p>
      <w:r>
        <w:t>Ontología completa; Knowledge Graph; diccionario de datos; diccionario de entidades; diccionario de relaciones; diccionario de procesos; taxonomía completa; repositorio documental; registros de decisiones, componentes, Issues y cambios; roadmap; bibliografía anotada; matrices de trazabilidad.</w:t>
      </w:r>
    </w:p>
    <w:p>
      <w:pPr>
        <w:spacing w:after="40"/>
      </w:pPr>
    </w:p>
    <w:p>
      <w:pPr>
        <w:pStyle w:val="Heading3"/>
      </w:pPr>
      <w:r>
        <w:t>7. Documentación visual mínima</w:t>
      </w:r>
    </w:p>
    <w:p>
      <w:pPr>
        <w:spacing w:after="40"/>
      </w:pPr>
    </w:p>
    <w:p>
      <w:pPr>
        <w:pStyle w:val="Heading4"/>
      </w:pPr>
      <w:r>
        <w:t>7.1 Mapas conceptuales</w:t>
      </w:r>
    </w:p>
    <w:p>
      <w:pPr>
        <w:spacing w:after="40"/>
      </w:pPr>
    </w:p>
    <w:p>
      <w:r>
        <w:t>GOEI; constructo; salud operacional; dimensiones; KPI; procesos; ontología; taxonomía; Framework; ecosistema GOEI.</w:t>
      </w:r>
    </w:p>
    <w:p>
      <w:pPr>
        <w:spacing w:after="40"/>
      </w:pPr>
    </w:p>
    <w:p>
      <w:pPr>
        <w:pStyle w:val="Heading4"/>
      </w:pPr>
      <w:r>
        <w:t>7.2 Diagramas de arquitectura</w:t>
      </w:r>
    </w:p>
    <w:p>
      <w:pPr>
        <w:spacing w:after="40"/>
      </w:pPr>
    </w:p>
    <w:p>
      <w:r>
        <w:t>Framework; arquitectura documental; estándar; modelo matemático; validación; software futuro; gobernanza; conocimiento.</w:t>
      </w:r>
    </w:p>
    <w:p>
      <w:pPr>
        <w:spacing w:after="40"/>
      </w:pPr>
    </w:p>
    <w:p>
      <w:pPr>
        <w:pStyle w:val="Heading4"/>
      </w:pPr>
      <w:r>
        <w:t>7.3 Vistas ontológicas</w:t>
      </w:r>
    </w:p>
    <w:p>
      <w:pPr>
        <w:spacing w:after="40"/>
      </w:pPr>
    </w:p>
    <w:p>
      <w:r>
        <w:t>Ontología general, operacional, matemática, documental, de procesos y del conocimiento. Estas denominaciones representan vistas o entregables requeridos; no autorizan multiplicar ontologías en contradicción con una baseline aprobada.</w:t>
      </w:r>
    </w:p>
    <w:p>
      <w:pPr>
        <w:spacing w:after="40"/>
      </w:pPr>
    </w:p>
    <w:p>
      <w:pPr>
        <w:pStyle w:val="Heading4"/>
      </w:pPr>
      <w:r>
        <w:t>7.4 Taxonomías</w:t>
      </w:r>
    </w:p>
    <w:p>
      <w:pPr>
        <w:spacing w:after="40"/>
      </w:pPr>
    </w:p>
    <w:p>
      <w:r>
        <w:t>Establecimientos, procesos, recursos, eventos, KPI y documentos.</w:t>
      </w:r>
    </w:p>
    <w:p>
      <w:pPr>
        <w:spacing w:after="40"/>
      </w:pPr>
    </w:p>
    <w:p>
      <w:pPr>
        <w:pStyle w:val="Heading4"/>
      </w:pPr>
      <w:r>
        <w:t>7.5 Diagramas operacionales</w:t>
      </w:r>
    </w:p>
    <w:p>
      <w:pPr>
        <w:spacing w:after="40"/>
      </w:pPr>
    </w:p>
    <w:p>
      <w:r>
        <w:t>Operación completa del restaurante; cadena de valor; flujos de producción, servicio, compras, inventario, auditoría y evaluación GOEI.</w:t>
      </w:r>
    </w:p>
    <w:p>
      <w:pPr>
        <w:spacing w:after="40"/>
      </w:pPr>
    </w:p>
    <w:p>
      <w:pPr>
        <w:pStyle w:val="Heading4"/>
      </w:pPr>
      <w:r>
        <w:t>7.6 Diagramas de flujo</w:t>
      </w:r>
    </w:p>
    <w:p>
      <w:pPr>
        <w:spacing w:after="40"/>
      </w:pPr>
    </w:p>
    <w:p>
      <w:r>
        <w:t>Flowcharts, árboles de decisión y flujos documentales, matemáticos y de validación.</w:t>
      </w:r>
    </w:p>
    <w:p>
      <w:pPr>
        <w:spacing w:after="40"/>
      </w:pPr>
    </w:p>
    <w:p>
      <w:pPr>
        <w:pStyle w:val="Heading4"/>
      </w:pPr>
      <w:r>
        <w:t>7.7 BPMN</w:t>
      </w:r>
    </w:p>
    <w:p>
      <w:pPr>
        <w:spacing w:after="40"/>
      </w:pPr>
    </w:p>
    <w:p>
      <w:r>
        <w:t>Macroprocesos, compras, recepción, inventario, producción, servicio, caja, limpieza, auditoría y evaluación GOEI.</w:t>
      </w:r>
    </w:p>
    <w:p>
      <w:pPr>
        <w:spacing w:after="40"/>
      </w:pPr>
    </w:p>
    <w:p>
      <w:pPr>
        <w:pStyle w:val="Heading4"/>
      </w:pPr>
      <w:r>
        <w:t>7.8 UML</w:t>
      </w:r>
    </w:p>
    <w:p>
      <w:pPr>
        <w:spacing w:after="40"/>
      </w:pPr>
    </w:p>
    <w:p>
      <w:r>
        <w:t>Casos de uso; clases; componentes; secuencia; estados; actividades; objetos; paquetes.</w:t>
      </w:r>
    </w:p>
    <w:p>
      <w:pPr>
        <w:spacing w:after="40"/>
      </w:pPr>
    </w:p>
    <w:p>
      <w:pPr>
        <w:pStyle w:val="Heading4"/>
      </w:pPr>
      <w:r>
        <w:t>7.9 Modelos de datos</w:t>
      </w:r>
    </w:p>
    <w:p>
      <w:pPr>
        <w:spacing w:after="40"/>
      </w:pPr>
    </w:p>
    <w:p>
      <w:r>
        <w:t>ERD, modelo lógico, modelo conceptual y modelo físico cuando exista software.</w:t>
      </w:r>
    </w:p>
    <w:p>
      <w:pPr>
        <w:spacing w:after="40"/>
      </w:pPr>
    </w:p>
    <w:p>
      <w:pPr>
        <w:pStyle w:val="Heading4"/>
      </w:pPr>
      <w:r>
        <w:t>7.10 SIPOC y Value Stream Mapping</w:t>
      </w:r>
    </w:p>
    <w:p>
      <w:pPr>
        <w:spacing w:after="40"/>
      </w:pPr>
    </w:p>
    <w:p>
      <w:r>
        <w:t>Un SIPOC por cada macroproceso aprobado. Value Stream Mapping mínimo para producción, servicio y compras.</w:t>
      </w:r>
    </w:p>
    <w:p>
      <w:pPr>
        <w:spacing w:after="40"/>
      </w:pPr>
    </w:p>
    <w:p>
      <w:pPr>
        <w:pStyle w:val="Heading4"/>
      </w:pPr>
      <w:r>
        <w:t>7.11 Matrices</w:t>
      </w:r>
    </w:p>
    <w:p>
      <w:pPr>
        <w:spacing w:after="40"/>
      </w:pPr>
    </w:p>
    <w:p>
      <w:r>
        <w:t>Proceso–KPI, proceso–recursos, proceso–riesgos, proceso–formularios, proceso–categorías, proceso–dimensiones, proceso–objetivos, KPI–bibliografía, KPI–variables, KPI–unidad de medida y dimensiones–procesos.</w:t>
      </w:r>
    </w:p>
    <w:p>
      <w:pPr>
        <w:spacing w:after="40"/>
      </w:pPr>
    </w:p>
    <w:p>
      <w:pPr>
        <w:pStyle w:val="Heading4"/>
      </w:pPr>
      <w:r>
        <w:t>7.12 Heatmaps y dashboards</w:t>
      </w:r>
    </w:p>
    <w:p>
      <w:pPr>
        <w:spacing w:after="40"/>
      </w:pPr>
    </w:p>
    <w:p>
      <w:r>
        <w:t>Heatmaps de madurez operacional, resultados GOEI y comparaciones. Dashboard GOEI, ejecutivo y operacional.</w:t>
      </w:r>
    </w:p>
    <w:p>
      <w:pPr>
        <w:spacing w:after="40"/>
      </w:pPr>
    </w:p>
    <w:p>
      <w:pPr>
        <w:pStyle w:val="Heading4"/>
      </w:pPr>
      <w:r>
        <w:t>7.13 Formularios y checklists</w:t>
      </w:r>
    </w:p>
    <w:p>
      <w:pPr>
        <w:spacing w:after="40"/>
      </w:pPr>
    </w:p>
    <w:p>
      <w:r>
        <w:t>Formularios de captura manual, auditoría, producción, recepción, inventario, servicio y compras. Checklists por proceso, auditoría y categoría.</w:t>
      </w:r>
    </w:p>
    <w:p>
      <w:pPr>
        <w:spacing w:after="40"/>
      </w:pPr>
    </w:p>
    <w:p>
      <w:pPr>
        <w:pStyle w:val="Heading4"/>
      </w:pPr>
      <w:r>
        <w:t>7.14 Casos de uso y casos prácticos</w:t>
      </w:r>
    </w:p>
    <w:p>
      <w:pPr>
        <w:spacing w:after="40"/>
      </w:pPr>
    </w:p>
    <w:p>
      <w:r>
        <w:t>Actores: administrador, auditor, jefe de cocina, gerente, supervisor, analista, consultor e investigador.</w:t>
      </w:r>
    </w:p>
    <w:p>
      <w:pPr>
        <w:spacing w:after="40"/>
      </w:pPr>
    </w:p>
    <w:p>
      <w:r>
        <w:t>Casos prácticos: restaurante casual, fine dining, fast food, dark kitchen, hotel, casino, cafetería, food truck y panadería.</w:t>
      </w:r>
    </w:p>
    <w:p>
      <w:pPr>
        <w:spacing w:after="40"/>
      </w:pPr>
    </w:p>
    <w:p>
      <w:pPr>
        <w:pStyle w:val="Heading3"/>
      </w:pPr>
      <w:r>
        <w:t>8. Productos derivados previstos</w:t>
      </w:r>
    </w:p>
    <w:p>
      <w:pPr>
        <w:spacing w:after="40"/>
      </w:pPr>
    </w:p>
    <w:p>
      <w:r>
        <w:t>Artículos candidatos sobre: justificación científica; modelo conceptual; constructo Salud Operacional; ontología; procesos universales; taxonomía universal; selección de KPI; modelo matemático; validación científica; GOEI Framework.</w:t>
      </w:r>
    </w:p>
    <w:p>
      <w:pPr>
        <w:spacing w:after="40"/>
      </w:pPr>
    </w:p>
    <w:p>
      <w:r>
        <w:t>Otros productos previstos: Libro GOEI, Software GOEI, Manual Oficial GOEI y repositorio Open Science.</w:t>
      </w:r>
    </w:p>
    <w:p>
      <w:pPr>
        <w:spacing w:after="40"/>
      </w:pPr>
    </w:p>
    <w:p>
      <w:r>
        <w:t>“Previsto” no equivale a publicación comprometida ni a manuscrito listo. Cada producto tendrá su propia compuerta editorial, científica, ética y de autoría.</w:t>
      </w:r>
    </w:p>
    <w:p>
      <w:pPr>
        <w:spacing w:after="40"/>
      </w:pPr>
    </w:p>
    <w:p>
      <w:pPr>
        <w:pStyle w:val="Heading3"/>
      </w:pPr>
      <w:r>
        <w:t>9. Criterio final de aceptación</w:t>
      </w:r>
    </w:p>
    <w:p>
      <w:pPr>
        <w:spacing w:after="40"/>
      </w:pPr>
    </w:p>
    <w:p>
      <w:r>
        <w:t>El conjunto documental debe permitir que cualquier investigador, consultor, auditor o empresa comprenda, implemente, audite y reproduzca el GOEI usando únicamente documentación oficial, con resultados consistentes y comparables, sin depender de los autores originales.</w:t>
      </w:r>
    </w:p>
    <w:p>
      <w:pPr>
        <w:spacing w:after="40"/>
      </w:pPr>
    </w:p>
    <w:p>
      <w:pPr>
        <w:pStyle w:val="Heading3"/>
      </w:pPr>
      <w:r>
        <w:t>10. Regla de completitud</w:t>
      </w:r>
    </w:p>
    <w:p>
      <w:pPr>
        <w:spacing w:after="40"/>
      </w:pPr>
    </w:p>
    <w:p>
      <w:r>
        <w:t>La tesis no podrá declararse terminada hasta que:</w:t>
      </w:r>
    </w:p>
    <w:p>
      <w:pPr>
        <w:spacing w:after="40"/>
      </w:pPr>
    </w:p>
    <w:p>
      <w:pPr>
        <w:pStyle w:val="ListNumber"/>
      </w:pPr>
      <w:r>
        <w:t>todos los requisitos anteriores estén cubiertos o formalmente exceptuados;</w:t>
      </w:r>
    </w:p>
    <w:p>
      <w:pPr>
        <w:pStyle w:val="ListNumber"/>
      </w:pPr>
      <w:r>
        <w:t>cada contenido científico proceda de decisiones y evidencia aprobadas;</w:t>
      </w:r>
    </w:p>
    <w:p>
      <w:pPr>
        <w:pStyle w:val="ListNumber"/>
      </w:pPr>
      <w:r>
        <w:t>la validación requerida esté ejecutada y aprobada;</w:t>
      </w:r>
    </w:p>
    <w:p>
      <w:pPr>
        <w:pStyle w:val="ListNumber"/>
      </w:pPr>
      <w:r>
        <w:t>el Tomo IV apunte a una release GOEI vigente;</w:t>
      </w:r>
    </w:p>
    <w:p>
      <w:pPr>
        <w:pStyle w:val="ListNumber"/>
      </w:pPr>
      <w:r>
        <w:t>anexos y visualizaciones sean reproducibles y versionados;</w:t>
      </w:r>
    </w:p>
    <w:p>
      <w:pPr>
        <w:pStyle w:val="ListNumber"/>
      </w:pPr>
      <w:r>
        <w:t>la matriz de cumplimiento no contenga estados Bloqueado, Pendiente o No iniciado.</w:t>
      </w:r>
    </w:p>
    <w:p>
      <w:r>
        <w:br w:type="page"/>
      </w:r>
    </w:p>
    <w:p>
      <w:pPr>
        <w:pStyle w:val="Heading1"/>
        <w:keepNext/>
      </w:pPr>
      <w:r>
        <w:t>Fuente 134: 12_Tesis/README.md</w:t>
      </w:r>
    </w:p>
    <w:p>
      <w:pPr>
        <w:spacing w:after="200"/>
      </w:pPr>
      <w:r>
        <w:rPr>
          <w:rFonts w:ascii="Consolas" w:hAnsi="Consolas"/>
          <w:color w:val="595959"/>
          <w:sz w:val="16"/>
        </w:rPr>
        <w:t>Ruta: 12_Tesis/README.md</w:t>
        <w:br/>
        <w:t>Tamaño: 515 bytes</w:t>
        <w:br/>
        <w:t>SHA-256: eb5d2a898d55908eff32867b9c34847cdf2f576d59ece466f49ebb19197812f3</w:t>
      </w:r>
    </w:p>
    <w:p>
      <w:pPr>
        <w:pStyle w:val="Heading2"/>
      </w:pPr>
      <w:r>
        <w:t>Tesis</w:t>
      </w:r>
    </w:p>
    <w:p>
      <w:pPr>
        <w:spacing w:after="40"/>
      </w:pPr>
    </w:p>
    <w:p>
      <w:r>
        <w:t>Producto académico derivado del estándar GOEI. No constituye fuente de autoridad para crear o modificar reglas del estándar.</w:t>
      </w:r>
    </w:p>
    <w:p>
      <w:pPr>
        <w:spacing w:after="40"/>
      </w:pPr>
    </w:p>
    <w:p>
      <w:r>
        <w:t>El alcance mínimo vigente está controlado por GOEI-DIR-0002 y PLAN_MAESTRO_DIRECTORAL_GOEI.md. La matriz de cumplimiento registra cada bloque exigido y sus compuertas.</w:t>
      </w:r>
    </w:p>
    <w:p>
      <w:pPr>
        <w:spacing w:after="40"/>
      </w:pPr>
    </w:p>
    <w:p>
      <w:pPr>
        <w:pStyle w:val="Heading3"/>
      </w:pPr>
      <w:r>
        <w:t>Advertencia vigente</w:t>
      </w:r>
    </w:p>
    <w:p>
      <w:pPr>
        <w:spacing w:after="40"/>
      </w:pPr>
    </w:p>
    <w:p>
      <w:r>
        <w:t>GOEI_Tesis_Manuscrito.md se encuentra en cuarentena conforme a GOEI-AUDIT-0001. Su archivo de estado asociado determina que no es integrable ni presentable como tesis terminada.</w:t>
      </w:r>
    </w:p>
    <w:p>
      <w:r>
        <w:br w:type="page"/>
      </w:r>
    </w:p>
    <w:p>
      <w:pPr>
        <w:pStyle w:val="Heading1"/>
        <w:keepNext/>
      </w:pPr>
      <w:r>
        <w:t>Fuente 135: 13_Publicaciones/ensamblaje/Matriz_de_preparacion_publicacion.md</w:t>
      </w:r>
    </w:p>
    <w:p>
      <w:pPr>
        <w:spacing w:after="200"/>
      </w:pPr>
      <w:r>
        <w:rPr>
          <w:rFonts w:ascii="Consolas" w:hAnsi="Consolas"/>
          <w:color w:val="595959"/>
          <w:sz w:val="16"/>
        </w:rPr>
        <w:t>Ruta: 13_Publicaciones/ensamblaje/Matriz_de_preparacion_publicacion.md</w:t>
        <w:br/>
        <w:t>Tamaño: 2333 bytes</w:t>
        <w:br/>
        <w:t>SHA-256: 3db2d26c76040c5b780d92afb729339fed3ac0dc19b08019c07de2cc31a162e6</w:t>
      </w:r>
    </w:p>
    <w:p>
      <w:pPr>
        <w:pStyle w:val="Heading2"/>
      </w:pPr>
      <w:r>
        <w:t>Matriz de preparación de publicación GOEI</w:t>
      </w:r>
    </w:p>
    <w:p>
      <w:pPr>
        <w:spacing w:after="40"/>
      </w:pPr>
    </w:p>
    <w:p>
      <w:pPr>
        <w:spacing w:after="20" w:line="240" w:lineRule="auto"/>
      </w:pPr>
      <w:r>
        <w:rPr>
          <w:rFonts w:ascii="Consolas" w:hAnsi="Consolas"/>
          <w:sz w:val="14"/>
        </w:rPr>
        <w:t>| Componente editorial | Evidencia necesaria | Estado | Compuerta |</w:t>
      </w:r>
    </w:p>
    <w:p>
      <w:pPr>
        <w:spacing w:after="20" w:line="240" w:lineRule="auto"/>
      </w:pPr>
      <w:r>
        <w:rPr>
          <w:rFonts w:ascii="Consolas" w:hAnsi="Consolas"/>
          <w:sz w:val="14"/>
        </w:rPr>
        <w:t>|---|---|---|---|</w:t>
      </w:r>
    </w:p>
    <w:p>
      <w:pPr>
        <w:spacing w:after="20" w:line="240" w:lineRule="auto"/>
      </w:pPr>
      <w:r>
        <w:rPr>
          <w:rFonts w:ascii="Consolas" w:hAnsi="Consolas"/>
          <w:sz w:val="14"/>
        </w:rPr>
        <w:t>| Contribución y novedad | brecha y constructo cerrados | No listo | cierre Fase A |</w:t>
      </w:r>
    </w:p>
    <w:p>
      <w:pPr>
        <w:spacing w:after="20" w:line="240" w:lineRule="auto"/>
      </w:pPr>
      <w:r>
        <w:rPr>
          <w:rFonts w:ascii="Consolas" w:hAnsi="Consolas"/>
          <w:sz w:val="14"/>
        </w:rPr>
        <w:t>| Revisión de literatura | protocolo reproducible y fuentes verificadas | Parcial | revisión publicable |</w:t>
      </w:r>
    </w:p>
    <w:p>
      <w:pPr>
        <w:spacing w:after="20" w:line="240" w:lineRule="auto"/>
      </w:pPr>
      <w:r>
        <w:rPr>
          <w:rFonts w:ascii="Consolas" w:hAnsi="Consolas"/>
          <w:sz w:val="14"/>
        </w:rPr>
        <w:t>| Método | estándar y protocolo de validación congelados | No listo | B1–B10 y candidato C |</w:t>
      </w:r>
    </w:p>
    <w:p>
      <w:pPr>
        <w:spacing w:after="20" w:line="240" w:lineRule="auto"/>
      </w:pPr>
      <w:r>
        <w:rPr>
          <w:rFonts w:ascii="Consolas" w:hAnsi="Consolas"/>
          <w:sz w:val="14"/>
        </w:rPr>
        <w:t>| Resultados | piloto y análisis aprobados | No listo | Fase D |</w:t>
      </w:r>
    </w:p>
    <w:p>
      <w:pPr>
        <w:spacing w:after="20" w:line="240" w:lineRule="auto"/>
      </w:pPr>
      <w:r>
        <w:rPr>
          <w:rFonts w:ascii="Consolas" w:hAnsi="Consolas"/>
          <w:sz w:val="14"/>
        </w:rPr>
        <w:t>| Robustez | sensibilidad/incertidumbre y replicación | No listo | validación |</w:t>
      </w:r>
    </w:p>
    <w:p>
      <w:pPr>
        <w:spacing w:after="20" w:line="240" w:lineRule="auto"/>
      </w:pPr>
      <w:r>
        <w:rPr>
          <w:rFonts w:ascii="Consolas" w:hAnsi="Consolas"/>
          <w:sz w:val="14"/>
        </w:rPr>
        <w:t>| Discusión | resultados, comparadores y límites | No listo | resultados cerrados |</w:t>
      </w:r>
    </w:p>
    <w:p>
      <w:pPr>
        <w:spacing w:after="20" w:line="240" w:lineRule="auto"/>
      </w:pPr>
      <w:r>
        <w:rPr>
          <w:rFonts w:ascii="Consolas" w:hAnsi="Consolas"/>
          <w:sz w:val="14"/>
        </w:rPr>
        <w:t>| Material suplementario | baseline, formularios, datos/código permitidos | Parcial estructural | política de acceso y release |</w:t>
      </w:r>
    </w:p>
    <w:p>
      <w:pPr>
        <w:spacing w:after="20" w:line="240" w:lineRule="auto"/>
      </w:pPr>
      <w:r>
        <w:rPr>
          <w:rFonts w:ascii="Consolas" w:hAnsi="Consolas"/>
          <w:sz w:val="14"/>
        </w:rPr>
        <w:t>| Ética y datos | aprobaciones y declaraciones | No listo | política/expedientes |</w:t>
      </w:r>
    </w:p>
    <w:p>
      <w:pPr>
        <w:spacing w:after="20" w:line="240" w:lineRule="auto"/>
      </w:pPr>
      <w:r>
        <w:rPr>
          <w:rFonts w:ascii="Consolas" w:hAnsi="Consolas"/>
          <w:sz w:val="14"/>
        </w:rPr>
        <w:t>| Autoría y contribuciones | roles aprobados | No listo | gobernanza editorial |</w:t>
      </w:r>
    </w:p>
    <w:p>
      <w:pPr>
        <w:spacing w:after="20" w:line="240" w:lineRule="auto"/>
      </w:pPr>
      <w:r>
        <w:rPr>
          <w:rFonts w:ascii="Consolas" w:hAnsi="Consolas"/>
          <w:sz w:val="14"/>
        </w:rPr>
        <w:t>| Selección de revista | alcance final del manuscrito | No listo | resultados y contribución definidos |</w:t>
      </w:r>
    </w:p>
    <w:p>
      <w:pPr>
        <w:spacing w:after="40"/>
      </w:pPr>
    </w:p>
    <w:p>
      <w:r>
        <w:t>No se redactan afirmaciones de publicación mientras la evidencia correspondiente esté ausente.</w:t>
      </w:r>
    </w:p>
    <w:p>
      <w:pPr>
        <w:spacing w:after="40"/>
      </w:pPr>
    </w:p>
    <w:p>
      <w:pPr>
        <w:pStyle w:val="Heading3"/>
      </w:pPr>
      <w:r>
        <w:t>Cartera mínima derivada del Plan Maestro Directoral</w:t>
      </w:r>
    </w:p>
    <w:p>
      <w:pPr>
        <w:spacing w:after="40"/>
      </w:pPr>
    </w:p>
    <w:p>
      <w:pPr>
        <w:spacing w:after="20" w:line="240" w:lineRule="auto"/>
      </w:pPr>
      <w:r>
        <w:rPr>
          <w:rFonts w:ascii="Consolas" w:hAnsi="Consolas"/>
          <w:sz w:val="14"/>
        </w:rPr>
        <w:t>| ID | Manuscrito candidato | Estado | Fuente habilitante |</w:t>
      </w:r>
    </w:p>
    <w:p>
      <w:pPr>
        <w:spacing w:after="20" w:line="240" w:lineRule="auto"/>
      </w:pPr>
      <w:r>
        <w:rPr>
          <w:rFonts w:ascii="Consolas" w:hAnsi="Consolas"/>
          <w:sz w:val="14"/>
        </w:rPr>
        <w:t>|---|---|---|---|</w:t>
      </w:r>
    </w:p>
    <w:p>
      <w:pPr>
        <w:spacing w:after="20" w:line="240" w:lineRule="auto"/>
      </w:pPr>
      <w:r>
        <w:rPr>
          <w:rFonts w:ascii="Consolas" w:hAnsi="Consolas"/>
          <w:sz w:val="14"/>
        </w:rPr>
        <w:t>| GOEI-PUB-01 | Justificación científica del GOEI | No listo | Fase A cerrada |</w:t>
      </w:r>
    </w:p>
    <w:p>
      <w:pPr>
        <w:spacing w:after="20" w:line="240" w:lineRule="auto"/>
      </w:pPr>
      <w:r>
        <w:rPr>
          <w:rFonts w:ascii="Consolas" w:hAnsi="Consolas"/>
          <w:sz w:val="14"/>
        </w:rPr>
        <w:t>| GOEI-PUB-02 | Modelo conceptual | No listo | constructo y modelo aprobados |</w:t>
      </w:r>
    </w:p>
    <w:p>
      <w:pPr>
        <w:spacing w:after="20" w:line="240" w:lineRule="auto"/>
      </w:pPr>
      <w:r>
        <w:rPr>
          <w:rFonts w:ascii="Consolas" w:hAnsi="Consolas"/>
          <w:sz w:val="14"/>
        </w:rPr>
        <w:t>| GOEI-PUB-03 | Constructo Salud Operacional | No listo | decisión final y validación aplicable |</w:t>
      </w:r>
    </w:p>
    <w:p>
      <w:pPr>
        <w:spacing w:after="20" w:line="240" w:lineRule="auto"/>
      </w:pPr>
      <w:r>
        <w:rPr>
          <w:rFonts w:ascii="Consolas" w:hAnsi="Consolas"/>
          <w:sz w:val="14"/>
        </w:rPr>
        <w:t>| GOEI-PUB-04 | Ontología GOEI | Candidato estructural | baseline publicable y evaluación |</w:t>
      </w:r>
    </w:p>
    <w:p>
      <w:pPr>
        <w:spacing w:after="20" w:line="240" w:lineRule="auto"/>
      </w:pPr>
      <w:r>
        <w:rPr>
          <w:rFonts w:ascii="Consolas" w:hAnsi="Consolas"/>
          <w:sz w:val="14"/>
        </w:rPr>
        <w:t>| GOEI-PUB-05 | Procesos universales | No listo | cierre B1 y validación |</w:t>
      </w:r>
    </w:p>
    <w:p>
      <w:pPr>
        <w:spacing w:after="20" w:line="240" w:lineRule="auto"/>
      </w:pPr>
      <w:r>
        <w:rPr>
          <w:rFonts w:ascii="Consolas" w:hAnsi="Consolas"/>
          <w:sz w:val="14"/>
        </w:rPr>
        <w:t>| GOEI-PUB-06 | Taxonomía universal | No iniciado | cierre B2 |</w:t>
      </w:r>
    </w:p>
    <w:p>
      <w:pPr>
        <w:spacing w:after="20" w:line="240" w:lineRule="auto"/>
      </w:pPr>
      <w:r>
        <w:rPr>
          <w:rFonts w:ascii="Consolas" w:hAnsi="Consolas"/>
          <w:sz w:val="14"/>
        </w:rPr>
        <w:t>| GOEI-PUB-07 | Método de selección de KPI | No iniciado | cierres B3–B4 |</w:t>
      </w:r>
    </w:p>
    <w:p>
      <w:pPr>
        <w:spacing w:after="20" w:line="240" w:lineRule="auto"/>
      </w:pPr>
      <w:r>
        <w:rPr>
          <w:rFonts w:ascii="Consolas" w:hAnsi="Consolas"/>
          <w:sz w:val="14"/>
        </w:rPr>
        <w:t>| GOEI-PUB-08 | Modelo matemático | No iniciado | cierres B5–B8 |</w:t>
      </w:r>
    </w:p>
    <w:p>
      <w:pPr>
        <w:spacing w:after="20" w:line="240" w:lineRule="auto"/>
      </w:pPr>
      <w:r>
        <w:rPr>
          <w:rFonts w:ascii="Consolas" w:hAnsi="Consolas"/>
          <w:sz w:val="14"/>
        </w:rPr>
        <w:t>| GOEI-PUB-09 | Validación científica | No iniciado | Fase D cerrada |</w:t>
      </w:r>
    </w:p>
    <w:p>
      <w:pPr>
        <w:spacing w:after="20" w:line="240" w:lineRule="auto"/>
      </w:pPr>
      <w:r>
        <w:rPr>
          <w:rFonts w:ascii="Consolas" w:hAnsi="Consolas"/>
          <w:sz w:val="14"/>
        </w:rPr>
        <w:t>| GOEI-PUB-10 | GOEI Framework | No listo | estándar validado y release publicada |</w:t>
      </w:r>
    </w:p>
    <w:p>
      <w:pPr>
        <w:spacing w:after="40"/>
      </w:pPr>
    </w:p>
    <w:p>
      <w:r>
        <w:t>La cartera no obliga a producir diez publicaciones separadas si una futura decisión editorial aprueba consolidarlas. Sin esa decisión, los diez temas permanecen como cobertura mínima prevista y no deben omitirse silenciosamente.</w:t>
      </w:r>
    </w:p>
    <w:p>
      <w:r>
        <w:br w:type="page"/>
      </w:r>
    </w:p>
    <w:p>
      <w:pPr>
        <w:pStyle w:val="Heading1"/>
        <w:keepNext/>
      </w:pPr>
      <w:r>
        <w:t>Fuente 136: 13_Publicaciones/GOEI_Articulo_metodologico.md</w:t>
      </w:r>
    </w:p>
    <w:p>
      <w:pPr>
        <w:spacing w:after="200"/>
      </w:pPr>
      <w:r>
        <w:rPr>
          <w:rFonts w:ascii="Consolas" w:hAnsi="Consolas"/>
          <w:color w:val="595959"/>
          <w:sz w:val="16"/>
        </w:rPr>
        <w:t>Ruta: 13_Publicaciones/GOEI_Articulo_metodologico.md</w:t>
        <w:br/>
        <w:t>Tamaño: 10135 bytes</w:t>
        <w:br/>
        <w:t>SHA-256: 18ee94ca077b08921ab7b370d3eefcd858c838bebf4c193dd631c58ee714617f</w:t>
      </w:r>
    </w:p>
    <w:p>
      <w:r>
        <w:t>---</w:t>
      </w:r>
    </w:p>
    <w:p>
      <w:r>
        <w:t>title: "El Índice de Eficiencia Operacional Gastronómica (GOEI): fundamentación conceptual y diseño de un compuesto formativo de Salud Operacional en establecimientos de foodservice"</w:t>
      </w:r>
    </w:p>
    <w:p>
      <w:r>
        <w:t>subtitle: "Artículo metodológico / de protocolo de estudio"</w:t>
      </w:r>
    </w:p>
    <w:p>
      <w:r>
        <w:t>author: "Proyecto GOEI — Comité Científico"</w:t>
      </w:r>
    </w:p>
    <w:p>
      <w:r>
        <w:t>date: "2026"</w:t>
      </w:r>
    </w:p>
    <w:p>
      <w:r>
        <w:t>lang: es</w:t>
      </w:r>
    </w:p>
    <w:p>
      <w:r>
        <w:t>---</w:t>
      </w:r>
    </w:p>
    <w:p>
      <w:pPr>
        <w:spacing w:after="40"/>
      </w:pPr>
    </w:p>
    <w:p>
      <w:pPr>
        <w:pStyle w:val="Heading3"/>
      </w:pPr>
      <w:r>
        <w:t>Resumen</w:t>
      </w:r>
    </w:p>
    <w:p>
      <w:pPr>
        <w:spacing w:after="40"/>
      </w:pPr>
    </w:p>
    <w:p>
      <w:r>
        <w:t>Antecedentes. La medición del desempeño en foodservice está fragmentada. Indicadores financieros y operativos aislados (food cost, prime cost, RevPASH), métodos de eficiencia relativa (DEA), marcos de desempeño multidimensional (Balanced Scorecard), modelos de excelencia (EFQM, Shingo) y sistemas de inocuidad (HACCP) cubren cada uno una faceta, pero ninguno integra en un solo instrumento cobertura operacional multidimensional, comparabilidad estandarizada entre categorías heterogéneas, auditabilidad y cálculo de bajo costo tecnológico (lápiz y papel).</w:t>
      </w:r>
    </w:p>
    <w:p>
      <w:pPr>
        <w:spacing w:after="40"/>
      </w:pPr>
    </w:p>
    <w:p>
      <w:r>
        <w:t>Objetivo. (i) Determinar si existe una brecha científica defendible que justifique un nuevo constructo —la Salud Operacional de los establecimientos gastronómicos— y (ii) especificar una metodología para construirlo y validarlo como índice compuesto.</w:t>
      </w:r>
    </w:p>
    <w:p>
      <w:pPr>
        <w:spacing w:after="40"/>
      </w:pPr>
    </w:p>
    <w:p>
      <w:r>
        <w:t>Enfoque. Investigación de diseño, guiada por evidencia. Se caracteriza el fenómeno frente a tres familias de constructos (eficiencia, desempeño, salud), se demuestra que un constructo de "salud" puede modelarse de forma formativa sin contradecir la teoría de constructos (precedentes: Ocean Health Index, Index of Biotic Integrity, Healthy Eating Index) y se adopta la metodología OECD/JRC de índices compuestos con análisis de incertidumbre/sensibilidad obligatorio y compuertas críticas no compensatorias. Se deriva un núcleo universal de macroprocesos de una revisión convergente de la teoría de sistemas de foodservice (Spears &amp; Gregoire), el marco cross-industry APQC, el modelado de procesos de restaurantes y el foodservice institucional.</w:t>
      </w:r>
    </w:p>
    <w:p>
      <w:pPr>
        <w:spacing w:after="40"/>
      </w:pPr>
    </w:p>
    <w:p>
      <w:r>
        <w:t>Resultados (de diseño). Una ontología de tres estratos (Realidad / Norma / Datos), una arquitectura de estándar (eje normativo + planos transversales + esquema de conformidad), un núcleo universal de procesos a dos niveles, y un diseño provisional de dimensiones, criterios de admisibilidad de KPI, normalización a estado de referencia y una forma de agregación parcialmente no compensatoria.</w:t>
      </w:r>
    </w:p>
    <w:p>
      <w:pPr>
        <w:spacing w:after="40"/>
      </w:pPr>
    </w:p>
    <w:p>
      <w:r>
        <w:t>Conclusión. La brecha es real pero estrecha: la intersección "condición operacional multidimensional + comparabilidad entre categorías + auditabilidad + cálculo manual" está sin cubrir. La Salud Operacional es coherentemente modelable como compuesto formativo. La validación empírica (Delphi de expertos, calibración de KPI, robustez, piloto) se especifica como trabajo futuro; ningún peso o umbral se presenta como validado.</w:t>
      </w:r>
    </w:p>
    <w:p>
      <w:pPr>
        <w:spacing w:after="40"/>
      </w:pPr>
    </w:p>
    <w:p>
      <w:r>
        <w:t>Palabras clave: salud operacional; índice compuesto formativo; foodservice; medición del desempeño; inocuidad alimentaria; estándar técnico; protocolo de validación.</w:t>
      </w:r>
    </w:p>
    <w:p>
      <w:pPr>
        <w:spacing w:after="40"/>
      </w:pPr>
    </w:p>
    <w:p>
      <w:pPr>
        <w:pStyle w:val="Heading3"/>
      </w:pPr>
      <w:r>
        <w:t>1. Introducción</w:t>
      </w:r>
    </w:p>
    <w:p>
      <w:pPr>
        <w:spacing w:after="40"/>
      </w:pPr>
    </w:p>
    <w:p>
      <w:r>
        <w:t>Los establecimientos gastronómicos —predominantemente micro y pequeñas empresas— operan bajo presiones simultáneas de costo, calidad, servicio, inocuidad y sostenibilidad, con altas tasas de fracaso y capacidad técnica limitada. Sin embargo, no existe un instrumento estandarizado, comparable, auditable y de bajo costo que exprese su condición operacional integrada en el tiempo y frente a pares de su categoría. La pregunta científica no es "¿falta un índice?", sino si la Salud Operacional es un constructo multidimensional válidamente representable como índice compuesto, comparable entre establecimientos heterogéneos y calculable a mano.</w:t>
      </w:r>
    </w:p>
    <w:p>
      <w:pPr>
        <w:spacing w:after="40"/>
      </w:pPr>
    </w:p>
    <w:p>
      <w:pPr>
        <w:pStyle w:val="Heading3"/>
      </w:pPr>
      <w:r>
        <w:t>2. Estado del arte y brecha</w:t>
      </w:r>
    </w:p>
    <w:p>
      <w:pPr>
        <w:spacing w:after="40"/>
      </w:pPr>
    </w:p>
    <w:p>
      <w:r>
        <w:t>Existen siete familias de instrumentos maduros (metodología de índices compuestos; OEE; Balanced Scorecard; DEA; KPIs de foodservice; SERVQUAL/DINESERV; HACCP/ISO 22000). Cada propiedad que exigiría un estándar existe por separado, pero ninguna las unifica. La brecha es, por tanto, de integración estandarizada más especificidad de dominio y —científicamente— de validez de constructo: no está demostrado que el constructo sea indexable sin pérdida inaceptable de validez.</w:t>
      </w:r>
    </w:p>
    <w:p>
      <w:pPr>
        <w:spacing w:after="40"/>
      </w:pPr>
    </w:p>
    <w:p>
      <w:pPr>
        <w:pStyle w:val="Heading3"/>
      </w:pPr>
      <w:r>
        <w:t>3. ¿Qué constructo? Eficiencia, desempeño o salud</w:t>
      </w:r>
    </w:p>
    <w:p>
      <w:pPr>
        <w:spacing w:after="40"/>
      </w:pPr>
    </w:p>
    <w:p>
      <w:r>
        <w:t>La eficiencia es un cociente relacional (DEA, OEE), ciego a las restricciones no instrumentales (inocuidad, legalidad); no puede ser el núcleo. El desempeño (Richard et al., 2009) es multidimensional, pero retrospectivo y compensatorio. El fenómeno se caracteriza mejor como un estado/condición de estructura formativa con restricciones críticas no compensables —próximo en espíritu a la salud. Crucialmente, "salud" no obliga a un modelo reflectivo: la elección del modelo depende de la dirección de causalidad entre constructo e indicadores (Bollen &amp; Lennox, 1991; Jarvis et al., 2003), no de la etiqueta. Los compuestos formativos de "salud/condición" son canónicos (Ocean Health Index —Halpern et al., 2012; Index of Biotic Integrity —Karr, 1981; Healthy Eating Index). "Salud" solo impone la obligación de definir un estado de referencia normativo.</w:t>
      </w:r>
    </w:p>
    <w:p>
      <w:pPr>
        <w:spacing w:after="40"/>
      </w:pPr>
    </w:p>
    <w:p>
      <w:pPr>
        <w:pStyle w:val="Heading3"/>
      </w:pPr>
      <w:r>
        <w:t>4. Metodología</w:t>
      </w:r>
    </w:p>
    <w:p>
      <w:pPr>
        <w:spacing w:after="40"/>
      </w:pPr>
    </w:p>
    <w:p>
      <w:r>
        <w:t>Se adopta el marco de diez pasos OECD/JRC para índices compuestos, con análisis de incertidumbre y sensibilidad obligatorio (un índice sin él "puede construirse para contar cualquier historia"). Al ser el constructo formativo, la validación se apoya en validez de contenido/completitud, validez de criterio (externa), análisis de colinealidad y robustez —no en el α de Cronbach ni en validez convergente/discriminante.</w:t>
      </w:r>
    </w:p>
    <w:p>
      <w:pPr>
        <w:spacing w:after="40"/>
      </w:pPr>
    </w:p>
    <w:p>
      <w:pPr>
        <w:pStyle w:val="Heading3"/>
      </w:pPr>
      <w:r>
        <w:t>5. Ontología y arquitectura del estándar</w:t>
      </w:r>
    </w:p>
    <w:p>
      <w:pPr>
        <w:spacing w:after="40"/>
      </w:pPr>
    </w:p>
    <w:p>
      <w:r>
        <w:t>Una ontología realista de tres estratos separa Realidad (industria ⊃ establecimiento ⊃ operación ⊃ recursos/eventos/agentes), Norma (los tipos del estándar) y Datos (observaciones, valores de KPI, resultados). El estándar no es la raíz; es un artefacto de información sobre la realidad (BFO; REA —McCarthy, 1982; PROV-O). Toda observación admisible se ancla simultáneamente en entidad, proceso, evento y periodo (PROV-O), lo que actúa como compuerta de calidad del dato. La arquitectura del estándar comprende un eje normativo (fundamento → modelo conceptual → taxonomía → matriz de procesos → indicadores/admisibilidad → normalización → modelo matemático → reglas críticas → interpretación → aplicación), planos transversales (gobernanza, glosario, validación-como-compuerta, mejora continua) y un esquema de conformidad paralelo.</w:t>
      </w:r>
    </w:p>
    <w:p>
      <w:pPr>
        <w:spacing w:after="40"/>
      </w:pPr>
    </w:p>
    <w:p>
      <w:pPr>
        <w:pStyle w:val="Heading3"/>
      </w:pPr>
      <w:r>
        <w:t>6. Núcleo universal de macroprocesos</w:t>
      </w:r>
    </w:p>
    <w:p>
      <w:pPr>
        <w:spacing w:after="40"/>
      </w:pPr>
    </w:p>
    <w:p>
      <w:r>
        <w:t>Una revisión convergente entre cuatro tradiciones independientes —teoría de sistemas de foodservice (Spears &amp; Gregoire), el marco industry-neutral APQC (5 categorías operativas + 7 de gestión/soporte), el modelado de procesos de restaurantes (Core/Support/Management) y el foodservice hospitalario— sostiene un núcleo a dos niveles: una cadena operativa primaria (planificación/menú → aprovisionamiento → recepción/almacenamiento → producción → entrega al consumidor → cierre transaccional) y procesos transversales de gestión/soporte (inocuidad, mantenimiento, gestión, residuos). La universalidad se sostiene a nivel de subsistema, no de actividad concreta (servicio de mesa, delivery, transporte y bandeja institucional son mutuamente excluyentes). La entrega es universal como "entrega de valor al consumidor"; el cierre transaccional como "venta o requisición interna", lo que incorpora al foodservice no comercial.</w:t>
      </w:r>
    </w:p>
    <w:p>
      <w:pPr>
        <w:spacing w:after="40"/>
      </w:pPr>
    </w:p>
    <w:p>
      <w:pPr>
        <w:pStyle w:val="Heading3"/>
      </w:pPr>
      <w:r>
        <w:t>7. Diseño provisional (no validado)</w:t>
      </w:r>
    </w:p>
    <w:p>
      <w:pPr>
        <w:spacing w:after="40"/>
      </w:pPr>
    </w:p>
    <w:p>
      <w:r>
        <w:t>Se proponen —explícitamente como provisionales, pendientes de validación— dimensiones candidatas (eficiencia económica/costos; productividad de recursos; calidad de producto; servicio/experiencia; inocuidad, como dimensión y como compuerta no compensable; personas; sostenibilidad/residuos), una matriz de admisibilidad de KPI (definible, medible, obtenible sin tecnología, trazable, repetible, auditable, realizable por la categoría, no redundante), normalización a estado de referencia 0–100 (como en IBI/OHI/HEI) y una forma de agregación parcialmente no compensatoria con compuertas críticas duras. No se afirma ningún peso ni umbral como validado.</w:t>
      </w:r>
    </w:p>
    <w:p>
      <w:pPr>
        <w:spacing w:after="40"/>
      </w:pPr>
    </w:p>
    <w:p>
      <w:pPr>
        <w:pStyle w:val="Heading3"/>
      </w:pPr>
      <w:r>
        <w:t>8. Protocolo de validación (trabajo futuro)</w:t>
      </w:r>
    </w:p>
    <w:p>
      <w:pPr>
        <w:spacing w:after="40"/>
      </w:pPr>
    </w:p>
    <w:p>
      <w:r>
        <w:t>(1) Contenido/completitud mediante Delphi de expertos; (2) validez de criterio frente a resultados externos (continuidad del negocio, rentabilidad, satisfacción, no conformidades); (3) robustez mediante análisis de incertidumbre/sensibilidad; (4) fiabilidad inter-evaluador y test-retest; (5) piloto manual por categoría; (6) validación predictiva longitudinal opcional si se adopta el marco pleno de "salud".</w:t>
      </w:r>
    </w:p>
    <w:p>
      <w:pPr>
        <w:spacing w:after="40"/>
      </w:pPr>
    </w:p>
    <w:p>
      <w:pPr>
        <w:pStyle w:val="Heading3"/>
      </w:pPr>
      <w:r>
        <w:t>9. Discusión y limitaciones</w:t>
      </w:r>
    </w:p>
    <w:p>
      <w:pPr>
        <w:spacing w:after="40"/>
      </w:pPr>
    </w:p>
    <w:p>
      <w:r>
        <w:t>El GOEI sobrevive a la refutación en un punto no trivial: la intersección objetivo está empíricamente vacía y la Salud Operacional es coherentemente modelable como compuesto formativo con precedentes sólidos. Tensiones reconocidas: el acrónimo conserva "Eficiencia" aunque el núcleo no lo sea; el cálculo manual entra en tensión con el rigor estadístico y, bajo validación longitudinal, con la carga predictiva; y el gaming del indicador (Ley de Goodhart) exige vigilancia. La limitación central es que dimensiones, KPI, normalización, pesos y umbrales siguen siendo provisionales: la validación empírica no se ha ejecutado.</w:t>
      </w:r>
    </w:p>
    <w:p>
      <w:pPr>
        <w:spacing w:after="40"/>
      </w:pPr>
    </w:p>
    <w:p>
      <w:pPr>
        <w:pStyle w:val="Heading3"/>
      </w:pPr>
      <w:r>
        <w:t>10. Conclusión</w:t>
      </w:r>
    </w:p>
    <w:p>
      <w:pPr>
        <w:spacing w:after="40"/>
      </w:pPr>
    </w:p>
    <w:p>
      <w:r>
        <w:t>Se aporta una justificación crítica del GOEI y un marco metodológico reproducible para construirlo y validarlo. Lo que resta es empírico. La contribución es hacer ese camino riguroso y posible —no declararlo recorrido.</w:t>
      </w:r>
    </w:p>
    <w:p>
      <w:pPr>
        <w:spacing w:after="40"/>
      </w:pPr>
    </w:p>
    <w:p>
      <w:pPr>
        <w:pStyle w:val="Heading3"/>
      </w:pPr>
      <w:r>
        <w:t>Referencias</w:t>
      </w:r>
    </w:p>
    <w:p>
      <w:pPr>
        <w:spacing w:after="40"/>
      </w:pPr>
    </w:p>
    <w:p>
      <w:r>
        <w:t>Bollen &amp; Lennox (1991); Charnes, Cooper &amp; Rhodes (1978); Diamantopoulos &amp; Winklhofer (2001); Elkington (1994); Gregoire &amp; Spears (Foodservice Organizations); Halpern et al. (2012, Nature); Jarvis, MacKenzie &amp; Podsakoff (2003); Kaplan &amp; Norton (1992); Karr (1981); McCarthy (1982); Miles (1969); Neely, Gregory &amp; Platts (1995); OECD/JRC (2008); Richard, Devinney, Yip &amp; Johnson (2009); Stevens, Knutson &amp; Patton (1995); APQC PCF; W3C PROV-O (2013); ISO/IEC Annex SL; ISO/IEC 17065.</w:t>
      </w:r>
    </w:p>
    <w:p>
      <w:r>
        <w:br w:type="page"/>
      </w:r>
    </w:p>
    <w:p>
      <w:pPr>
        <w:pStyle w:val="Heading1"/>
        <w:keepNext/>
      </w:pPr>
      <w:r>
        <w:t>Fuente 137: 13_Publicaciones/GOEI_Articulo_metodologico.STATUS.md</w:t>
      </w:r>
    </w:p>
    <w:p>
      <w:pPr>
        <w:spacing w:after="200"/>
      </w:pPr>
      <w:r>
        <w:rPr>
          <w:rFonts w:ascii="Consolas" w:hAnsi="Consolas"/>
          <w:color w:val="595959"/>
          <w:sz w:val="16"/>
        </w:rPr>
        <w:t>Ruta: 13_Publicaciones/GOEI_Articulo_metodologico.STATUS.md</w:t>
        <w:br/>
        <w:t>Tamaño: 537 bytes</w:t>
        <w:br/>
        <w:t>SHA-256: e6bae8c1c816d5e880fcec5d0c6624aebab431c63c23a355cf6c462ec0cf274f</w:t>
      </w:r>
    </w:p>
    <w:p>
      <w:pPr>
        <w:pStyle w:val="Heading2"/>
      </w:pPr>
      <w:r>
        <w:t>Estado controlado — GOEI_Articulo_metodologico.md</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Estado | CUARENTENA — no publicable |</w:t>
      </w:r>
    </w:p>
    <w:p>
      <w:pPr>
        <w:spacing w:after="20" w:line="240" w:lineRule="auto"/>
      </w:pPr>
      <w:r>
        <w:rPr>
          <w:rFonts w:ascii="Consolas" w:hAnsi="Consolas"/>
          <w:sz w:val="14"/>
        </w:rPr>
        <w:t>| Naturaleza | Borrador exploratorio no autorizado |</w:t>
      </w:r>
    </w:p>
    <w:p>
      <w:pPr>
        <w:spacing w:after="20" w:line="240" w:lineRule="auto"/>
      </w:pPr>
      <w:r>
        <w:rPr>
          <w:rFonts w:ascii="Consolas" w:hAnsi="Consolas"/>
          <w:sz w:val="14"/>
        </w:rPr>
        <w:t>| Auditoría | GOEI-AUDIT-0001 |</w:t>
      </w:r>
    </w:p>
    <w:p>
      <w:pPr>
        <w:spacing w:after="20" w:line="240" w:lineRule="auto"/>
      </w:pPr>
      <w:r>
        <w:rPr>
          <w:rFonts w:ascii="Consolas" w:hAnsi="Consolas"/>
          <w:sz w:val="14"/>
        </w:rPr>
        <w:t>| Puede entrar en release | No |</w:t>
      </w:r>
    </w:p>
    <w:p>
      <w:pPr>
        <w:spacing w:after="20" w:line="240" w:lineRule="auto"/>
      </w:pPr>
      <w:r>
        <w:rPr>
          <w:rFonts w:ascii="Consolas" w:hAnsi="Consolas"/>
          <w:sz w:val="14"/>
        </w:rPr>
        <w:t>| Puede enviarse a revista | No |</w:t>
      </w:r>
    </w:p>
    <w:p>
      <w:pPr>
        <w:spacing w:after="20" w:line="240" w:lineRule="auto"/>
      </w:pPr>
      <w:r>
        <w:rPr>
          <w:rFonts w:ascii="Consolas" w:hAnsi="Consolas"/>
          <w:sz w:val="14"/>
        </w:rPr>
        <w:t>| Puede usarse como fuente científica | No |</w:t>
      </w:r>
    </w:p>
    <w:p>
      <w:pPr>
        <w:spacing w:after="20" w:line="240" w:lineRule="auto"/>
      </w:pPr>
      <w:r>
        <w:rPr>
          <w:rFonts w:ascii="Consolas" w:hAnsi="Consolas"/>
          <w:sz w:val="14"/>
        </w:rPr>
        <w:t>| Acción futura | Reconstruir después de decisiones, validación y auditoría editorial |</w:t>
      </w:r>
    </w:p>
    <w:p>
      <w:pPr>
        <w:spacing w:after="40"/>
      </w:pPr>
    </w:p>
    <w:p>
      <w:r>
        <w:t>El archivo original se conserva intacto para trazabilidad. Este sidecar prevalece para determinar su estado documental.</w:t>
      </w:r>
    </w:p>
    <w:p>
      <w:r>
        <w:br w:type="page"/>
      </w:r>
    </w:p>
    <w:p>
      <w:pPr>
        <w:pStyle w:val="Heading1"/>
        <w:keepNext/>
      </w:pPr>
      <w:r>
        <w:t>Fuente 138: 13_Publicaciones/manuscritos/Arquitectura_manuscrito_candidato.md</w:t>
      </w:r>
    </w:p>
    <w:p>
      <w:pPr>
        <w:spacing w:after="200"/>
      </w:pPr>
      <w:r>
        <w:rPr>
          <w:rFonts w:ascii="Consolas" w:hAnsi="Consolas"/>
          <w:color w:val="595959"/>
          <w:sz w:val="16"/>
        </w:rPr>
        <w:t>Ruta: 13_Publicaciones/manuscritos/Arquitectura_manuscrito_candidato.md</w:t>
        <w:br/>
        <w:t>Tamaño: 850 bytes</w:t>
        <w:br/>
        <w:t>SHA-256: 35c9f21c833df0d47d1c8c6dc583c67d8d9c09e69f92091761402a0a6735fe62</w:t>
      </w:r>
    </w:p>
    <w:p>
      <w:pPr>
        <w:pStyle w:val="Heading2"/>
      </w:pPr>
      <w:r>
        <w:t>Arquitectura de manuscrito científico candidato</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GOEI-PUB-ARCH-0001 |</w:t>
      </w:r>
    </w:p>
    <w:p>
      <w:pPr>
        <w:spacing w:after="20" w:line="240" w:lineRule="auto"/>
      </w:pPr>
      <w:r>
        <w:rPr>
          <w:rFonts w:ascii="Consolas" w:hAnsi="Consolas"/>
          <w:sz w:val="14"/>
        </w:rPr>
        <w:t>| Estado | Estructura editorial; contenido pendiente |</w:t>
      </w:r>
    </w:p>
    <w:p>
      <w:pPr>
        <w:spacing w:after="20" w:line="240" w:lineRule="auto"/>
      </w:pPr>
      <w:r>
        <w:rPr>
          <w:rFonts w:ascii="Consolas" w:hAnsi="Consolas"/>
          <w:sz w:val="14"/>
        </w:rPr>
        <w:t>| Versión | 0.1.0-draft |</w:t>
      </w:r>
    </w:p>
    <w:p>
      <w:pPr>
        <w:spacing w:after="40"/>
      </w:pPr>
    </w:p>
    <w:p>
      <w:pPr>
        <w:pStyle w:val="Heading3"/>
      </w:pPr>
      <w:r>
        <w:t>Secciones previstas</w:t>
      </w:r>
    </w:p>
    <w:p>
      <w:pPr>
        <w:spacing w:after="40"/>
      </w:pPr>
    </w:p>
    <w:p>
      <w:pPr>
        <w:pStyle w:val="ListBullet"/>
      </w:pPr>
      <w:r>
        <w:t>título y contribución, pendientes de resultados;</w:t>
      </w:r>
    </w:p>
    <w:p>
      <w:pPr>
        <w:pStyle w:val="ListBullet"/>
      </w:pPr>
      <w:r>
        <w:t>resumen estructurado;</w:t>
      </w:r>
    </w:p>
    <w:p>
      <w:pPr>
        <w:pStyle w:val="ListBullet"/>
      </w:pPr>
      <w:r>
        <w:t>introducción;</w:t>
      </w:r>
    </w:p>
    <w:p>
      <w:pPr>
        <w:pStyle w:val="ListBullet"/>
      </w:pPr>
      <w:r>
        <w:t>antecedentes y brecha;</w:t>
      </w:r>
    </w:p>
    <w:p>
      <w:pPr>
        <w:pStyle w:val="ListBullet"/>
      </w:pPr>
      <w:r>
        <w:t>métodos;</w:t>
      </w:r>
    </w:p>
    <w:p>
      <w:pPr>
        <w:pStyle w:val="ListBullet"/>
      </w:pPr>
      <w:r>
        <w:t>resultados;</w:t>
      </w:r>
    </w:p>
    <w:p>
      <w:pPr>
        <w:pStyle w:val="ListBullet"/>
      </w:pPr>
      <w:r>
        <w:t>validación y robustez;</w:t>
      </w:r>
    </w:p>
    <w:p>
      <w:pPr>
        <w:pStyle w:val="ListBullet"/>
      </w:pPr>
      <w:r>
        <w:t>discusión;</w:t>
      </w:r>
    </w:p>
    <w:p>
      <w:pPr>
        <w:pStyle w:val="ListBullet"/>
      </w:pPr>
      <w:r>
        <w:t>limitaciones;</w:t>
      </w:r>
    </w:p>
    <w:p>
      <w:pPr>
        <w:pStyle w:val="ListBullet"/>
      </w:pPr>
      <w:r>
        <w:t>disponibilidad de datos y materiales;</w:t>
      </w:r>
    </w:p>
    <w:p>
      <w:pPr>
        <w:pStyle w:val="ListBullet"/>
      </w:pPr>
      <w:r>
        <w:t>ética, conflictos y contribuciones;</w:t>
      </w:r>
    </w:p>
    <w:p>
      <w:pPr>
        <w:pStyle w:val="ListBullet"/>
      </w:pPr>
      <w:r>
        <w:t>referencias y material suplementario.</w:t>
      </w:r>
    </w:p>
    <w:p>
      <w:pPr>
        <w:spacing w:after="40"/>
      </w:pPr>
    </w:p>
    <w:p>
      <w:pPr>
        <w:pStyle w:val="Heading3"/>
      </w:pPr>
      <w:r>
        <w:t>Compuerta editorial</w:t>
      </w:r>
    </w:p>
    <w:p>
      <w:pPr>
        <w:spacing w:after="40"/>
      </w:pPr>
    </w:p>
    <w:p>
      <w:r>
        <w:t>No se elegirá revista, afirmará novedad, redactará resultados ni preparará envío hasta disponer de decisiones, validación y alcance de publicación aprobados. La Oficina Técnica sí puede mantener la estructura, trazabilidad, tablas de procedencia y paquete reproducible.</w:t>
      </w:r>
    </w:p>
    <w:p>
      <w:r>
        <w:br w:type="page"/>
      </w:r>
    </w:p>
    <w:p>
      <w:pPr>
        <w:pStyle w:val="Heading1"/>
        <w:keepNext/>
      </w:pPr>
      <w:r>
        <w:t>Fuente 139: 13_Publicaciones/README.md</w:t>
      </w:r>
    </w:p>
    <w:p>
      <w:pPr>
        <w:spacing w:after="200"/>
      </w:pPr>
      <w:r>
        <w:rPr>
          <w:rFonts w:ascii="Consolas" w:hAnsi="Consolas"/>
          <w:color w:val="595959"/>
          <w:sz w:val="16"/>
        </w:rPr>
        <w:t>Ruta: 13_Publicaciones/README.md</w:t>
        <w:br/>
        <w:t>Tamaño: 335 bytes</w:t>
        <w:br/>
        <w:t>SHA-256: 689c574ee04b9b32aee470693c8503d063b00a4e6045c53b43d85b995228eb90</w:t>
      </w:r>
    </w:p>
    <w:p>
      <w:pPr>
        <w:pStyle w:val="Heading2"/>
      </w:pPr>
      <w:r>
        <w:t>Publicaciones</w:t>
      </w:r>
    </w:p>
    <w:p>
      <w:pPr>
        <w:spacing w:after="40"/>
      </w:pPr>
    </w:p>
    <w:p>
      <w:r>
        <w:t>Productos de difusión derivados. Cada publicación futura deberá identificar la versión y el alcance exactos de los componentes GOEI utilizados.</w:t>
      </w:r>
    </w:p>
    <w:p>
      <w:pPr>
        <w:spacing w:after="40"/>
      </w:pPr>
    </w:p>
    <w:p>
      <w:pPr>
        <w:pStyle w:val="Heading3"/>
      </w:pPr>
      <w:r>
        <w:t>Advertencia vigente</w:t>
      </w:r>
    </w:p>
    <w:p>
      <w:pPr>
        <w:spacing w:after="40"/>
      </w:pPr>
    </w:p>
    <w:p>
      <w:r>
        <w:t>GOEI_Articulo_metodologico.md se encuentra en cuarentena conforme a GOEI-AUDIT-0001. No es un manuscrito publicable ni una fuente científica.</w:t>
      </w:r>
    </w:p>
    <w:p>
      <w:r>
        <w:br w:type="page"/>
      </w:r>
    </w:p>
    <w:p>
      <w:pPr>
        <w:pStyle w:val="Heading1"/>
        <w:keepNext/>
      </w:pPr>
      <w:r>
        <w:t>Fuente 140: 15_Mantenimiento/GOEI_CHG_0001_Normalizacion_ID_Issues.md</w:t>
      </w:r>
    </w:p>
    <w:p>
      <w:pPr>
        <w:spacing w:after="200"/>
      </w:pPr>
      <w:r>
        <w:rPr>
          <w:rFonts w:ascii="Consolas" w:hAnsi="Consolas"/>
          <w:color w:val="595959"/>
          <w:sz w:val="16"/>
        </w:rPr>
        <w:t>Ruta: 15_Mantenimiento/GOEI_CHG_0001_Normalizacion_ID_Issues.md</w:t>
        <w:br/>
        <w:t>Tamaño: 882 bytes</w:t>
        <w:br/>
        <w:t>SHA-256: 669873d55c676706e3408f43d2b6d4de801b3bcca335e4c0cde0c5c9372fded7</w:t>
      </w:r>
    </w:p>
    <w:p>
      <w:pPr>
        <w:pStyle w:val="Heading2"/>
      </w:pPr>
      <w:r>
        <w:t>GOEI-CHG-0001 — Normalización de IDs de Issues</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Fecha | 2026-08-04 |</w:t>
      </w:r>
    </w:p>
    <w:p>
      <w:pPr>
        <w:spacing w:after="20" w:line="240" w:lineRule="auto"/>
      </w:pPr>
      <w:r>
        <w:rPr>
          <w:rFonts w:ascii="Consolas" w:hAnsi="Consolas"/>
          <w:sz w:val="14"/>
        </w:rPr>
        <w:t>| Estado | Aplicado y verificado |</w:t>
      </w:r>
    </w:p>
    <w:p>
      <w:pPr>
        <w:spacing w:after="20" w:line="240" w:lineRule="auto"/>
      </w:pPr>
      <w:r>
        <w:rPr>
          <w:rFonts w:ascii="Consolas" w:hAnsi="Consolas"/>
          <w:sz w:val="14"/>
        </w:rPr>
        <w:t>| Tipo | Corrección de configuración; sin cambio científico |</w:t>
      </w:r>
    </w:p>
    <w:p>
      <w:pPr>
        <w:spacing w:after="20" w:line="240" w:lineRule="auto"/>
      </w:pPr>
      <w:r>
        <w:rPr>
          <w:rFonts w:ascii="Consolas" w:hAnsi="Consolas"/>
          <w:sz w:val="14"/>
        </w:rPr>
        <w:t>| Motivo | Colisión de IDs entre registro maestro y EPIC-001 |</w:t>
      </w:r>
    </w:p>
    <w:p>
      <w:pPr>
        <w:spacing w:after="40"/>
      </w:pPr>
    </w:p>
    <w:p>
      <w:pPr>
        <w:pStyle w:val="Heading3"/>
      </w:pPr>
      <w:r>
        <w:t>Migración</w:t>
      </w:r>
    </w:p>
    <w:p>
      <w:pPr>
        <w:spacing w:after="40"/>
      </w:pPr>
    </w:p>
    <w:p>
      <w:pPr>
        <w:spacing w:after="20" w:line="240" w:lineRule="auto"/>
      </w:pPr>
      <w:r>
        <w:rPr>
          <w:rFonts w:ascii="Consolas" w:hAnsi="Consolas"/>
          <w:sz w:val="14"/>
        </w:rPr>
        <w:t>| ID anterior EPIC-001 | ID canónico nuevo |</w:t>
      </w:r>
    </w:p>
    <w:p>
      <w:pPr>
        <w:spacing w:after="20" w:line="240" w:lineRule="auto"/>
      </w:pPr>
      <w:r>
        <w:rPr>
          <w:rFonts w:ascii="Consolas" w:hAnsi="Consolas"/>
          <w:sz w:val="14"/>
        </w:rPr>
        <w:t>|---|---|</w:t>
      </w:r>
    </w:p>
    <w:p>
      <w:pPr>
        <w:spacing w:after="20" w:line="240" w:lineRule="auto"/>
      </w:pPr>
      <w:r>
        <w:rPr>
          <w:rFonts w:ascii="Consolas" w:hAnsi="Consolas"/>
          <w:sz w:val="14"/>
        </w:rPr>
        <w:t>| GOEI-ISS-011 | GOEI-ISS-031 |</w:t>
      </w:r>
    </w:p>
    <w:p>
      <w:pPr>
        <w:spacing w:after="20" w:line="240" w:lineRule="auto"/>
      </w:pPr>
      <w:r>
        <w:rPr>
          <w:rFonts w:ascii="Consolas" w:hAnsi="Consolas"/>
          <w:sz w:val="14"/>
        </w:rPr>
        <w:t>| GOEI-ISS-012 | GOEI-ISS-032 |</w:t>
      </w:r>
    </w:p>
    <w:p>
      <w:pPr>
        <w:spacing w:after="20" w:line="240" w:lineRule="auto"/>
      </w:pPr>
      <w:r>
        <w:rPr>
          <w:rFonts w:ascii="Consolas" w:hAnsi="Consolas"/>
          <w:sz w:val="14"/>
        </w:rPr>
        <w:t>| GOEI-ISS-013 | GOEI-ISS-033 |</w:t>
      </w:r>
    </w:p>
    <w:p>
      <w:pPr>
        <w:spacing w:after="20" w:line="240" w:lineRule="auto"/>
      </w:pPr>
      <w:r>
        <w:rPr>
          <w:rFonts w:ascii="Consolas" w:hAnsi="Consolas"/>
          <w:sz w:val="14"/>
        </w:rPr>
        <w:t>| GOEI-ISS-014 | GOEI-ISS-034 |</w:t>
      </w:r>
    </w:p>
    <w:p>
      <w:pPr>
        <w:spacing w:after="20" w:line="240" w:lineRule="auto"/>
      </w:pPr>
      <w:r>
        <w:rPr>
          <w:rFonts w:ascii="Consolas" w:hAnsi="Consolas"/>
          <w:sz w:val="14"/>
        </w:rPr>
        <w:t>| GOEI-ISS-015 | GOEI-ISS-035 |</w:t>
      </w:r>
    </w:p>
    <w:p>
      <w:pPr>
        <w:spacing w:after="20" w:line="240" w:lineRule="auto"/>
      </w:pPr>
      <w:r>
        <w:rPr>
          <w:rFonts w:ascii="Consolas" w:hAnsi="Consolas"/>
          <w:sz w:val="14"/>
        </w:rPr>
        <w:t>| GOEI-ISS-016 | GOEI-ISS-036 |</w:t>
      </w:r>
    </w:p>
    <w:p>
      <w:pPr>
        <w:spacing w:after="20" w:line="240" w:lineRule="auto"/>
      </w:pPr>
      <w:r>
        <w:rPr>
          <w:rFonts w:ascii="Consolas" w:hAnsi="Consolas"/>
          <w:sz w:val="14"/>
        </w:rPr>
        <w:t>| GOEI-ISS-017 | GOEI-ISS-037 |</w:t>
      </w:r>
    </w:p>
    <w:p>
      <w:pPr>
        <w:spacing w:after="20" w:line="240" w:lineRule="auto"/>
      </w:pPr>
      <w:r>
        <w:rPr>
          <w:rFonts w:ascii="Consolas" w:hAnsi="Consolas"/>
          <w:sz w:val="14"/>
        </w:rPr>
        <w:t>| GOEI-ISS-018 | GOEI-ISS-038 |</w:t>
      </w:r>
    </w:p>
    <w:p>
      <w:pPr>
        <w:spacing w:after="40"/>
      </w:pPr>
    </w:p>
    <w:p>
      <w:r>
        <w:t>Los Issues científicos GOEI-ISS-011 a 017 del registro maestro conservan sus IDs y significado. No se cerró, respondió ni modificó ninguna pregunta científica.</w:t>
      </w:r>
    </w:p>
    <w:p>
      <w:pPr>
        <w:spacing w:after="40"/>
      </w:pPr>
    </w:p>
    <w:p>
      <w:pPr>
        <w:pStyle w:val="Heading3"/>
      </w:pPr>
      <w:r>
        <w:t>Verificación</w:t>
      </w:r>
    </w:p>
    <w:p>
      <w:pPr>
        <w:spacing w:after="40"/>
      </w:pPr>
    </w:p>
    <w:p>
      <w:r>
        <w:t>El validador de configuración debe reportar unicidad de definiciones después de la migración.</w:t>
      </w:r>
    </w:p>
    <w:p>
      <w:r>
        <w:br w:type="page"/>
      </w:r>
    </w:p>
    <w:p>
      <w:pPr>
        <w:pStyle w:val="Heading1"/>
        <w:keepNext/>
      </w:pPr>
      <w:r>
        <w:t>Fuente 141: 15_Mantenimiento/lineas_base/GOEI_KPI_CAND_v0.1.0/MANIFEST.md</w:t>
      </w:r>
    </w:p>
    <w:p>
      <w:pPr>
        <w:spacing w:after="200"/>
      </w:pPr>
      <w:r>
        <w:rPr>
          <w:rFonts w:ascii="Consolas" w:hAnsi="Consolas"/>
          <w:color w:val="595959"/>
          <w:sz w:val="16"/>
        </w:rPr>
        <w:t>Ruta: 15_Mantenimiento/lineas_base/GOEI_KPI_CAND_v0.1.0/MANIFEST.md</w:t>
        <w:br/>
        <w:t>Tamaño: 2730 bytes</w:t>
        <w:br/>
        <w:t>SHA-256: 11b9458c426abc05e76a181b86af2584ce781e6f1515730bbcb982dec17953a9</w:t>
      </w:r>
    </w:p>
    <w:p>
      <w:pPr>
        <w:pStyle w:val="Heading2"/>
      </w:pPr>
      <w:r>
        <w:t>GOEI KPI Candidate Catalog Baseline v0.1.0</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`GOEI-BSL-KPI-C-0001` |</w:t>
      </w:r>
    </w:p>
    <w:p>
      <w:pPr>
        <w:spacing w:after="20" w:line="240" w:lineRule="auto"/>
      </w:pPr>
      <w:r>
        <w:rPr>
          <w:rFonts w:ascii="Consolas" w:hAnsi="Consolas"/>
          <w:sz w:val="14"/>
        </w:rPr>
        <w:t>| Versión | `0.1.0`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Congelada; baseline registral candidata, no normativa |</w:t>
      </w:r>
    </w:p>
    <w:p>
      <w:pPr>
        <w:spacing w:after="20" w:line="240" w:lineRule="auto"/>
      </w:pPr>
      <w:r>
        <w:rPr>
          <w:rFonts w:ascii="Consolas" w:hAnsi="Consolas"/>
          <w:sz w:val="14"/>
        </w:rPr>
        <w:t>| Decisión científica | D-018 |</w:t>
      </w:r>
    </w:p>
    <w:p>
      <w:pPr>
        <w:spacing w:after="20" w:line="240" w:lineRule="auto"/>
      </w:pPr>
      <w:r>
        <w:rPr>
          <w:rFonts w:ascii="Consolas" w:hAnsi="Consolas"/>
          <w:sz w:val="14"/>
        </w:rPr>
        <w:t>| Aprobación | `GOEI-DIR-RES-0003` |</w:t>
      </w:r>
    </w:p>
    <w:p>
      <w:pPr>
        <w:spacing w:after="20" w:line="240" w:lineRule="auto"/>
      </w:pPr>
      <w:r>
        <w:rPr>
          <w:rFonts w:ascii="Consolas" w:hAnsi="Consolas"/>
          <w:sz w:val="14"/>
        </w:rPr>
        <w:t>| Cola B4 | 31 indicadores `GOEI-KPI-C-001`–`031` |</w:t>
      </w:r>
    </w:p>
    <w:p>
      <w:pPr>
        <w:spacing w:after="20" w:line="240" w:lineRule="auto"/>
      </w:pPr>
      <w:r>
        <w:rPr>
          <w:rFonts w:ascii="Consolas" w:hAnsi="Consolas"/>
          <w:sz w:val="14"/>
        </w:rPr>
        <w:t>| Contexto excluido | `GOEI-KPI-C-032`, marco BSC no indicador |</w:t>
      </w:r>
    </w:p>
    <w:p>
      <w:pPr>
        <w:spacing w:after="40"/>
      </w:pPr>
    </w:p>
    <w:p>
      <w:pPr>
        <w:pStyle w:val="Heading3"/>
      </w:pPr>
      <w:r>
        <w:t>Configuración congelada</w:t>
      </w:r>
    </w:p>
    <w:p>
      <w:pPr>
        <w:spacing w:after="40"/>
      </w:pPr>
    </w:p>
    <w:p>
      <w:r>
        <w:t>Esta baseline preserva un universo candidato reproducible para B4. No contiene KPI aprobados. Congela 31 fichas de indicadores candidatos, su procedencia declarada, asociaciones P1–P9/FX-1…FX-3, vacíos y solapamientos. Conserva adicionalmente C-032 solo como marco contextual trazable y lo excluye expresamente de la cola B4.</w:t>
      </w:r>
    </w:p>
    <w:p>
      <w:pPr>
        <w:spacing w:after="40"/>
      </w:pPr>
    </w:p>
    <w:p>
      <w:pPr>
        <w:pStyle w:val="Heading3"/>
      </w:pPr>
      <w:r>
        <w:t>Artefactos congelados</w:t>
      </w:r>
    </w:p>
    <w:p>
      <w:pPr>
        <w:spacing w:after="40"/>
      </w:pPr>
    </w:p>
    <w:p>
      <w:pPr>
        <w:spacing w:after="20" w:line="240" w:lineRule="auto"/>
      </w:pPr>
      <w:r>
        <w:rPr>
          <w:rFonts w:ascii="Consolas" w:hAnsi="Consolas"/>
          <w:sz w:val="14"/>
        </w:rPr>
        <w:t>| Documento | Rol | Bytes | SHA-256 |</w:t>
      </w:r>
    </w:p>
    <w:p>
      <w:pPr>
        <w:spacing w:after="20" w:line="240" w:lineRule="auto"/>
      </w:pPr>
      <w:r>
        <w:rPr>
          <w:rFonts w:ascii="Consolas" w:hAnsi="Consolas"/>
          <w:sz w:val="14"/>
        </w:rPr>
        <w:t>|---|---|---:|---|</w:t>
      </w:r>
    </w:p>
    <w:p>
      <w:pPr>
        <w:spacing w:after="20" w:line="240" w:lineRule="auto"/>
      </w:pPr>
      <w:r>
        <w:rPr>
          <w:rFonts w:ascii="Consolas" w:hAnsi="Consolas"/>
          <w:sz w:val="14"/>
        </w:rPr>
        <w:t>| `01_Estado_del_arte/FaseB_B3_Revision_universo_KPI.md` | Revisión científica B3 | 17605 | `7a9aa918ce9f82188c9ecb1f6b02b8f3b013c8df6eabb2b964424bc4d40a1db1` |</w:t>
      </w:r>
    </w:p>
    <w:p>
      <w:pPr>
        <w:spacing w:after="20" w:line="240" w:lineRule="auto"/>
      </w:pPr>
      <w:r>
        <w:rPr>
          <w:rFonts w:ascii="Consolas" w:hAnsi="Consolas"/>
          <w:sz w:val="14"/>
        </w:rPr>
        <w:t>| `05_Catalogo_KPI/GOEI_Catalogo_KPI_Candidatos_B3.md` | Catálogo controlado | 36174 | `6a32e14583c883e243bbddd4fafc68de301449f82824e34bfacbd4e6f21c3106` |</w:t>
      </w:r>
    </w:p>
    <w:p>
      <w:pPr>
        <w:spacing w:after="20" w:line="240" w:lineRule="auto"/>
      </w:pPr>
      <w:r>
        <w:rPr>
          <w:rFonts w:ascii="Consolas" w:hAnsi="Consolas"/>
          <w:sz w:val="14"/>
        </w:rPr>
        <w:t>| `05_Catalogo_KPI/GOEI_Matriz_Cobertura_KPI_Candidatos_B3.md` | Matriz de cobertura | 6241 | `13ab765920c2402f2da1861c01b4968eb87ba098516b6c91ef3bec5f0c5b2045` |</w:t>
      </w:r>
    </w:p>
    <w:p>
      <w:pPr>
        <w:spacing w:after="20" w:line="240" w:lineRule="auto"/>
      </w:pPr>
      <w:r>
        <w:rPr>
          <w:rFonts w:ascii="Consolas" w:hAnsi="Consolas"/>
          <w:sz w:val="14"/>
        </w:rPr>
        <w:t>| `00_Gobernanza/coordinacion/entradas_comite/GOEI_SCI_HANDOFF_D018_Cierre_B3.md` | Decisión científica D-018 | 13065 | `511ea02a423a691faf52c2cca2e8638e9c8ada33abd221732f9362df63a7f666` |</w:t>
      </w:r>
    </w:p>
    <w:p>
      <w:pPr>
        <w:spacing w:after="40"/>
      </w:pPr>
    </w:p>
    <w:p>
      <w:r>
        <w:t>La resolución GOEI-DIR-RES-0003 y este manifiesto determinan el alcance promovido. La expresión original de D-018 “32 registros candidato” se interpreta registralmente como 31 indicadores candidatos y un marco contextual excluido, exactamente como el propio expediente distingue “31 indicadores documentados + 1 marco”.</w:t>
      </w:r>
    </w:p>
    <w:p>
      <w:pPr>
        <w:spacing w:after="40"/>
      </w:pPr>
    </w:p>
    <w:p>
      <w:pPr>
        <w:pStyle w:val="Heading3"/>
      </w:pPr>
      <w:r>
        <w:t>Exclusiones controladas</w:t>
      </w:r>
    </w:p>
    <w:p>
      <w:pPr>
        <w:spacing w:after="40"/>
      </w:pPr>
    </w:p>
    <w:p>
      <w:pPr>
        <w:pStyle w:val="ListBullet"/>
      </w:pPr>
      <w:r>
        <w:t>admisibilidad o aprobación de KPI;</w:t>
      </w:r>
    </w:p>
    <w:p>
      <w:pPr>
        <w:pStyle w:val="ListBullet"/>
      </w:pPr>
      <w:r>
        <w:t>especificaciones GOEI de cálculo y medición;</w:t>
      </w:r>
    </w:p>
    <w:p>
      <w:pPr>
        <w:pStyle w:val="ListBullet"/>
      </w:pPr>
      <w:r>
        <w:t>referencias, GTRM, normalización, ponderación, agregación e interpretación;</w:t>
      </w:r>
    </w:p>
    <w:p>
      <w:pPr>
        <w:pStyle w:val="ListBullet"/>
      </w:pPr>
      <w:r>
        <w:t>valores concretos de taxonomía o clasificaciones de establecimientos;</w:t>
      </w:r>
    </w:p>
    <w:p>
      <w:pPr>
        <w:pStyle w:val="ListBullet"/>
      </w:pPr>
      <w:r>
        <w:t>agregación multiunidad/multimarca;</w:t>
      </w:r>
    </w:p>
    <w:p>
      <w:pPr>
        <w:pStyle w:val="ListBullet"/>
      </w:pPr>
      <w:r>
        <w:t>promoción de C-032 como indicador.</w:t>
      </w:r>
    </w:p>
    <w:p>
      <w:pPr>
        <w:spacing w:after="40"/>
      </w:pPr>
    </w:p>
    <w:p>
      <w:pPr>
        <w:pStyle w:val="Heading3"/>
      </w:pPr>
      <w:r>
        <w:t>Dependencias y reservas</w:t>
      </w:r>
    </w:p>
    <w:p>
      <w:pPr>
        <w:spacing w:after="40"/>
      </w:pPr>
    </w:p>
    <w:p>
      <w:pPr>
        <w:pStyle w:val="ListBullet"/>
      </w:pPr>
      <w:r>
        <w:t>GOEI-ISS-055: completitud/revisión sistemática;</w:t>
      </w:r>
    </w:p>
    <w:p>
      <w:pPr>
        <w:pStyle w:val="ListBullet"/>
      </w:pPr>
      <w:r>
        <w:t>GOEI-ISS-056: vacío de exactitud de pronóstico en P1;</w:t>
      </w:r>
    </w:p>
    <w:p>
      <w:pPr>
        <w:pStyle w:val="ListBullet"/>
      </w:pPr>
      <w:r>
        <w:t>GOEI-ISS-057: adaptación de indicadores genéricos;</w:t>
      </w:r>
    </w:p>
    <w:p>
      <w:pPr>
        <w:pStyle w:val="ListBullet"/>
      </w:pPr>
      <w:r>
        <w:t>GOEI-ISS-058: comparabilidad jurisdiccional de inspecciones;</w:t>
      </w:r>
    </w:p>
    <w:p>
      <w:pPr>
        <w:pStyle w:val="ListBullet"/>
      </w:pPr>
      <w:r>
        <w:t>reservas heredadas GOEI-ISS-008, 015, 043 y 054.</w:t>
      </w:r>
    </w:p>
    <w:p>
      <w:pPr>
        <w:spacing w:after="40"/>
      </w:pPr>
    </w:p>
    <w:p>
      <w:pPr>
        <w:pStyle w:val="Heading3"/>
      </w:pPr>
      <w:r>
        <w:t>Política de cambio</w:t>
      </w:r>
    </w:p>
    <w:p>
      <w:pPr>
        <w:spacing w:after="40"/>
      </w:pPr>
    </w:p>
    <w:p>
      <w:r>
        <w:t>Rige POLITICA_ISSUE_ONLY.md. Cualquier divergencia de tamaño o huella abre un incidente de integridad y no se corrige sobrescribiendo esta versión.</w:t>
      </w:r>
    </w:p>
    <w:p>
      <w:pPr>
        <w:spacing w:after="40"/>
      </w:pPr>
    </w:p>
    <w:p>
      <w:r>
        <w:br w:type="page"/>
      </w:r>
    </w:p>
    <w:p>
      <w:pPr>
        <w:pStyle w:val="Heading1"/>
        <w:keepNext/>
      </w:pPr>
      <w:r>
        <w:t>Fuente 142: 15_Mantenimiento/lineas_base/GOEI_KPI_CAND_v0.1.0/POLITICA_ISSUE_ONLY.md</w:t>
      </w:r>
    </w:p>
    <w:p>
      <w:pPr>
        <w:spacing w:after="200"/>
      </w:pPr>
      <w:r>
        <w:rPr>
          <w:rFonts w:ascii="Consolas" w:hAnsi="Consolas"/>
          <w:color w:val="595959"/>
          <w:sz w:val="16"/>
        </w:rPr>
        <w:t>Ruta: 15_Mantenimiento/lineas_base/GOEI_KPI_CAND_v0.1.0/POLITICA_ISSUE_ONLY.md</w:t>
        <w:br/>
        <w:t>Tamaño: 468 bytes</w:t>
        <w:br/>
        <w:t>SHA-256: 386f21a6aaa8a0ace3aee347accd893cdf926af2f124a04ad78e39be52c61430</w:t>
      </w:r>
    </w:p>
    <w:p>
      <w:pPr>
        <w:pStyle w:val="Heading2"/>
      </w:pPr>
      <w:r>
        <w:t>Política Issue-only — GOEI KPI Candidate Catalog Baseline v0.1.0</w:t>
      </w:r>
    </w:p>
    <w:p>
      <w:pPr>
        <w:spacing w:after="40"/>
      </w:pPr>
    </w:p>
    <w:p>
      <w:r>
        <w:t>GOEI-BSL-KPI-C-0001 v0.1.0 es inmutable. Toda incorporación, retiro, reclasificación o corrección exige Issue formal, análisis de impacto, decisión científica cuando corresponda, resolución de promoción, nueva versión y conservación íntegra de esta configuración.</w:t>
      </w:r>
    </w:p>
    <w:p>
      <w:pPr>
        <w:spacing w:after="40"/>
      </w:pPr>
    </w:p>
    <w:p>
      <w:r>
        <w:t>La baseline congela candidatos para su evaluación; no les otorga admisibilidad ni vigencia normativa como KPI GOEI.</w:t>
      </w:r>
    </w:p>
    <w:p>
      <w:pPr>
        <w:spacing w:after="40"/>
      </w:pPr>
    </w:p>
    <w:p>
      <w:r>
        <w:br w:type="page"/>
      </w:r>
    </w:p>
    <w:p>
      <w:pPr>
        <w:pStyle w:val="Heading1"/>
        <w:keepNext/>
      </w:pPr>
      <w:r>
        <w:t>Fuente 143: 15_Mantenimiento/lineas_base/GOEI_ONT_v0.1/MANIFEST.md</w:t>
      </w:r>
    </w:p>
    <w:p>
      <w:pPr>
        <w:spacing w:after="200"/>
      </w:pPr>
      <w:r>
        <w:rPr>
          <w:rFonts w:ascii="Consolas" w:hAnsi="Consolas"/>
          <w:color w:val="595959"/>
          <w:sz w:val="16"/>
        </w:rPr>
        <w:t>Ruta: 15_Mantenimiento/lineas_base/GOEI_ONT_v0.1/MANIFEST.md</w:t>
        <w:br/>
        <w:t>Tamaño: 1829 bytes</w:t>
        <w:br/>
        <w:t>SHA-256: fefebb242307f8b86393026a9b3c4cea53a05eb469471b764a7d9910b7e1f045</w:t>
      </w:r>
    </w:p>
    <w:p>
      <w:pPr>
        <w:pStyle w:val="Heading2"/>
      </w:pPr>
      <w:r>
        <w:t>GOEI Ontology Baseline v0.1</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GOEI-BSL-ONT-0001 |</w:t>
      </w:r>
    </w:p>
    <w:p>
      <w:pPr>
        <w:spacing w:after="20" w:line="240" w:lineRule="auto"/>
      </w:pPr>
      <w:r>
        <w:rPr>
          <w:rFonts w:ascii="Consolas" w:hAnsi="Consolas"/>
          <w:sz w:val="14"/>
        </w:rPr>
        <w:t>| Estado | Congelada provisionalmente |</w:t>
      </w:r>
    </w:p>
    <w:p>
      <w:pPr>
        <w:spacing w:after="20" w:line="240" w:lineRule="auto"/>
      </w:pPr>
      <w:r>
        <w:rPr>
          <w:rFonts w:ascii="Consolas" w:hAnsi="Consolas"/>
          <w:sz w:val="14"/>
        </w:rPr>
        <w:t>| Versión | 0.1 |</w:t>
      </w:r>
    </w:p>
    <w:p>
      <w:pPr>
        <w:spacing w:after="20" w:line="240" w:lineRule="auto"/>
      </w:pPr>
      <w:r>
        <w:rPr>
          <w:rFonts w:ascii="Consolas" w:hAnsi="Consolas"/>
          <w:sz w:val="14"/>
        </w:rPr>
        <w:t>| Fecha de congelamiento | 2026-08-04 |</w:t>
      </w:r>
    </w:p>
    <w:p>
      <w:pPr>
        <w:spacing w:after="20" w:line="240" w:lineRule="auto"/>
      </w:pPr>
      <w:r>
        <w:rPr>
          <w:rFonts w:ascii="Consolas" w:hAnsi="Consolas"/>
          <w:sz w:val="14"/>
        </w:rPr>
        <w:t>| Autoridad | Instrucción expresa del proyecto |</w:t>
      </w:r>
    </w:p>
    <w:p>
      <w:pPr>
        <w:spacing w:after="20" w:line="240" w:lineRule="auto"/>
      </w:pPr>
      <w:r>
        <w:rPr>
          <w:rFonts w:ascii="Consolas" w:hAnsi="Consolas"/>
          <w:sz w:val="14"/>
        </w:rPr>
        <w:t>| Política de modificación | Issue formal obligatorio |</w:t>
      </w:r>
    </w:p>
    <w:p>
      <w:pPr>
        <w:spacing w:after="20" w:line="240" w:lineRule="auto"/>
      </w:pPr>
      <w:r>
        <w:rPr>
          <w:rFonts w:ascii="Consolas" w:hAnsi="Consolas"/>
          <w:sz w:val="14"/>
        </w:rPr>
        <w:t>| Alcance | Ontología conceptual D-006 con su revisión y cierre D-006-REV |</w:t>
      </w:r>
    </w:p>
    <w:p>
      <w:pPr>
        <w:spacing w:after="40"/>
      </w:pPr>
    </w:p>
    <w:p>
      <w:pPr>
        <w:pStyle w:val="Heading3"/>
      </w:pPr>
      <w:r>
        <w:t>Componentes congelados</w:t>
      </w:r>
    </w:p>
    <w:p>
      <w:pPr>
        <w:spacing w:after="40"/>
      </w:pPr>
    </w:p>
    <w:p>
      <w:pPr>
        <w:spacing w:after="20" w:line="240" w:lineRule="auto"/>
      </w:pPr>
      <w:r>
        <w:rPr>
          <w:rFonts w:ascii="Consolas" w:hAnsi="Consolas"/>
          <w:sz w:val="14"/>
        </w:rPr>
        <w:t>| Documento | Rol en baseline | Bytes | SHA-256 |</w:t>
      </w:r>
    </w:p>
    <w:p>
      <w:pPr>
        <w:spacing w:after="20" w:line="240" w:lineRule="auto"/>
      </w:pPr>
      <w:r>
        <w:rPr>
          <w:rFonts w:ascii="Consolas" w:hAnsi="Consolas"/>
          <w:sz w:val="14"/>
        </w:rPr>
        <w:t>|---|---|---:|---|</w:t>
      </w:r>
    </w:p>
    <w:p>
      <w:pPr>
        <w:spacing w:after="20" w:line="240" w:lineRule="auto"/>
      </w:pPr>
      <w:r>
        <w:rPr>
          <w:rFonts w:ascii="Consolas" w:hAnsi="Consolas"/>
          <w:sz w:val="14"/>
        </w:rPr>
        <w:t>| `09_Manual_tecnico_general/Fase4_D006_Ontologia_del_GOEI.md` | Especificación base | 18798 | `4ed8fdb6295cb5a857909a678c7e8b39146289ea5d0c92018369a284cec7f163` |</w:t>
      </w:r>
    </w:p>
    <w:p>
      <w:pPr>
        <w:spacing w:after="20" w:line="240" w:lineRule="auto"/>
      </w:pPr>
      <w:r>
        <w:rPr>
          <w:rFonts w:ascii="Consolas" w:hAnsi="Consolas"/>
          <w:sz w:val="14"/>
        </w:rPr>
        <w:t>| `09_Manual_tecnico_general/Fase4_D006_REV_Ontologia_revision_y_cierre.md` | Revisiones aprobadas y cierre | 15024 | `6ea6988191ec532ca96946d6ad0735573c2949f2ea8aea426ff14a2e4b9b7e3f` |</w:t>
      </w:r>
    </w:p>
    <w:p>
      <w:pPr>
        <w:spacing w:after="40"/>
      </w:pPr>
    </w:p>
    <w:p>
      <w:pPr>
        <w:pStyle w:val="Heading3"/>
      </w:pPr>
      <w:r>
        <w:t>Regla de interpretación</w:t>
      </w:r>
    </w:p>
    <w:p>
      <w:pPr>
        <w:spacing w:after="40"/>
      </w:pPr>
    </w:p>
    <w:p>
      <w:r>
        <w:t>D-006-REV complementa y, cuando exista una corrección explícita, prevalece sobre D-006. El baseline no consolida ambos textos en un tercero porque eso alteraría los artefactos científicos congelados.</w:t>
      </w:r>
    </w:p>
    <w:p>
      <w:pPr>
        <w:spacing w:after="40"/>
      </w:pPr>
    </w:p>
    <w:p>
      <w:pPr>
        <w:pStyle w:val="Heading3"/>
      </w:pPr>
      <w:r>
        <w:t>Regla de inmutabilidad</w:t>
      </w:r>
    </w:p>
    <w:p>
      <w:pPr>
        <w:spacing w:after="40"/>
      </w:pPr>
    </w:p>
    <w:p>
      <w:r>
        <w:t>Los documentos listados no se editan, renombran, sustituyen ni eliminan directamente. Toda modificación futura requiere:</w:t>
      </w:r>
    </w:p>
    <w:p>
      <w:pPr>
        <w:spacing w:after="40"/>
      </w:pPr>
    </w:p>
    <w:p>
      <w:pPr>
        <w:pStyle w:val="ListNumber"/>
      </w:pPr>
      <w:r>
        <w:t>Issue GOEI-ISS-NNNN con problema, alcance y motivo;</w:t>
      </w:r>
    </w:p>
    <w:p>
      <w:pPr>
        <w:pStyle w:val="ListNumber"/>
      </w:pPr>
      <w:r>
        <w:t>análisis de impacto y compatibilidad;</w:t>
      </w:r>
    </w:p>
    <w:p>
      <w:pPr>
        <w:pStyle w:val="ListNumber"/>
      </w:pPr>
      <w:r>
        <w:t>autoridad requerida identificada;</w:t>
      </w:r>
    </w:p>
    <w:p>
      <w:pPr>
        <w:pStyle w:val="ListNumber"/>
      </w:pPr>
      <w:r>
        <w:t>decisión formal cuando el cambio afecte contenido científico;</w:t>
      </w:r>
    </w:p>
    <w:p>
      <w:pPr>
        <w:pStyle w:val="ListNumber"/>
      </w:pPr>
      <w:r>
        <w:t>registro de cambio;</w:t>
      </w:r>
    </w:p>
    <w:p>
      <w:pPr>
        <w:pStyle w:val="ListNumber"/>
      </w:pPr>
      <w:r>
        <w:t>nueva versión de ontología y nueva línea base;</w:t>
      </w:r>
    </w:p>
    <w:p>
      <w:pPr>
        <w:pStyle w:val="ListNumber"/>
      </w:pPr>
      <w:r>
        <w:t>conservación permanente de v0.1.</w:t>
      </w:r>
    </w:p>
    <w:p>
      <w:pPr>
        <w:spacing w:after="40"/>
      </w:pPr>
    </w:p>
    <w:p>
      <w:r>
        <w:t>Un Issue por sí solo autoriza análisis, no modificación científica.</w:t>
      </w:r>
    </w:p>
    <w:p>
      <w:pPr>
        <w:spacing w:after="40"/>
      </w:pPr>
    </w:p>
    <w:p>
      <w:pPr>
        <w:pStyle w:val="Heading3"/>
      </w:pPr>
      <w:r>
        <w:t>Verificación</w:t>
      </w:r>
    </w:p>
    <w:p>
      <w:pPr>
        <w:spacing w:after="40"/>
      </w:pPr>
    </w:p>
    <w:p>
      <w:r>
        <w:t>La integridad se comprueba recalculando SHA-256 y comparando exactamente con este manifiesto. Cualquier diferencia abre un incidente de integridad y bloquea el uso del artefacto alterado hasta resolverlo.</w:t>
      </w:r>
    </w:p>
    <w:p>
      <w:r>
        <w:br w:type="page"/>
      </w:r>
    </w:p>
    <w:p>
      <w:pPr>
        <w:pStyle w:val="Heading1"/>
        <w:keepNext/>
      </w:pPr>
      <w:r>
        <w:t>Fuente 144: 15_Mantenimiento/lineas_base/GOEI_ONT_v0.1/POLITICA_ISSUE_ONLY.md</w:t>
      </w:r>
    </w:p>
    <w:p>
      <w:pPr>
        <w:spacing w:after="200"/>
      </w:pPr>
      <w:r>
        <w:rPr>
          <w:rFonts w:ascii="Consolas" w:hAnsi="Consolas"/>
          <w:color w:val="595959"/>
          <w:sz w:val="16"/>
        </w:rPr>
        <w:t>Ruta: 15_Mantenimiento/lineas_base/GOEI_ONT_v0.1/POLITICA_ISSUE_ONLY.md</w:t>
        <w:br/>
        <w:t>Tamaño: 977 bytes</w:t>
        <w:br/>
        <w:t>SHA-256: caa3df55f43d659c0913963773bcb640bd6ededc0256ac77bedd2aaccc92f80a</w:t>
      </w:r>
    </w:p>
    <w:p>
      <w:pPr>
        <w:pStyle w:val="Heading2"/>
      </w:pPr>
      <w:r>
        <w:t>Política Issue-Only para la Ontología GOEI</w:t>
      </w:r>
    </w:p>
    <w:p>
      <w:pPr>
        <w:spacing w:after="40"/>
      </w:pPr>
    </w:p>
    <w:p>
      <w:r>
        <w:t>Ámbito: GOEI Ontology Baseline v0.1 y todas sus versiones sucesoras.</w:t>
      </w:r>
    </w:p>
    <w:p>
      <w:pPr>
        <w:spacing w:after="40"/>
      </w:pPr>
    </w:p>
    <w:p>
      <w:r>
        <w:t>No se acepta ningún cambio ontológico sin Issue formal previo. El Issue debe contener:</w:t>
      </w:r>
    </w:p>
    <w:p>
      <w:pPr>
        <w:spacing w:after="40"/>
      </w:pPr>
    </w:p>
    <w:p>
      <w:pPr>
        <w:pStyle w:val="ListBullet"/>
      </w:pPr>
      <w:r>
        <w:t>ID y título inequívoco;</w:t>
      </w:r>
    </w:p>
    <w:p>
      <w:pPr>
        <w:pStyle w:val="ListBullet"/>
      </w:pPr>
      <w:r>
        <w:t>elemento y versión afectados;</w:t>
      </w:r>
    </w:p>
    <w:p>
      <w:pPr>
        <w:pStyle w:val="ListBullet"/>
      </w:pPr>
      <w:r>
        <w:t>problema observado;</w:t>
      </w:r>
    </w:p>
    <w:p>
      <w:pPr>
        <w:pStyle w:val="ListBullet"/>
      </w:pPr>
      <w:r>
        <w:t>clasificación: editorial, técnico, semántico o científico;</w:t>
      </w:r>
    </w:p>
    <w:p>
      <w:pPr>
        <w:pStyle w:val="ListBullet"/>
      </w:pPr>
      <w:r>
        <w:t>evidencia y decisión de origen, si aplica;</w:t>
      </w:r>
    </w:p>
    <w:p>
      <w:pPr>
        <w:pStyle w:val="ListBullet"/>
      </w:pPr>
      <w:r>
        <w:t>impacto sobre entidades, relaciones, axiomas, datos, documentos y software;</w:t>
      </w:r>
    </w:p>
    <w:p>
      <w:pPr>
        <w:pStyle w:val="ListBullet"/>
      </w:pPr>
      <w:r>
        <w:t>compatibilidad y migración;</w:t>
      </w:r>
    </w:p>
    <w:p>
      <w:pPr>
        <w:pStyle w:val="ListBullet"/>
      </w:pPr>
      <w:r>
        <w:t>autoridad requerida;</w:t>
      </w:r>
    </w:p>
    <w:p>
      <w:pPr>
        <w:pStyle w:val="ListBullet"/>
      </w:pPr>
      <w:r>
        <w:t>criterio verificable de cierre.</w:t>
      </w:r>
    </w:p>
    <w:p>
      <w:pPr>
        <w:spacing w:after="40"/>
      </w:pPr>
    </w:p>
    <w:p>
      <w:r>
        <w:t>Flujo mínimo:</w:t>
      </w:r>
    </w:p>
    <w:p>
      <w:pPr>
        <w:spacing w:after="40"/>
      </w:pPr>
    </w:p>
    <w:p>
      <w:r>
        <w:t>Abierto → Clasificado → Analizado → Decisión requerida/adoptada → Cambio propuesto → Verificado → Nueva baseline → Cerrado</w:t>
      </w:r>
    </w:p>
    <w:p>
      <w:pPr>
        <w:spacing w:after="40"/>
      </w:pPr>
    </w:p>
    <w:p>
      <w:r>
        <w:t>Los cambios editoriales también requieren Issue para preservar el checksum y la cadena de custodia. Los cambios científicos exigen una decisión del Comité Científico; los cambios puramente técnicos no pueden alterar la semántica aprobada.</w:t>
      </w:r>
    </w:p>
    <w:p>
      <w:r>
        <w:br w:type="page"/>
      </w:r>
    </w:p>
    <w:p>
      <w:pPr>
        <w:pStyle w:val="Heading1"/>
        <w:keepNext/>
      </w:pPr>
      <w:r>
        <w:t>Fuente 145: 15_Mantenimiento/lineas_base/GOEI_PROC_v0.1.0/MANIFEST.md</w:t>
      </w:r>
    </w:p>
    <w:p>
      <w:pPr>
        <w:spacing w:after="200"/>
      </w:pPr>
      <w:r>
        <w:rPr>
          <w:rFonts w:ascii="Consolas" w:hAnsi="Consolas"/>
          <w:color w:val="595959"/>
          <w:sz w:val="16"/>
        </w:rPr>
        <w:t>Ruta: 15_Mantenimiento/lineas_base/GOEI_PROC_v0.1.0/MANIFEST.md</w:t>
        <w:br/>
        <w:t>Tamaño: 2878 bytes</w:t>
        <w:br/>
        <w:t>SHA-256: 8effcdffcce96604cd60f65f848696885f29e420f0ddcd9f8be2256015558243</w:t>
      </w:r>
    </w:p>
    <w:p>
      <w:pPr>
        <w:pStyle w:val="Heading2"/>
      </w:pPr>
      <w:r>
        <w:t>GOEI Process Baseline v0.1.0</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`GOEI-BSL-PROC-0001` |</w:t>
      </w:r>
    </w:p>
    <w:p>
      <w:pPr>
        <w:spacing w:after="20" w:line="240" w:lineRule="auto"/>
      </w:pPr>
      <w:r>
        <w:rPr>
          <w:rFonts w:ascii="Consolas" w:hAnsi="Consolas"/>
          <w:sz w:val="14"/>
        </w:rPr>
        <w:t>| Versión | `0.1.0`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Congelada; baseline temprana con reservas |</w:t>
      </w:r>
    </w:p>
    <w:p>
      <w:pPr>
        <w:spacing w:after="20" w:line="240" w:lineRule="auto"/>
      </w:pPr>
      <w:r>
        <w:rPr>
          <w:rFonts w:ascii="Consolas" w:hAnsi="Consolas"/>
          <w:sz w:val="14"/>
        </w:rPr>
        <w:t>| Decisión científica | D-008 |</w:t>
      </w:r>
    </w:p>
    <w:p>
      <w:pPr>
        <w:spacing w:after="20" w:line="240" w:lineRule="auto"/>
      </w:pPr>
      <w:r>
        <w:rPr>
          <w:rFonts w:ascii="Consolas" w:hAnsi="Consolas"/>
          <w:sz w:val="14"/>
        </w:rPr>
        <w:t>| Aprobación | `GOEI-DIR-RES-0001` |</w:t>
      </w:r>
    </w:p>
    <w:p>
      <w:pPr>
        <w:spacing w:after="20" w:line="240" w:lineRule="auto"/>
      </w:pPr>
      <w:r>
        <w:rPr>
          <w:rFonts w:ascii="Consolas" w:hAnsi="Consolas"/>
          <w:sz w:val="14"/>
        </w:rPr>
        <w:t>| Unidad de modelado | Tipo de proceso a nivel de subsistema funcional |</w:t>
      </w:r>
    </w:p>
    <w:p>
      <w:pPr>
        <w:spacing w:after="20" w:line="240" w:lineRule="auto"/>
      </w:pPr>
      <w:r>
        <w:rPr>
          <w:rFonts w:ascii="Consolas" w:hAnsi="Consolas"/>
          <w:sz w:val="14"/>
        </w:rPr>
        <w:t>| Alcance | Foodservice comercial y no comercial/institucional |</w:t>
      </w:r>
    </w:p>
    <w:p>
      <w:pPr>
        <w:spacing w:after="40"/>
      </w:pPr>
    </w:p>
    <w:p>
      <w:pPr>
        <w:pStyle w:val="Heading3"/>
      </w:pPr>
      <w:r>
        <w:t>Contenido de la configuración</w:t>
      </w:r>
    </w:p>
    <w:p>
      <w:pPr>
        <w:spacing w:after="40"/>
      </w:pPr>
    </w:p>
    <w:p>
      <w:pPr>
        <w:pStyle w:val="Heading4"/>
      </w:pPr>
      <w:r>
        <w:t>Cadena primaria</w:t>
      </w:r>
    </w:p>
    <w:p>
      <w:pPr>
        <w:spacing w:after="40"/>
      </w:pPr>
    </w:p>
    <w:p>
      <w:pPr>
        <w:spacing w:after="20" w:line="240" w:lineRule="auto"/>
      </w:pPr>
      <w:r>
        <w:rPr>
          <w:rFonts w:ascii="Consolas" w:hAnsi="Consolas"/>
          <w:sz w:val="14"/>
        </w:rPr>
        <w:t>| ID | Tipo de proceso ratificado |</w:t>
      </w:r>
    </w:p>
    <w:p>
      <w:pPr>
        <w:spacing w:after="20" w:line="240" w:lineRule="auto"/>
      </w:pPr>
      <w:r>
        <w:rPr>
          <w:rFonts w:ascii="Consolas" w:hAnsi="Consolas"/>
          <w:sz w:val="14"/>
        </w:rPr>
        <w:t>|---|---|</w:t>
      </w:r>
    </w:p>
    <w:p>
      <w:pPr>
        <w:spacing w:after="20" w:line="240" w:lineRule="auto"/>
      </w:pPr>
      <w:r>
        <w:rPr>
          <w:rFonts w:ascii="Consolas" w:hAnsi="Consolas"/>
          <w:sz w:val="14"/>
        </w:rPr>
        <w:t>| P1 | Planificación y menú / demanda |</w:t>
      </w:r>
    </w:p>
    <w:p>
      <w:pPr>
        <w:spacing w:after="20" w:line="240" w:lineRule="auto"/>
      </w:pPr>
      <w:r>
        <w:rPr>
          <w:rFonts w:ascii="Consolas" w:hAnsi="Consolas"/>
          <w:sz w:val="14"/>
        </w:rPr>
        <w:t>| P2 | Aprovisionamiento |</w:t>
      </w:r>
    </w:p>
    <w:p>
      <w:pPr>
        <w:spacing w:after="20" w:line="240" w:lineRule="auto"/>
      </w:pPr>
      <w:r>
        <w:rPr>
          <w:rFonts w:ascii="Consolas" w:hAnsi="Consolas"/>
          <w:sz w:val="14"/>
        </w:rPr>
        <w:t>| P3 | Recepción, almacenamiento e inventario |</w:t>
      </w:r>
    </w:p>
    <w:p>
      <w:pPr>
        <w:spacing w:after="20" w:line="240" w:lineRule="auto"/>
      </w:pPr>
      <w:r>
        <w:rPr>
          <w:rFonts w:ascii="Consolas" w:hAnsi="Consolas"/>
          <w:sz w:val="14"/>
        </w:rPr>
        <w:t>| P4 | Producción / preparación |</w:t>
      </w:r>
    </w:p>
    <w:p>
      <w:pPr>
        <w:spacing w:after="20" w:line="240" w:lineRule="auto"/>
      </w:pPr>
      <w:r>
        <w:rPr>
          <w:rFonts w:ascii="Consolas" w:hAnsi="Consolas"/>
          <w:sz w:val="14"/>
        </w:rPr>
        <w:t>| P5 | Distribución / servicio / cumplimiento |</w:t>
      </w:r>
    </w:p>
    <w:p>
      <w:pPr>
        <w:spacing w:after="20" w:line="240" w:lineRule="auto"/>
      </w:pPr>
      <w:r>
        <w:rPr>
          <w:rFonts w:ascii="Consolas" w:hAnsi="Consolas"/>
          <w:sz w:val="14"/>
        </w:rPr>
        <w:t>| P6 | Transacción / cierre — venta o requisición/registro interno según contexto |</w:t>
      </w:r>
    </w:p>
    <w:p>
      <w:pPr>
        <w:spacing w:after="40"/>
      </w:pPr>
    </w:p>
    <w:p>
      <w:pPr>
        <w:pStyle w:val="Heading4"/>
      </w:pPr>
      <w:r>
        <w:t>Planos transversales</w:t>
      </w:r>
    </w:p>
    <w:p>
      <w:pPr>
        <w:spacing w:after="40"/>
      </w:pPr>
    </w:p>
    <w:p>
      <w:pPr>
        <w:spacing w:after="20" w:line="240" w:lineRule="auto"/>
      </w:pPr>
      <w:r>
        <w:rPr>
          <w:rFonts w:ascii="Consolas" w:hAnsi="Consolas"/>
          <w:sz w:val="14"/>
        </w:rPr>
        <w:t>| ID | Tipo de proceso ratificado |</w:t>
      </w:r>
    </w:p>
    <w:p>
      <w:pPr>
        <w:spacing w:after="20" w:line="240" w:lineRule="auto"/>
      </w:pPr>
      <w:r>
        <w:rPr>
          <w:rFonts w:ascii="Consolas" w:hAnsi="Consolas"/>
          <w:sz w:val="14"/>
        </w:rPr>
        <w:t>|---|---|</w:t>
      </w:r>
    </w:p>
    <w:p>
      <w:pPr>
        <w:spacing w:after="20" w:line="240" w:lineRule="auto"/>
      </w:pPr>
      <w:r>
        <w:rPr>
          <w:rFonts w:ascii="Consolas" w:hAnsi="Consolas"/>
          <w:sz w:val="14"/>
        </w:rPr>
        <w:t>| P7 | Inocuidad, higiene y sanitización |</w:t>
      </w:r>
    </w:p>
    <w:p>
      <w:pPr>
        <w:spacing w:after="20" w:line="240" w:lineRule="auto"/>
      </w:pPr>
      <w:r>
        <w:rPr>
          <w:rFonts w:ascii="Consolas" w:hAnsi="Consolas"/>
          <w:sz w:val="14"/>
        </w:rPr>
        <w:t>| P8 | Mantenimiento de equipos e instalación |</w:t>
      </w:r>
    </w:p>
    <w:p>
      <w:pPr>
        <w:spacing w:after="20" w:line="240" w:lineRule="auto"/>
      </w:pPr>
      <w:r>
        <w:rPr>
          <w:rFonts w:ascii="Consolas" w:hAnsi="Consolas"/>
          <w:sz w:val="14"/>
        </w:rPr>
        <w:t>| P9 | Gestión y control |</w:t>
      </w:r>
    </w:p>
    <w:p>
      <w:pPr>
        <w:spacing w:after="40"/>
      </w:pPr>
    </w:p>
    <w:p>
      <w:r>
        <w:t>La baseline ratifica existencia y estructura al nivel indicado; no define actividades concretas, taxonomía, KPI, fórmulas, ponderaciones, umbrales ni reglas de cálculo.</w:t>
      </w:r>
    </w:p>
    <w:p>
      <w:pPr>
        <w:spacing w:after="40"/>
      </w:pPr>
    </w:p>
    <w:p>
      <w:pPr>
        <w:pStyle w:val="Heading3"/>
      </w:pPr>
      <w:r>
        <w:t>Exclusión controlada</w:t>
      </w:r>
    </w:p>
    <w:p>
      <w:pPr>
        <w:spacing w:after="40"/>
      </w:pPr>
    </w:p>
    <w:p>
      <w:r>
        <w:t>Gestión de residuos/merma no forma parte de esta configuración como macroproceso, proceso transversal definitivo ni subproceso normativo. Permanece como candidato bajo GOEI-ISS-043.</w:t>
      </w:r>
    </w:p>
    <w:p>
      <w:pPr>
        <w:spacing w:after="40"/>
      </w:pPr>
    </w:p>
    <w:p>
      <w:pPr>
        <w:pStyle w:val="Heading3"/>
      </w:pPr>
      <w:r>
        <w:t>Fuentes canónicas</w:t>
      </w:r>
    </w:p>
    <w:p>
      <w:pPr>
        <w:spacing w:after="40"/>
      </w:pPr>
    </w:p>
    <w:p>
      <w:pPr>
        <w:pStyle w:val="ListBullet"/>
      </w:pPr>
      <w:r>
        <w:t>00_Gobernanza/coordinacion/entradas_comite/GOEI_SCI_HANDOFF_D008_Cierre_B1.md</w:t>
      </w:r>
    </w:p>
    <w:p>
      <w:pPr>
        <w:pStyle w:val="ListBullet"/>
      </w:pPr>
      <w:r>
        <w:t>01_Estado_del_arte/FaseB_B1_Revision_sistematica_procesos_universales.md</w:t>
      </w:r>
    </w:p>
    <w:p>
      <w:pPr>
        <w:pStyle w:val="ListBullet"/>
      </w:pPr>
      <w:r>
        <w:t>04_Procesos_gastronomicos/Fase4_Nucleo_universal_de_macroprocesos.md</w:t>
      </w:r>
    </w:p>
    <w:p>
      <w:pPr>
        <w:pStyle w:val="ListBullet"/>
      </w:pPr>
      <w:r>
        <w:t>00_Gobernanza/coordinacion/resoluciones/GOEI_DIR_RES_0001_D008_B1.md</w:t>
      </w:r>
    </w:p>
    <w:p>
      <w:pPr>
        <w:pStyle w:val="ListBullet"/>
      </w:pPr>
      <w:r>
        <w:t>15_Mantenimiento/lineas_base/GOEI_PROC_v0.1.0/POLITICA_ISSUE_ONLY.md</w:t>
      </w:r>
    </w:p>
    <w:p>
      <w:pPr>
        <w:spacing w:after="40"/>
      </w:pPr>
    </w:p>
    <w:p>
      <w:pPr>
        <w:pStyle w:val="Heading3"/>
      </w:pPr>
      <w:r>
        <w:t>Artefactos congelados</w:t>
      </w:r>
    </w:p>
    <w:p>
      <w:pPr>
        <w:spacing w:after="40"/>
      </w:pPr>
    </w:p>
    <w:p>
      <w:pPr>
        <w:spacing w:after="20" w:line="240" w:lineRule="auto"/>
      </w:pPr>
      <w:r>
        <w:rPr>
          <w:rFonts w:ascii="Consolas" w:hAnsi="Consolas"/>
          <w:sz w:val="14"/>
        </w:rPr>
        <w:t>| Documento | Rol | Bytes | SHA-256 |</w:t>
      </w:r>
    </w:p>
    <w:p>
      <w:pPr>
        <w:spacing w:after="20" w:line="240" w:lineRule="auto"/>
      </w:pPr>
      <w:r>
        <w:rPr>
          <w:rFonts w:ascii="Consolas" w:hAnsi="Consolas"/>
          <w:sz w:val="14"/>
        </w:rPr>
        <w:t>|---|---|---:|---|</w:t>
      </w:r>
    </w:p>
    <w:p>
      <w:pPr>
        <w:spacing w:after="20" w:line="240" w:lineRule="auto"/>
      </w:pPr>
      <w:r>
        <w:rPr>
          <w:rFonts w:ascii="Consolas" w:hAnsi="Consolas"/>
          <w:sz w:val="14"/>
        </w:rPr>
        <w:t>| `00_Gobernanza/coordinacion/entradas_comite/GOEI_SCI_HANDOFF_D008_Cierre_B1.md` | Especificación científica D-008 | 12230 | `0a607c61dab8e07b001fe15a023f1787262ce700093e1b9ceb6fa51b39daccc6` |</w:t>
      </w:r>
    </w:p>
    <w:p>
      <w:pPr>
        <w:spacing w:after="20" w:line="240" w:lineRule="auto"/>
      </w:pPr>
      <w:r>
        <w:rPr>
          <w:rFonts w:ascii="Consolas" w:hAnsi="Consolas"/>
          <w:sz w:val="14"/>
        </w:rPr>
        <w:t>| `00_Gobernanza/coordinacion/resoluciones/GOEI_DIR_RES_0001_D008_B1.md` | Acto de ratificación y alcance | 3430 | `00bbb2ce79e5a48a31cac80136335039f3827c5e3d858cadc2b3bc6db80a45b8` |</w:t>
      </w:r>
    </w:p>
    <w:p>
      <w:pPr>
        <w:spacing w:after="40"/>
      </w:pPr>
    </w:p>
    <w:p>
      <w:r>
        <w:t>Cualquier divergencia de tamaño o huella abre un incidente de integridad y bloquea el uso de la baseline hasta su resolución.</w:t>
      </w:r>
    </w:p>
    <w:p>
      <w:pPr>
        <w:spacing w:after="40"/>
      </w:pPr>
    </w:p>
    <w:p>
      <w:pPr>
        <w:pStyle w:val="Heading3"/>
      </w:pPr>
      <w:r>
        <w:t>Reservas y dependencias</w:t>
      </w:r>
    </w:p>
    <w:p>
      <w:pPr>
        <w:spacing w:after="40"/>
      </w:pPr>
    </w:p>
    <w:p>
      <w:pPr>
        <w:pStyle w:val="ListBullet"/>
      </w:pPr>
      <w:r>
        <w:t>PRISMA completa y Delphi son validaciones posteriores.</w:t>
      </w:r>
    </w:p>
    <w:p>
      <w:pPr>
        <w:pStyle w:val="ListBullet"/>
      </w:pPr>
      <w:r>
        <w:t>GOEI-ISS-014, GOEI-ISS-015 y GOEI-ISS-043 permanecen abiertos.</w:t>
      </w:r>
    </w:p>
    <w:p>
      <w:pPr>
        <w:pStyle w:val="ListBullet"/>
      </w:pPr>
      <w:r>
        <w:t>Las realizaciones específicas dependen de B2 y decisiones posteriores.</w:t>
      </w:r>
    </w:p>
    <w:p>
      <w:pPr>
        <w:pStyle w:val="ListBullet"/>
      </w:pPr>
      <w:r>
        <w:t>D-006 Ontology Baseline v0.1 permanece intacta.</w:t>
      </w:r>
    </w:p>
    <w:p>
      <w:pPr>
        <w:spacing w:after="40"/>
      </w:pPr>
    </w:p>
    <w:p>
      <w:pPr>
        <w:pStyle w:val="Heading3"/>
      </w:pPr>
      <w:r>
        <w:t>Política de cambio</w:t>
      </w:r>
    </w:p>
    <w:p>
      <w:pPr>
        <w:spacing w:after="40"/>
      </w:pPr>
    </w:p>
    <w:p>
      <w:r>
        <w:t>Esta configuración no se sobrescribe. Toda modificación exige Issue formal, análisis de impacto, decisión competente, nueva versión y conservación reproducible de v0.1.0.</w:t>
      </w:r>
    </w:p>
    <w:p>
      <w:r>
        <w:br w:type="page"/>
      </w:r>
    </w:p>
    <w:p>
      <w:pPr>
        <w:pStyle w:val="Heading1"/>
        <w:keepNext/>
      </w:pPr>
      <w:r>
        <w:t>Fuente 146: 15_Mantenimiento/lineas_base/GOEI_PROC_v0.1.0/POLITICA_ISSUE_ONLY.md</w:t>
      </w:r>
    </w:p>
    <w:p>
      <w:pPr>
        <w:spacing w:after="200"/>
      </w:pPr>
      <w:r>
        <w:rPr>
          <w:rFonts w:ascii="Consolas" w:hAnsi="Consolas"/>
          <w:color w:val="595959"/>
          <w:sz w:val="16"/>
        </w:rPr>
        <w:t>Ruta: 15_Mantenimiento/lineas_base/GOEI_PROC_v0.1.0/POLITICA_ISSUE_ONLY.md</w:t>
        <w:br/>
        <w:t>Tamaño: 776 bytes</w:t>
        <w:br/>
        <w:t>SHA-256: 9e5c1a5a3a28bd8ad4d5794205f6c1a984be36ab22ef6439929f23d0cfbdfe9c</w:t>
      </w:r>
    </w:p>
    <w:p>
      <w:pPr>
        <w:pStyle w:val="Heading2"/>
      </w:pPr>
      <w:r>
        <w:t>Política Issue-only — GOEI Process Baseline v0.1.0</w:t>
      </w:r>
    </w:p>
    <w:p>
      <w:pPr>
        <w:spacing w:after="40"/>
      </w:pPr>
    </w:p>
    <w:p>
      <w:r>
        <w:t>GOEI-BSL-PROC-0001 v0.1.0 es inmutable. No se edita ni sustituye silenciosamente.</w:t>
      </w:r>
    </w:p>
    <w:p>
      <w:pPr>
        <w:spacing w:after="40"/>
      </w:pPr>
    </w:p>
    <w:p>
      <w:r>
        <w:t>Toda modificación futura requiere, en este orden:</w:t>
      </w:r>
    </w:p>
    <w:p>
      <w:pPr>
        <w:spacing w:after="40"/>
      </w:pPr>
    </w:p>
    <w:p>
      <w:pPr>
        <w:pStyle w:val="ListNumber"/>
      </w:pPr>
      <w:r>
        <w:t>Issue formal con motivo, alcance y componentes afectados;</w:t>
      </w:r>
    </w:p>
    <w:p>
      <w:pPr>
        <w:pStyle w:val="ListNumber"/>
      </w:pPr>
      <w:r>
        <w:t>análisis de impacto sobre B2, Knowledge Graph, BOK, manuales, tesis, publicaciones y software;</w:t>
      </w:r>
    </w:p>
    <w:p>
      <w:pPr>
        <w:pStyle w:val="ListNumber"/>
      </w:pPr>
      <w:r>
        <w:t>decisión científica aprobada cuando cambie contenido metodológico;</w:t>
      </w:r>
    </w:p>
    <w:p>
      <w:pPr>
        <w:pStyle w:val="ListNumber"/>
      </w:pPr>
      <w:r>
        <w:t>resolución de promoción de la autoridad competente;</w:t>
      </w:r>
    </w:p>
    <w:p>
      <w:pPr>
        <w:pStyle w:val="ListNumber"/>
      </w:pPr>
      <w:r>
        <w:t>nueva versión de baseline, manifiesto e historial de cambios;</w:t>
      </w:r>
    </w:p>
    <w:p>
      <w:pPr>
        <w:pStyle w:val="ListNumber"/>
      </w:pPr>
      <w:r>
        <w:t>preservación íntegra y recalculable de v0.1.0.</w:t>
      </w:r>
    </w:p>
    <w:p>
      <w:pPr>
        <w:spacing w:after="40"/>
      </w:pPr>
    </w:p>
    <w:p>
      <w:r>
        <w:t>GOEI-ISS-043 no autoriza por sí mismo incorporar residuos/merma. Solo registra la rama pendiente; su incorporación exige resolución científica y una nueva baseline.</w:t>
      </w:r>
    </w:p>
    <w:p>
      <w:r>
        <w:br w:type="page"/>
      </w:r>
    </w:p>
    <w:p>
      <w:pPr>
        <w:pStyle w:val="Heading1"/>
        <w:keepNext/>
      </w:pPr>
      <w:r>
        <w:t>Fuente 147: 15_Mantenimiento/lineas_base/GOEI_TAX_v0.1.0/MANIFEST.md</w:t>
      </w:r>
    </w:p>
    <w:p>
      <w:pPr>
        <w:spacing w:after="200"/>
      </w:pPr>
      <w:r>
        <w:rPr>
          <w:rFonts w:ascii="Consolas" w:hAnsi="Consolas"/>
          <w:color w:val="595959"/>
          <w:sz w:val="16"/>
        </w:rPr>
        <w:t>Ruta: 15_Mantenimiento/lineas_base/GOEI_TAX_v0.1.0/MANIFEST.md</w:t>
        <w:br/>
        <w:t>Tamaño: 2575 bytes</w:t>
        <w:br/>
        <w:t>SHA-256: 2a74f6f8ae6b21c9ec65915224153fe34a684b8470174671b461cd782c27f816</w:t>
      </w:r>
    </w:p>
    <w:p>
      <w:pPr>
        <w:pStyle w:val="Heading2"/>
      </w:pPr>
      <w:r>
        <w:t>GOEI Taxonomy Baseline v0.1.0</w:t>
      </w:r>
    </w:p>
    <w:p>
      <w:pPr>
        <w:spacing w:after="40"/>
      </w:pPr>
    </w:p>
    <w:p>
      <w:pPr>
        <w:spacing w:after="20" w:line="240" w:lineRule="auto"/>
      </w:pPr>
      <w:r>
        <w:rPr>
          <w:rFonts w:ascii="Consolas" w:hAnsi="Consolas"/>
          <w:sz w:val="14"/>
        </w:rPr>
        <w:t>| Campo | Valor |</w:t>
      </w:r>
    </w:p>
    <w:p>
      <w:pPr>
        <w:spacing w:after="20" w:line="240" w:lineRule="auto"/>
      </w:pPr>
      <w:r>
        <w:rPr>
          <w:rFonts w:ascii="Consolas" w:hAnsi="Consolas"/>
          <w:sz w:val="14"/>
        </w:rPr>
        <w:t>|---|---|</w:t>
      </w:r>
    </w:p>
    <w:p>
      <w:pPr>
        <w:spacing w:after="20" w:line="240" w:lineRule="auto"/>
      </w:pPr>
      <w:r>
        <w:rPr>
          <w:rFonts w:ascii="Consolas" w:hAnsi="Consolas"/>
          <w:sz w:val="14"/>
        </w:rPr>
        <w:t>| Identificador | `GOEI-BSL-TAX-0001` |</w:t>
      </w:r>
    </w:p>
    <w:p>
      <w:pPr>
        <w:spacing w:after="20" w:line="240" w:lineRule="auto"/>
      </w:pPr>
      <w:r>
        <w:rPr>
          <w:rFonts w:ascii="Consolas" w:hAnsi="Consolas"/>
          <w:sz w:val="14"/>
        </w:rPr>
        <w:t>| Versión | `0.1.0` |</w:t>
      </w:r>
    </w:p>
    <w:p>
      <w:pPr>
        <w:spacing w:after="20" w:line="240" w:lineRule="auto"/>
      </w:pPr>
      <w:r>
        <w:rPr>
          <w:rFonts w:ascii="Consolas" w:hAnsi="Consolas"/>
          <w:sz w:val="14"/>
        </w:rPr>
        <w:t>| Fecha efectiva | 2026-08-04 |</w:t>
      </w:r>
    </w:p>
    <w:p>
      <w:pPr>
        <w:spacing w:after="20" w:line="240" w:lineRule="auto"/>
      </w:pPr>
      <w:r>
        <w:rPr>
          <w:rFonts w:ascii="Consolas" w:hAnsi="Consolas"/>
          <w:sz w:val="14"/>
        </w:rPr>
        <w:t>| Estado | Congelada; baseline estructural con reservas |</w:t>
      </w:r>
    </w:p>
    <w:p>
      <w:pPr>
        <w:spacing w:after="20" w:line="240" w:lineRule="auto"/>
      </w:pPr>
      <w:r>
        <w:rPr>
          <w:rFonts w:ascii="Consolas" w:hAnsi="Consolas"/>
          <w:sz w:val="14"/>
        </w:rPr>
        <w:t>| Decisión científica | D-017 |</w:t>
      </w:r>
    </w:p>
    <w:p>
      <w:pPr>
        <w:spacing w:after="20" w:line="240" w:lineRule="auto"/>
      </w:pPr>
      <w:r>
        <w:rPr>
          <w:rFonts w:ascii="Consolas" w:hAnsi="Consolas"/>
          <w:sz w:val="14"/>
        </w:rPr>
        <w:t>| Aprobación | `GOEI-DIR-RES-0002` |</w:t>
      </w:r>
    </w:p>
    <w:p>
      <w:pPr>
        <w:spacing w:after="20" w:line="240" w:lineRule="auto"/>
      </w:pPr>
      <w:r>
        <w:rPr>
          <w:rFonts w:ascii="Consolas" w:hAnsi="Consolas"/>
          <w:sz w:val="14"/>
        </w:rPr>
        <w:t>| Unidad ordinaria | Establecimiento (token) |</w:t>
      </w:r>
    </w:p>
    <w:p>
      <w:pPr>
        <w:spacing w:after="20" w:line="240" w:lineRule="auto"/>
      </w:pPr>
      <w:r>
        <w:rPr>
          <w:rFonts w:ascii="Consolas" w:hAnsi="Consolas"/>
          <w:sz w:val="14"/>
        </w:rPr>
        <w:t>| Modelo | Taxonomía operacional-analítica multieje/facetada |</w:t>
      </w:r>
    </w:p>
    <w:p>
      <w:pPr>
        <w:spacing w:after="40"/>
      </w:pPr>
    </w:p>
    <w:p>
      <w:pPr>
        <w:pStyle w:val="Heading3"/>
      </w:pPr>
      <w:r>
        <w:t>Configuración normativa</w:t>
      </w:r>
    </w:p>
    <w:p>
      <w:pPr>
        <w:spacing w:after="40"/>
      </w:pPr>
    </w:p>
    <w:p>
      <w:pPr>
        <w:spacing w:after="20" w:line="240" w:lineRule="auto"/>
      </w:pPr>
      <w:r>
        <w:rPr>
          <w:rFonts w:ascii="Consolas" w:hAnsi="Consolas"/>
          <w:sz w:val="14"/>
        </w:rPr>
        <w:t>| ID | Faceta indispensable | Relación aprobada con procesos |</w:t>
      </w:r>
    </w:p>
    <w:p>
      <w:pPr>
        <w:spacing w:after="20" w:line="240" w:lineRule="auto"/>
      </w:pPr>
      <w:r>
        <w:rPr>
          <w:rFonts w:ascii="Consolas" w:hAnsi="Consolas"/>
          <w:sz w:val="14"/>
        </w:rPr>
        <w:t>|---|---|---|</w:t>
      </w:r>
    </w:p>
    <w:p>
      <w:pPr>
        <w:spacing w:after="20" w:line="240" w:lineRule="auto"/>
      </w:pPr>
      <w:r>
        <w:rPr>
          <w:rFonts w:ascii="Consolas" w:hAnsi="Consolas"/>
          <w:sz w:val="14"/>
        </w:rPr>
        <w:t>| FX-1 | Modalidad de servicio/entrega | condiciona la realización de P5 |</w:t>
      </w:r>
    </w:p>
    <w:p>
      <w:pPr>
        <w:spacing w:after="20" w:line="240" w:lineRule="auto"/>
      </w:pPr>
      <w:r>
        <w:rPr>
          <w:rFonts w:ascii="Consolas" w:hAnsi="Consolas"/>
          <w:sz w:val="14"/>
        </w:rPr>
        <w:t>| FX-2 | Sistema de producción | condiciona la realización de P4–P5 |</w:t>
      </w:r>
    </w:p>
    <w:p>
      <w:pPr>
        <w:spacing w:after="20" w:line="240" w:lineRule="auto"/>
      </w:pPr>
      <w:r>
        <w:rPr>
          <w:rFonts w:ascii="Consolas" w:hAnsi="Consolas"/>
          <w:sz w:val="14"/>
        </w:rPr>
        <w:t>| FX-3 | Naturaleza económica | condiciona la realización de P6 |</w:t>
      </w:r>
    </w:p>
    <w:p>
      <w:pPr>
        <w:spacing w:after="40"/>
      </w:pPr>
    </w:p>
    <w:p>
      <w:r>
        <w:t>Una Categoría es un tipo compuesto por valores de facetas. Esta baseline aprueba la estructura y la identidad de las facetas indispensables, pero no aprueba sus valores concretos.</w:t>
      </w:r>
    </w:p>
    <w:p>
      <w:pPr>
        <w:spacing w:after="40"/>
      </w:pPr>
    </w:p>
    <w:p>
      <w:pPr>
        <w:pStyle w:val="Heading3"/>
      </w:pPr>
      <w:r>
        <w:t>Exclusiones controladas</w:t>
      </w:r>
    </w:p>
    <w:p>
      <w:pPr>
        <w:spacing w:after="40"/>
      </w:pPr>
    </w:p>
    <w:p>
      <w:pPr>
        <w:pStyle w:val="ListBullet"/>
      </w:pPr>
      <w:r>
        <w:t>catálogo y definiciones de valores;</w:t>
      </w:r>
    </w:p>
    <w:p>
      <w:pPr>
        <w:pStyle w:val="ListBullet"/>
      </w:pPr>
      <w:r>
        <w:t>cardinalidades excepcionales, modalidad primaria/secundaria y evaluación por flujo;</w:t>
      </w:r>
    </w:p>
    <w:p>
      <w:pPr>
        <w:pStyle w:val="ListBullet"/>
      </w:pPr>
      <w:r>
        <w:t>configuraciones multiunidad, multi-marca y franquicia;</w:t>
      </w:r>
    </w:p>
    <w:p>
      <w:pPr>
        <w:pStyle w:val="ListBullet"/>
      </w:pPr>
      <w:r>
        <w:t>facetas opcionales FO-1…FO-4;</w:t>
      </w:r>
    </w:p>
    <w:p>
      <w:pPr>
        <w:pStyle w:val="ListBullet"/>
      </w:pPr>
      <w:r>
        <w:t>ejemplos de categorías y crosswalks estadísticos;</w:t>
      </w:r>
    </w:p>
    <w:p>
      <w:pPr>
        <w:pStyle w:val="ListBullet"/>
      </w:pPr>
      <w:r>
        <w:t>instancias, KPI, GTRM, fórmulas o reglas de puntuación.</w:t>
      </w:r>
    </w:p>
    <w:p>
      <w:pPr>
        <w:spacing w:after="40"/>
      </w:pPr>
    </w:p>
    <w:p>
      <w:pPr>
        <w:pStyle w:val="Heading3"/>
      </w:pPr>
      <w:r>
        <w:t>Artefactos congelados</w:t>
      </w:r>
    </w:p>
    <w:p>
      <w:pPr>
        <w:spacing w:after="40"/>
      </w:pPr>
    </w:p>
    <w:p>
      <w:pPr>
        <w:spacing w:after="20" w:line="240" w:lineRule="auto"/>
      </w:pPr>
      <w:r>
        <w:rPr>
          <w:rFonts w:ascii="Consolas" w:hAnsi="Consolas"/>
          <w:sz w:val="14"/>
        </w:rPr>
        <w:t>| Documento | Rol | Bytes | SHA-256 |</w:t>
      </w:r>
    </w:p>
    <w:p>
      <w:pPr>
        <w:spacing w:after="20" w:line="240" w:lineRule="auto"/>
      </w:pPr>
      <w:r>
        <w:rPr>
          <w:rFonts w:ascii="Consolas" w:hAnsi="Consolas"/>
          <w:sz w:val="14"/>
        </w:rPr>
        <w:t>|---|---|---:|---|</w:t>
      </w:r>
    </w:p>
    <w:p>
      <w:pPr>
        <w:spacing w:after="20" w:line="240" w:lineRule="auto"/>
      </w:pPr>
      <w:r>
        <w:rPr>
          <w:rFonts w:ascii="Consolas" w:hAnsi="Consolas"/>
          <w:sz w:val="14"/>
        </w:rPr>
        <w:t>| `01_Estado_del_arte/FaseB_B2_Revision_taxonomia_universal.md` | Revisión científica B2 | 10742 | `af479a9da08d9667a880bcb00cdf17bc6df8cfbb402395586d22a7d9b64dcbe2` |</w:t>
      </w:r>
    </w:p>
    <w:p>
      <w:pPr>
        <w:spacing w:after="20" w:line="240" w:lineRule="auto"/>
      </w:pPr>
      <w:r>
        <w:rPr>
          <w:rFonts w:ascii="Consolas" w:hAnsi="Consolas"/>
          <w:sz w:val="14"/>
        </w:rPr>
        <w:t>| `03_Taxonomia_negocios/FaseB_B2_Taxonomia_universal_candidata.md` | Propuesta científica (incluye material no promovido) | 6117 | `4e11b8e7f4a630184ed6d1becdfef678cf30d2ea0875dd7cacf910ae33ec369f` |</w:t>
      </w:r>
    </w:p>
    <w:p>
      <w:pPr>
        <w:spacing w:after="20" w:line="240" w:lineRule="auto"/>
      </w:pPr>
      <w:r>
        <w:rPr>
          <w:rFonts w:ascii="Consolas" w:hAnsi="Consolas"/>
          <w:sz w:val="14"/>
        </w:rPr>
        <w:t>| `00_Gobernanza/coordinacion/entradas_comite/GOEI_SCI_HANDOFF_D017_Cierre_B2.md` | Decisión científica D-017 | 8788 | `78297ec16d620fe03c090033f5747d62168691fd6f4ca77f1ae8ec537c7a9e20` |</w:t>
      </w:r>
    </w:p>
    <w:p>
      <w:pPr>
        <w:spacing w:after="40"/>
      </w:pPr>
    </w:p>
    <w:p>
      <w:r>
        <w:t>La resolución GOEI-DIR-RES-0002 y este manifiesto determinan qué subconjunto de los artefactos científicos fue promovido. El material excluido conserva carácter candidato.</w:t>
      </w:r>
    </w:p>
    <w:p>
      <w:pPr>
        <w:spacing w:after="40"/>
      </w:pPr>
    </w:p>
    <w:p>
      <w:pPr>
        <w:pStyle w:val="Heading3"/>
      </w:pPr>
      <w:r>
        <w:t>Dependencias y reservas</w:t>
      </w:r>
    </w:p>
    <w:p>
      <w:pPr>
        <w:spacing w:after="40"/>
      </w:pPr>
    </w:p>
    <w:p>
      <w:pPr>
        <w:pStyle w:val="ListBullet"/>
      </w:pPr>
      <w:r>
        <w:t>GOEI-ISS-008 bloquea la rama multiunidad/multi-marca.</w:t>
      </w:r>
    </w:p>
    <w:p>
      <w:pPr>
        <w:pStyle w:val="ListBullet"/>
      </w:pPr>
      <w:r>
        <w:t>GOEI-ISS-054 bloquea valores concretos y reglas de clasificación operacional.</w:t>
      </w:r>
    </w:p>
    <w:p>
      <w:pPr>
        <w:pStyle w:val="ListBullet"/>
      </w:pPr>
      <w:r>
        <w:t>PRISMA completa, Delphi y prueba empírica quedan pendientes.</w:t>
      </w:r>
    </w:p>
    <w:p>
      <w:pPr>
        <w:pStyle w:val="ListBullet"/>
      </w:pPr>
      <w:r>
        <w:t>D-006 Ontology Baseline v0.1 y Process Baseline v0.1.0 permanecen intactas.</w:t>
      </w:r>
    </w:p>
    <w:p>
      <w:pPr>
        <w:spacing w:after="40"/>
      </w:pPr>
    </w:p>
    <w:p>
      <w:pPr>
        <w:pStyle w:val="Heading3"/>
      </w:pPr>
      <w:r>
        <w:t>Política de cambio</w:t>
      </w:r>
    </w:p>
    <w:p>
      <w:pPr>
        <w:spacing w:after="40"/>
      </w:pPr>
    </w:p>
    <w:p>
      <w:r>
        <w:t>Rige POLITICA_ISSUE_ONLY.md. Cualquier divergencia de tamaño o huella en los tres artefactos congelados abre un incidente de integridad.</w:t>
      </w:r>
    </w:p>
    <w:p>
      <w:pPr>
        <w:spacing w:after="40"/>
      </w:pPr>
    </w:p>
    <w:p>
      <w:r>
        <w:br w:type="page"/>
      </w:r>
    </w:p>
    <w:p>
      <w:pPr>
        <w:pStyle w:val="Heading1"/>
        <w:keepNext/>
      </w:pPr>
      <w:r>
        <w:t>Fuente 148: 15_Mantenimiento/lineas_base/GOEI_TAX_v0.1.0/POLITICA_ISSUE_ONLY.md</w:t>
      </w:r>
    </w:p>
    <w:p>
      <w:pPr>
        <w:spacing w:after="200"/>
      </w:pPr>
      <w:r>
        <w:rPr>
          <w:rFonts w:ascii="Consolas" w:hAnsi="Consolas"/>
          <w:color w:val="595959"/>
          <w:sz w:val="16"/>
        </w:rPr>
        <w:t>Ruta: 15_Mantenimiento/lineas_base/GOEI_TAX_v0.1.0/POLITICA_ISSUE_ONLY.md</w:t>
        <w:br/>
        <w:t>Tamaño: 438 bytes</w:t>
        <w:br/>
        <w:t>SHA-256: 64a472d1293371275a0fdc6e8edc44e00ddbb8ff6cfd8e4cb7ca420f2e25d9a2</w:t>
      </w:r>
    </w:p>
    <w:p>
      <w:pPr>
        <w:pStyle w:val="Heading2"/>
      </w:pPr>
      <w:r>
        <w:t>Política Issue-only — GOEI Taxonomy Baseline v0.1.0</w:t>
      </w:r>
    </w:p>
    <w:p>
      <w:pPr>
        <w:spacing w:after="40"/>
      </w:pPr>
    </w:p>
    <w:p>
      <w:r>
        <w:t>GOEI-BSL-TAX-0001 v0.1.0 es inmutable. Toda modificación requiere Issue formal, análisis de impacto, decisión científica competente, resolución de promoción, nueva versión y conservación íntegra de esta configuración.</w:t>
      </w:r>
    </w:p>
    <w:p>
      <w:pPr>
        <w:spacing w:after="40"/>
      </w:pPr>
    </w:p>
    <w:p>
      <w:r>
        <w:t>GOEI-ISS-008 y GOEI-ISS-054 registran ramas pendientes; no autorizan completar por inferencia la unidad multiunidad ni el catálogo de valores.</w:t>
      </w:r>
    </w:p>
    <w:p>
      <w:pPr>
        <w:spacing w:after="40"/>
      </w:pPr>
    </w:p>
    <w:p>
      <w:r>
        <w:br w:type="page"/>
      </w:r>
    </w:p>
    <w:p>
      <w:pPr>
        <w:pStyle w:val="Heading1"/>
        <w:keepNext/>
      </w:pPr>
      <w:r>
        <w:t>Fuente 149: 15_Mantenimiento/Politica_de_releases_y_lineas_base.md</w:t>
      </w:r>
    </w:p>
    <w:p>
      <w:pPr>
        <w:spacing w:after="200"/>
      </w:pPr>
      <w:r>
        <w:rPr>
          <w:rFonts w:ascii="Consolas" w:hAnsi="Consolas"/>
          <w:color w:val="595959"/>
          <w:sz w:val="16"/>
        </w:rPr>
        <w:t>Ruta: 15_Mantenimiento/Politica_de_releases_y_lineas_base.md</w:t>
        <w:br/>
        <w:t>Tamaño: 4840 bytes</w:t>
        <w:br/>
        <w:t>SHA-256: 51227f996e73860fde860d6b6eb1b46a75da4578972c5c642ccfba08760e5447</w:t>
      </w:r>
    </w:p>
    <w:p>
      <w:pPr>
        <w:pStyle w:val="Heading2"/>
      </w:pPr>
      <w:r>
        <w:t>Política de releases y líneas base GOEI</w:t>
      </w:r>
    </w:p>
    <w:p>
      <w:pPr>
        <w:spacing w:after="40"/>
      </w:pPr>
    </w:p>
    <w:p>
      <w:r>
        <w:t>ID: GOEI-REL-POL-0001</w:t>
      </w:r>
    </w:p>
    <w:p>
      <w:r>
        <w:t>Versión documental: 0.1.0</w:t>
      </w:r>
    </w:p>
    <w:p>
      <w:r>
        <w:t>Estado: control técnico activo; no constituye aprobación científica</w:t>
      </w:r>
    </w:p>
    <w:p>
      <w:r>
        <w:t>Responsable: Oficina Técnica GOEI</w:t>
      </w:r>
    </w:p>
    <w:p>
      <w:pPr>
        <w:spacing w:after="40"/>
      </w:pPr>
    </w:p>
    <w:p>
      <w:pPr>
        <w:pStyle w:val="Heading3"/>
      </w:pPr>
      <w:r>
        <w:t>1. Propósito</w:t>
      </w:r>
    </w:p>
    <w:p>
      <w:pPr>
        <w:spacing w:after="40"/>
      </w:pPr>
    </w:p>
    <w:p>
      <w:r>
        <w:t>Establecer el mecanismo reproducible para identificar, verificar, comparar y publicar configuraciones controladas del GOEI. Esta política administra estados documentales; no crea ni aprueba conocimiento científico.</w:t>
      </w:r>
    </w:p>
    <w:p>
      <w:pPr>
        <w:spacing w:after="40"/>
      </w:pPr>
    </w:p>
    <w:p>
      <w:pPr>
        <w:pStyle w:val="Heading3"/>
      </w:pPr>
      <w:r>
        <w:t>2. Objetos de configuración</w:t>
      </w:r>
    </w:p>
    <w:p>
      <w:pPr>
        <w:spacing w:after="40"/>
      </w:pPr>
    </w:p>
    <w:p>
      <w:pPr>
        <w:pStyle w:val="ListBullet"/>
      </w:pPr>
      <w:r>
        <w:t>Snapshot técnico: inventario reproducible de archivos y hashes. No expresa aprobación.</w:t>
      </w:r>
    </w:p>
    <w:p>
      <w:pPr>
        <w:pStyle w:val="ListBullet"/>
      </w:pPr>
      <w:r>
        <w:t>Release candidate (RC): configuración técnicamente cerrada, todavía sujeta a todas las aprobaciones declaradas en su expediente.</w:t>
      </w:r>
    </w:p>
    <w:p>
      <w:pPr>
        <w:pStyle w:val="ListBullet"/>
      </w:pPr>
      <w:r>
        <w:t>Línea base: conjunto identificado y congelado por autoridad competente para un alcance explícito.</w:t>
      </w:r>
    </w:p>
    <w:p>
      <w:pPr>
        <w:pStyle w:val="ListBullet"/>
      </w:pPr>
      <w:r>
        <w:t>Release GOEI: línea base publicada con versión, manifiesto, registro de cambios, trazabilidad y aprobación documentada.</w:t>
      </w:r>
    </w:p>
    <w:p>
      <w:pPr>
        <w:spacing w:after="40"/>
      </w:pPr>
    </w:p>
    <w:p>
      <w:r>
        <w:t>Los términos no son intercambiables. Un snapshot o una RC nunca se convierte automáticamente en línea base o release.</w:t>
      </w:r>
    </w:p>
    <w:p>
      <w:pPr>
        <w:spacing w:after="40"/>
      </w:pPr>
    </w:p>
    <w:p>
      <w:pPr>
        <w:pStyle w:val="Heading3"/>
      </w:pPr>
      <w:r>
        <w:t>3. Identificación</w:t>
      </w:r>
    </w:p>
    <w:p>
      <w:pPr>
        <w:spacing w:after="40"/>
      </w:pPr>
    </w:p>
    <w:p>
      <w:pPr>
        <w:spacing w:after="20" w:line="240" w:lineRule="auto"/>
      </w:pPr>
      <w:r>
        <w:rPr>
          <w:rFonts w:ascii="Consolas" w:hAnsi="Consolas"/>
          <w:sz w:val="14"/>
        </w:rPr>
        <w:t>| Objeto | Patrón | Ejemplo |</w:t>
      </w:r>
    </w:p>
    <w:p>
      <w:pPr>
        <w:spacing w:after="20" w:line="240" w:lineRule="auto"/>
      </w:pPr>
      <w:r>
        <w:rPr>
          <w:rFonts w:ascii="Consolas" w:hAnsi="Consolas"/>
          <w:sz w:val="14"/>
        </w:rPr>
        <w:t>|---|---|---|</w:t>
      </w:r>
    </w:p>
    <w:p>
      <w:pPr>
        <w:spacing w:after="20" w:line="240" w:lineRule="auto"/>
      </w:pPr>
      <w:r>
        <w:rPr>
          <w:rFonts w:ascii="Consolas" w:hAnsi="Consolas"/>
          <w:sz w:val="14"/>
        </w:rPr>
        <w:t>| Snapshot | `GOEI-SNP-YYYYMMDD-NNN` | `GOEI-SNP-20260804-001` |</w:t>
      </w:r>
    </w:p>
    <w:p>
      <w:pPr>
        <w:spacing w:after="20" w:line="240" w:lineRule="auto"/>
      </w:pPr>
      <w:r>
        <w:rPr>
          <w:rFonts w:ascii="Consolas" w:hAnsi="Consolas"/>
          <w:sz w:val="14"/>
        </w:rPr>
        <w:t>| Release candidate | `GOEI-RC-vMAJOR.MINOR.PATCH-rc.N` | `GOEI-RC-v0.2.0-rc.1` |</w:t>
      </w:r>
    </w:p>
    <w:p>
      <w:pPr>
        <w:spacing w:after="20" w:line="240" w:lineRule="auto"/>
      </w:pPr>
      <w:r>
        <w:rPr>
          <w:rFonts w:ascii="Consolas" w:hAnsi="Consolas"/>
          <w:sz w:val="14"/>
        </w:rPr>
        <w:t>| Línea base temática | `GOEI-BSL-{DOMINIO}-vMAJOR.MINOR` | `GOEI-BSL-ONT-v0.1` |</w:t>
      </w:r>
    </w:p>
    <w:p>
      <w:pPr>
        <w:spacing w:after="20" w:line="240" w:lineRule="auto"/>
      </w:pPr>
      <w:r>
        <w:rPr>
          <w:rFonts w:ascii="Consolas" w:hAnsi="Consolas"/>
          <w:sz w:val="14"/>
        </w:rPr>
        <w:t>| Release | `GOEI-vMAJOR.MINOR.PATCH` | `GOEI-v1.0.0` |</w:t>
      </w:r>
    </w:p>
    <w:p>
      <w:pPr>
        <w:spacing w:after="40"/>
      </w:pPr>
    </w:p>
    <w:p>
      <w:r>
        <w:t>La asignación de una versión no resuelve pendientes ni confiere vigencia científica.</w:t>
      </w:r>
    </w:p>
    <w:p>
      <w:pPr>
        <w:spacing w:after="40"/>
      </w:pPr>
    </w:p>
    <w:p>
      <w:pPr>
        <w:pStyle w:val="Heading3"/>
      </w:pPr>
      <w:r>
        <w:t>4. Contenido obligatorio del expediente de release</w:t>
      </w:r>
    </w:p>
    <w:p>
      <w:pPr>
        <w:spacing w:after="40"/>
      </w:pPr>
    </w:p>
    <w:p>
      <w:r>
        <w:t>Toda RC y release deberá contener:</w:t>
      </w:r>
    </w:p>
    <w:p>
      <w:pPr>
        <w:spacing w:after="40"/>
      </w:pPr>
    </w:p>
    <w:p>
      <w:pPr>
        <w:pStyle w:val="ListNumber"/>
      </w:pPr>
      <w:r>
        <w:t>MANIFEST.json, generado de forma determinista;</w:t>
      </w:r>
    </w:p>
    <w:p>
      <w:pPr>
        <w:pStyle w:val="ListNumber"/>
      </w:pPr>
      <w:r>
        <w:t>RELEASE.md, con alcance, autoridad, estado y exclusiones;</w:t>
      </w:r>
    </w:p>
    <w:p>
      <w:pPr>
        <w:pStyle w:val="ListNumber"/>
      </w:pPr>
      <w:r>
        <w:t>referencia al registro de cambios;</w:t>
      </w:r>
    </w:p>
    <w:p>
      <w:pPr>
        <w:pStyle w:val="ListNumber"/>
      </w:pPr>
      <w:r>
        <w:t>decisiones incluidas y estado verificable de cada una;</w:t>
      </w:r>
    </w:p>
    <w:p>
      <w:pPr>
        <w:pStyle w:val="ListNumber"/>
      </w:pPr>
      <w:r>
        <w:t>matriz de trazabilidad aplicable;</w:t>
      </w:r>
    </w:p>
    <w:p>
      <w:pPr>
        <w:pStyle w:val="ListNumber"/>
      </w:pPr>
      <w:r>
        <w:t>resultado del validador técnico;</w:t>
      </w:r>
    </w:p>
    <w:p>
      <w:pPr>
        <w:pStyle w:val="ListNumber"/>
      </w:pPr>
      <w:r>
        <w:t>resultado de las compuertas de preparación;</w:t>
      </w:r>
    </w:p>
    <w:p>
      <w:pPr>
        <w:pStyle w:val="ListNumber"/>
      </w:pPr>
      <w:r>
        <w:t>lista explícita de Issues abiertos y bloqueos;</w:t>
      </w:r>
    </w:p>
    <w:p>
      <w:pPr>
        <w:pStyle w:val="ListNumber"/>
      </w:pPr>
      <w:r>
        <w:t>hashes criptográficos de los artefactos incluidos.</w:t>
      </w:r>
    </w:p>
    <w:p>
      <w:pPr>
        <w:spacing w:after="40"/>
      </w:pPr>
    </w:p>
    <w:p>
      <w:pPr>
        <w:pStyle w:val="Heading3"/>
      </w:pPr>
      <w:r>
        <w:t>5. Compuertas</w:t>
      </w:r>
    </w:p>
    <w:p>
      <w:pPr>
        <w:spacing w:after="40"/>
      </w:pPr>
    </w:p>
    <w:p>
      <w:pPr>
        <w:pStyle w:val="Heading4"/>
      </w:pPr>
      <w:r>
        <w:t>G0 — Identidad</w:t>
      </w:r>
    </w:p>
    <w:p>
      <w:pPr>
        <w:spacing w:after="40"/>
      </w:pPr>
    </w:p>
    <w:p>
      <w:r>
        <w:t>Todos los componentes incluidos poseen ID único, ruta canónica y versión documental.</w:t>
      </w:r>
    </w:p>
    <w:p>
      <w:pPr>
        <w:spacing w:after="40"/>
      </w:pPr>
    </w:p>
    <w:p>
      <w:pPr>
        <w:pStyle w:val="Heading4"/>
      </w:pPr>
      <w:r>
        <w:t>G1 — Autoridad científica</w:t>
      </w:r>
    </w:p>
    <w:p>
      <w:pPr>
        <w:spacing w:after="40"/>
      </w:pPr>
    </w:p>
    <w:p>
      <w:r>
        <w:t>Cada afirmación normativa o componente científico está originado en una decisión aprobada y registrada. Una propuesta, hipótesis o decisión pendiente bloquea solo el alcance que dependa de ella.</w:t>
      </w:r>
    </w:p>
    <w:p>
      <w:pPr>
        <w:spacing w:after="40"/>
      </w:pPr>
    </w:p>
    <w:p>
      <w:pPr>
        <w:pStyle w:val="Heading4"/>
      </w:pPr>
      <w:r>
        <w:t>G2 — Trazabilidad</w:t>
      </w:r>
    </w:p>
    <w:p>
      <w:pPr>
        <w:spacing w:after="40"/>
      </w:pPr>
    </w:p>
    <w:p>
      <w:r>
        <w:t>Cada componente declara origen, evidencia, versión de incorporación y dependientes conocidos.</w:t>
      </w:r>
    </w:p>
    <w:p>
      <w:pPr>
        <w:spacing w:after="40"/>
      </w:pPr>
    </w:p>
    <w:p>
      <w:pPr>
        <w:pStyle w:val="Heading4"/>
      </w:pPr>
      <w:r>
        <w:t>G3 — Integridad técnica</w:t>
      </w:r>
    </w:p>
    <w:p>
      <w:pPr>
        <w:spacing w:after="40"/>
      </w:pPr>
    </w:p>
    <w:p>
      <w:r>
        <w:t>El validador del repositorio finaliza satisfactoriamente; los artefactos congelados conservan sus hashes y no existen identificadores duplicados.</w:t>
      </w:r>
    </w:p>
    <w:p>
      <w:pPr>
        <w:spacing w:after="40"/>
      </w:pPr>
    </w:p>
    <w:p>
      <w:pPr>
        <w:pStyle w:val="Heading4"/>
      </w:pPr>
      <w:r>
        <w:t>G4 — Compatibilidad e impacto</w:t>
      </w:r>
    </w:p>
    <w:p>
      <w:pPr>
        <w:spacing w:after="40"/>
      </w:pPr>
    </w:p>
    <w:p>
      <w:r>
        <w:t>Existe análisis de diferencias respecto de la línea base anterior y se documentan migraciones, rupturas o compatibilidad preservada.</w:t>
      </w:r>
    </w:p>
    <w:p>
      <w:pPr>
        <w:spacing w:after="40"/>
      </w:pPr>
    </w:p>
    <w:p>
      <w:pPr>
        <w:pStyle w:val="Heading4"/>
      </w:pPr>
      <w:r>
        <w:t>G5 — Aprobación y publicación</w:t>
      </w:r>
    </w:p>
    <w:p>
      <w:pPr>
        <w:spacing w:after="40"/>
      </w:pPr>
    </w:p>
    <w:p>
      <w:r>
        <w:t>La autoridad correspondiente deja constancia expresa de aprobación. Solo entonces la Oficina Técnica puede etiquetar y publicar la release.</w:t>
      </w:r>
    </w:p>
    <w:p>
      <w:pPr>
        <w:spacing w:after="40"/>
      </w:pPr>
    </w:p>
    <w:p>
      <w:pPr>
        <w:pStyle w:val="Heading3"/>
      </w:pPr>
      <w:r>
        <w:t>6. Reglas de promoción</w:t>
      </w:r>
    </w:p>
    <w:p>
      <w:pPr>
        <w:spacing w:after="40"/>
      </w:pPr>
    </w:p>
    <w:p>
      <w:pPr>
        <w:pStyle w:val="ListBullet"/>
      </w:pPr>
      <w:r>
        <w:t>Snapshot a RC: requiere G0, G2 y G3; puede conservar bloqueos explícitos.</w:t>
      </w:r>
    </w:p>
    <w:p>
      <w:pPr>
        <w:pStyle w:val="ListBullet"/>
      </w:pPr>
      <w:r>
        <w:t>RC a línea base: requiere G0–G4 y aprobación correspondiente al alcance.</w:t>
      </w:r>
    </w:p>
    <w:p>
      <w:pPr>
        <w:pStyle w:val="ListBullet"/>
      </w:pPr>
      <w:r>
        <w:t>Línea base a release: requiere G0–G5 y expediente completo.</w:t>
      </w:r>
    </w:p>
    <w:p>
      <w:pPr>
        <w:pStyle w:val="ListBullet"/>
      </w:pPr>
      <w:r>
        <w:t>Ninguna promoción ocurre por antigüedad, silencio, inferencia o resultado automático.</w:t>
      </w:r>
    </w:p>
    <w:p>
      <w:pPr>
        <w:pStyle w:val="ListBullet"/>
      </w:pPr>
      <w:r>
        <w:t>Una compuerta fallida genera o referencia un Issue y detiene únicamente el alcance afectado.</w:t>
      </w:r>
    </w:p>
    <w:p>
      <w:pPr>
        <w:spacing w:after="40"/>
      </w:pPr>
    </w:p>
    <w:p>
      <w:pPr>
        <w:pStyle w:val="Heading3"/>
      </w:pPr>
      <w:r>
        <w:t>7. Versionado</w:t>
      </w:r>
    </w:p>
    <w:p>
      <w:pPr>
        <w:spacing w:after="40"/>
      </w:pPr>
    </w:p>
    <w:p>
      <w:r>
        <w:t>Se usa SemVer para releases técnicas:</w:t>
      </w:r>
    </w:p>
    <w:p>
      <w:pPr>
        <w:spacing w:after="40"/>
      </w:pPr>
    </w:p>
    <w:p>
      <w:pPr>
        <w:pStyle w:val="ListBullet"/>
      </w:pPr>
      <w:r>
        <w:t>MAJOR: incompatibilidad normativa o estructural aprobada;</w:t>
      </w:r>
    </w:p>
    <w:p>
      <w:pPr>
        <w:pStyle w:val="ListBullet"/>
      </w:pPr>
      <w:r>
        <w:t>MINOR: incorporación compatible de componentes aprobados;</w:t>
      </w:r>
    </w:p>
    <w:p>
      <w:pPr>
        <w:pStyle w:val="ListBullet"/>
      </w:pPr>
      <w:r>
        <w:t>PATCH: corrección no semántica o técnica que no altera contenido científico.</w:t>
      </w:r>
    </w:p>
    <w:p>
      <w:pPr>
        <w:spacing w:after="40"/>
      </w:pPr>
    </w:p>
    <w:p>
      <w:r>
        <w:t>La clasificación de un cambio con efecto científico debe constar en una decisión aprobada. La Oficina Técnica puede clasificar únicamente cambios documentales o de infraestructura inequívocamente no científicos.</w:t>
      </w:r>
    </w:p>
    <w:p>
      <w:pPr>
        <w:spacing w:after="40"/>
      </w:pPr>
    </w:p>
    <w:p>
      <w:pPr>
        <w:pStyle w:val="Heading3"/>
      </w:pPr>
      <w:r>
        <w:t>8. Inmutabilidad y correcciones</w:t>
      </w:r>
    </w:p>
    <w:p>
      <w:pPr>
        <w:spacing w:after="40"/>
      </w:pPr>
    </w:p>
    <w:p>
      <w:r>
        <w:t>Una línea base publicada no se reescribe. Toda corrección genera una nueva versión o, cuando proceda, un registro de errata enlazado. Los artefactos congelados solo cambian mediante el proceso formal aplicable; D-006 Baseline v0.1 conserva además su política Issue-only.</w:t>
      </w:r>
    </w:p>
    <w:p>
      <w:pPr>
        <w:spacing w:after="40"/>
      </w:pPr>
    </w:p>
    <w:p>
      <w:pPr>
        <w:pStyle w:val="Heading3"/>
      </w:pPr>
      <w:r>
        <w:t>9. Reproducibilidad</w:t>
      </w:r>
    </w:p>
    <w:p>
      <w:pPr>
        <w:spacing w:after="40"/>
      </w:pPr>
    </w:p>
    <w:p>
      <w:r>
        <w:t>El manifiesto ordena rutas lexicográficamente, registra tamaño y SHA-256, y excluye metadatos del sistema de control de versiones y artefactos transitorios. Dos ejecuciones sobre el mismo contenido deben producir el mismo inventario de archivos.</w:t>
      </w:r>
    </w:p>
    <w:p>
      <w:pPr>
        <w:spacing w:after="40"/>
      </w:pPr>
    </w:p>
    <w:p>
      <w:pPr>
        <w:pStyle w:val="Heading3"/>
      </w:pPr>
      <w:r>
        <w:t>10. Estado actual</w:t>
      </w:r>
    </w:p>
    <w:p>
      <w:pPr>
        <w:spacing w:after="40"/>
      </w:pPr>
    </w:p>
    <w:p>
      <w:r>
        <w:t>Esta política habilita la infraestructura de configuración, pero no declara una release integral del GOEI. La única línea base temática congelada registrada es la Ontology Baseline v0.1, dentro de su alcance explícito.</w:t>
      </w:r>
    </w:p>
    <w:p>
      <w:r>
        <w:br w:type="page"/>
      </w:r>
    </w:p>
    <w:p>
      <w:pPr>
        <w:pStyle w:val="Heading1"/>
        <w:keepNext/>
      </w:pPr>
      <w:r>
        <w:t>Fuente 150: 15_Mantenimiento/README.md</w:t>
      </w:r>
    </w:p>
    <w:p>
      <w:pPr>
        <w:spacing w:after="200"/>
      </w:pPr>
      <w:r>
        <w:rPr>
          <w:rFonts w:ascii="Consolas" w:hAnsi="Consolas"/>
          <w:color w:val="595959"/>
          <w:sz w:val="16"/>
        </w:rPr>
        <w:t>Ruta: 15_Mantenimiento/README.md</w:t>
        <w:br/>
        <w:t>Tamaño: 533 bytes</w:t>
        <w:br/>
        <w:t>SHA-256: 348c82b6a9d8b13940d5f414cd3ffc0a2e76e04062e9a37cfe352f50baa406b0</w:t>
      </w:r>
    </w:p>
    <w:p>
      <w:pPr>
        <w:pStyle w:val="Heading2"/>
      </w:pPr>
      <w:r>
        <w:t>Mantenimiento del estándar</w:t>
      </w:r>
    </w:p>
    <w:p>
      <w:pPr>
        <w:spacing w:after="40"/>
      </w:pPr>
    </w:p>
    <w:p>
      <w:r>
        <w:t>Contenedor del plano T4 propuesto en D-005: cambios, líneas base, compatibilidad y vigilancia. Su alcance científico permanece provisional hasta aprobar la gobernanza.</w:t>
      </w:r>
    </w:p>
    <w:p>
      <w:pPr>
        <w:spacing w:after="40"/>
      </w:pPr>
    </w:p>
    <w:p>
      <w:r>
        <w:t>La infraestructura técnica vigente comprende:</w:t>
      </w:r>
    </w:p>
    <w:p>
      <w:pPr>
        <w:spacing w:after="40"/>
      </w:pPr>
    </w:p>
    <w:p>
      <w:pPr>
        <w:pStyle w:val="ListBullet"/>
      </w:pPr>
      <w:r>
        <w:t>registro de cambios;</w:t>
      </w:r>
    </w:p>
    <w:p>
      <w:pPr>
        <w:pStyle w:val="ListBullet"/>
      </w:pPr>
      <w:r>
        <w:t>líneas base de alcance explícito;</w:t>
      </w:r>
    </w:p>
    <w:p>
      <w:pPr>
        <w:pStyle w:val="ListBullet"/>
      </w:pPr>
      <w:r>
        <w:t>política de releases y compuertas;</w:t>
      </w:r>
    </w:p>
    <w:p>
      <w:pPr>
        <w:pStyle w:val="ListBullet"/>
      </w:pPr>
      <w:r>
        <w:t>expedientes reproducibles de release;</w:t>
      </w:r>
    </w:p>
    <w:p>
      <w:pPr>
        <w:pStyle w:val="ListBullet"/>
      </w:pPr>
      <w:r>
        <w:t>herramientas de manifiesto y comparación.</w:t>
      </w:r>
    </w:p>
    <w:p>
      <w:pPr>
        <w:spacing w:after="40"/>
      </w:pPr>
    </w:p>
    <w:p>
      <w:r>
        <w:t>Esta infraestructura no promueve decisiones, componentes ni versiones científicas por sí misma.</w:t>
      </w:r>
    </w:p>
    <w:p>
      <w:r>
        <w:br w:type="page"/>
      </w:r>
    </w:p>
    <w:p>
      <w:pPr>
        <w:pStyle w:val="Heading1"/>
        <w:keepNext/>
      </w:pPr>
      <w:r>
        <w:t>Fuente 151: 15_Mantenimiento/releases/plantillas/RELEASE_DOSSIER_TEMPLATE.json</w:t>
      </w:r>
    </w:p>
    <w:p>
      <w:pPr>
        <w:spacing w:after="200"/>
      </w:pPr>
      <w:r>
        <w:rPr>
          <w:rFonts w:ascii="Consolas" w:hAnsi="Consolas"/>
          <w:color w:val="595959"/>
          <w:sz w:val="16"/>
        </w:rPr>
        <w:t>Ruta: 15_Mantenimiento/releases/plantillas/RELEASE_DOSSIER_TEMPLATE.json</w:t>
        <w:br/>
        <w:t>Tamaño: 546 bytes</w:t>
        <w:br/>
        <w:t>SHA-256: b98b0d0ee2de07150c2113d6a33d75291ac84f69e928b9b617ce240c09bb567f</w:t>
      </w:r>
    </w:p>
    <w:p>
      <w:pPr>
        <w:spacing w:after="20" w:line="240" w:lineRule="auto"/>
        <w:ind w:left="259"/>
      </w:pPr>
      <w:r>
        <w:rPr>
          <w:rFonts w:ascii="Consolas" w:hAnsi="Consolas"/>
          <w:sz w:val="15"/>
        </w:rPr>
        <w:t>{</w:t>
      </w:r>
    </w:p>
    <w:p>
      <w:pPr>
        <w:spacing w:after="20" w:line="240" w:lineRule="auto"/>
        <w:ind w:left="259"/>
      </w:pPr>
      <w:r>
        <w:rPr>
          <w:rFonts w:ascii="Consolas" w:hAnsi="Consolas"/>
          <w:sz w:val="15"/>
        </w:rPr>
        <w:t xml:space="preserve">  "approval": {</w:t>
      </w:r>
    </w:p>
    <w:p>
      <w:pPr>
        <w:spacing w:after="20" w:line="240" w:lineRule="auto"/>
        <w:ind w:left="259"/>
      </w:pPr>
      <w:r>
        <w:rPr>
          <w:rFonts w:ascii="Consolas" w:hAnsi="Consolas"/>
          <w:sz w:val="15"/>
        </w:rPr>
        <w:t xml:space="preserve">    "approved": false,</w:t>
      </w:r>
    </w:p>
    <w:p>
      <w:pPr>
        <w:spacing w:after="20" w:line="240" w:lineRule="auto"/>
        <w:ind w:left="259"/>
      </w:pPr>
      <w:r>
        <w:rPr>
          <w:rFonts w:ascii="Consolas" w:hAnsi="Consolas"/>
          <w:sz w:val="15"/>
        </w:rPr>
        <w:t xml:space="preserve">    "authority": "PENDIENTE",</w:t>
      </w:r>
    </w:p>
    <w:p>
      <w:pPr>
        <w:spacing w:after="20" w:line="240" w:lineRule="auto"/>
        <w:ind w:left="259"/>
      </w:pPr>
      <w:r>
        <w:rPr>
          <w:rFonts w:ascii="Consolas" w:hAnsi="Consolas"/>
          <w:sz w:val="15"/>
        </w:rPr>
        <w:t xml:space="preserve">    "date": null,</w:t>
      </w:r>
    </w:p>
    <w:p>
      <w:pPr>
        <w:spacing w:after="20" w:line="240" w:lineRule="auto"/>
        <w:ind w:left="259"/>
      </w:pPr>
      <w:r>
        <w:rPr>
          <w:rFonts w:ascii="Consolas" w:hAnsi="Consolas"/>
          <w:sz w:val="15"/>
        </w:rPr>
        <w:t xml:space="preserve">    "recordPath": null</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"baselineComparison": {</w:t>
      </w:r>
    </w:p>
    <w:p>
      <w:pPr>
        <w:spacing w:after="20" w:line="240" w:lineRule="auto"/>
        <w:ind w:left="259"/>
      </w:pPr>
      <w:r>
        <w:rPr>
          <w:rFonts w:ascii="Consolas" w:hAnsi="Consolas"/>
          <w:sz w:val="15"/>
        </w:rPr>
        <w:t xml:space="preserve">    "impactAnalysisPath": null,</w:t>
      </w:r>
    </w:p>
    <w:p>
      <w:pPr>
        <w:spacing w:after="20" w:line="240" w:lineRule="auto"/>
        <w:ind w:left="259"/>
      </w:pPr>
      <w:r>
        <w:rPr>
          <w:rFonts w:ascii="Consolas" w:hAnsi="Consolas"/>
          <w:sz w:val="15"/>
        </w:rPr>
        <w:t xml:space="preserve">    "recordPath": null</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"components": [],</w:t>
      </w:r>
    </w:p>
    <w:p>
      <w:pPr>
        <w:spacing w:after="20" w:line="240" w:lineRule="auto"/>
        <w:ind w:left="259"/>
      </w:pPr>
      <w:r>
        <w:rPr>
          <w:rFonts w:ascii="Consolas" w:hAnsi="Consolas"/>
          <w:sz w:val="15"/>
        </w:rPr>
        <w:t xml:space="preserve">  "decisions": [],</w:t>
      </w:r>
    </w:p>
    <w:p>
      <w:pPr>
        <w:spacing w:after="20" w:line="240" w:lineRule="auto"/>
        <w:ind w:left="259"/>
      </w:pPr>
      <w:r>
        <w:rPr>
          <w:rFonts w:ascii="Consolas" w:hAnsi="Consolas"/>
          <w:sz w:val="15"/>
        </w:rPr>
        <w:t xml:space="preserve">  "manifestPath": null,</w:t>
      </w:r>
    </w:p>
    <w:p>
      <w:pPr>
        <w:spacing w:after="20" w:line="240" w:lineRule="auto"/>
        <w:ind w:left="259"/>
      </w:pPr>
      <w:r>
        <w:rPr>
          <w:rFonts w:ascii="Consolas" w:hAnsi="Consolas"/>
          <w:sz w:val="15"/>
        </w:rPr>
        <w:t xml:space="preserve">  "openIssues": [],</w:t>
      </w:r>
    </w:p>
    <w:p>
      <w:pPr>
        <w:spacing w:after="20" w:line="240" w:lineRule="auto"/>
        <w:ind w:left="259"/>
      </w:pPr>
      <w:r>
        <w:rPr>
          <w:rFonts w:ascii="Consolas" w:hAnsi="Consolas"/>
          <w:sz w:val="15"/>
        </w:rPr>
        <w:t xml:space="preserve">  "releaseId": "GOEI-RC-v0.0.0-rc.1",</w:t>
      </w:r>
    </w:p>
    <w:p>
      <w:pPr>
        <w:spacing w:after="20" w:line="240" w:lineRule="auto"/>
        <w:ind w:left="259"/>
      </w:pPr>
      <w:r>
        <w:rPr>
          <w:rFonts w:ascii="Consolas" w:hAnsi="Consolas"/>
          <w:sz w:val="15"/>
        </w:rPr>
        <w:t xml:space="preserve">  "schemaVersion": "1.0",</w:t>
      </w:r>
    </w:p>
    <w:p>
      <w:pPr>
        <w:spacing w:after="20" w:line="240" w:lineRule="auto"/>
        <w:ind w:left="259"/>
      </w:pPr>
      <w:r>
        <w:rPr>
          <w:rFonts w:ascii="Consolas" w:hAnsi="Consolas"/>
          <w:sz w:val="15"/>
        </w:rPr>
        <w:t xml:space="preserve">  "scope": "PENDIENTE",</w:t>
      </w:r>
    </w:p>
    <w:p>
      <w:pPr>
        <w:spacing w:after="20" w:line="240" w:lineRule="auto"/>
        <w:ind w:left="259"/>
      </w:pPr>
      <w:r>
        <w:rPr>
          <w:rFonts w:ascii="Consolas" w:hAnsi="Consolas"/>
          <w:sz w:val="15"/>
        </w:rPr>
        <w:t xml:space="preserve">  "status": "draft",</w:t>
      </w:r>
    </w:p>
    <w:p>
      <w:pPr>
        <w:spacing w:after="20" w:line="240" w:lineRule="auto"/>
        <w:ind w:left="259"/>
      </w:pPr>
      <w:r>
        <w:rPr>
          <w:rFonts w:ascii="Consolas" w:hAnsi="Consolas"/>
          <w:sz w:val="15"/>
        </w:rPr>
        <w:t xml:space="preserve">  "technicalValidation": {</w:t>
      </w:r>
    </w:p>
    <w:p>
      <w:pPr>
        <w:spacing w:after="20" w:line="240" w:lineRule="auto"/>
        <w:ind w:left="259"/>
      </w:pPr>
      <w:r>
        <w:rPr>
          <w:rFonts w:ascii="Consolas" w:hAnsi="Consolas"/>
          <w:sz w:val="15"/>
        </w:rPr>
        <w:t xml:space="preserve">    "command": null,</w:t>
      </w:r>
    </w:p>
    <w:p>
      <w:pPr>
        <w:spacing w:after="20" w:line="240" w:lineRule="auto"/>
        <w:ind w:left="259"/>
      </w:pPr>
      <w:r>
        <w:rPr>
          <w:rFonts w:ascii="Consolas" w:hAnsi="Consolas"/>
          <w:sz w:val="15"/>
        </w:rPr>
        <w:t xml:space="preserve">    "passed": false,</w:t>
      </w:r>
    </w:p>
    <w:p>
      <w:pPr>
        <w:spacing w:after="20" w:line="240" w:lineRule="auto"/>
        <w:ind w:left="259"/>
      </w:pPr>
      <w:r>
        <w:rPr>
          <w:rFonts w:ascii="Consolas" w:hAnsi="Consolas"/>
          <w:sz w:val="15"/>
        </w:rPr>
        <w:t xml:space="preserve">    "recordPath": null</w:t>
      </w:r>
    </w:p>
    <w:p>
      <w:pPr>
        <w:spacing w:after="20" w:line="240" w:lineRule="auto"/>
        <w:ind w:left="259"/>
      </w:pPr>
      <w:r>
        <w:rPr>
          <w:rFonts w:ascii="Consolas" w:hAnsi="Consolas"/>
          <w:sz w:val="15"/>
        </w:rPr>
        <w:t xml:space="preserve">  },</w:t>
      </w:r>
    </w:p>
    <w:p>
      <w:pPr>
        <w:spacing w:after="20" w:line="240" w:lineRule="auto"/>
        <w:ind w:left="259"/>
      </w:pPr>
      <w:r>
        <w:rPr>
          <w:rFonts w:ascii="Consolas" w:hAnsi="Consolas"/>
          <w:sz w:val="15"/>
        </w:rPr>
        <w:t xml:space="preserve">  "traceabilityArtifacts": [],</w:t>
      </w:r>
    </w:p>
    <w:p>
      <w:pPr>
        <w:spacing w:after="20" w:line="240" w:lineRule="auto"/>
        <w:ind w:left="259"/>
      </w:pPr>
      <w:r>
        <w:rPr>
          <w:rFonts w:ascii="Consolas" w:hAnsi="Consolas"/>
          <w:sz w:val="15"/>
        </w:rPr>
        <w:t xml:space="preserve">  "version": "0.0.0"</w:t>
      </w:r>
    </w:p>
    <w:p>
      <w:pPr>
        <w:spacing w:after="20" w:line="240" w:lineRule="auto"/>
        <w:ind w:left="259"/>
      </w:pPr>
      <w:r>
        <w:rPr>
          <w:rFonts w:ascii="Consolas" w:hAnsi="Consolas"/>
          <w:sz w:val="15"/>
        </w:rPr>
        <w:t>}</w:t>
      </w:r>
    </w:p>
    <w:p>
      <w:r>
        <w:br w:type="page"/>
      </w:r>
    </w:p>
    <w:p>
      <w:pPr>
        <w:pStyle w:val="Heading1"/>
        <w:keepNext/>
      </w:pPr>
      <w:r>
        <w:t>Fuente 152: 15_Mantenimiento/releases/plantillas/RELEASE_TEMPLATE.md</w:t>
      </w:r>
    </w:p>
    <w:p>
      <w:pPr>
        <w:spacing w:after="200"/>
      </w:pPr>
      <w:r>
        <w:rPr>
          <w:rFonts w:ascii="Consolas" w:hAnsi="Consolas"/>
          <w:color w:val="595959"/>
          <w:sz w:val="16"/>
        </w:rPr>
        <w:t>Ruta: 15_Mantenimiento/releases/plantillas/RELEASE_TEMPLATE.md</w:t>
        <w:br/>
        <w:t>Tamaño: 1279 bytes</w:t>
        <w:br/>
        <w:t>SHA-256: 7f87779e45b28ab92141400a2c95c97a6ba5dab38794781bf8f845cbcf4d4e58</w:t>
      </w:r>
    </w:p>
    <w:p>
      <w:pPr>
        <w:pStyle w:val="Heading2"/>
      </w:pPr>
      <w:r>
        <w:t>Expediente de release GOEI</w:t>
      </w:r>
    </w:p>
    <w:p>
      <w:pPr>
        <w:spacing w:after="40"/>
      </w:pPr>
    </w:p>
    <w:p>
      <w:r>
        <w:t>ID de release: PENDIENTE</w:t>
      </w:r>
    </w:p>
    <w:p>
      <w:r>
        <w:t>Versión: PENDIENTE</w:t>
      </w:r>
    </w:p>
    <w:p>
      <w:r>
        <w:t>Estado: borrador | candidato técnico | aprobado | publicado | retirado</w:t>
      </w:r>
    </w:p>
    <w:p>
      <w:r>
        <w:t>Fecha de corte: PENDIENTE</w:t>
      </w:r>
    </w:p>
    <w:p>
      <w:r>
        <w:t>Responsable técnico: Oficina Técnica GOEI</w:t>
      </w:r>
    </w:p>
    <w:p>
      <w:r>
        <w:t>Autoridad aprobadora: PENDIENTE</w:t>
      </w:r>
    </w:p>
    <w:p>
      <w:pPr>
        <w:spacing w:after="40"/>
      </w:pPr>
    </w:p>
    <w:p>
      <w:pPr>
        <w:pStyle w:val="Heading3"/>
      </w:pPr>
      <w:r>
        <w:t>Alcance</w:t>
      </w:r>
    </w:p>
    <w:p>
      <w:pPr>
        <w:spacing w:after="40"/>
      </w:pPr>
    </w:p>
    <w:p>
      <w:r>
        <w:t>PENDIENTE.</w:t>
      </w:r>
    </w:p>
    <w:p>
      <w:pPr>
        <w:spacing w:after="40"/>
      </w:pPr>
    </w:p>
    <w:p>
      <w:pPr>
        <w:pStyle w:val="Heading3"/>
      </w:pPr>
      <w:r>
        <w:t>Exclusiones</w:t>
      </w:r>
    </w:p>
    <w:p>
      <w:pPr>
        <w:spacing w:after="40"/>
      </w:pPr>
    </w:p>
    <w:p>
      <w:r>
        <w:t>PENDIENTE.</w:t>
      </w:r>
    </w:p>
    <w:p>
      <w:pPr>
        <w:spacing w:after="40"/>
      </w:pPr>
    </w:p>
    <w:p>
      <w:pPr>
        <w:pStyle w:val="Heading3"/>
      </w:pPr>
      <w:r>
        <w:t>Línea base anterior</w:t>
      </w:r>
    </w:p>
    <w:p>
      <w:pPr>
        <w:spacing w:after="40"/>
      </w:pPr>
    </w:p>
    <w:p>
      <w:r>
        <w:t>PENDIENTE.</w:t>
      </w:r>
    </w:p>
    <w:p>
      <w:pPr>
        <w:spacing w:after="40"/>
      </w:pPr>
    </w:p>
    <w:p>
      <w:pPr>
        <w:pStyle w:val="Heading3"/>
      </w:pPr>
      <w:r>
        <w:t>Decisiones incluidas</w:t>
      </w:r>
    </w:p>
    <w:p>
      <w:pPr>
        <w:spacing w:after="40"/>
      </w:pPr>
    </w:p>
    <w:p>
      <w:pPr>
        <w:spacing w:after="20" w:line="240" w:lineRule="auto"/>
      </w:pPr>
      <w:r>
        <w:rPr>
          <w:rFonts w:ascii="Consolas" w:hAnsi="Consolas"/>
          <w:sz w:val="14"/>
        </w:rPr>
        <w:t>| Decisión | Estado registrado | Componentes afectados | Evidencia/expediente |</w:t>
      </w:r>
    </w:p>
    <w:p>
      <w:pPr>
        <w:spacing w:after="20" w:line="240" w:lineRule="auto"/>
      </w:pPr>
      <w:r>
        <w:rPr>
          <w:rFonts w:ascii="Consolas" w:hAnsi="Consolas"/>
          <w:sz w:val="14"/>
        </w:rPr>
        <w:t>|---|---|---|---|</w:t>
      </w:r>
    </w:p>
    <w:p>
      <w:pPr>
        <w:spacing w:after="20" w:line="240" w:lineRule="auto"/>
      </w:pPr>
      <w:r>
        <w:rPr>
          <w:rFonts w:ascii="Consolas" w:hAnsi="Consolas"/>
          <w:sz w:val="14"/>
        </w:rPr>
        <w:t>| PENDIENTE | PENDIENTE | PENDIENTE | PENDIENTE |</w:t>
      </w:r>
    </w:p>
    <w:p>
      <w:pPr>
        <w:spacing w:after="40"/>
      </w:pPr>
    </w:p>
    <w:p>
      <w:pPr>
        <w:pStyle w:val="Heading3"/>
      </w:pPr>
      <w:r>
        <w:t>Compuertas</w:t>
      </w:r>
    </w:p>
    <w:p>
      <w:pPr>
        <w:spacing w:after="40"/>
      </w:pPr>
    </w:p>
    <w:p>
      <w:pPr>
        <w:spacing w:after="20" w:line="240" w:lineRule="auto"/>
      </w:pPr>
      <w:r>
        <w:rPr>
          <w:rFonts w:ascii="Consolas" w:hAnsi="Consolas"/>
          <w:sz w:val="14"/>
        </w:rPr>
        <w:t>| Compuerta | Resultado | Evidencia | Issues asociados |</w:t>
      </w:r>
    </w:p>
    <w:p>
      <w:pPr>
        <w:spacing w:after="20" w:line="240" w:lineRule="auto"/>
      </w:pPr>
      <w:r>
        <w:rPr>
          <w:rFonts w:ascii="Consolas" w:hAnsi="Consolas"/>
          <w:sz w:val="14"/>
        </w:rPr>
        <w:t>|---|---|---|---|</w:t>
      </w:r>
    </w:p>
    <w:p>
      <w:pPr>
        <w:spacing w:after="20" w:line="240" w:lineRule="auto"/>
      </w:pPr>
      <w:r>
        <w:rPr>
          <w:rFonts w:ascii="Consolas" w:hAnsi="Consolas"/>
          <w:sz w:val="14"/>
        </w:rPr>
        <w:t>| G0 Identidad | PENDIENTE | PENDIENTE | PENDIENTE |</w:t>
      </w:r>
    </w:p>
    <w:p>
      <w:pPr>
        <w:spacing w:after="20" w:line="240" w:lineRule="auto"/>
      </w:pPr>
      <w:r>
        <w:rPr>
          <w:rFonts w:ascii="Consolas" w:hAnsi="Consolas"/>
          <w:sz w:val="14"/>
        </w:rPr>
        <w:t>| G1 Autoridad científica | PENDIENTE | PENDIENTE | PENDIENTE |</w:t>
      </w:r>
    </w:p>
    <w:p>
      <w:pPr>
        <w:spacing w:after="20" w:line="240" w:lineRule="auto"/>
      </w:pPr>
      <w:r>
        <w:rPr>
          <w:rFonts w:ascii="Consolas" w:hAnsi="Consolas"/>
          <w:sz w:val="14"/>
        </w:rPr>
        <w:t>| G2 Trazabilidad | PENDIENTE | PENDIENTE | PENDIENTE |</w:t>
      </w:r>
    </w:p>
    <w:p>
      <w:pPr>
        <w:spacing w:after="20" w:line="240" w:lineRule="auto"/>
      </w:pPr>
      <w:r>
        <w:rPr>
          <w:rFonts w:ascii="Consolas" w:hAnsi="Consolas"/>
          <w:sz w:val="14"/>
        </w:rPr>
        <w:t>| G3 Integridad técnica | PENDIENTE | PENDIENTE | PENDIENTE |</w:t>
      </w:r>
    </w:p>
    <w:p>
      <w:pPr>
        <w:spacing w:after="20" w:line="240" w:lineRule="auto"/>
      </w:pPr>
      <w:r>
        <w:rPr>
          <w:rFonts w:ascii="Consolas" w:hAnsi="Consolas"/>
          <w:sz w:val="14"/>
        </w:rPr>
        <w:t>| G4 Compatibilidad e impacto | PENDIENTE | PENDIENTE | PENDIENTE |</w:t>
      </w:r>
    </w:p>
    <w:p>
      <w:pPr>
        <w:spacing w:after="20" w:line="240" w:lineRule="auto"/>
      </w:pPr>
      <w:r>
        <w:rPr>
          <w:rFonts w:ascii="Consolas" w:hAnsi="Consolas"/>
          <w:sz w:val="14"/>
        </w:rPr>
        <w:t>| G5 Aprobación y publicación | PENDIENTE | PENDIENTE | PENDIENTE |</w:t>
      </w:r>
    </w:p>
    <w:p>
      <w:pPr>
        <w:spacing w:after="40"/>
      </w:pPr>
    </w:p>
    <w:p>
      <w:pPr>
        <w:pStyle w:val="Heading3"/>
      </w:pPr>
      <w:r>
        <w:t>Cambios</w:t>
      </w:r>
    </w:p>
    <w:p>
      <w:pPr>
        <w:spacing w:after="40"/>
      </w:pPr>
    </w:p>
    <w:p>
      <w:r>
        <w:t>PENDIENTE: referencia al registro de cambios.</w:t>
      </w:r>
    </w:p>
    <w:p>
      <w:pPr>
        <w:spacing w:after="40"/>
      </w:pPr>
    </w:p>
    <w:p>
      <w:pPr>
        <w:pStyle w:val="Heading3"/>
      </w:pPr>
      <w:r>
        <w:t>Issues abiertos y bloqueos</w:t>
      </w:r>
    </w:p>
    <w:p>
      <w:pPr>
        <w:spacing w:after="40"/>
      </w:pPr>
    </w:p>
    <w:p>
      <w:r>
        <w:t>PENDIENTE.</w:t>
      </w:r>
    </w:p>
    <w:p>
      <w:pPr>
        <w:spacing w:after="40"/>
      </w:pPr>
    </w:p>
    <w:p>
      <w:pPr>
        <w:pStyle w:val="Heading3"/>
      </w:pPr>
      <w:r>
        <w:t>Validación técnica</w:t>
      </w:r>
    </w:p>
    <w:p>
      <w:pPr>
        <w:spacing w:after="40"/>
      </w:pPr>
    </w:p>
    <w:p>
      <w:r>
        <w:t>PENDIENTE: comando, fecha, resultado y versión del validador.</w:t>
      </w:r>
    </w:p>
    <w:p>
      <w:pPr>
        <w:spacing w:after="40"/>
      </w:pPr>
    </w:p>
    <w:p>
      <w:pPr>
        <w:pStyle w:val="Heading3"/>
      </w:pPr>
      <w:r>
        <w:t>Aprobación</w:t>
      </w:r>
    </w:p>
    <w:p>
      <w:pPr>
        <w:spacing w:after="40"/>
      </w:pPr>
    </w:p>
    <w:p>
      <w:r>
        <w:t>PENDIENTE: acto explícito, responsable, fecha y alcance.</w:t>
      </w:r>
    </w:p>
    <w:p>
      <w:r>
        <w:br w:type="page"/>
      </w:r>
    </w:p>
    <w:p>
      <w:pPr>
        <w:pStyle w:val="Heading1"/>
        <w:keepNext/>
      </w:pPr>
      <w:r>
        <w:t>Fuente 153: 15_Mantenimiento/releases/README.md</w:t>
      </w:r>
    </w:p>
    <w:p>
      <w:pPr>
        <w:spacing w:after="200"/>
      </w:pPr>
      <w:r>
        <w:rPr>
          <w:rFonts w:ascii="Consolas" w:hAnsi="Consolas"/>
          <w:color w:val="595959"/>
          <w:sz w:val="16"/>
        </w:rPr>
        <w:t>Ruta: 15_Mantenimiento/releases/README.md</w:t>
        <w:br/>
        <w:t>Tamaño: 647 bytes</w:t>
        <w:br/>
        <w:t>SHA-256: 8a97588ca09a60bf3d199dfd8447c2281be1393e3504356b9f3e864948a8d955</w:t>
      </w:r>
    </w:p>
    <w:p>
      <w:pPr>
        <w:pStyle w:val="Heading2"/>
      </w:pPr>
      <w:r>
        <w:t>Expedientes de releases GOEI</w:t>
      </w:r>
    </w:p>
    <w:p>
      <w:pPr>
        <w:spacing w:after="40"/>
      </w:pPr>
    </w:p>
    <w:p>
      <w:r>
        <w:t>Esta carpeta contiene candidatos y releases del estándar. No se debe crear una carpeta de release sin su expediente de autoridad y sus compuertas documentadas.</w:t>
      </w:r>
    </w:p>
    <w:p>
      <w:pPr>
        <w:spacing w:after="40"/>
      </w:pPr>
    </w:p>
    <w:p>
      <w:r>
        <w:t>Estructura esperada:</w:t>
      </w:r>
    </w:p>
    <w:p>
      <w:pPr>
        <w:spacing w:after="40"/>
      </w:pPr>
    </w:p>
    <w:p>
      <w:pPr>
        <w:spacing w:after="20" w:line="240" w:lineRule="auto"/>
        <w:ind w:left="259"/>
      </w:pPr>
      <w:r>
        <w:rPr>
          <w:rFonts w:ascii="Consolas" w:hAnsi="Consolas"/>
          <w:sz w:val="15"/>
        </w:rPr>
        <w:t>releases/</w:t>
      </w:r>
    </w:p>
    <w:p>
      <w:pPr>
        <w:spacing w:after="20" w:line="240" w:lineRule="auto"/>
        <w:ind w:left="259"/>
      </w:pPr>
      <w:r>
        <w:rPr>
          <w:rFonts w:ascii="Consolas" w:hAnsi="Consolas"/>
          <w:sz w:val="15"/>
        </w:rPr>
        <w:t>└── GOEI-RC-vX.Y.Z-rc.N/</w:t>
      </w:r>
    </w:p>
    <w:p>
      <w:pPr>
        <w:spacing w:after="20" w:line="240" w:lineRule="auto"/>
        <w:ind w:left="259"/>
      </w:pPr>
      <w:r>
        <w:rPr>
          <w:rFonts w:ascii="Consolas" w:hAnsi="Consolas"/>
          <w:sz w:val="15"/>
        </w:rPr>
        <w:t xml:space="preserve">    ├── RELEASE.md</w:t>
      </w:r>
    </w:p>
    <w:p>
      <w:pPr>
        <w:spacing w:after="20" w:line="240" w:lineRule="auto"/>
        <w:ind w:left="259"/>
      </w:pPr>
      <w:r>
        <w:rPr>
          <w:rFonts w:ascii="Consolas" w:hAnsi="Consolas"/>
          <w:sz w:val="15"/>
        </w:rPr>
        <w:t xml:space="preserve">    ├── MANIFEST.json</w:t>
      </w:r>
    </w:p>
    <w:p>
      <w:pPr>
        <w:spacing w:after="20" w:line="240" w:lineRule="auto"/>
        <w:ind w:left="259"/>
      </w:pPr>
      <w:r>
        <w:rPr>
          <w:rFonts w:ascii="Consolas" w:hAnsi="Consolas"/>
          <w:sz w:val="15"/>
        </w:rPr>
        <w:t xml:space="preserve">    └── VALIDATION.md</w:t>
      </w:r>
    </w:p>
    <w:p>
      <w:pPr>
        <w:spacing w:after="40"/>
      </w:pPr>
    </w:p>
    <w:p>
      <w:r>
        <w:t>Las plantillas canónicas están en plantillas/RELEASE_TEMPLATE.md y plantillas/RELEASE_DOSSIER_TEMPLATE.json. Los manifiestos se generan con 16_Herramientas/validadores/build_manifest.py, se comparan con compare_manifests.py y sus compuertas se evalúan con evaluate_release_gates.py.</w:t>
      </w:r>
    </w:p>
    <w:p>
      <w:r>
        <w:br w:type="page"/>
      </w:r>
    </w:p>
    <w:p>
      <w:pPr>
        <w:pStyle w:val="Heading1"/>
        <w:keepNext/>
      </w:pPr>
      <w:r>
        <w:t>Fuente 154: 15_Mantenimiento/releases/RELEASE_DOSSIER_SCHEMA.md</w:t>
      </w:r>
    </w:p>
    <w:p>
      <w:pPr>
        <w:spacing w:after="200"/>
      </w:pPr>
      <w:r>
        <w:rPr>
          <w:rFonts w:ascii="Consolas" w:hAnsi="Consolas"/>
          <w:color w:val="595959"/>
          <w:sz w:val="16"/>
        </w:rPr>
        <w:t>Ruta: 15_Mantenimiento/releases/RELEASE_DOSSIER_SCHEMA.md</w:t>
        <w:br/>
        <w:t>Tamaño: 2561 bytes</w:t>
        <w:br/>
        <w:t>SHA-256: e51e46556880632ba1f8fce4bbbbd15a40bda212dc793077c2b6e23ab74035a2</w:t>
      </w:r>
    </w:p>
    <w:p>
      <w:pPr>
        <w:pStyle w:val="Heading2"/>
      </w:pPr>
      <w:r>
        <w:t>Contrato procesable del expediente de release GOEI</w:t>
      </w:r>
    </w:p>
    <w:p>
      <w:pPr>
        <w:spacing w:after="40"/>
      </w:pPr>
    </w:p>
    <w:p>
      <w:r>
        <w:t>ID: GOEI-REL-SCHEMA-0001</w:t>
      </w:r>
    </w:p>
    <w:p>
      <w:r>
        <w:t>Versión: 1.0.0</w:t>
      </w:r>
    </w:p>
    <w:p>
      <w:r>
        <w:t>Naturaleza: especificación técnica, no normativa científica</w:t>
      </w:r>
    </w:p>
    <w:p>
      <w:pPr>
        <w:spacing w:after="40"/>
      </w:pPr>
    </w:p>
    <w:p>
      <w:pPr>
        <w:pStyle w:val="Heading3"/>
      </w:pPr>
      <w:r>
        <w:t>Propósito</w:t>
      </w:r>
    </w:p>
    <w:p>
      <w:pPr>
        <w:spacing w:after="40"/>
      </w:pPr>
    </w:p>
    <w:p>
      <w:r>
        <w:t>Definir el documento JSON que permite evaluar las compuertas G0–G5 de una release sin inferir aprobaciones. El evaluador comprueba presencia, coherencia básica y evidencia documental; no determina validez científica.</w:t>
      </w:r>
    </w:p>
    <w:p>
      <w:pPr>
        <w:spacing w:after="40"/>
      </w:pPr>
    </w:p>
    <w:p>
      <w:pPr>
        <w:pStyle w:val="Heading3"/>
      </w:pPr>
      <w:r>
        <w:t>Campos obligatorios</w:t>
      </w:r>
    </w:p>
    <w:p>
      <w:pPr>
        <w:spacing w:after="40"/>
      </w:pPr>
    </w:p>
    <w:p>
      <w:pPr>
        <w:spacing w:after="20" w:line="240" w:lineRule="auto"/>
      </w:pPr>
      <w:r>
        <w:rPr>
          <w:rFonts w:ascii="Consolas" w:hAnsi="Consolas"/>
          <w:sz w:val="14"/>
        </w:rPr>
        <w:t>| Campo | Tipo | Función |</w:t>
      </w:r>
    </w:p>
    <w:p>
      <w:pPr>
        <w:spacing w:after="20" w:line="240" w:lineRule="auto"/>
      </w:pPr>
      <w:r>
        <w:rPr>
          <w:rFonts w:ascii="Consolas" w:hAnsi="Consolas"/>
          <w:sz w:val="14"/>
        </w:rPr>
        <w:t>|---|---|---|</w:t>
      </w:r>
    </w:p>
    <w:p>
      <w:pPr>
        <w:spacing w:after="20" w:line="240" w:lineRule="auto"/>
      </w:pPr>
      <w:r>
        <w:rPr>
          <w:rFonts w:ascii="Consolas" w:hAnsi="Consolas"/>
          <w:sz w:val="14"/>
        </w:rPr>
        <w:t>| `schemaVersion` | string | Versión del contrato; actualmente `1.0` |</w:t>
      </w:r>
    </w:p>
    <w:p>
      <w:pPr>
        <w:spacing w:after="20" w:line="240" w:lineRule="auto"/>
      </w:pPr>
      <w:r>
        <w:rPr>
          <w:rFonts w:ascii="Consolas" w:hAnsi="Consolas"/>
          <w:sz w:val="14"/>
        </w:rPr>
        <w:t>| `releaseId` | string | ID conforme a la política de releases |</w:t>
      </w:r>
    </w:p>
    <w:p>
      <w:pPr>
        <w:spacing w:after="20" w:line="240" w:lineRule="auto"/>
      </w:pPr>
      <w:r>
        <w:rPr>
          <w:rFonts w:ascii="Consolas" w:hAnsi="Consolas"/>
          <w:sz w:val="14"/>
        </w:rPr>
        <w:t>| `version` | string | Versión SemVer del candidato |</w:t>
      </w:r>
    </w:p>
    <w:p>
      <w:pPr>
        <w:spacing w:after="20" w:line="240" w:lineRule="auto"/>
      </w:pPr>
      <w:r>
        <w:rPr>
          <w:rFonts w:ascii="Consolas" w:hAnsi="Consolas"/>
          <w:sz w:val="14"/>
        </w:rPr>
        <w:t>| `status` | enum | `draft`, `candidate`, `approved`, `published`, `withdrawn` |</w:t>
      </w:r>
    </w:p>
    <w:p>
      <w:pPr>
        <w:spacing w:after="20" w:line="240" w:lineRule="auto"/>
      </w:pPr>
      <w:r>
        <w:rPr>
          <w:rFonts w:ascii="Consolas" w:hAnsi="Consolas"/>
          <w:sz w:val="14"/>
        </w:rPr>
        <w:t>| `scope` | string no vacío | Alcance explícito |</w:t>
      </w:r>
    </w:p>
    <w:p>
      <w:pPr>
        <w:spacing w:after="20" w:line="240" w:lineRule="auto"/>
      </w:pPr>
      <w:r>
        <w:rPr>
          <w:rFonts w:ascii="Consolas" w:hAnsi="Consolas"/>
          <w:sz w:val="14"/>
        </w:rPr>
        <w:t>| `components` | array | Componentes con `id`, `version` y `path` |</w:t>
      </w:r>
    </w:p>
    <w:p>
      <w:pPr>
        <w:spacing w:after="20" w:line="240" w:lineRule="auto"/>
      </w:pPr>
      <w:r>
        <w:rPr>
          <w:rFonts w:ascii="Consolas" w:hAnsi="Consolas"/>
          <w:sz w:val="14"/>
        </w:rPr>
        <w:t>| `decisions` | array | Decisiones con `id`, `status` y `recordPath` |</w:t>
      </w:r>
    </w:p>
    <w:p>
      <w:pPr>
        <w:spacing w:after="20" w:line="240" w:lineRule="auto"/>
      </w:pPr>
      <w:r>
        <w:rPr>
          <w:rFonts w:ascii="Consolas" w:hAnsi="Consolas"/>
          <w:sz w:val="14"/>
        </w:rPr>
        <w:t>| `traceabilityArtifacts` | array de rutas | Evidencia de trazabilidad |</w:t>
      </w:r>
    </w:p>
    <w:p>
      <w:pPr>
        <w:spacing w:after="20" w:line="240" w:lineRule="auto"/>
      </w:pPr>
      <w:r>
        <w:rPr>
          <w:rFonts w:ascii="Consolas" w:hAnsi="Consolas"/>
          <w:sz w:val="14"/>
        </w:rPr>
        <w:t>| `technicalValidation` | object | `passed`, `command`, `recordPath` |</w:t>
      </w:r>
    </w:p>
    <w:p>
      <w:pPr>
        <w:spacing w:after="20" w:line="240" w:lineRule="auto"/>
      </w:pPr>
      <w:r>
        <w:rPr>
          <w:rFonts w:ascii="Consolas" w:hAnsi="Consolas"/>
          <w:sz w:val="14"/>
        </w:rPr>
        <w:t>| `manifestPath` | ruta | Manifiesto JSON del candidato |</w:t>
      </w:r>
    </w:p>
    <w:p>
      <w:pPr>
        <w:spacing w:after="20" w:line="240" w:lineRule="auto"/>
      </w:pPr>
      <w:r>
        <w:rPr>
          <w:rFonts w:ascii="Consolas" w:hAnsi="Consolas"/>
          <w:sz w:val="14"/>
        </w:rPr>
        <w:t>| `baselineComparison` | object | `recordPath` e `impactAnalysisPath` |</w:t>
      </w:r>
    </w:p>
    <w:p>
      <w:pPr>
        <w:spacing w:after="20" w:line="240" w:lineRule="auto"/>
      </w:pPr>
      <w:r>
        <w:rPr>
          <w:rFonts w:ascii="Consolas" w:hAnsi="Consolas"/>
          <w:sz w:val="14"/>
        </w:rPr>
        <w:t>| `openIssues` | array | Issues conocidos no ocultos |</w:t>
      </w:r>
    </w:p>
    <w:p>
      <w:pPr>
        <w:spacing w:after="20" w:line="240" w:lineRule="auto"/>
      </w:pPr>
      <w:r>
        <w:rPr>
          <w:rFonts w:ascii="Consolas" w:hAnsi="Consolas"/>
          <w:sz w:val="14"/>
        </w:rPr>
        <w:t>| `approval` | object | `approved`, `authority`, `date`, `recordPath` |</w:t>
      </w:r>
    </w:p>
    <w:p>
      <w:pPr>
        <w:spacing w:after="40"/>
      </w:pPr>
    </w:p>
    <w:p>
      <w:r>
        <w:t>Todas las rutas son relativas a la raíz del repositorio y no pueden escapar de ella.</w:t>
      </w:r>
    </w:p>
    <w:p>
      <w:pPr>
        <w:spacing w:after="40"/>
      </w:pPr>
    </w:p>
    <w:p>
      <w:pPr>
        <w:pStyle w:val="Heading3"/>
      </w:pPr>
      <w:r>
        <w:t>Interpretación de compuertas</w:t>
      </w:r>
    </w:p>
    <w:p>
      <w:pPr>
        <w:spacing w:after="40"/>
      </w:pPr>
    </w:p>
    <w:p>
      <w:pPr>
        <w:spacing w:after="20" w:line="240" w:lineRule="auto"/>
      </w:pPr>
      <w:r>
        <w:rPr>
          <w:rFonts w:ascii="Consolas" w:hAnsi="Consolas"/>
          <w:sz w:val="14"/>
        </w:rPr>
        <w:t>| Compuerta | Condición técnica mínima |</w:t>
      </w:r>
    </w:p>
    <w:p>
      <w:pPr>
        <w:spacing w:after="20" w:line="240" w:lineRule="auto"/>
      </w:pPr>
      <w:r>
        <w:rPr>
          <w:rFonts w:ascii="Consolas" w:hAnsi="Consolas"/>
          <w:sz w:val="14"/>
        </w:rPr>
        <w:t>|---|---|</w:t>
      </w:r>
    </w:p>
    <w:p>
      <w:pPr>
        <w:spacing w:after="20" w:line="240" w:lineRule="auto"/>
      </w:pPr>
      <w:r>
        <w:rPr>
          <w:rFonts w:ascii="Consolas" w:hAnsi="Consolas"/>
          <w:sz w:val="14"/>
        </w:rPr>
        <w:t>| G0 | ID/versión válidos; componentes identificados, versionados, existentes e inscritos en el registro maestro |</w:t>
      </w:r>
    </w:p>
    <w:p>
      <w:pPr>
        <w:spacing w:after="20" w:line="240" w:lineRule="auto"/>
      </w:pPr>
      <w:r>
        <w:rPr>
          <w:rFonts w:ascii="Consolas" w:hAnsi="Consolas"/>
          <w:sz w:val="14"/>
        </w:rPr>
        <w:t>| G1 | toda decisión figura como `approved`, su registro existe y su ID consta en el registro oficial |</w:t>
      </w:r>
    </w:p>
    <w:p>
      <w:pPr>
        <w:spacing w:after="20" w:line="240" w:lineRule="auto"/>
      </w:pPr>
      <w:r>
        <w:rPr>
          <w:rFonts w:ascii="Consolas" w:hAnsi="Consolas"/>
          <w:sz w:val="14"/>
        </w:rPr>
        <w:t>| G2 | existen artefactos de trazabilidad y cada componente posee referencia trazable |</w:t>
      </w:r>
    </w:p>
    <w:p>
      <w:pPr>
        <w:spacing w:after="20" w:line="240" w:lineRule="auto"/>
      </w:pPr>
      <w:r>
        <w:rPr>
          <w:rFonts w:ascii="Consolas" w:hAnsi="Consolas"/>
          <w:sz w:val="14"/>
        </w:rPr>
        <w:t>| G3 | validación declarada satisfactoria, evidencia existente y manifiesto válido |</w:t>
      </w:r>
    </w:p>
    <w:p>
      <w:pPr>
        <w:spacing w:after="20" w:line="240" w:lineRule="auto"/>
      </w:pPr>
      <w:r>
        <w:rPr>
          <w:rFonts w:ascii="Consolas" w:hAnsi="Consolas"/>
          <w:sz w:val="14"/>
        </w:rPr>
        <w:t>| G4 | comparación e informe de impacto existentes |</w:t>
      </w:r>
    </w:p>
    <w:p>
      <w:pPr>
        <w:spacing w:after="20" w:line="240" w:lineRule="auto"/>
      </w:pPr>
      <w:r>
        <w:rPr>
          <w:rFonts w:ascii="Consolas" w:hAnsi="Consolas"/>
          <w:sz w:val="14"/>
        </w:rPr>
        <w:t>| G5 | aprobación explícita verdadera, autoridad/fecha presentes y acto documental existente |</w:t>
      </w:r>
    </w:p>
    <w:p>
      <w:pPr>
        <w:spacing w:after="40"/>
      </w:pPr>
    </w:p>
    <w:p>
      <w:r>
        <w:t>approved: true sin un recordPath existente nunca es suficiente. Del mismo modo, la existencia del archivo no permite al evaluador interpretar si la decisión es científicamente correcta: esa responsabilidad permanece en la autoridad declarada.</w:t>
      </w:r>
    </w:p>
    <w:p>
      <w:pPr>
        <w:spacing w:after="40"/>
      </w:pPr>
    </w:p>
    <w:p>
      <w:pPr>
        <w:pStyle w:val="Heading3"/>
      </w:pPr>
      <w:r>
        <w:t>Resultado</w:t>
      </w:r>
    </w:p>
    <w:p>
      <w:pPr>
        <w:spacing w:after="40"/>
      </w:pPr>
    </w:p>
    <w:p>
      <w:r>
        <w:t>El evaluador produce JSON con el resultado de cada compuerta, errores y estado general. eligibleForPromotion solo es verdadero cuando G0–G5 pasan; significa “expediente técnicamente elegible”, no una aprobación nueva.</w:t>
      </w:r>
    </w:p>
    <w:sectPr w:rsidR="00FC693F" w:rsidRPr="0006063C" w:rsidSect="00034616">
      <w:headerReference w:type="default" r:id="rId9"/>
      <w:footerReference w:type="default" r:id="rId10"/>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7"/>
      </w:rPr>
      <w:t>GOEI · Dossier integral del proyecto · Documento de lectura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libri" w:hAnsi="Calibr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GOEI — Dossier integral del proyecto</dc:title>
  <dc:subject>Historia, decisiones, arquitectura, avances y pendientes</dc:subject>
  <dc:creator>GOEI Technical Office — Codex</dc:creator>
  <cp:keywords>GOEI, estándar, gobernanza, decisiones, trazabilidad, tesis</cp:keywords>
  <dc:description>Dossier informativo generado desde fuentes versionadas; no modifica su autoridad.</dc:description>
  <cp:lastModifiedBy/>
  <cp:revision>1</cp:revision>
  <dcterms:created xsi:type="dcterms:W3CDTF">2026-08-04T00:00:00Z</dcterms:created>
  <dcterms:modified xsi:type="dcterms:W3CDTF">2013-12-23T23:15:00Z</dcterms:modified>
  <cp:category/>
</cp:coreProperties>
</file>