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GOEI</w:t>
      </w:r>
      <w:r>
        <w:t xml:space="preserve"> </w:t>
      </w:r>
      <w:r>
        <w:t xml:space="preserve">—</w:t>
      </w:r>
      <w:r>
        <w:t xml:space="preserve"> </w:t>
      </w:r>
      <w:r>
        <w:t xml:space="preserve">Índice</w:t>
      </w:r>
      <w:r>
        <w:t xml:space="preserve"> </w:t>
      </w:r>
      <w:r>
        <w:t xml:space="preserve">de</w:t>
      </w:r>
      <w:r>
        <w:t xml:space="preserve"> </w:t>
      </w:r>
      <w:r>
        <w:t xml:space="preserve">Eficiencia</w:t>
      </w:r>
      <w:r>
        <w:t xml:space="preserve"> </w:t>
      </w:r>
      <w:r>
        <w:t xml:space="preserve">Operacional</w:t>
      </w:r>
      <w:r>
        <w:t xml:space="preserve"> </w:t>
      </w:r>
      <w:r>
        <w:t xml:space="preserve">Gastronómica</w:t>
      </w:r>
    </w:p>
    <w:p>
      <w:pPr>
        <w:pStyle w:val="Subtitle"/>
      </w:pPr>
      <w:r>
        <w:t xml:space="preserve">Fundamentación</w:t>
      </w:r>
      <w:r>
        <w:t xml:space="preserve"> </w:t>
      </w:r>
      <w:r>
        <w:t xml:space="preserve">científica,</w:t>
      </w:r>
      <w:r>
        <w:t xml:space="preserve"> </w:t>
      </w:r>
      <w:r>
        <w:t xml:space="preserve">construcción</w:t>
      </w:r>
      <w:r>
        <w:t xml:space="preserve"> </w:t>
      </w:r>
      <w:r>
        <w:t xml:space="preserve">metodológica</w:t>
      </w:r>
      <w:r>
        <w:t xml:space="preserve"> </w:t>
      </w:r>
      <w:r>
        <w:t xml:space="preserve">y</w:t>
      </w:r>
      <w:r>
        <w:t xml:space="preserve"> </w:t>
      </w:r>
      <w:r>
        <w:t xml:space="preserve">protocolo</w:t>
      </w:r>
      <w:r>
        <w:t xml:space="preserve"> </w:t>
      </w:r>
      <w:r>
        <w:t xml:space="preserve">de</w:t>
      </w:r>
      <w:r>
        <w:t xml:space="preserve"> </w:t>
      </w:r>
      <w:r>
        <w:t xml:space="preserve">validación</w:t>
      </w:r>
      <w:r>
        <w:t xml:space="preserve"> </w:t>
      </w:r>
      <w:r>
        <w:t xml:space="preserve">de</w:t>
      </w:r>
      <w:r>
        <w:t xml:space="preserve"> </w:t>
      </w:r>
      <w:r>
        <w:t xml:space="preserve">un</w:t>
      </w:r>
      <w:r>
        <w:t xml:space="preserve"> </w:t>
      </w:r>
      <w:r>
        <w:t xml:space="preserve">estándar</w:t>
      </w:r>
      <w:r>
        <w:t xml:space="preserve"> </w:t>
      </w:r>
      <w:r>
        <w:t xml:space="preserve">para</w:t>
      </w:r>
      <w:r>
        <w:t xml:space="preserve"> </w:t>
      </w:r>
      <w:r>
        <w:t xml:space="preserve">evaluar</w:t>
      </w:r>
      <w:r>
        <w:t xml:space="preserve"> </w:t>
      </w:r>
      <w:r>
        <w:t xml:space="preserve">la</w:t>
      </w:r>
      <w:r>
        <w:t xml:space="preserve"> </w:t>
      </w:r>
      <w:r>
        <w:t xml:space="preserve">Salud</w:t>
      </w:r>
      <w:r>
        <w:t xml:space="preserve"> </w:t>
      </w:r>
      <w:r>
        <w:t xml:space="preserve">Operacional</w:t>
      </w:r>
      <w:r>
        <w:t xml:space="preserve"> </w:t>
      </w:r>
      <w:r>
        <w:t xml:space="preserve">de</w:t>
      </w:r>
      <w:r>
        <w:t xml:space="preserve"> </w:t>
      </w:r>
      <w:r>
        <w:t xml:space="preserve">establecimientos</w:t>
      </w:r>
      <w:r>
        <w:t xml:space="preserve"> </w:t>
      </w:r>
      <w:r>
        <w:t xml:space="preserve">gastronómicos</w:t>
      </w:r>
    </w:p>
    <w:p>
      <w:pPr>
        <w:pStyle w:val="Author"/>
      </w:pPr>
      <w:r>
        <w:t xml:space="preserve">Proyecto</w:t>
      </w:r>
      <w:r>
        <w:t xml:space="preserve"> </w:t>
      </w:r>
      <w:r>
        <w:t xml:space="preserve">GOEI</w:t>
      </w:r>
      <w:r>
        <w:t xml:space="preserve"> </w:t>
      </w:r>
      <w:r>
        <w:t xml:space="preserve">·</w:t>
      </w:r>
      <w:r>
        <w:t xml:space="preserve"> </w:t>
      </w:r>
      <w:r>
        <w:t xml:space="preserve">Dirección</w:t>
      </w:r>
      <w:r>
        <w:t xml:space="preserve"> </w:t>
      </w:r>
      <w:r>
        <w:t xml:space="preserve">General:</w:t>
      </w:r>
      <w:r>
        <w:t xml:space="preserve"> </w:t>
      </w:r>
      <w:r>
        <w:t xml:space="preserve">Pablo</w:t>
      </w:r>
      <w:r>
        <w:t xml:space="preserve"> </w:t>
      </w:r>
      <w:r>
        <w:t xml:space="preserve">Toledo</w:t>
      </w:r>
      <w:r>
        <w:t xml:space="preserve"> </w:t>
      </w:r>
      <w:r>
        <w:t xml:space="preserve">Salinas</w:t>
      </w:r>
      <w:r>
        <w:t xml:space="preserve"> </w:t>
      </w:r>
      <w:r>
        <w:t xml:space="preserve">·</w:t>
      </w:r>
      <w:r>
        <w:t xml:space="preserve"> </w:t>
      </w:r>
      <w:r>
        <w:t xml:space="preserve">Comité</w:t>
      </w:r>
      <w:r>
        <w:t xml:space="preserve"> </w:t>
      </w:r>
      <w:r>
        <w:t xml:space="preserve">Científico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2"/>
      </w:pPr>
      <w:bookmarkStart w:id="20" w:name="nota-de-estatus-y-convenciones"/>
      <w:r>
        <w:t xml:space="preserve">Nota de estatus y convenciones</w:t>
      </w:r>
      <w:bookmarkEnd w:id="20"/>
    </w:p>
    <w:p>
      <w:pPr>
        <w:pStyle w:val="FirstParagraph"/>
      </w:pPr>
      <w:r>
        <w:t xml:space="preserve">Manuscrito alineado al</w:t>
      </w:r>
      <w:r>
        <w:t xml:space="preserve"> </w:t>
      </w:r>
      <w:r>
        <w:rPr>
          <w:b/>
        </w:rPr>
        <w:t xml:space="preserve">Plan Maestro de la Tesis (Versión Directoral)</w:t>
      </w:r>
      <w:r>
        <w:t xml:space="preserve">. Integra el conocimiento de los Decision Records D-001 a D-007 y de la revisión sistemática B1. Conforme al Principio P-005,</w:t>
      </w:r>
      <w:r>
        <w:t xml:space="preserve"> </w:t>
      </w:r>
      <w:r>
        <w:rPr>
          <w:b/>
        </w:rPr>
        <w:t xml:space="preserve">ningún número, peso, umbral o clasificación se presenta como definitivo</w:t>
      </w:r>
      <w:r>
        <w:t xml:space="preserve">.</w:t>
      </w:r>
    </w:p>
    <w:p>
      <w:pPr>
        <w:pStyle w:val="BodyText"/>
      </w:pPr>
      <w:r>
        <w:t xml:space="preserve">Etiquetas de sección:</w:t>
      </w:r>
      <w:r>
        <w:t xml:space="preserve"> </w:t>
      </w:r>
      <w:r>
        <w:rPr>
          <w:b/>
        </w:rPr>
        <w:t xml:space="preserve">[REDACTADO]</w:t>
      </w:r>
      <w:r>
        <w:t xml:space="preserve"> </w:t>
      </w:r>
      <w:r>
        <w:t xml:space="preserve">contenido con respaldo bibliográfico;</w:t>
      </w:r>
      <w:r>
        <w:t xml:space="preserve"> </w:t>
      </w:r>
      <w:r>
        <w:rPr>
          <w:b/>
        </w:rPr>
        <w:t xml:space="preserve">[PROVISIONAL]</w:t>
      </w:r>
      <w:r>
        <w:t xml:space="preserve"> </w:t>
      </w:r>
      <w:r>
        <w:t xml:space="preserve">diseño propuesto pendiente de validación;</w:t>
      </w:r>
      <w:r>
        <w:t xml:space="preserve"> </w:t>
      </w:r>
      <w:r>
        <w:rPr>
          <w:b/>
        </w:rPr>
        <w:t xml:space="preserve">[PROTOCOLO]</w:t>
      </w:r>
      <w:r>
        <w:t xml:space="preserve"> </w:t>
      </w:r>
      <w:r>
        <w:t xml:space="preserve">diseño de método aún no ejecutado;</w:t>
      </w:r>
      <w:r>
        <w:t xml:space="preserve"> </w:t>
      </w:r>
      <w:r>
        <w:rPr>
          <w:b/>
        </w:rPr>
        <w:t xml:space="preserve">[PENDIENTE-EMPÍRICO]</w:t>
      </w:r>
      <w:r>
        <w:t xml:space="preserve"> </w:t>
      </w:r>
      <w:r>
        <w:t xml:space="preserve">requiere datos de campo (piloto/Delphi) inexistentes hoy. Etiquetas de evidencia:</w:t>
      </w:r>
      <w:r>
        <w:t xml:space="preserve"> </w:t>
      </w:r>
      <w:r>
        <w:rPr>
          <w:b/>
        </w:rPr>
        <w:t xml:space="preserve">[EVIDENCIA]</w:t>
      </w:r>
      <w:r>
        <w:t xml:space="preserve">,</w:t>
      </w:r>
      <w:r>
        <w:t xml:space="preserve"> </w:t>
      </w:r>
      <w:r>
        <w:rPr>
          <w:b/>
        </w:rPr>
        <w:t xml:space="preserve">[CONSENSO]</w:t>
      </w:r>
      <w:r>
        <w:t xml:space="preserve">,</w:t>
      </w:r>
      <w:r>
        <w:t xml:space="preserve"> </w:t>
      </w:r>
      <w:r>
        <w:rPr>
          <w:b/>
        </w:rPr>
        <w:t xml:space="preserve">[DATO]</w:t>
      </w:r>
      <w:r>
        <w:t xml:space="preserve">,</w:t>
      </w:r>
      <w:r>
        <w:t xml:space="preserve"> </w:t>
      </w:r>
      <w:r>
        <w:rPr>
          <w:b/>
        </w:rPr>
        <w:t xml:space="preserve">[PROPUESTA]</w:t>
      </w:r>
      <w:r>
        <w:t xml:space="preserve">.</w:t>
      </w:r>
    </w:p>
    <w:p>
      <w:pPr>
        <w:pStyle w:val="BodyText"/>
      </w:pPr>
      <w:r>
        <w:t xml:space="preserve">Estado global: Tomo I mayormente</w:t>
      </w:r>
      <w:r>
        <w:t xml:space="preserve"> </w:t>
      </w:r>
      <w:r>
        <w:rPr>
          <w:b/>
        </w:rPr>
        <w:t xml:space="preserve">[REDACTADO]</w:t>
      </w:r>
      <w:r>
        <w:t xml:space="preserve">; Tomo II</w:t>
      </w:r>
      <w:r>
        <w:t xml:space="preserve"> </w:t>
      </w:r>
      <w:r>
        <w:rPr>
          <w:b/>
        </w:rPr>
        <w:t xml:space="preserve">[REDACTADO/PROVISIONAL]</w:t>
      </w:r>
      <w:r>
        <w:t xml:space="preserve">; Tomo III</w:t>
      </w:r>
      <w:r>
        <w:t xml:space="preserve"> </w:t>
      </w:r>
      <w:r>
        <w:rPr>
          <w:b/>
        </w:rPr>
        <w:t xml:space="preserve">[PROTOCOLO/PENDIENTE-EMPÍRICO]</w:t>
      </w:r>
      <w:r>
        <w:t xml:space="preserve">; Tomo IV</w:t>
      </w:r>
      <w:r>
        <w:t xml:space="preserve"> </w:t>
      </w:r>
      <w:r>
        <w:rPr>
          <w:b/>
        </w:rPr>
        <w:t xml:space="preserve">[PROVISIONAL]</w:t>
      </w:r>
      <w:r>
        <w:t xml:space="preserve">.</w:t>
      </w:r>
    </w:p>
    <w:p>
      <w:pPr>
        <w:pStyle w:val="Heading1"/>
      </w:pPr>
      <w:bookmarkStart w:id="21" w:name="tomo-i-fundamentos-científicos"/>
      <w:r>
        <w:t xml:space="preserve">TOMO I — FUNDAMENTOS CIENTÍFICOS</w:t>
      </w:r>
      <w:bookmarkEnd w:id="21"/>
    </w:p>
    <w:p>
      <w:pPr>
        <w:pStyle w:val="Heading2"/>
      </w:pPr>
      <w:bookmarkStart w:id="22" w:name="introducción"/>
      <w:r>
        <w:t xml:space="preserve">1. Introducción</w:t>
      </w:r>
      <w:bookmarkEnd w:id="22"/>
    </w:p>
    <w:p>
      <w:pPr>
        <w:pStyle w:val="FirstParagraph"/>
      </w:pPr>
      <w:r>
        <w:rPr>
          <w:b/>
        </w:rPr>
        <w:t xml:space="preserve">1.1 Contexto mundial.</w:t>
      </w:r>
      <w:r>
        <w:t xml:space="preserve"> </w:t>
      </w:r>
      <w:r>
        <w:t xml:space="preserve">La gastronomía comercial es un sector global intensivo en mano de obra, con márgenes estrechos, alta rotación de negocios y creciente exigencia regulatoria en inocuidad y sostenibilidad. La digitalización (delivery, dark kitchens) ha reconfigurado sus operaciones.</w:t>
      </w:r>
      <w:r>
        <w:t xml:space="preserve"> </w:t>
      </w:r>
      <w:r>
        <w:rPr>
          <w:b/>
        </w:rPr>
        <w:t xml:space="preserve">[REDACTADO]</w:t>
      </w:r>
      <w:r>
        <w:t xml:space="preserve"> </w:t>
      </w:r>
      <w:r>
        <w:rPr>
          <w:i/>
        </w:rPr>
        <w:t xml:space="preserve">(Datos cuantitativos específicos a incorporar de fuentes primarias — [DATO a completar en Fase 1]).</w:t>
      </w:r>
    </w:p>
    <w:p>
      <w:pPr>
        <w:pStyle w:val="BodyText"/>
      </w:pPr>
      <w:r>
        <w:rPr>
          <w:b/>
        </w:rPr>
        <w:t xml:space="preserve">1.2 Contexto latinoamericano.</w:t>
      </w:r>
      <w:r>
        <w:t xml:space="preserve"> </w:t>
      </w:r>
      <w:r>
        <w:t xml:space="preserve">Predominio de micro y pequeñas empresas, alta informalidad, baja adopción tecnológica y capacidad técnica limitada, lo que hace inviables los instrumentos que exigen analista experto o software.</w:t>
      </w:r>
      <w:r>
        <w:t xml:space="preserve"> </w:t>
      </w:r>
      <w:r>
        <w:rPr>
          <w:b/>
        </w:rPr>
        <w:t xml:space="preserve">[REDACTADO]</w:t>
      </w:r>
    </w:p>
    <w:p>
      <w:pPr>
        <w:pStyle w:val="BodyText"/>
      </w:pPr>
      <w:r>
        <w:rPr>
          <w:b/>
        </w:rPr>
        <w:t xml:space="preserve">1.3 Contexto nacional.</w:t>
      </w:r>
      <w:r>
        <w:t xml:space="preserve"> </w:t>
      </w:r>
      <w:r>
        <w:t xml:space="preserve">Marco sanitario aplicable (p. ej., Reglamento Sanitario de los Alimentos, en el caso chileno) y estructura de PYMES gastronómicas como destinatario principal del GOEI.</w:t>
      </w:r>
      <w:r>
        <w:t xml:space="preserve"> </w:t>
      </w:r>
      <w:r>
        <w:rPr>
          <w:b/>
        </w:rPr>
        <w:t xml:space="preserve">[REDACTADO]</w:t>
      </w:r>
      <w:r>
        <w:t xml:space="preserve"> </w:t>
      </w:r>
      <w:r>
        <w:rPr>
          <w:i/>
        </w:rPr>
        <w:t xml:space="preserve">(precisar según país objeto de la tesis).</w:t>
      </w:r>
    </w:p>
    <w:p>
      <w:pPr>
        <w:pStyle w:val="BodyText"/>
      </w:pPr>
      <w:r>
        <w:rPr>
          <w:b/>
        </w:rPr>
        <w:t xml:space="preserve">1.4 Problema de investigación.</w:t>
      </w:r>
      <w:r>
        <w:t xml:space="preserve"> </w:t>
      </w:r>
      <w:r>
        <w:t xml:space="preserve">No existe una forma estandarizada, comparable, auditable y de bajo costo tecnológico de expresar la condición operacional integral de un establecimiento gastronómico y compararlo consigo mismo y con pares de su categoría.</w:t>
      </w:r>
      <w:r>
        <w:t xml:space="preserve"> </w:t>
      </w:r>
      <w:r>
        <w:rPr>
          <w:b/>
        </w:rPr>
        <w:t xml:space="preserve">[REDACTADO]</w:t>
      </w:r>
    </w:p>
    <w:p>
      <w:pPr>
        <w:pStyle w:val="BodyText"/>
      </w:pPr>
      <w:r>
        <w:rPr>
          <w:b/>
        </w:rPr>
        <w:t xml:space="preserve">1.5 Brecha científica.</w:t>
      </w:r>
      <w:r>
        <w:t xml:space="preserve"> </w:t>
      </w:r>
      <w:r>
        <w:t xml:space="preserve">Cada propiedad deseada existe por separado (multidimensionalidad, comparabilidad, auditabilidad, cálculo manual) pero ninguna las reúne; y, más profundamente,</w:t>
      </w:r>
      <w:r>
        <w:t xml:space="preserve"> </w:t>
      </w:r>
      <w:r>
        <w:rPr>
          <w:b/>
        </w:rPr>
        <w:t xml:space="preserve">no está demostrado que el constructo sea indexable sin pérdida inaceptable de validez</w:t>
      </w:r>
      <w:r>
        <w:t xml:space="preserve"> </w:t>
      </w:r>
      <w:r>
        <w:t xml:space="preserve">(validez de constructo).</w:t>
      </w:r>
      <w:r>
        <w:t xml:space="preserve"> </w:t>
      </w:r>
      <w:r>
        <w:rPr>
          <w:b/>
        </w:rPr>
        <w:t xml:space="preserve">[REDACTADO]</w:t>
      </w:r>
      <w:r>
        <w:t xml:space="preserve"> </w:t>
      </w:r>
      <w:r>
        <w:t xml:space="preserve">(D-001, D-002).</w:t>
      </w:r>
    </w:p>
    <w:p>
      <w:pPr>
        <w:pStyle w:val="BodyText"/>
      </w:pPr>
      <w:r>
        <w:rPr>
          <w:b/>
        </w:rPr>
        <w:t xml:space="preserve">1.6 Justificación científica.</w:t>
      </w:r>
      <w:r>
        <w:t xml:space="preserve"> </w:t>
      </w:r>
      <w:r>
        <w:t xml:space="preserve">Aporta una pregunta original y resoluble sobre validez de constructo y un marco metodológico reproducible.</w:t>
      </w:r>
      <w:r>
        <w:t xml:space="preserve"> </w:t>
      </w:r>
      <w:r>
        <w:rPr>
          <w:b/>
        </w:rPr>
        <w:t xml:space="preserve">1.7 Académica.</w:t>
      </w:r>
      <w:r>
        <w:t xml:space="preserve"> </w:t>
      </w:r>
      <w:r>
        <w:t xml:space="preserve">Genera tesis y artículos derivados.</w:t>
      </w:r>
      <w:r>
        <w:t xml:space="preserve"> </w:t>
      </w:r>
      <w:r>
        <w:rPr>
          <w:b/>
        </w:rPr>
        <w:t xml:space="preserve">1.8 Empresarial.</w:t>
      </w:r>
      <w:r>
        <w:t xml:space="preserve"> </w:t>
      </w:r>
      <w:r>
        <w:t xml:space="preserve">Provee a las PYMES un diagnóstico integral accionable.</w:t>
      </w:r>
      <w:r>
        <w:t xml:space="preserve"> </w:t>
      </w:r>
      <w:r>
        <w:rPr>
          <w:b/>
        </w:rPr>
        <w:t xml:space="preserve">1.9 Económica.</w:t>
      </w:r>
      <w:r>
        <w:t xml:space="preserve"> </w:t>
      </w:r>
      <w:r>
        <w:t xml:space="preserve">Bajo costo de aplicación (lápiz y papel).</w:t>
      </w:r>
      <w:r>
        <w:t xml:space="preserve"> </w:t>
      </w:r>
      <w:r>
        <w:rPr>
          <w:b/>
        </w:rPr>
        <w:t xml:space="preserve">1.10 Tecnológica.</w:t>
      </w:r>
      <w:r>
        <w:t xml:space="preserve"> </w:t>
      </w:r>
      <w:r>
        <w:t xml:space="preserve">Independiente de software (P-003).</w:t>
      </w:r>
      <w:r>
        <w:t xml:space="preserve"> </w:t>
      </w:r>
      <w:r>
        <w:rPr>
          <w:b/>
        </w:rPr>
        <w:t xml:space="preserve">1.11 Social.</w:t>
      </w:r>
      <w:r>
        <w:t xml:space="preserve"> </w:t>
      </w:r>
      <w:r>
        <w:t xml:space="preserve">Mejora la seguridad alimentaria y la sostenibilidad de los negocios.</w:t>
      </w:r>
      <w:r>
        <w:t xml:space="preserve"> </w:t>
      </w:r>
      <w:r>
        <w:rPr>
          <w:b/>
        </w:rPr>
        <w:t xml:space="preserve">[REDACTADO/PROPUESTA]</w:t>
      </w:r>
    </w:p>
    <w:p>
      <w:pPr>
        <w:pStyle w:val="BodyText"/>
      </w:pPr>
      <w:r>
        <w:rPr>
          <w:b/>
        </w:rPr>
        <w:t xml:space="preserve">1.12 Objetivo general.</w:t>
      </w:r>
      <w:r>
        <w:t xml:space="preserve"> </w:t>
      </w:r>
      <w:r>
        <w:t xml:space="preserve">Fundamentar, diseñar y especificar la validación de un estándar (GOEI) para evaluar la Salud Operacional Gastronómica.</w:t>
      </w:r>
    </w:p>
    <w:p>
      <w:pPr>
        <w:pStyle w:val="BodyText"/>
      </w:pPr>
      <w:r>
        <w:rPr>
          <w:b/>
        </w:rPr>
        <w:t xml:space="preserve">1.13 Objetivos específicos.</w:t>
      </w:r>
      <w:r>
        <w:t xml:space="preserve"> </w:t>
      </w:r>
      <w:r>
        <w:t xml:space="preserve">(i) Demostrar la brecha; (ii) definir el constructo y su modelo de medición; (iii) diseñar arquitectura y ontología; (iv) identificar el núcleo universal de procesos; (v) proponer dimensiones, KPI, normalización, agregación y reglas críticas; (vi) especificar la validación.</w:t>
      </w:r>
    </w:p>
    <w:p>
      <w:pPr>
        <w:pStyle w:val="BodyText"/>
      </w:pPr>
      <w:r>
        <w:rPr>
          <w:b/>
        </w:rPr>
        <w:t xml:space="preserve">1.14 Preguntas de investigación.</w:t>
      </w:r>
      <w:r>
        <w:t xml:space="preserve"> </w:t>
      </w:r>
      <w:r>
        <w:t xml:space="preserve">P-central: ¿es la Salud Operacional un constructo multidimensional válidamente representable como índice compuesto, comparable entre establecimientos heterogéneos y calculable manualmente? + preguntas secundarias por objetivo.</w:t>
      </w:r>
    </w:p>
    <w:p>
      <w:pPr>
        <w:pStyle w:val="BodyText"/>
      </w:pPr>
      <w:r>
        <w:rPr>
          <w:b/>
        </w:rPr>
        <w:t xml:space="preserve">1.15 Hipótesis.</w:t>
      </w:r>
      <w:r>
        <w:t xml:space="preserve"> </w:t>
      </w:r>
      <w:r>
        <w:t xml:space="preserve">H1: la Salud Operacional es un constructo</w:t>
      </w:r>
      <w:r>
        <w:t xml:space="preserve"> </w:t>
      </w:r>
      <w:r>
        <w:rPr>
          <w:b/>
        </w:rPr>
        <w:t xml:space="preserve">formativo</w:t>
      </w:r>
      <w:r>
        <w:t xml:space="preserve"> </w:t>
      </w:r>
      <w:r>
        <w:t xml:space="preserve">válidamente indexable. H2: existe un núcleo universal de macroprocesos a nivel de subsistema. H3: un índice con compuertas no compensatorias representa mejor la condición operacional que uno lineal compensatorio.</w:t>
      </w:r>
      <w:r>
        <w:t xml:space="preserve"> </w:t>
      </w:r>
      <w:r>
        <w:rPr>
          <w:b/>
        </w:rPr>
        <w:t xml:space="preserve">[PROPUESTA — a contrastar]</w:t>
      </w:r>
    </w:p>
    <w:p>
      <w:pPr>
        <w:pStyle w:val="BodyText"/>
      </w:pPr>
      <w:r>
        <w:rPr>
          <w:b/>
        </w:rPr>
        <w:t xml:space="preserve">1.16 Alcances.</w:t>
      </w:r>
      <w:r>
        <w:t xml:space="preserve"> </w:t>
      </w:r>
      <w:r>
        <w:t xml:space="preserve">Foodservice comercial y no comercial; unidad de análisis = establecimiento individual.</w:t>
      </w:r>
      <w:r>
        <w:t xml:space="preserve"> </w:t>
      </w:r>
      <w:r>
        <w:rPr>
          <w:b/>
        </w:rPr>
        <w:t xml:space="preserve">[PROVISIONAL]</w:t>
      </w:r>
      <w:r>
        <w:t xml:space="preserve"> </w:t>
      </w:r>
      <w:r>
        <w:rPr>
          <w:b/>
        </w:rPr>
        <w:t xml:space="preserve">1.17 Limitaciones.</w:t>
      </w:r>
      <w:r>
        <w:t xml:space="preserve"> </w:t>
      </w:r>
      <w:r>
        <w:t xml:space="preserve">Validación empírica no ejecutada; revisión aún no PRISMA plena.</w:t>
      </w:r>
      <w:r>
        <w:t xml:space="preserve"> </w:t>
      </w:r>
      <w:r>
        <w:rPr>
          <w:b/>
        </w:rPr>
        <w:t xml:space="preserve">1.18 Supuestos.</w:t>
      </w:r>
      <w:r>
        <w:t xml:space="preserve"> </w:t>
      </w:r>
      <w:r>
        <w:t xml:space="preserve">Datos observables y obtenibles sin tecnología (P-005).</w:t>
      </w:r>
      <w:r>
        <w:t xml:space="preserve"> </w:t>
      </w:r>
      <w:r>
        <w:rPr>
          <w:b/>
        </w:rPr>
        <w:t xml:space="preserve">1.19 Definiciones preliminares.</w:t>
      </w:r>
      <w:r>
        <w:t xml:space="preserve"> </w:t>
      </w:r>
      <w:r>
        <w:t xml:space="preserve">Ver glosario (Anexos).</w:t>
      </w:r>
      <w:r>
        <w:t xml:space="preserve"> </w:t>
      </w:r>
      <w:r>
        <w:rPr>
          <w:b/>
        </w:rPr>
        <w:t xml:space="preserve">1.20 Estructura de la investigación.</w:t>
      </w:r>
      <w:r>
        <w:t xml:space="preserve"> </w:t>
      </w:r>
      <w:r>
        <w:t xml:space="preserve">Cuatro tomos (Fundamentos, Construcción, Validación, Estándar).</w:t>
      </w:r>
    </w:p>
    <w:p>
      <w:pPr>
        <w:pStyle w:val="Heading2"/>
      </w:pPr>
      <w:bookmarkStart w:id="23" w:name="estado-del-arte"/>
      <w:r>
        <w:t xml:space="preserve">2. Estado del arte</w:t>
      </w:r>
      <w:bookmarkEnd w:id="23"/>
    </w:p>
    <w:p>
      <w:pPr>
        <w:pStyle w:val="FirstParagraph"/>
      </w:pPr>
      <w:r>
        <w:rPr>
          <w:b/>
        </w:rPr>
        <w:t xml:space="preserve">2.1 Metodología de revisión sistemática.</w:t>
      </w:r>
      <w:r>
        <w:t xml:space="preserve"> </w:t>
      </w:r>
      <w:r>
        <w:t xml:space="preserve">Revisión estructurada con aproximación PRISMA.</w:t>
      </w:r>
      <w:r>
        <w:t xml:space="preserve"> </w:t>
      </w:r>
      <w:r>
        <w:rPr>
          <w:b/>
        </w:rPr>
        <w:t xml:space="preserve">2.2 PRISMA.</w:t>
      </w:r>
      <w:r>
        <w:t xml:space="preserve"> </w:t>
      </w:r>
      <w:r>
        <w:t xml:space="preserve">Se declara que la revisión actual</w:t>
      </w:r>
      <w:r>
        <w:t xml:space="preserve"> </w:t>
      </w:r>
      <w:r>
        <w:rPr>
          <w:b/>
        </w:rPr>
        <w:t xml:space="preserve">aproxima</w:t>
      </w:r>
      <w:r>
        <w:t xml:space="preserve"> </w:t>
      </w:r>
      <w:r>
        <w:t xml:space="preserve">PRISMA; la PRISMA plena multibase con doble cribado y diagrama de flujo queda como tarea de cierre (B1/Fase 1).</w:t>
      </w:r>
      <w:r>
        <w:t xml:space="preserve"> </w:t>
      </w:r>
      <w:r>
        <w:rPr>
          <w:b/>
        </w:rPr>
        <w:t xml:space="preserve">[PROTOCOLO]</w:t>
      </w:r>
      <w:r>
        <w:t xml:space="preserve"> </w:t>
      </w:r>
      <w:r>
        <w:rPr>
          <w:b/>
        </w:rPr>
        <w:t xml:space="preserve">2.3 Bases de datos.</w:t>
      </w:r>
      <w:r>
        <w:t xml:space="preserve"> </w:t>
      </w:r>
      <w:r>
        <w:t xml:space="preserve">Objetivo: Scopus, Web of Science, ScienceDirect, PubMed (pendiente de ejecución sistemática).</w:t>
      </w:r>
      <w:r>
        <w:t xml:space="preserve"> </w:t>
      </w:r>
      <w:r>
        <w:rPr>
          <w:b/>
        </w:rPr>
        <w:t xml:space="preserve">2.4 Inclusión / 2.5 Exclusión / 2.6 Estrategia de búsqueda.</w:t>
      </w:r>
      <w:r>
        <w:t xml:space="preserve"> </w:t>
      </w:r>
      <w:r>
        <w:t xml:space="preserve">Definidas en el protocolo B1.</w:t>
      </w:r>
      <w:r>
        <w:t xml:space="preserve"> </w:t>
      </w:r>
      <w:r>
        <w:rPr>
          <w:b/>
        </w:rPr>
        <w:t xml:space="preserve">2.7 Estudios seleccionados / 2.8 Síntesis.</w:t>
      </w:r>
      <w:r>
        <w:t xml:space="preserve"> </w:t>
      </w:r>
      <w:r>
        <w:t xml:space="preserve">Base convergente actual.</w:t>
      </w:r>
    </w:p>
    <w:p>
      <w:pPr>
        <w:pStyle w:val="BodyText"/>
      </w:pPr>
      <w:r>
        <w:rPr>
          <w:b/>
        </w:rPr>
        <w:t xml:space="preserve">Análisis comparativo (síntesis) [REDACTADO]: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Fortaleza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Límite para el GOEI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Balanced Scorecard</w:t>
            </w:r>
          </w:p>
        </w:tc>
        <w:tc>
          <w:p>
            <w:pPr>
              <w:pStyle w:val="Compact"/>
              <w:jc w:val="left"/>
            </w:pPr>
            <w:r>
              <w:t xml:space="preserve">Desempeño multidimensional</w:t>
            </w:r>
          </w:p>
        </w:tc>
        <w:tc>
          <w:p>
            <w:pPr>
              <w:pStyle w:val="Compact"/>
              <w:jc w:val="left"/>
            </w:pPr>
            <w:r>
              <w:t xml:space="preserve">No reduce a lo financiero</w:t>
            </w:r>
          </w:p>
        </w:tc>
        <w:tc>
          <w:p>
            <w:pPr>
              <w:pStyle w:val="Compact"/>
              <w:jc w:val="left"/>
            </w:pPr>
            <w:r>
              <w:t xml:space="preserve">No da número comparable entre empresas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OEE</w:t>
            </w:r>
          </w:p>
        </w:tc>
        <w:tc>
          <w:p>
            <w:pPr>
              <w:pStyle w:val="Compact"/>
              <w:jc w:val="left"/>
            </w:pPr>
            <w:r>
              <w:t xml:space="preserve">Efectividad de activo (Disp×Rend×Cal)</w:t>
            </w:r>
          </w:p>
        </w:tc>
        <w:tc>
          <w:p>
            <w:pPr>
              <w:pStyle w:val="Compact"/>
              <w:jc w:val="left"/>
            </w:pPr>
            <w:r>
              <w:t xml:space="preserve">Agregación</w:t>
            </w:r>
            <w:r>
              <w:t xml:space="preserve"> </w:t>
            </w:r>
            <w:r>
              <w:rPr>
                <w:b/>
              </w:rPr>
              <w:t xml:space="preserve">no compensatoria</w:t>
            </w:r>
          </w:p>
        </w:tc>
        <w:tc>
          <w:p>
            <w:pPr>
              <w:pStyle w:val="Compact"/>
              <w:jc w:val="left"/>
            </w:pPr>
            <w:r>
              <w:t xml:space="preserve">Diseñado para equipos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</w:t>
            </w:r>
          </w:p>
        </w:tc>
        <w:tc>
          <w:p>
            <w:pPr>
              <w:pStyle w:val="Compact"/>
              <w:jc w:val="left"/>
            </w:pPr>
            <w:r>
              <w:t xml:space="preserve">Eficiencia relativa</w:t>
            </w:r>
          </w:p>
        </w:tc>
        <w:tc>
          <w:p>
            <w:pPr>
              <w:pStyle w:val="Compact"/>
              <w:jc w:val="left"/>
            </w:pPr>
            <w:r>
              <w:t xml:space="preserve">Base matemática fuerte</w:t>
            </w:r>
          </w:p>
        </w:tc>
        <w:tc>
          <w:p>
            <w:pPr>
              <w:pStyle w:val="Compact"/>
              <w:jc w:val="left"/>
            </w:pPr>
            <w:r>
              <w:t xml:space="preserve">No manual; exige frontera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</w:t>
            </w:r>
          </w:p>
        </w:tc>
        <w:tc>
          <w:p>
            <w:pPr>
              <w:pStyle w:val="Compact"/>
              <w:jc w:val="left"/>
            </w:pPr>
            <w:r>
              <w:t xml:space="preserve">Referencia de operaciones (5 atributos)</w:t>
            </w:r>
          </w:p>
        </w:tc>
        <w:tc>
          <w:p>
            <w:pPr>
              <w:pStyle w:val="Compact"/>
              <w:jc w:val="left"/>
            </w:pPr>
            <w:r>
              <w:t xml:space="preserve">Estándar jerárquico</w:t>
            </w:r>
          </w:p>
        </w:tc>
        <w:tc>
          <w:p>
            <w:pPr>
              <w:pStyle w:val="Compact"/>
              <w:jc w:val="left"/>
            </w:pPr>
            <w:r>
              <w:t xml:space="preserve">Complejo; no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Lean / Six Sigma</w:t>
            </w:r>
          </w:p>
        </w:tc>
        <w:tc>
          <w:p>
            <w:pPr>
              <w:pStyle w:val="Compact"/>
              <w:jc w:val="left"/>
            </w:pPr>
            <w:r>
              <w:t xml:space="preserve">Flujo/desperdicio; variación/defectos</w:t>
            </w:r>
          </w:p>
        </w:tc>
        <w:tc>
          <w:p>
            <w:pPr>
              <w:pStyle w:val="Compact"/>
              <w:jc w:val="left"/>
            </w:pPr>
            <w:r>
              <w:t xml:space="preserve">Enfoque en merma y calidad</w:t>
            </w:r>
          </w:p>
        </w:tc>
        <w:tc>
          <w:p>
            <w:pPr>
              <w:pStyle w:val="Compact"/>
              <w:jc w:val="left"/>
            </w:pPr>
            <w:r>
              <w:t xml:space="preserve">Método, no constructo de 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EFQM</w:t>
            </w:r>
          </w:p>
        </w:tc>
        <w:tc>
          <w:p>
            <w:pPr>
              <w:pStyle w:val="Compact"/>
              <w:jc w:val="left"/>
            </w:pPr>
            <w:r>
              <w:t xml:space="preserve">Excelencia (enablers→results)</w:t>
            </w:r>
          </w:p>
        </w:tc>
        <w:tc>
          <w:p>
            <w:pPr>
              <w:pStyle w:val="Compact"/>
              <w:jc w:val="left"/>
            </w:pPr>
            <w:r>
              <w:t xml:space="preserve">Puntaje agregado auditado</w:t>
            </w:r>
          </w:p>
        </w:tc>
        <w:tc>
          <w:p>
            <w:pPr>
              <w:pStyle w:val="Compact"/>
              <w:jc w:val="left"/>
            </w:pPr>
            <w:r>
              <w:t xml:space="preserve">Pesado; no PYME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(22000/9001)</w:t>
            </w:r>
          </w:p>
        </w:tc>
        <w:tc>
          <w:p>
            <w:pPr>
              <w:pStyle w:val="Compact"/>
              <w:jc w:val="left"/>
            </w:pPr>
            <w:r>
              <w:t xml:space="preserve">Gestión de calidad/inocuidad</w:t>
            </w:r>
          </w:p>
        </w:tc>
        <w:tc>
          <w:p>
            <w:pPr>
              <w:pStyle w:val="Compact"/>
              <w:jc w:val="left"/>
            </w:pPr>
            <w:r>
              <w:t xml:space="preserve">Norma reconocida</w:t>
            </w:r>
          </w:p>
        </w:tc>
        <w:tc>
          <w:p>
            <w:pPr>
              <w:pStyle w:val="Compact"/>
              <w:jc w:val="left"/>
            </w:pPr>
            <w:r>
              <w:t xml:space="preserve">Certificación, no índice comparativo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SERVQUAL / DINESERV</w:t>
            </w:r>
          </w:p>
        </w:tc>
        <w:tc>
          <w:p>
            <w:pPr>
              <w:pStyle w:val="Compact"/>
              <w:jc w:val="left"/>
            </w:pPr>
            <w:r>
              <w:t xml:space="preserve">Calidad de servicio percibida</w:t>
            </w:r>
          </w:p>
        </w:tc>
        <w:tc>
          <w:p>
            <w:pPr>
              <w:pStyle w:val="Compact"/>
              <w:jc w:val="left"/>
            </w:pPr>
            <w:r>
              <w:t xml:space="preserve">Validado, específico restaurantes</w:t>
            </w:r>
          </w:p>
        </w:tc>
        <w:tc>
          <w:p>
            <w:pPr>
              <w:pStyle w:val="Compact"/>
              <w:jc w:val="left"/>
            </w:pPr>
            <w:r>
              <w:t xml:space="preserve">Mide percepción, no operación física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RevPASH / Yield &amp; Revenue Mgmt</w:t>
            </w:r>
          </w:p>
        </w:tc>
        <w:tc>
          <w:p>
            <w:pPr>
              <w:pStyle w:val="Compact"/>
              <w:jc w:val="left"/>
            </w:pPr>
            <w:r>
              <w:t xml:space="preserve">Rendimiento de capacidad/ingreso</w:t>
            </w:r>
          </w:p>
        </w:tc>
        <w:tc>
          <w:p>
            <w:pPr>
              <w:pStyle w:val="Compact"/>
              <w:jc w:val="left"/>
            </w:pPr>
            <w:r>
              <w:t xml:space="preserve">Combina tiempo y capacidad</w:t>
            </w:r>
          </w:p>
        </w:tc>
        <w:tc>
          <w:p>
            <w:pPr>
              <w:pStyle w:val="Compact"/>
              <w:jc w:val="left"/>
            </w:pPr>
            <w:r>
              <w:t xml:space="preserve">Faceta única (ingreso)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Índices compuestos (OECD/JRC)</w:t>
            </w:r>
          </w:p>
        </w:tc>
        <w:tc>
          <w:p>
            <w:pPr>
              <w:pStyle w:val="Compact"/>
              <w:jc w:val="left"/>
            </w:pPr>
            <w:r>
              <w:t xml:space="preserve">Método de agregación</w:t>
            </w:r>
          </w:p>
        </w:tc>
        <w:tc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t xml:space="preserve">“</w:t>
            </w:r>
            <w:r>
              <w:t xml:space="preserve">cómo</w:t>
            </w:r>
            <w:r>
              <w:t xml:space="preserve">”</w:t>
            </w:r>
            <w:r>
              <w:t xml:space="preserve"> </w:t>
            </w:r>
            <w:r>
              <w:t xml:space="preserve">del GOEI</w:t>
            </w:r>
          </w:p>
        </w:tc>
        <w:tc>
          <w:p>
            <w:pPr>
              <w:pStyle w:val="Compact"/>
              <w:jc w:val="left"/>
            </w:pPr>
            <w:r>
              <w:t xml:space="preserve">Fuente de sus propias objeciones (robustez)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HACCP</w:t>
            </w:r>
          </w:p>
        </w:tc>
        <w:tc>
          <w:p>
            <w:pPr>
              <w:pStyle w:val="Compact"/>
              <w:jc w:val="left"/>
            </w:pPr>
            <w:r>
              <w:t xml:space="preserve">Control de inocuidad</w:t>
            </w:r>
          </w:p>
        </w:tc>
        <w:tc>
          <w:p>
            <w:pPr>
              <w:pStyle w:val="Compact"/>
              <w:jc w:val="left"/>
            </w:pPr>
            <w:r>
              <w:t xml:space="preserve">Norma de seguridad</w:t>
            </w:r>
          </w:p>
        </w:tc>
        <w:tc>
          <w:p>
            <w:pPr>
              <w:pStyle w:val="Compact"/>
              <w:jc w:val="left"/>
            </w:pPr>
            <w:r>
              <w:t xml:space="preserve">Solo inocuidad</w:t>
            </w:r>
          </w:p>
        </w:tc>
      </w:tr>
    </w:tbl>
    <w:p>
      <w:pPr>
        <w:pStyle w:val="BodyText"/>
      </w:pPr>
      <w:r>
        <w:rPr>
          <w:b/>
        </w:rPr>
        <w:t xml:space="preserve">Conclusiones del estado del arte.</w:t>
      </w:r>
      <w:r>
        <w:t xml:space="preserve"> </w:t>
      </w:r>
      <w:r>
        <w:t xml:space="preserve">La brecha es de integración estandarizada + especificidad de dominio; la novedad metodológica pura es baja (normalización/ponderación/agregación ya resueltas en abstracto), por lo que el valor original del GOEI es</w:t>
      </w:r>
      <w:r>
        <w:t xml:space="preserve"> </w:t>
      </w:r>
      <w:r>
        <w:rPr>
          <w:b/>
        </w:rPr>
        <w:t xml:space="preserve">empírico y de dominio</w:t>
      </w:r>
      <w:r>
        <w:t xml:space="preserve">.</w:t>
      </w:r>
      <w:r>
        <w:t xml:space="preserve"> </w:t>
      </w:r>
      <w:r>
        <w:rPr>
          <w:b/>
        </w:rPr>
        <w:t xml:space="preserve">[REDACTADO]</w:t>
      </w:r>
    </w:p>
    <w:p>
      <w:pPr>
        <w:pStyle w:val="Heading2"/>
      </w:pPr>
      <w:bookmarkStart w:id="24" w:name="marco-teórico"/>
      <w:r>
        <w:t xml:space="preserve">3. Marco teórico</w:t>
      </w:r>
      <w:bookmarkEnd w:id="24"/>
    </w:p>
    <w:p>
      <w:pPr>
        <w:pStyle w:val="FirstParagraph"/>
      </w:pPr>
      <w:r>
        <w:rPr>
          <w:b/>
        </w:rPr>
        <w:t xml:space="preserve">3.1 Sistemas / 3.2 Organizaciones / 3.3 Operaciones / 3.4 Gestión operacional.</w:t>
      </w:r>
      <w:r>
        <w:t xml:space="preserve"> </w:t>
      </w:r>
      <w:r>
        <w:t xml:space="preserve">Teoría de sistemas (entrada-transformación-salida) como base; la operación como sistema socio-técnico.</w:t>
      </w:r>
      <w:r>
        <w:t xml:space="preserve"> </w:t>
      </w:r>
      <w:r>
        <w:rPr>
          <w:b/>
        </w:rPr>
        <w:t xml:space="preserve">[REDACTADO]</w:t>
      </w:r>
    </w:p>
    <w:p>
      <w:pPr>
        <w:pStyle w:val="BodyText"/>
      </w:pPr>
      <w:r>
        <w:rPr>
          <w:b/>
        </w:rPr>
        <w:t xml:space="preserve">3.5 Salud operacional.</w:t>
      </w:r>
      <w:r>
        <w:t xml:space="preserve"> </w:t>
      </w:r>
      <w:r>
        <w:t xml:space="preserve">Constructo objeto: condición dinámica del sistema operativo. Distinguido de:</w:t>
      </w:r>
      <w:r>
        <w:t xml:space="preserve"> </w:t>
      </w:r>
      <w:r>
        <w:rPr>
          <w:b/>
        </w:rPr>
        <w:t xml:space="preserve">3.6 Productividad</w:t>
      </w:r>
      <w:r>
        <w:t xml:space="preserve"> </w:t>
      </w:r>
      <w:r>
        <w:t xml:space="preserve">(output/insumo),</w:t>
      </w:r>
      <w:r>
        <w:t xml:space="preserve"> </w:t>
      </w:r>
      <w:r>
        <w:rPr>
          <w:b/>
        </w:rPr>
        <w:t xml:space="preserve">3.7 Eficiencia</w:t>
      </w:r>
      <w:r>
        <w:t xml:space="preserve"> </w:t>
      </w:r>
      <w:r>
        <w:t xml:space="preserve">(relación con frontera),</w:t>
      </w:r>
      <w:r>
        <w:t xml:space="preserve"> </w:t>
      </w:r>
      <w:r>
        <w:rPr>
          <w:b/>
        </w:rPr>
        <w:t xml:space="preserve">3.8 Eficacia</w:t>
      </w:r>
      <w:r>
        <w:t xml:space="preserve"> </w:t>
      </w:r>
      <w:r>
        <w:t xml:space="preserve">(logro de objetivos),</w:t>
      </w:r>
      <w:r>
        <w:t xml:space="preserve"> </w:t>
      </w:r>
      <w:r>
        <w:rPr>
          <w:b/>
        </w:rPr>
        <w:t xml:space="preserve">3.9 Calidad</w:t>
      </w:r>
      <w:r>
        <w:t xml:space="preserve"> </w:t>
      </w:r>
      <w:r>
        <w:t xml:space="preserve">(conformidad).</w:t>
      </w:r>
      <w:r>
        <w:t xml:space="preserve"> </w:t>
      </w:r>
      <w:r>
        <w:rPr>
          <w:b/>
        </w:rPr>
        <w:t xml:space="preserve">[REDACTADO]</w:t>
      </w:r>
      <w:r>
        <w:t xml:space="preserve"> </w:t>
      </w:r>
      <w:r>
        <w:t xml:space="preserve">(D-003).</w:t>
      </w:r>
    </w:p>
    <w:p>
      <w:pPr>
        <w:pStyle w:val="BodyText"/>
      </w:pPr>
      <w:r>
        <w:rPr>
          <w:b/>
        </w:rPr>
        <w:t xml:space="preserve">3.10 KPI / 3.11 Constructos / 3.12 Índices compuestos.</w:t>
      </w:r>
      <w:r>
        <w:t xml:space="preserve"> </w:t>
      </w:r>
      <w:r>
        <w:t xml:space="preserve">Distinción</w:t>
      </w:r>
      <w:r>
        <w:t xml:space="preserve"> </w:t>
      </w:r>
      <w:r>
        <w:rPr>
          <w:b/>
        </w:rPr>
        <w:t xml:space="preserve">type/token</w:t>
      </w:r>
      <w:r>
        <w:t xml:space="preserve">; constructos</w:t>
      </w:r>
      <w:r>
        <w:t xml:space="preserve"> </w:t>
      </w:r>
      <w:r>
        <w:rPr>
          <w:b/>
        </w:rPr>
        <w:t xml:space="preserve">formativos vs reflectivos</w:t>
      </w:r>
      <w:r>
        <w:t xml:space="preserve"> </w:t>
      </w:r>
      <w:r>
        <w:t xml:space="preserve">(Bollen &amp; Lennox, 1991; Jarvis et al., 2003); índices compuestos (OECD/JRC, 2008).</w:t>
      </w:r>
      <w:r>
        <w:t xml:space="preserve"> </w:t>
      </w:r>
      <w:r>
        <w:rPr>
          <w:b/>
        </w:rPr>
        <w:t xml:space="preserve">[REDACTADO]</w:t>
      </w:r>
      <w:r>
        <w:t xml:space="preserve"> </w:t>
      </w:r>
      <w:r>
        <w:t xml:space="preserve">(D-004).</w:t>
      </w:r>
    </w:p>
    <w:p>
      <w:pPr>
        <w:pStyle w:val="BodyText"/>
      </w:pPr>
      <w:r>
        <w:rPr>
          <w:b/>
        </w:rPr>
        <w:t xml:space="preserve">3.13 Procesos / 3.14 Recursos / 3.15 Eventos.</w:t>
      </w:r>
      <w:r>
        <w:t xml:space="preserve"> </w:t>
      </w:r>
      <w:r>
        <w:t xml:space="preserve">Marco REA (McCarthy, 1982) y BFO (continuante/ocurrente).</w:t>
      </w:r>
      <w:r>
        <w:t xml:space="preserve"> </w:t>
      </w:r>
      <w:r>
        <w:rPr>
          <w:b/>
        </w:rPr>
        <w:t xml:space="preserve">3.16 Ontologías / 3.17 Taxonomías / 3.18 Arquitectura empresarial.</w:t>
      </w:r>
      <w:r>
        <w:t xml:space="preserve"> </w:t>
      </w:r>
      <w:r>
        <w:t xml:space="preserve">ArchiMate/TOGAF; APQC.</w:t>
      </w:r>
      <w:r>
        <w:t xml:space="preserve"> </w:t>
      </w:r>
      <w:r>
        <w:rPr>
          <w:b/>
        </w:rPr>
        <w:t xml:space="preserve">3.19 Ingeniería del conocimiento.</w:t>
      </w:r>
      <w:r>
        <w:t xml:space="preserve"> </w:t>
      </w:r>
      <w:r>
        <w:t xml:space="preserve">PROV-O; grafos de conocimiento.</w:t>
      </w:r>
      <w:r>
        <w:t xml:space="preserve"> </w:t>
      </w:r>
      <w:r>
        <w:rPr>
          <w:b/>
        </w:rPr>
        <w:t xml:space="preserve">3.20 Frameworks internacionales.</w:t>
      </w:r>
      <w:r>
        <w:t xml:space="preserve"> </w:t>
      </w:r>
      <w:r>
        <w:t xml:space="preserve">ISO Annex SL, CMMI, SCOR, Ocean Health Index.</w:t>
      </w:r>
      <w:r>
        <w:t xml:space="preserve"> </w:t>
      </w:r>
      <w:r>
        <w:rPr>
          <w:b/>
        </w:rPr>
        <w:t xml:space="preserve">[REDACTADO]</w:t>
      </w:r>
      <w:r>
        <w:t xml:space="preserve"> </w:t>
      </w:r>
      <w:r>
        <w:t xml:space="preserve">(D-005, D-006).</w:t>
      </w:r>
    </w:p>
    <w:p>
      <w:pPr>
        <w:pStyle w:val="Heading2"/>
      </w:pPr>
      <w:bookmarkStart w:id="25" w:name="modelo-conceptual"/>
      <w:r>
        <w:t xml:space="preserve">4. Modelo conceptual</w:t>
      </w:r>
      <w:bookmarkEnd w:id="25"/>
    </w:p>
    <w:p>
      <w:pPr>
        <w:pStyle w:val="FirstParagraph"/>
      </w:pPr>
      <w:r>
        <w:rPr>
          <w:b/>
        </w:rPr>
        <w:t xml:space="preserve">4.1 Constructo.</w:t>
      </w:r>
      <w:r>
        <w:t xml:space="preserve"> </w:t>
      </w:r>
      <w:r>
        <w:t xml:space="preserve">Salud Operacional Gastronómica.</w:t>
      </w:r>
      <w:r>
        <w:t xml:space="preserve"> </w:t>
      </w:r>
      <w:r>
        <w:rPr>
          <w:b/>
        </w:rPr>
        <w:t xml:space="preserve">4.2 Definición oficial.</w:t>
      </w:r>
      <w:r>
        <w:t xml:space="preserve"> </w:t>
      </w:r>
      <w:r>
        <w:t xml:space="preserve">Respaldada por</w:t>
      </w:r>
      <w:r>
        <w:t xml:space="preserve"> </w:t>
      </w:r>
      <w:r>
        <w:rPr>
          <w:b/>
        </w:rPr>
        <w:t xml:space="preserve">D-004</w:t>
      </w:r>
      <w:r>
        <w:t xml:space="preserve"> </w:t>
      </w:r>
      <w:r>
        <w:t xml:space="preserve">(no por instrumentos de gobernanza); su redacción formal es competencia de la Oficina Técnica tras el cierre de Fase A.</w:t>
      </w:r>
      <w:r>
        <w:t xml:space="preserve"> </w:t>
      </w:r>
      <w:r>
        <w:rPr>
          <w:b/>
        </w:rPr>
        <w:t xml:space="preserve">[PROVISIONAL]</w:t>
      </w:r>
      <w:r>
        <w:t xml:space="preserve"> </w:t>
      </w:r>
      <w:r>
        <w:rPr>
          <w:b/>
        </w:rPr>
        <w:t xml:space="preserve">4.3 Alcance / 4.4 Límites.</w:t>
      </w:r>
      <w:r>
        <w:t xml:space="preserve"> </w:t>
      </w:r>
      <w:r>
        <w:t xml:space="preserve">Condición operacional presente evaluada contra estado de referencia; no mide reputación de marca ni percepción longitudinal (salvo Vía B).</w:t>
      </w:r>
      <w:r>
        <w:t xml:space="preserve"> </w:t>
      </w:r>
      <w:r>
        <w:rPr>
          <w:b/>
        </w:rPr>
        <w:t xml:space="preserve">4.5 Ontología</w:t>
      </w:r>
      <w:r>
        <w:t xml:space="preserve"> </w:t>
      </w:r>
      <w:r>
        <w:t xml:space="preserve">(cap. 6/anexos).</w:t>
      </w:r>
      <w:r>
        <w:t xml:space="preserve"> </w:t>
      </w:r>
      <w:r>
        <w:rPr>
          <w:b/>
        </w:rPr>
        <w:t xml:space="preserve">4.6 Taxonomía</w:t>
      </w:r>
      <w:r>
        <w:t xml:space="preserve"> </w:t>
      </w:r>
      <w:r>
        <w:t xml:space="preserve">(cap. 7).</w:t>
      </w:r>
      <w:r>
        <w:t xml:space="preserve"> </w:t>
      </w:r>
      <w:r>
        <w:rPr>
          <w:b/>
        </w:rPr>
        <w:t xml:space="preserve">4.7 Arquitectura conceptual / 4.8 Relaciones / 4.9 Hipótesis conceptuales.</w:t>
      </w:r>
      <w:r>
        <w:t xml:space="preserve"> </w:t>
      </w:r>
      <w:r>
        <w:t xml:space="preserve">Ver ontología de tres estratos.</w:t>
      </w:r>
      <w:r>
        <w:t xml:space="preserve"> </w:t>
      </w:r>
      <w:r>
        <w:rPr>
          <w:b/>
        </w:rPr>
        <w:t xml:space="preserve">4.10 Modelo conceptual final.</w:t>
      </w:r>
      <w:r>
        <w:t xml:space="preserve"> </w:t>
      </w:r>
      <w:r>
        <w:t xml:space="preserve">Salud Operacional = compuesto formativo de dimensiones constitutivas, con compuertas críticas, estimado como cualidad del establecimiento en un periodo.</w:t>
      </w:r>
      <w:r>
        <w:t xml:space="preserve"> </w:t>
      </w:r>
      <w:r>
        <w:rPr>
          <w:b/>
        </w:rPr>
        <w:t xml:space="preserve">[REDACTADO/PROVISIONAL]</w:t>
      </w:r>
    </w:p>
    <w:p>
      <w:pPr>
        <w:pStyle w:val="Heading1"/>
      </w:pPr>
      <w:bookmarkStart w:id="26" w:name="tomo-ii-construcción-del-goei"/>
      <w:r>
        <w:t xml:space="preserve">TOMO II — CONSTRUCCIÓN DEL GOEI</w:t>
      </w:r>
      <w:bookmarkEnd w:id="26"/>
    </w:p>
    <w:p>
      <w:pPr>
        <w:pStyle w:val="Heading2"/>
      </w:pPr>
      <w:bookmarkStart w:id="27" w:name="arquitectura-del-goei"/>
      <w:r>
        <w:t xml:space="preserve">5. Arquitectura del GOEI</w:t>
      </w:r>
      <w:bookmarkEnd w:id="27"/>
    </w:p>
    <w:p>
      <w:pPr>
        <w:pStyle w:val="FirstParagraph"/>
      </w:pPr>
      <w:r>
        <w:rPr>
          <w:b/>
        </w:rPr>
        <w:t xml:space="preserve">5.1 Filosofía.</w:t>
      </w:r>
      <w:r>
        <w:t xml:space="preserve"> </w:t>
      </w:r>
      <w:r>
        <w:t xml:space="preserve">El conocimiento precede al estándar; el estándar precede al software (P-007, P-008).</w:t>
      </w:r>
      <w:r>
        <w:t xml:space="preserve"> </w:t>
      </w:r>
      <w:r>
        <w:rPr>
          <w:b/>
        </w:rPr>
        <w:t xml:space="preserve">5.2 Principios.</w:t>
      </w:r>
      <w:r>
        <w:t xml:space="preserve"> </w:t>
      </w:r>
      <w:r>
        <w:t xml:space="preserve">P-001..P-010 del Master Plan.</w:t>
      </w:r>
      <w:r>
        <w:t xml:space="preserve"> </w:t>
      </w:r>
      <w:r>
        <w:rPr>
          <w:b/>
        </w:rPr>
        <w:t xml:space="preserve">5.3 Objetivos.</w:t>
      </w:r>
      <w:r>
        <w:t xml:space="preserve"> </w:t>
      </w:r>
      <w:r>
        <w:t xml:space="preserve">Estándar reproducible e independiente de software.</w:t>
      </w:r>
      <w:r>
        <w:t xml:space="preserve"> </w:t>
      </w:r>
      <w:r>
        <w:rPr>
          <w:b/>
        </w:rPr>
        <w:t xml:space="preserve">5.4 Framework / 5.5 Arquitectura documental / 5.6 Jerarquía documental.</w:t>
      </w:r>
      <w:r>
        <w:t xml:space="preserve"> </w:t>
      </w:r>
      <w:r>
        <w:t xml:space="preserve">Eje normativo N0–N9 + planos transversales T1–T4 + esquema de conformidad K1–K4 (D-005).</w:t>
      </w:r>
      <w:r>
        <w:t xml:space="preserve"> </w:t>
      </w:r>
      <w:r>
        <w:rPr>
          <w:b/>
        </w:rPr>
        <w:t xml:space="preserve">5.7 Gobernanza.</w:t>
      </w:r>
      <w:r>
        <w:t xml:space="preserve"> </w:t>
      </w:r>
      <w:r>
        <w:t xml:space="preserve">Propietario, comité, IP, ética, gobernanza de datos (T1; pendiente GOEI-ISS-003).</w:t>
      </w:r>
      <w:r>
        <w:t xml:space="preserve"> </w:t>
      </w:r>
      <w:r>
        <w:rPr>
          <w:b/>
        </w:rPr>
        <w:t xml:space="preserve">5.8 Ciclo de vida / 5.9 Versionado.</w:t>
      </w:r>
      <w:r>
        <w:t xml:space="preserve"> </w:t>
      </w:r>
      <w:r>
        <w:t xml:space="preserve">Estados de versión (borrador→en validación→publicado→sustituido→retirado); competencia de la Oficina Técnica.</w:t>
      </w:r>
      <w:r>
        <w:t xml:space="preserve"> </w:t>
      </w:r>
      <w:r>
        <w:rPr>
          <w:b/>
        </w:rPr>
        <w:t xml:space="preserve">[REDACTADO/PROVISIONAL]</w:t>
      </w:r>
    </w:p>
    <w:p>
      <w:pPr>
        <w:pStyle w:val="Heading2"/>
      </w:pPr>
      <w:bookmarkStart w:id="28" w:name="procesos-universales"/>
      <w:r>
        <w:t xml:space="preserve">6. Procesos universales</w:t>
      </w:r>
      <w:bookmarkEnd w:id="28"/>
    </w:p>
    <w:p>
      <w:pPr>
        <w:pStyle w:val="FirstParagraph"/>
      </w:pPr>
      <w:r>
        <w:t xml:space="preserve">Núcleo a dos niveles (D-007, B1), convergente en Spears &amp; Gregoire, APQC, BPM de restaurantes y foodservice hospitalario.</w:t>
      </w:r>
      <w:r>
        <w:t xml:space="preserve"> </w:t>
      </w:r>
      <w:r>
        <w:rPr>
          <w:b/>
        </w:rPr>
        <w:t xml:space="preserve">[REDACTADO]</w:t>
      </w:r>
    </w:p>
    <w:p>
      <w:pPr>
        <w:pStyle w:val="BodyText"/>
      </w:pPr>
      <w:r>
        <w:rPr>
          <w:b/>
        </w:rPr>
        <w:t xml:space="preserve">6.1 Macroprocesos.</w:t>
      </w:r>
      <w:r>
        <w:t xml:space="preserve"> </w:t>
      </w:r>
      <w:r>
        <w:t xml:space="preserve">Cadena primaria: P1 planificación/menú · P2 aprovisionamiento · P3 recepción-almacenamiento-inventario · P4 producción · P5 distribución/entrega · P6 cierre transaccional. Transversales: inocuidad, mantenimiento, gestión, residuos.</w:t>
      </w:r>
      <w:r>
        <w:t xml:space="preserve"> </w:t>
      </w:r>
      <w:r>
        <w:rPr>
          <w:b/>
        </w:rPr>
        <w:t xml:space="preserve">6.2 Procesos / 6.3 Subprocesos / 6.4 Actividades.</w:t>
      </w:r>
      <w:r>
        <w:t xml:space="preserve"> </w:t>
      </w:r>
      <w:r>
        <w:t xml:space="preserve">Descomposición jerárquica por macroproceso</w:t>
      </w:r>
      <w:r>
        <w:t xml:space="preserve"> </w:t>
      </w:r>
      <w:r>
        <w:rPr>
          <w:b/>
        </w:rPr>
        <w:t xml:space="preserve">[PROVISIONAL]</w:t>
      </w:r>
      <w:r>
        <w:t xml:space="preserve">.</w:t>
      </w:r>
      <w:r>
        <w:t xml:space="preserve"> </w:t>
      </w:r>
      <w:r>
        <w:rPr>
          <w:b/>
        </w:rPr>
        <w:t xml:space="preserve">6.5 Eventos / 6.6 Recursos / 6.7 Entradas / 6.8 Salidas.</w:t>
      </w:r>
      <w:r>
        <w:t xml:space="preserve"> </w:t>
      </w:r>
      <w:r>
        <w:t xml:space="preserve">Modelados por REA (evento usa/consume/produce recurso).</w:t>
      </w:r>
      <w:r>
        <w:t xml:space="preserve"> </w:t>
      </w:r>
      <w:r>
        <w:rPr>
          <w:b/>
        </w:rPr>
        <w:t xml:space="preserve">6.9 Riesgos / 6.10 Controles.</w:t>
      </w:r>
      <w:r>
        <w:t xml:space="preserve"> </w:t>
      </w:r>
      <w:r>
        <w:t xml:space="preserve">Inocuidad con puntos de control en cada eslabón (doble rol: proceso + regla crítica).</w:t>
      </w:r>
      <w:r>
        <w:t xml:space="preserve"> </w:t>
      </w:r>
      <w:r>
        <w:rPr>
          <w:b/>
        </w:rPr>
        <w:t xml:space="preserve">[REDACTADO/PROVISIONAL]</w:t>
      </w:r>
    </w:p>
    <w:p>
      <w:pPr>
        <w:pStyle w:val="Heading2"/>
      </w:pPr>
      <w:bookmarkStart w:id="29" w:name="taxonomía-universal-provisional"/>
      <w:r>
        <w:t xml:space="preserve">7. Taxonomía universal [PROVISIONAL]</w:t>
      </w:r>
      <w:bookmarkEnd w:id="29"/>
    </w:p>
    <w:p>
      <w:pPr>
        <w:pStyle w:val="FirstParagraph"/>
      </w:pPr>
      <w:r>
        <w:t xml:space="preserve">Taxonomía</w:t>
      </w:r>
      <w:r>
        <w:t xml:space="preserve"> </w:t>
      </w:r>
      <w:r>
        <w:rPr>
          <w:b/>
        </w:rPr>
        <w:t xml:space="preserve">multieje</w:t>
      </w:r>
      <w:r>
        <w:t xml:space="preserve"> </w:t>
      </w:r>
      <w:r>
        <w:t xml:space="preserve">(no lista plana), anclada en sistemas reales de clasificación: NAICS 722 (Full-Service 7221, Limited-Service 7222, Special Food Services 7223, Drinking Places 7224); segmentación comercial QSR/Fast Casual/Casual/Fine Dining; y la partición comercial/no comercial.</w:t>
      </w:r>
      <w:r>
        <w:t xml:space="preserve"> </w:t>
      </w:r>
      <w:r>
        <w:rPr>
          <w:b/>
        </w:rPr>
        <w:t xml:space="preserve">[EVIDENCIA de clasificaciones existentes; combinación PROPUESTA]</w:t>
      </w:r>
    </w:p>
    <w:p>
      <w:pPr>
        <w:pStyle w:val="BodyText"/>
      </w:pPr>
      <w:r>
        <w:rPr>
          <w:b/>
        </w:rPr>
        <w:t xml:space="preserve">Ejes candidatos:</w:t>
      </w:r>
      <w:r>
        <w:t xml:space="preserve"> </w:t>
      </w:r>
      <w:r>
        <w:t xml:space="preserve">(1) modo de entrega (mesa/mostrador/autoservicio/delivery/banquete/bandeja institucional); (2) sistema de producción (convencional/cook-chill/commissary/assembly-serve); (3) naturaleza económica (comercial/no comercial); (4) complejidad de oferta.</w:t>
      </w:r>
    </w:p>
    <w:p>
      <w:pPr>
        <w:pStyle w:val="BodyText"/>
      </w:pPr>
      <w:r>
        <w:t xml:space="preserve">Las categorías del Plan Maestro se ubican como</w:t>
      </w:r>
      <w:r>
        <w:t xml:space="preserve"> </w:t>
      </w:r>
      <w:r>
        <w:rPr>
          <w:b/>
        </w:rPr>
        <w:t xml:space="preserve">combinaciones</w:t>
      </w:r>
      <w:r>
        <w:t xml:space="preserve"> </w:t>
      </w:r>
      <w:r>
        <w:t xml:space="preserve">de ejes: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7.x Categoría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Modo entrega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 Restaurantes (full/casual/fine)</w:t>
            </w:r>
          </w:p>
        </w:tc>
        <w:tc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NAICS 7221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 Hoteles (A&amp;B/banquete)</w:t>
            </w:r>
          </w:p>
        </w:tc>
        <w:tc>
          <w:p>
            <w:pPr>
              <w:pStyle w:val="Compact"/>
              <w:jc w:val="left"/>
            </w:pPr>
            <w:r>
              <w:t xml:space="preserve">mesa/banquete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multi-outlet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7.3 Fast food / QSR</w:t>
            </w:r>
          </w:p>
        </w:tc>
        <w:tc>
          <w:p>
            <w:pPr>
              <w:pStyle w:val="Compact"/>
              <w:jc w:val="left"/>
            </w:pPr>
            <w:r>
              <w:t xml:space="preserve">mostrador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NAICS 7222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7.4 Cafeterías</w:t>
            </w:r>
          </w:p>
        </w:tc>
        <w:tc>
          <w:p>
            <w:pPr>
              <w:pStyle w:val="Compact"/>
              <w:jc w:val="left"/>
            </w:pPr>
            <w:r>
              <w:t xml:space="preserve">mostrador/mesa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7.5 Dark kitchens</w:t>
            </w:r>
          </w:p>
        </w:tc>
        <w:tc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sin FOH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7.6 Casinos (comedores institucionales)</w:t>
            </w:r>
          </w:p>
        </w:tc>
        <w:tc>
          <w:p>
            <w:pPr>
              <w:pStyle w:val="Compact"/>
              <w:jc w:val="left"/>
            </w:pPr>
            <w:r>
              <w:t xml:space="preserve">autoservicio/bandeja</w:t>
            </w:r>
          </w:p>
        </w:tc>
        <w:tc>
          <w:p>
            <w:pPr>
              <w:pStyle w:val="Compact"/>
              <w:jc w:val="left"/>
            </w:pPr>
            <w:r>
              <w:t xml:space="preserve">comercial/no comercial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7.7 Catering</w:t>
            </w:r>
          </w:p>
        </w:tc>
        <w:tc>
          <w:p>
            <w:pPr>
              <w:pStyle w:val="Compact"/>
              <w:jc w:val="left"/>
            </w:pPr>
            <w:r>
              <w:t xml:space="preserve">transporte/evento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NAICS 7223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7.8 Food trucks</w:t>
            </w:r>
          </w:p>
        </w:tc>
        <w:tc>
          <w:p>
            <w:pPr>
              <w:pStyle w:val="Compact"/>
              <w:jc w:val="left"/>
            </w:pPr>
            <w:r>
              <w:t xml:space="preserve">mostrador/móvil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NAICS 7223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7.9 Panaderías</w:t>
            </w:r>
          </w:p>
        </w:tc>
        <w:tc>
          <w:p>
            <w:pPr>
              <w:pStyle w:val="Compact"/>
              <w:jc w:val="left"/>
            </w:pPr>
            <w:r>
              <w:t xml:space="preserve">mostrador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producción intensiva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7.10 Otras (hospitalario, escolar, penitenciario, aéreo)</w:t>
            </w:r>
          </w:p>
        </w:tc>
        <w:tc>
          <w:p>
            <w:pPr>
              <w:pStyle w:val="Compact"/>
              <w:jc w:val="left"/>
            </w:pPr>
            <w:r>
              <w:t xml:space="preserve">bandeja/distribución</w:t>
            </w:r>
          </w:p>
        </w:tc>
        <w:tc>
          <w:p>
            <w:pPr>
              <w:pStyle w:val="Compact"/>
              <w:jc w:val="left"/>
            </w:pPr>
            <w:r>
              <w:t xml:space="preserve">no comercial</w:t>
            </w:r>
          </w:p>
        </w:tc>
        <w:tc>
          <w:p>
            <w:pPr>
              <w:pStyle w:val="Compact"/>
              <w:jc w:val="left"/>
            </w:pPr>
            <w:r>
              <w:t xml:space="preserve">tensiona P6</w:t>
            </w:r>
          </w:p>
        </w:tc>
      </w:tr>
    </w:tbl>
    <w:p>
      <w:pPr>
        <w:pStyle w:val="BodyText"/>
      </w:pPr>
      <w:r>
        <w:t xml:space="preserve">El GOEI aplica el</w:t>
      </w:r>
      <w:r>
        <w:t xml:space="preserve"> </w:t>
      </w:r>
      <w:r>
        <w:rPr>
          <w:b/>
        </w:rPr>
        <w:t xml:space="preserve">núcleo universal</w:t>
      </w:r>
      <w:r>
        <w:t xml:space="preserve"> </w:t>
      </w:r>
      <w:r>
        <w:t xml:space="preserve">a todas y</w:t>
      </w:r>
      <w:r>
        <w:t xml:space="preserve"> </w:t>
      </w:r>
      <w:r>
        <w:rPr>
          <w:b/>
        </w:rPr>
        <w:t xml:space="preserve">KPI/umbrales específicos</w:t>
      </w:r>
      <w:r>
        <w:t xml:space="preserve"> </w:t>
      </w:r>
      <w:r>
        <w:t xml:space="preserve">por combinación.</w:t>
      </w:r>
      <w:r>
        <w:t xml:space="preserve"> </w:t>
      </w:r>
      <w:r>
        <w:rPr>
          <w:b/>
        </w:rPr>
        <w:t xml:space="preserve">[PROVISIONAL — validar exhaustividad y exclusión mutua]</w:t>
      </w:r>
    </w:p>
    <w:p>
      <w:pPr>
        <w:pStyle w:val="Heading2"/>
      </w:pPr>
      <w:bookmarkStart w:id="30" w:name="X36843be71cc281df95e293c148a3871e4cc74f8"/>
      <w:r>
        <w:t xml:space="preserve">8. Catálogo universal de KPI [PROVISIONAL — candidatos, sin pesos ni umbrales validados]</w:t>
      </w:r>
      <w:bookmarkEnd w:id="30"/>
    </w:p>
    <w:p>
      <w:pPr>
        <w:pStyle w:val="FirstParagraph"/>
      </w:pPr>
      <w:r>
        <w:t xml:space="preserve">Estructura de ficha por KPI (según Plan Maestro): nombre · definición · autor · bibliografía · proceso asociado · variables · unidad · fórmula original · ventajas · limitaciones · método de captura · frecuencia · interpretación. Candidatos ilustrativos por dimensión: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Costos:</w:t>
      </w:r>
      <w:r>
        <w:t xml:space="preserve"> </w:t>
      </w:r>
      <w:r>
        <w:t xml:space="preserve">food cost %, prime cost %, costo laboral % (proceso P2/P4/gestión).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Productividad de recursos:</w:t>
      </w:r>
      <w:r>
        <w:t xml:space="preserve"> </w:t>
      </w:r>
      <w:r>
        <w:t xml:space="preserve">RevPASH (Kimes), rotación de mesas, productividad laboral, utilización de capacidad (P5/gestión).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Calidad de producto:</w:t>
      </w:r>
      <w:r>
        <w:t xml:space="preserve"> </w:t>
      </w:r>
      <w:r>
        <w:t xml:space="preserve">tasa de rehechos/conformidad (P4).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Servicio/experiencia:</w:t>
      </w:r>
      <w:r>
        <w:t xml:space="preserve"> </w:t>
      </w:r>
      <w:r>
        <w:t xml:space="preserve">ítems tipo DINESERV, tiempo de servicio, error en pedidos (P5).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Inocuidad:</w:t>
      </w:r>
      <w:r>
        <w:t xml:space="preserve"> </w:t>
      </w:r>
      <w:r>
        <w:t xml:space="preserve">cumplimiento de PCC HACCP, hallazgos críticos (transversal — gatekeeper).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Personas:</w:t>
      </w:r>
      <w:r>
        <w:t xml:space="preserve"> </w:t>
      </w:r>
      <w:r>
        <w:t xml:space="preserve">rotación de personal, cobertura de capacitación (gestión).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Sostenibilidad:</w:t>
      </w:r>
      <w:r>
        <w:t xml:space="preserve"> </w:t>
      </w:r>
      <w:r>
        <w:t xml:space="preserve">% de merma, desperdicio por cubierto (residuos).</w:t>
      </w:r>
    </w:p>
    <w:p>
      <w:pPr>
        <w:pStyle w:val="FirstParagraph"/>
      </w:pPr>
      <w:r>
        <w:rPr>
          <w:i/>
        </w:rPr>
        <w:t xml:space="preserve">Cada ficha completa se poblará y depurará contra la matriz de admisibilidad y el Delphi.</w:t>
      </w:r>
      <w:r>
        <w:t xml:space="preserve"> </w:t>
      </w:r>
      <w:r>
        <w:rPr>
          <w:b/>
        </w:rPr>
        <w:t xml:space="preserve">[PENDIENTE-EMPÍRICO para la selección definitiva]</w:t>
      </w:r>
    </w:p>
    <w:p>
      <w:pPr>
        <w:pStyle w:val="Heading2"/>
      </w:pPr>
      <w:bookmarkStart w:id="31" w:name="X4ecdc597cfe43664934683f2a434fc089c5ac17"/>
      <w:r>
        <w:t xml:space="preserve">9. Manual de admisibilidad de KPI [PROVISIONAL]</w:t>
      </w:r>
      <w:bookmarkEnd w:id="31"/>
    </w:p>
    <w:p>
      <w:pPr>
        <w:pStyle w:val="FirstParagraph"/>
      </w:pPr>
      <w:r>
        <w:t xml:space="preserve">Criterios (derivados de principios del proyecto + anclaje ontológico AX-11): observabilidad · medibilidad · auditabilidad · comparabilidad · repetibilidad · universalidad (realizable por la categoría) · disponibilidad · costo (obtenible sin tecnología) · validez · confiabilidad · no redundancia (colinealidad). Cada KPI candidato se puntúa contra estos criterios; solo los admisibles entran.</w:t>
      </w:r>
      <w:r>
        <w:t xml:space="preserve"> </w:t>
      </w:r>
      <w:r>
        <w:rPr>
          <w:b/>
        </w:rPr>
        <w:t xml:space="preserve">[PROPUESTA]</w:t>
      </w:r>
    </w:p>
    <w:p>
      <w:pPr>
        <w:pStyle w:val="Heading2"/>
      </w:pPr>
      <w:bookmarkStart w:id="32" w:name="sistema-de-normalización-provisional"/>
      <w:r>
        <w:t xml:space="preserve">10. Sistema de normalización [PROVISIONAL]</w:t>
      </w:r>
      <w:bookmarkEnd w:id="32"/>
    </w:p>
    <w:p>
      <w:pPr>
        <w:pStyle w:val="FirstParagraph"/>
      </w:pPr>
      <w:r>
        <w:t xml:space="preserve">Normalización a</w:t>
      </w:r>
      <w:r>
        <w:t xml:space="preserve"> </w:t>
      </w:r>
      <w:r>
        <w:rPr>
          <w:b/>
        </w:rPr>
        <w:t xml:space="preserve">estado de referencia</w:t>
      </w:r>
      <w:r>
        <w:t xml:space="preserve"> </w:t>
      </w:r>
      <w:r>
        <w:t xml:space="preserve">0–100 (análoga a IBI/OHI/HEI): cada KPI se transforma según su distancia entre un ancla inferior (inaceptable) y superior (referencia</w:t>
      </w:r>
      <w:r>
        <w:t xml:space="preserve"> </w:t>
      </w:r>
      <w:r>
        <w:t xml:space="preserve">“</w:t>
      </w:r>
      <w:r>
        <w:t xml:space="preserve">sana</w:t>
      </w:r>
      <w:r>
        <w:t xml:space="preserve">”</w:t>
      </w:r>
      <w:r>
        <w:t xml:space="preserve">), respetando su dirección de bondad. Tratamiento de</w:t>
      </w:r>
      <w:r>
        <w:t xml:space="preserve"> </w:t>
      </w:r>
      <w:r>
        <w:rPr>
          <w:b/>
        </w:rPr>
        <w:t xml:space="preserve">outliers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valores faltantes</w:t>
      </w:r>
      <w:r>
        <w:t xml:space="preserve"> </w:t>
      </w:r>
      <w:r>
        <w:t xml:space="preserve">según OECD/JRC;</w:t>
      </w:r>
      <w:r>
        <w:t xml:space="preserve"> </w:t>
      </w:r>
      <w:r>
        <w:rPr>
          <w:b/>
        </w:rPr>
        <w:t xml:space="preserve">homologación</w:t>
      </w:r>
      <w:r>
        <w:t xml:space="preserve"> </w:t>
      </w:r>
      <w:r>
        <w:t xml:space="preserve">a escala común mediante tablas de conversión</w:t>
      </w:r>
      <w:r>
        <w:t xml:space="preserve"> </w:t>
      </w:r>
      <w:r>
        <w:rPr>
          <w:b/>
        </w:rPr>
        <w:t xml:space="preserve">calculables a mano</w:t>
      </w:r>
      <w:r>
        <w:t xml:space="preserve">. Las anclas concretas requieren calibración.</w:t>
      </w:r>
      <w:r>
        <w:t xml:space="preserve"> </w:t>
      </w:r>
      <w:r>
        <w:rPr>
          <w:b/>
        </w:rPr>
        <w:t xml:space="preserve">[PROTOCOLO/PENDIENTE-EMPÍRICO]</w:t>
      </w:r>
    </w:p>
    <w:p>
      <w:pPr>
        <w:pStyle w:val="Heading2"/>
      </w:pPr>
      <w:bookmarkStart w:id="33" w:name="X55248b927965643ddc07c8995a39c7e105db633"/>
      <w:r>
        <w:t xml:space="preserve">11. Modelo matemático [PROVISIONAL — estructura, sin pesos]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Ponderación:</w:t>
      </w:r>
      <w:r>
        <w:t xml:space="preserve"> </w:t>
      </w:r>
      <w:r>
        <w:t xml:space="preserve">por definir (igual / consenso experto / basada en datos), con justificación y análisis de sensibilidad.</w:t>
      </w:r>
      <w:r>
        <w:t xml:space="preserve"> </w:t>
      </w:r>
      <w:r>
        <w:rPr>
          <w:b/>
        </w:rPr>
        <w:t xml:space="preserve">No se fijan pesos aquí.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Agregación:</w:t>
      </w:r>
      <w:r>
        <w:t xml:space="preserve"> </w:t>
      </w:r>
      <w:r>
        <w:t xml:space="preserve">intra-dimensión (KPI→dimensión) e inter-dimensión con</w:t>
      </w:r>
      <w:r>
        <w:t xml:space="preserve"> </w:t>
      </w:r>
      <w:r>
        <w:rPr>
          <w:b/>
        </w:rPr>
        <w:t xml:space="preserve">compensación limitada</w:t>
      </w:r>
      <w:r>
        <w:t xml:space="preserve"> </w:t>
      </w:r>
      <w:r>
        <w:t xml:space="preserve">(media geométrica o agregación penalizada) coherente con la crítica a la agregación lineal.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Compuertas críticas:</w:t>
      </w:r>
      <w:r>
        <w:t xml:space="preserve"> </w:t>
      </w:r>
      <w:r>
        <w:t xml:space="preserve">reglas no compensatorias (inocuidad/legalidad) como techos del resultado.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Sensibilidad / robustez / incertidumbre:</w:t>
      </w:r>
      <w:r>
        <w:t xml:space="preserve"> </w:t>
      </w:r>
      <w:r>
        <w:t xml:space="preserve">análisis obligatorio (OECD/JRC); si el ordenamiento no es robusto, se rediseña.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Fórmula GOEI:</w:t>
      </w:r>
      <w:r>
        <w:t xml:space="preserve"> </w:t>
      </w:r>
      <w:r>
        <w:t xml:space="preserve">se especifica la</w:t>
      </w:r>
      <w:r>
        <w:t xml:space="preserve"> </w:t>
      </w:r>
      <w:r>
        <w:rPr>
          <w:b/>
        </w:rPr>
        <w:t xml:space="preserve">forma</w:t>
      </w:r>
      <w:r>
        <w:t xml:space="preserve"> </w:t>
      </w:r>
      <w:r>
        <w:t xml:space="preserve">GOEI = f(puntajes de dimensión) sujeta a compuertas; los coeficientes se calibran en validación.</w:t>
      </w:r>
      <w:r>
        <w:t xml:space="preserve"> </w:t>
      </w:r>
      <w:r>
        <w:rPr>
          <w:b/>
        </w:rPr>
        <w:t xml:space="preserve">[PROTOCOLO]</w:t>
      </w:r>
    </w:p>
    <w:p>
      <w:pPr>
        <w:pStyle w:val="Heading1"/>
      </w:pPr>
      <w:bookmarkStart w:id="34" w:name="tomo-iii-validación"/>
      <w:r>
        <w:t xml:space="preserve">TOMO III — VALIDACIÓN</w:t>
      </w:r>
      <w:bookmarkEnd w:id="34"/>
    </w:p>
    <w:p>
      <w:pPr>
        <w:pStyle w:val="Heading2"/>
      </w:pPr>
      <w:bookmarkStart w:id="35" w:name="metodología"/>
      <w:r>
        <w:t xml:space="preserve">12. Metodología</w:t>
      </w:r>
      <w:bookmarkEnd w:id="35"/>
    </w:p>
    <w:p>
      <w:pPr>
        <w:pStyle w:val="FirstParagraph"/>
      </w:pPr>
      <w:r>
        <w:t xml:space="preserve">Paradigma pospositivista; enfoque mixto; diseño de investigación de diseño + validación psicométrica de constructo formativo. Variables, población (establecimientos por categoría), muestra, instrumentos (formularios de captura) y procedimientos definidos en el protocolo.</w:t>
      </w:r>
      <w:r>
        <w:t xml:space="preserve"> </w:t>
      </w:r>
      <w:r>
        <w:rPr>
          <w:b/>
        </w:rPr>
        <w:t xml:space="preserve">[PROTOCOLO]</w:t>
      </w:r>
    </w:p>
    <w:p>
      <w:pPr>
        <w:pStyle w:val="Heading2"/>
      </w:pPr>
      <w:bookmarkStart w:id="36" w:name="validación-científica"/>
      <w:r>
        <w:t xml:space="preserve">13. Validación científica</w:t>
      </w:r>
      <w:bookmarkEnd w:id="3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Validez de contenido / completitud:</w:t>
      </w:r>
      <w:r>
        <w:t xml:space="preserve"> </w:t>
      </w:r>
      <w:r>
        <w:t xml:space="preserve">panel de expertos (</w:t>
      </w:r>
      <w:r>
        <w:rPr>
          <w:b/>
        </w:rPr>
        <w:t xml:space="preserve">Delphi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Validez de constructo (formativo):</w:t>
      </w:r>
      <w:r>
        <w:t xml:space="preserve"> </w:t>
      </w:r>
      <w:r>
        <w:t xml:space="preserve">especificación causal indicador→constructo;</w:t>
      </w:r>
      <w:r>
        <w:t xml:space="preserve"> </w:t>
      </w:r>
      <w:r>
        <w:rPr>
          <w:b/>
        </w:rPr>
        <w:t xml:space="preserve">colinealidad</w:t>
      </w:r>
      <w:r>
        <w:t xml:space="preserve"> </w:t>
      </w:r>
      <w:r>
        <w:t xml:space="preserve">(VIF); modelos</w:t>
      </w:r>
      <w:r>
        <w:t xml:space="preserve"> </w:t>
      </w:r>
      <w:r>
        <w:rPr>
          <w:b/>
        </w:rPr>
        <w:t xml:space="preserve">MIMIC</w:t>
      </w:r>
      <w:r>
        <w:t xml:space="preserve">.</w:t>
      </w:r>
      <w:r>
        <w:t xml:space="preserve"> </w:t>
      </w:r>
      <w:r>
        <w:rPr>
          <w:i/>
        </w:rPr>
        <w:t xml:space="preserve">(Nota: validez convergente/discriminante y α de Cronbach NO aplican a constructos formativos; se documenta explícitamente para evitar el error de coherencia.)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Validez de criterio (externa):</w:t>
      </w:r>
      <w:r>
        <w:t xml:space="preserve"> </w:t>
      </w:r>
      <w:r>
        <w:t xml:space="preserve">asociación con continuidad del negocio, rentabilidad, satisfacción, no conformidades.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Confiabilidad / repetibilidad:</w:t>
      </w:r>
      <w:r>
        <w:t xml:space="preserve"> </w:t>
      </w:r>
      <w:r>
        <w:t xml:space="preserve">concordancia inter-evaluador y test-retest.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Robustez / sensibilidad:</w:t>
      </w:r>
      <w:r>
        <w:t xml:space="preserve"> </w:t>
      </w:r>
      <w:r>
        <w:t xml:space="preserve">incertidumbre y sensibilidad (OECD/JRC).</w:t>
      </w:r>
      <w:r>
        <w:t xml:space="preserve"> </w:t>
      </w:r>
      <w:r>
        <w:rPr>
          <w:b/>
        </w:rPr>
        <w:t xml:space="preserve">[PROTOCOLO]</w:t>
      </w:r>
    </w:p>
    <w:p>
      <w:pPr>
        <w:pStyle w:val="Heading2"/>
      </w:pPr>
      <w:bookmarkStart w:id="37" w:name="casos-piloto-pendiente-empírico"/>
      <w:r>
        <w:t xml:space="preserve">14. Casos piloto [PENDIENTE-EMPÍRICO]</w:t>
      </w:r>
      <w:bookmarkEnd w:id="37"/>
    </w:p>
    <w:p>
      <w:pPr>
        <w:pStyle w:val="FirstParagraph"/>
      </w:pPr>
      <w:r>
        <w:t xml:space="preserve">Aplicación manual por categoría (p. ej. Caso 1 casual, Caso 2 fine dining, Caso 3 dark kitchen), comparación, resultados y análisis.</w:t>
      </w:r>
      <w:r>
        <w:t xml:space="preserve"> </w:t>
      </w:r>
      <w:r>
        <w:rPr>
          <w:b/>
        </w:rPr>
        <w:t xml:space="preserve">No ejecutables sin datos de campo reales; estructura preparada, resultados pendientes.</w:t>
      </w:r>
    </w:p>
    <w:p>
      <w:pPr>
        <w:pStyle w:val="Heading2"/>
      </w:pPr>
      <w:bookmarkStart w:id="38" w:name="discusión"/>
      <w:r>
        <w:t xml:space="preserve">15. Discusión</w:t>
      </w:r>
      <w:bookmarkEnd w:id="38"/>
    </w:p>
    <w:p>
      <w:pPr>
        <w:pStyle w:val="FirstParagraph"/>
      </w:pPr>
      <w:r>
        <w:t xml:space="preserve">Interpretación; comparación con literatura; fortalezas (integración, no compensación, auditabilidad, cálculo manual); debilidades (novedad metodológica baja; carga de calibración); limitaciones (validación no ejecutada); aplicaciones (autoevaluación PYME, consultoría, regulación).</w:t>
      </w:r>
      <w:r>
        <w:t xml:space="preserve"> </w:t>
      </w:r>
      <w:r>
        <w:rPr>
          <w:b/>
        </w:rPr>
        <w:t xml:space="preserve">[REDACTADO parcialmente; completar tras piloto]</w:t>
      </w:r>
    </w:p>
    <w:p>
      <w:pPr>
        <w:pStyle w:val="Heading2"/>
      </w:pPr>
      <w:bookmarkStart w:id="39" w:name="conclusiones"/>
      <w:r>
        <w:t xml:space="preserve">16. Conclusiones</w:t>
      </w:r>
      <w:bookmarkEnd w:id="39"/>
    </w:p>
    <w:p>
      <w:pPr>
        <w:pStyle w:val="FirstParagraph"/>
      </w:pPr>
      <w:r>
        <w:t xml:space="preserve">Cumplimiento de objetivos y contraste de hipótesis (parcial: H1–H3 fundamentadas, no aún validadas empíricamente); respuestas a preguntas; líneas futuras (Delphi, calibración, robustez, piloto, longitudinal/Vía B, software).</w:t>
      </w:r>
      <w:r>
        <w:t xml:space="preserve"> </w:t>
      </w:r>
      <w:r>
        <w:rPr>
          <w:b/>
        </w:rPr>
        <w:t xml:space="preserve">[REDACTADO/PENDIENTE]</w:t>
      </w:r>
    </w:p>
    <w:p>
      <w:pPr>
        <w:pStyle w:val="Heading1"/>
      </w:pPr>
      <w:bookmarkStart w:id="40" w:name="tomo-iv-estándar-goei-provisional"/>
      <w:r>
        <w:t xml:space="preserve">TOMO IV — ESTÁNDAR GOEI [PROVISIONAL]</w:t>
      </w:r>
      <w:bookmarkEnd w:id="40"/>
    </w:p>
    <w:p>
      <w:pPr>
        <w:pStyle w:val="Heading2"/>
      </w:pPr>
      <w:bookmarkStart w:id="41" w:name="goei-standard"/>
      <w:r>
        <w:t xml:space="preserve">17. GOEI Standard</w:t>
      </w:r>
      <w:bookmarkEnd w:id="41"/>
    </w:p>
    <w:p>
      <w:pPr>
        <w:pStyle w:val="FirstParagraph"/>
      </w:pPr>
      <w:r>
        <w:rPr>
          <w:b/>
        </w:rPr>
        <w:t xml:space="preserve">17.1 Constitución</w:t>
      </w:r>
      <w:r>
        <w:t xml:space="preserve"> </w:t>
      </w:r>
      <w:r>
        <w:t xml:space="preserve">(principios y gobernanza) ·</w:t>
      </w:r>
      <w:r>
        <w:t xml:space="preserve"> </w:t>
      </w:r>
      <w:r>
        <w:rPr>
          <w:b/>
        </w:rPr>
        <w:t xml:space="preserve">17.2 Body of Knowledge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17.3 Manual Técnico General</w:t>
      </w:r>
      <w:r>
        <w:t xml:space="preserve"> </w:t>
      </w:r>
      <w:r>
        <w:t xml:space="preserve">(empaqueta N0–N9) ·</w:t>
      </w:r>
      <w:r>
        <w:t xml:space="preserve"> </w:t>
      </w:r>
      <w:r>
        <w:rPr>
          <w:b/>
        </w:rPr>
        <w:t xml:space="preserve">17.4 Manuales por categoría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17.5 Formularios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17.6 Checklists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17.7 Procedimientos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17.8 Reglas</w:t>
      </w:r>
      <w:r>
        <w:t xml:space="preserve"> </w:t>
      </w:r>
      <w:r>
        <w:t xml:space="preserve">(críticas y de validez) ·</w:t>
      </w:r>
      <w:r>
        <w:t xml:space="preserve"> </w:t>
      </w:r>
      <w:r>
        <w:rPr>
          <w:b/>
        </w:rPr>
        <w:t xml:space="preserve">17.9 Auditoría</w:t>
      </w:r>
      <w:r>
        <w:t xml:space="preserve"> </w:t>
      </w:r>
      <w:r>
        <w:t xml:space="preserve">(esquema K1–K4) ·</w:t>
      </w:r>
      <w:r>
        <w:t xml:space="preserve"> </w:t>
      </w:r>
      <w:r>
        <w:rPr>
          <w:b/>
        </w:rPr>
        <w:t xml:space="preserve">17.10 Gobierno</w:t>
      </w:r>
      <w:r>
        <w:t xml:space="preserve"> </w:t>
      </w:r>
      <w:r>
        <w:t xml:space="preserve">(T1). Producción y versionado a cargo de la Oficina Técnica (Codex) tras el cierre de Fase B.</w:t>
      </w:r>
      <w:r>
        <w:t xml:space="preserve"> </w:t>
      </w:r>
      <w:r>
        <w:rPr>
          <w:b/>
        </w:rPr>
        <w:t xml:space="preserve">[PROVISIONAL]</w:t>
      </w:r>
    </w:p>
    <w:p>
      <w:pPr>
        <w:pStyle w:val="Heading1"/>
      </w:pPr>
      <w:bookmarkStart w:id="42" w:name="anexos-técnicos-estado"/>
      <w:r>
        <w:t xml:space="preserve">ANEXOS TÉCNICOS (estado)</w:t>
      </w:r>
      <w:bookmarkEnd w:id="42"/>
    </w:p>
    <w:p>
      <w:pPr>
        <w:pStyle w:val="FirstParagraph"/>
      </w:pPr>
      <w:r>
        <w:t xml:space="preserve">Ontología completa (D-006/D-006-REV, tres estratos)</w:t>
      </w:r>
      <w:r>
        <w:t xml:space="preserve"> </w:t>
      </w:r>
      <w:r>
        <w:rPr>
          <w:b/>
        </w:rPr>
        <w:t xml:space="preserve">[REDACTADO]</w:t>
      </w:r>
      <w:r>
        <w:t xml:space="preserve">; Knowledge Graph</w:t>
      </w:r>
      <w:r>
        <w:t xml:space="preserve"> </w:t>
      </w:r>
      <w:r>
        <w:rPr>
          <w:b/>
        </w:rPr>
        <w:t xml:space="preserve">[en producción — Codex, EPIC-001]</w:t>
      </w:r>
      <w:r>
        <w:t xml:space="preserve">; diccionarios de datos/entidades/relaciones/procesos</w:t>
      </w:r>
      <w:r>
        <w:t xml:space="preserve"> </w:t>
      </w:r>
      <w:r>
        <w:rPr>
          <w:b/>
        </w:rPr>
        <w:t xml:space="preserve">[PROVISIONAL]</w:t>
      </w:r>
      <w:r>
        <w:t xml:space="preserve">; taxonomía completa</w:t>
      </w:r>
      <w:r>
        <w:t xml:space="preserve"> </w:t>
      </w:r>
      <w:r>
        <w:rPr>
          <w:b/>
        </w:rPr>
        <w:t xml:space="preserve">[PROVISIONAL, cap. 7]</w:t>
      </w:r>
      <w:r>
        <w:t xml:space="preserve">; repositorio documental y registros (decisiones D-001..D-008-propuesta, issues GOEI-ISS, cambios, roadmap)</w:t>
      </w:r>
      <w:r>
        <w:t xml:space="preserve"> </w:t>
      </w:r>
      <w:r>
        <w:rPr>
          <w:b/>
        </w:rPr>
        <w:t xml:space="preserve">[en gobernanza — Codex]</w:t>
      </w:r>
      <w:r>
        <w:t xml:space="preserve">; bibliografía anotada</w:t>
      </w:r>
      <w:r>
        <w:t xml:space="preserve"> </w:t>
      </w:r>
      <w:r>
        <w:rPr>
          <w:b/>
        </w:rPr>
        <w:t xml:space="preserve">[PROTOCOLO — Fase 1]</w:t>
      </w:r>
      <w:r>
        <w:t xml:space="preserve">; matrices de trazabilidad</w:t>
      </w:r>
      <w:r>
        <w:t xml:space="preserve"> </w:t>
      </w:r>
      <w:r>
        <w:rPr>
          <w:b/>
        </w:rPr>
        <w:t xml:space="preserve">[PROVISIONAL]</w:t>
      </w:r>
      <w:r>
        <w:t xml:space="preserve">.</w:t>
      </w:r>
    </w:p>
    <w:p>
      <w:pPr>
        <w:pStyle w:val="Heading1"/>
      </w:pPr>
      <w:bookmarkStart w:id="43" w:name="documentación-visual-estado"/>
      <w:r>
        <w:t xml:space="preserve">DOCUMENTACIÓN VISUAL (estado)</w:t>
      </w:r>
      <w:bookmarkEnd w:id="43"/>
    </w:p>
    <w:p>
      <w:pPr>
        <w:pStyle w:val="FirstParagraph"/>
      </w:pPr>
      <w:r>
        <w:t xml:space="preserve">Mapas conceptuales, diagramas de arquitectura, ontologías, taxonomías, diagramas operacionales, flujogramas,</w:t>
      </w:r>
      <w:r>
        <w:t xml:space="preserve"> </w:t>
      </w:r>
      <w:r>
        <w:rPr>
          <w:b/>
        </w:rPr>
        <w:t xml:space="preserve">BPMN</w:t>
      </w:r>
      <w:r>
        <w:t xml:space="preserve">,</w:t>
      </w:r>
      <w:r>
        <w:t xml:space="preserve"> </w:t>
      </w:r>
      <w:r>
        <w:rPr>
          <w:b/>
        </w:rPr>
        <w:t xml:space="preserve">UML</w:t>
      </w:r>
      <w:r>
        <w:t xml:space="preserve">, modelos de datos (ERD),</w:t>
      </w:r>
      <w:r>
        <w:t xml:space="preserve"> </w:t>
      </w:r>
      <w:r>
        <w:rPr>
          <w:b/>
        </w:rPr>
        <w:t xml:space="preserve">SIPOC</w:t>
      </w:r>
      <w:r>
        <w:t xml:space="preserve"> </w:t>
      </w:r>
      <w:r>
        <w:t xml:space="preserve">por macroproceso,</w:t>
      </w:r>
      <w:r>
        <w:t xml:space="preserve"> </w:t>
      </w:r>
      <w:r>
        <w:rPr>
          <w:b/>
        </w:rPr>
        <w:t xml:space="preserve">VSM</w:t>
      </w:r>
      <w:r>
        <w:t xml:space="preserve">, matrices (proceso×KPI, proceso×recursos, KPI×bibliografía, dimensiones×procesos, etc.), heatmaps, dashboards, formularios y checklists:</w:t>
      </w:r>
      <w:r>
        <w:t xml:space="preserve"> </w:t>
      </w:r>
      <w:r>
        <w:rPr>
          <w:b/>
        </w:rPr>
        <w:t xml:space="preserve">estructura definida; producción gráfica a cargo de la Oficina Técnica (Codex)</w:t>
      </w:r>
      <w:r>
        <w:t xml:space="preserve">. Diagramas conceptuales base ya disponibles en los Decision Records (arquitectura por capas D-005; ontología de tres estratos y anclaje cuádruple D-006-REV; núcleo de procesos D-007).</w:t>
      </w:r>
      <w:r>
        <w:t xml:space="preserve"> </w:t>
      </w:r>
      <w:r>
        <w:rPr>
          <w:b/>
        </w:rPr>
        <w:t xml:space="preserve">[PROVISIONAL / en producción]</w:t>
      </w:r>
    </w:p>
    <w:p>
      <w:pPr>
        <w:pStyle w:val="Heading1"/>
      </w:pPr>
      <w:bookmarkStart w:id="44" w:name="productos-científicos-derivados-estado"/>
      <w:r>
        <w:t xml:space="preserve">PRODUCTOS CIENTÍFICOS DERIVADOS (estado)</w:t>
      </w:r>
      <w:bookmarkEnd w:id="44"/>
    </w:p>
    <w:p>
      <w:pPr>
        <w:numPr>
          <w:ilvl w:val="0"/>
          <w:numId w:val="1004"/>
        </w:numPr>
        <w:pStyle w:val="Compact"/>
      </w:pPr>
      <w:r>
        <w:t xml:space="preserve">Artículo 1 (Justificación científica)</w:t>
      </w:r>
      <w:r>
        <w:t xml:space="preserve"> </w:t>
      </w:r>
      <w:r>
        <w:rPr>
          <w:b/>
        </w:rPr>
        <w:t xml:space="preserve">[borrador disponible: 13_Publicaciones]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Artículos 2–9 (modelo conceptual, constructo, ontología, procesos, taxonomía, selección de KPI, modelo matemático, validación):</w:t>
      </w:r>
      <w:r>
        <w:t xml:space="preserve"> </w:t>
      </w:r>
      <w:r>
        <w:rPr>
          <w:b/>
        </w:rPr>
        <w:t xml:space="preserve">[PLANIFICADOS]</w:t>
      </w:r>
      <w:r>
        <w:t xml:space="preserve">, cada uno derivable de un capítulo/Decision Record.</w:t>
      </w:r>
    </w:p>
    <w:p>
      <w:pPr>
        <w:numPr>
          <w:ilvl w:val="0"/>
          <w:numId w:val="1004"/>
        </w:numPr>
        <w:pStyle w:val="Compact"/>
      </w:pPr>
      <w:r>
        <w:t xml:space="preserve">Libro GOEI, Software GOEI, Manual Oficial, Repositorio Open Science:</w:t>
      </w:r>
      <w:r>
        <w:t xml:space="preserve"> </w:t>
      </w:r>
      <w:r>
        <w:rPr>
          <w:b/>
        </w:rPr>
        <w:t xml:space="preserve">[FASES POSTERIORES]</w:t>
      </w:r>
      <w:r>
        <w:t xml:space="preserve">.</w:t>
      </w:r>
    </w:p>
    <w:p>
      <w:pPr>
        <w:pStyle w:val="Heading1"/>
      </w:pPr>
      <w:bookmarkStart w:id="45" w:name="objetivo-final"/>
      <w:r>
        <w:t xml:space="preserve">Objetivo final</w:t>
      </w:r>
      <w:bookmarkEnd w:id="45"/>
    </w:p>
    <w:p>
      <w:pPr>
        <w:pStyle w:val="FirstParagraph"/>
      </w:pPr>
      <w:r>
        <w:t xml:space="preserve">Que cualquier investigador, consultor, auditor o empresa pueda comprender, implementar, auditar y reproducir el GOEI usando solo la documentación oficial, con resultados consistentes y comparables, sin depender de los autores. Este manuscrito hace ese objetivo</w:t>
      </w:r>
      <w:r>
        <w:t xml:space="preserve"> </w:t>
      </w:r>
      <w:r>
        <w:rPr>
          <w:b/>
        </w:rPr>
        <w:t xml:space="preserve">posible y riguroso</w:t>
      </w:r>
      <w:r>
        <w:t xml:space="preserve">; su realización plena depende del ciclo empírico de validación aún no ejecutado.</w:t>
      </w:r>
    </w:p>
    <w:p>
      <w:pPr>
        <w:pStyle w:val="Heading2"/>
      </w:pPr>
      <w:bookmarkStart w:id="46" w:name="referencias"/>
      <w:r>
        <w:t xml:space="preserve">Referencias</w:t>
      </w:r>
      <w:bookmarkEnd w:id="46"/>
    </w:p>
    <w:p>
      <w:pPr>
        <w:pStyle w:val="FirstParagraph"/>
      </w:pPr>
      <w:r>
        <w:t xml:space="preserve">Bollen &amp; Lennox (1991); Charnes, Cooper &amp; Rhodes (1978); Diamantopoulos &amp; Winklhofer (2001); Elkington (1994); Gregoire &amp; Spears,</w:t>
      </w:r>
      <w:r>
        <w:t xml:space="preserve"> </w:t>
      </w:r>
      <w:r>
        <w:rPr>
          <w:i/>
        </w:rPr>
        <w:t xml:space="preserve">Foodservice Organizations</w:t>
      </w:r>
      <w:r>
        <w:t xml:space="preserve">; Halpern et al. (2012,</w:t>
      </w:r>
      <w:r>
        <w:t xml:space="preserve"> </w:t>
      </w:r>
      <w:r>
        <w:rPr>
          <w:i/>
        </w:rPr>
        <w:t xml:space="preserve">Nature</w:t>
      </w:r>
      <w:r>
        <w:t xml:space="preserve">); Jarvis, MacKenzie &amp; Podsakoff (2003); Kaplan &amp; Norton (1992); Karr (1981); Kimes (RevPASH, Cornell); McCarthy (1982); Miles (1969); Nakajima (OEE/TPM); Neely, Gregory &amp; Platts (1995); OECD/JRC — Nardo, Saisana, Saltelli &amp; Tarantola (2008); Richard, Devinney, Yip &amp; Johnson (2009); Stevens, Knutson &amp; Patton (1995); APQC PCF; W3C PROV-O (2013); ISO/IEC Annex SL; ISO/IEC 17065; NAICS 722.</w:t>
      </w:r>
    </w:p>
    <w:p>
      <w:pPr>
        <w:pStyle w:val="BodyText"/>
      </w:pPr>
      <w:r>
        <w:rPr>
          <w:i/>
        </w:rPr>
        <w:t xml:space="preserve">Bibliografía a verificar en edición exacta y anotar (Fase 1) antes de someter a publicación.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GOEI — Índice de Eficiencia Operacional Gastronómica</dc:title>
  <dc:creator>Proyecto GOEI · Dirección General: Pablo Toledo Salinas · Comité Científico</dc:creator>
  <dc:language>es</dc:language>
  <cp:keywords/>
  <dcterms:created xsi:type="dcterms:W3CDTF">2026-08-04T08:02:37Z</dcterms:created>
  <dcterms:modified xsi:type="dcterms:W3CDTF">2026-08-04T08:02:37Z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Fundamentación científica, construcción metodológica y protocolo de validación de un estándar para evaluar la Salud Operacional de establecimientos gastronómicos</vt:lpwstr>
  </property>
</Properties>
</file>