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</w:t>
      </w:r>
      <w:r>
        <w:t xml:space="preserve"> </w:t>
      </w:r>
      <w:r>
        <w:t xml:space="preserve">Índice</w:t>
      </w:r>
      <w:r>
        <w:t xml:space="preserve"> </w:t>
      </w:r>
      <w:r>
        <w:t xml:space="preserve">de</w:t>
      </w:r>
      <w:r>
        <w:t xml:space="preserve"> </w:t>
      </w:r>
      <w:r>
        <w:t xml:space="preserve">Eficiencia</w:t>
      </w:r>
      <w:r>
        <w:t xml:space="preserve"> </w:t>
      </w:r>
      <w:r>
        <w:t xml:space="preserve">Operacional</w:t>
      </w:r>
      <w:r>
        <w:t xml:space="preserve"> </w:t>
      </w:r>
      <w:r>
        <w:t xml:space="preserve">Gastronómica</w:t>
      </w:r>
      <w:r>
        <w:t xml:space="preserve"> </w:t>
      </w:r>
      <w:r>
        <w:t xml:space="preserve">(GOEI):</w:t>
      </w:r>
      <w:r>
        <w:t xml:space="preserve"> </w:t>
      </w:r>
      <w:r>
        <w:t xml:space="preserve">fundamentación</w:t>
      </w:r>
      <w:r>
        <w:t xml:space="preserve"> </w:t>
      </w:r>
      <w:r>
        <w:t xml:space="preserve">conceptual</w:t>
      </w:r>
      <w:r>
        <w:t xml:space="preserve"> </w:t>
      </w:r>
      <w:r>
        <w:t xml:space="preserve">y</w:t>
      </w:r>
      <w:r>
        <w:t xml:space="preserve"> </w:t>
      </w:r>
      <w:r>
        <w:t xml:space="preserve">diseño</w:t>
      </w:r>
      <w:r>
        <w:t xml:space="preserve"> </w:t>
      </w:r>
      <w:r>
        <w:t xml:space="preserve">de</w:t>
      </w:r>
      <w:r>
        <w:t xml:space="preserve"> </w:t>
      </w:r>
      <w:r>
        <w:t xml:space="preserve">un</w:t>
      </w:r>
      <w:r>
        <w:t xml:space="preserve"> </w:t>
      </w:r>
      <w:r>
        <w:t xml:space="preserve">compuesto</w:t>
      </w:r>
      <w:r>
        <w:t xml:space="preserve"> </w:t>
      </w:r>
      <w:r>
        <w:t xml:space="preserve">formativo</w:t>
      </w:r>
      <w:r>
        <w:t xml:space="preserve"> </w:t>
      </w:r>
      <w:r>
        <w:t xml:space="preserve">de</w:t>
      </w:r>
      <w:r>
        <w:t xml:space="preserve"> </w:t>
      </w:r>
      <w:r>
        <w:t xml:space="preserve">Salud</w:t>
      </w:r>
      <w:r>
        <w:t xml:space="preserve"> </w:t>
      </w:r>
      <w:r>
        <w:t xml:space="preserve">Operacional</w:t>
      </w:r>
      <w:r>
        <w:t xml:space="preserve"> </w:t>
      </w:r>
      <w:r>
        <w:t xml:space="preserve">en</w:t>
      </w:r>
      <w:r>
        <w:t xml:space="preserve"> </w:t>
      </w:r>
      <w:r>
        <w:t xml:space="preserve">establecimientos</w:t>
      </w:r>
      <w:r>
        <w:t xml:space="preserve"> </w:t>
      </w:r>
      <w:r>
        <w:t xml:space="preserve">de</w:t>
      </w:r>
      <w:r>
        <w:t xml:space="preserve"> </w:t>
      </w:r>
      <w:r>
        <w:t xml:space="preserve">foodservice</w:t>
      </w:r>
    </w:p>
    <w:p>
      <w:pPr>
        <w:pStyle w:val="Subtitle"/>
      </w:pPr>
      <w:r>
        <w:t xml:space="preserve">Artículo</w:t>
      </w:r>
      <w:r>
        <w:t xml:space="preserve"> </w:t>
      </w:r>
      <w:r>
        <w:t xml:space="preserve">metodológico</w:t>
      </w:r>
      <w:r>
        <w:t xml:space="preserve"> </w:t>
      </w:r>
      <w:r>
        <w:t xml:space="preserve">/</w:t>
      </w:r>
      <w:r>
        <w:t xml:space="preserve"> </w:t>
      </w:r>
      <w:r>
        <w:t xml:space="preserve">de</w:t>
      </w:r>
      <w:r>
        <w:t xml:space="preserve"> </w:t>
      </w:r>
      <w:r>
        <w:t xml:space="preserve">protocolo</w:t>
      </w:r>
      <w:r>
        <w:t xml:space="preserve"> </w:t>
      </w:r>
      <w:r>
        <w:t xml:space="preserve">de</w:t>
      </w:r>
      <w:r>
        <w:t xml:space="preserve"> </w:t>
      </w:r>
      <w:r>
        <w:t xml:space="preserve">estudio</w:t>
      </w:r>
    </w:p>
    <w:p>
      <w:pPr>
        <w:pStyle w:val="Author"/>
      </w:pPr>
      <w:r>
        <w:t xml:space="preserve">Proyecto</w:t>
      </w:r>
      <w:r>
        <w:t xml:space="preserve"> </w:t>
      </w:r>
      <w:r>
        <w:t xml:space="preserve">GOEI</w:t>
      </w:r>
      <w:r>
        <w:t xml:space="preserve"> </w:t>
      </w:r>
      <w:r>
        <w:t xml:space="preserve">—</w:t>
      </w:r>
      <w:r>
        <w:t xml:space="preserve"> </w:t>
      </w:r>
      <w:r>
        <w:t xml:space="preserve">Comité</w:t>
      </w:r>
      <w:r>
        <w:t xml:space="preserve"> </w:t>
      </w:r>
      <w:r>
        <w:t xml:space="preserve">Científico</w:t>
      </w:r>
    </w:p>
    <w:p>
      <w:pPr>
        <w:pStyle w:val="Date"/>
      </w:pPr>
      <w:r>
        <w:t xml:space="preserve">2026</w:t>
      </w:r>
    </w:p>
    <w:p>
      <w:pPr>
        <w:pStyle w:val="Heading2"/>
      </w:pPr>
      <w:bookmarkStart w:id="20" w:name="resumen"/>
      <w:r>
        <w:t xml:space="preserve">Resumen</w:t>
      </w:r>
      <w:bookmarkEnd w:id="20"/>
    </w:p>
    <w:p>
      <w:pPr>
        <w:pStyle w:val="FirstParagraph"/>
      </w:pPr>
      <w:r>
        <w:rPr>
          <w:b/>
        </w:rPr>
        <w:t xml:space="preserve">Antecedentes.</w:t>
      </w:r>
      <w:r>
        <w:t xml:space="preserve"> </w:t>
      </w:r>
      <w:r>
        <w:t xml:space="preserve">La medición del desempeño en foodservice está fragmentada. Indicadores financieros y operativos aislados (food cost, prime cost, RevPASH), métodos de eficiencia relativa (DEA), marcos de desempeño multidimensional (Balanced Scorecard), modelos de excelencia (EFQM, Shingo) y sistemas de inocuidad (HACCP) cubren cada uno una faceta, pero</w:t>
      </w:r>
      <w:r>
        <w:t xml:space="preserve"> </w:t>
      </w:r>
      <w:r>
        <w:rPr>
          <w:b/>
        </w:rPr>
        <w:t xml:space="preserve">ninguno integra en un solo instrumento</w:t>
      </w:r>
      <w:r>
        <w:t xml:space="preserve"> </w:t>
      </w:r>
      <w:r>
        <w:t xml:space="preserve">cobertura operacional multidimensional, comparabilidad estandarizada entre categorías heterogéneas, auditabilidad y cálculo de bajo costo tecnológico (lápiz y papel).</w:t>
      </w:r>
    </w:p>
    <w:p>
      <w:pPr>
        <w:pStyle w:val="BodyText"/>
      </w:pPr>
      <w:r>
        <w:rPr>
          <w:b/>
        </w:rPr>
        <w:t xml:space="preserve">Objetivo.</w:t>
      </w:r>
      <w:r>
        <w:t xml:space="preserve"> </w:t>
      </w:r>
      <w:r>
        <w:t xml:space="preserve">(i) Determinar si existe una brecha científica defendible que justifique un nuevo constructo —la</w:t>
      </w:r>
      <w:r>
        <w:t xml:space="preserve"> </w:t>
      </w:r>
      <w:r>
        <w:rPr>
          <w:i/>
        </w:rPr>
        <w:t xml:space="preserve">Salud Operacional</w:t>
      </w:r>
      <w:r>
        <w:t xml:space="preserve"> </w:t>
      </w:r>
      <w:r>
        <w:t xml:space="preserve">de los establecimientos gastronómicos— y (ii) especificar una metodología para construirlo y validarlo como índice compuesto.</w:t>
      </w:r>
    </w:p>
    <w:p>
      <w:pPr>
        <w:pStyle w:val="BodyText"/>
      </w:pPr>
      <w:r>
        <w:rPr>
          <w:b/>
        </w:rPr>
        <w:t xml:space="preserve">Enfoque.</w:t>
      </w:r>
      <w:r>
        <w:t xml:space="preserve"> </w:t>
      </w:r>
      <w:r>
        <w:t xml:space="preserve">Investigación de diseño, guiada por evidencia. Se caracteriza el fenómeno frente a tres familias de constructos (eficiencia, desempeño, salud), se demuestra que un constructo de</w:t>
      </w:r>
      <w:r>
        <w:t xml:space="preserve"> </w:t>
      </w:r>
      <w:r>
        <w:t xml:space="preserve">“</w:t>
      </w:r>
      <w:r>
        <w:t xml:space="preserve">salud</w:t>
      </w:r>
      <w:r>
        <w:t xml:space="preserve">”</w:t>
      </w:r>
      <w:r>
        <w:t xml:space="preserve"> </w:t>
      </w:r>
      <w:r>
        <w:t xml:space="preserve">puede modelarse de forma</w:t>
      </w:r>
      <w:r>
        <w:t xml:space="preserve"> </w:t>
      </w:r>
      <w:r>
        <w:rPr>
          <w:b/>
        </w:rPr>
        <w:t xml:space="preserve">formativa</w:t>
      </w:r>
      <w:r>
        <w:t xml:space="preserve"> </w:t>
      </w:r>
      <w:r>
        <w:t xml:space="preserve">sin contradecir la teoría de constructos (precedentes: Ocean Health Index, Index of Biotic Integrity, Healthy Eating Index) y se adopta la metodología OECD/JRC de índices compuestos con análisis de incertidumbre/sensibilidad obligatorio y compuertas críticas no compensatorias. Se deriva un núcleo universal de macroprocesos de una revisión convergente de la teoría de sistemas de foodservice (Spears &amp; Gregoire), el marco cross-industry APQC, el modelado de procesos de restaurantes y el foodservice institucional.</w:t>
      </w:r>
    </w:p>
    <w:p>
      <w:pPr>
        <w:pStyle w:val="BodyText"/>
      </w:pPr>
      <w:r>
        <w:rPr>
          <w:b/>
        </w:rPr>
        <w:t xml:space="preserve">Resultados (de diseño).</w:t>
      </w:r>
      <w:r>
        <w:t xml:space="preserve"> </w:t>
      </w:r>
      <w:r>
        <w:t xml:space="preserve">Una ontología de tres estratos (Realidad / Norma / Datos), una arquitectura de estándar (eje normativo + planos transversales + esquema de conformidad), un núcleo universal de procesos a dos niveles, y un diseño provisional de dimensiones, criterios de admisibilidad de KPI, normalización a estado de referencia y una forma de agregación parcialmente no compensatoria.</w:t>
      </w:r>
    </w:p>
    <w:p>
      <w:pPr>
        <w:pStyle w:val="BodyText"/>
      </w:pPr>
      <w:r>
        <w:rPr>
          <w:b/>
        </w:rPr>
        <w:t xml:space="preserve">Conclusión.</w:t>
      </w:r>
      <w:r>
        <w:t xml:space="preserve"> </w:t>
      </w:r>
      <w:r>
        <w:t xml:space="preserve">La brecha es real pero estrecha: la intersección</w:t>
      </w:r>
      <w:r>
        <w:t xml:space="preserve"> </w:t>
      </w:r>
      <w:r>
        <w:t xml:space="preserve">“</w:t>
      </w:r>
      <w:r>
        <w:t xml:space="preserve">condición operacional multidimensional + comparabilidad entre categorías + auditabilidad + cálculo manual</w:t>
      </w:r>
      <w:r>
        <w:t xml:space="preserve">”</w:t>
      </w:r>
      <w:r>
        <w:t xml:space="preserve"> </w:t>
      </w:r>
      <w:r>
        <w:t xml:space="preserve">está sin cubrir. La Salud Operacional es coherentemente modelable como compuesto formativo. La validación empírica (Delphi de expertos, calibración de KPI, robustez, piloto) se especifica como trabajo futuro; ningún peso o umbral se presenta como validado.</w:t>
      </w:r>
    </w:p>
    <w:p>
      <w:pPr>
        <w:pStyle w:val="BodyText"/>
      </w:pPr>
      <w:r>
        <w:rPr>
          <w:b/>
        </w:rPr>
        <w:t xml:space="preserve">Palabras clave:</w:t>
      </w:r>
      <w:r>
        <w:t xml:space="preserve"> </w:t>
      </w:r>
      <w:r>
        <w:t xml:space="preserve">salud operacional; índice compuesto formativo; foodservice; medición del desempeño; inocuidad alimentaria; estándar técnico; protocolo de validación.</w:t>
      </w:r>
    </w:p>
    <w:p>
      <w:pPr>
        <w:pStyle w:val="Heading2"/>
      </w:pPr>
      <w:bookmarkStart w:id="21" w:name="introducción"/>
      <w:r>
        <w:t xml:space="preserve">1. Introducción</w:t>
      </w:r>
      <w:bookmarkEnd w:id="21"/>
    </w:p>
    <w:p>
      <w:pPr>
        <w:pStyle w:val="FirstParagraph"/>
      </w:pPr>
      <w:r>
        <w:t xml:space="preserve">Los establecimientos gastronómicos —predominantemente micro y pequeñas empresas— operan bajo presiones simultáneas de costo, calidad, servicio, inocuidad y sostenibilidad, con altas tasas de fracaso y capacidad técnica limitada. Sin embargo, no existe un instrumento estandarizado, comparable, auditable y de bajo costo que exprese su condición operacional integrada en el tiempo y frente a pares de su categoría. La pregunta científica no es</w:t>
      </w:r>
      <w:r>
        <w:t xml:space="preserve"> </w:t>
      </w:r>
      <w:r>
        <w:t xml:space="preserve">“</w:t>
      </w:r>
      <w:r>
        <w:t xml:space="preserve">¿falta un índice?</w:t>
      </w:r>
      <w:r>
        <w:t xml:space="preserve">”</w:t>
      </w:r>
      <w:r>
        <w:t xml:space="preserve">, sino</w:t>
      </w:r>
      <w:r>
        <w:t xml:space="preserve"> </w:t>
      </w:r>
      <w:r>
        <w:rPr>
          <w:b/>
        </w:rPr>
        <w:t xml:space="preserve">si la Salud Operacional es un constructo multidimensional válidamente representable como índice compuesto, comparable entre establecimientos heterogéneos y calculable a mano.</w:t>
      </w:r>
    </w:p>
    <w:p>
      <w:pPr>
        <w:pStyle w:val="Heading2"/>
      </w:pPr>
      <w:bookmarkStart w:id="22" w:name="estado-del-arte-y-brecha"/>
      <w:r>
        <w:t xml:space="preserve">2. Estado del arte y brecha</w:t>
      </w:r>
      <w:bookmarkEnd w:id="22"/>
    </w:p>
    <w:p>
      <w:pPr>
        <w:pStyle w:val="FirstParagraph"/>
      </w:pPr>
      <w:r>
        <w:t xml:space="preserve">Existen siete familias de instrumentos maduros (metodología de índices compuestos; OEE; Balanced Scorecard; DEA; KPIs de foodservice; SERVQUAL/DINESERV; HACCP/ISO 22000). Cada propiedad que exigiría un estándar existe por separado, pero ninguna las unifica. La brecha es, por tanto, de</w:t>
      </w:r>
      <w:r>
        <w:t xml:space="preserve"> </w:t>
      </w:r>
      <w:r>
        <w:rPr>
          <w:b/>
        </w:rPr>
        <w:t xml:space="preserve">integración estandarizada más especificidad de dominio</w:t>
      </w:r>
      <w:r>
        <w:t xml:space="preserve"> </w:t>
      </w:r>
      <w:r>
        <w:t xml:space="preserve">y —científicamente— de</w:t>
      </w:r>
      <w:r>
        <w:t xml:space="preserve"> </w:t>
      </w:r>
      <w:r>
        <w:rPr>
          <w:b/>
        </w:rPr>
        <w:t xml:space="preserve">validez de constructo</w:t>
      </w:r>
      <w:r>
        <w:t xml:space="preserve">: no está demostrado que el constructo sea indexable sin pérdida inaceptable de validez.</w:t>
      </w:r>
    </w:p>
    <w:p>
      <w:pPr>
        <w:pStyle w:val="Heading2"/>
      </w:pPr>
      <w:bookmarkStart w:id="23" w:name="X512f5cd483a0a5734c98ede8c7e66c50c294949"/>
      <w:r>
        <w:t xml:space="preserve">3. ¿Qué constructo? Eficiencia, desempeño o salud</w:t>
      </w:r>
      <w:bookmarkEnd w:id="23"/>
    </w:p>
    <w:p>
      <w:pPr>
        <w:pStyle w:val="FirstParagraph"/>
      </w:pPr>
      <w:r>
        <w:t xml:space="preserve">La eficiencia es un cociente relacional (DEA, OEE), ciego a las restricciones no instrumentales (inocuidad, legalidad); no puede ser el núcleo. El desempeño (Richard et al., 2009) es multidimensional, pero retrospectivo y compensatorio. El fenómeno se caracteriza mejor como un</w:t>
      </w:r>
      <w:r>
        <w:t xml:space="preserve"> </w:t>
      </w:r>
      <w:r>
        <w:rPr>
          <w:b/>
        </w:rPr>
        <w:t xml:space="preserve">estado/condición</w:t>
      </w:r>
      <w:r>
        <w:t xml:space="preserve"> </w:t>
      </w:r>
      <w:r>
        <w:t xml:space="preserve">de estructura formativa con restricciones críticas no compensables —próximo en espíritu a la</w:t>
      </w:r>
      <w:r>
        <w:t xml:space="preserve"> </w:t>
      </w:r>
      <w:r>
        <w:rPr>
          <w:b/>
        </w:rPr>
        <w:t xml:space="preserve">salud</w:t>
      </w:r>
      <w:r>
        <w:t xml:space="preserve">. Crucialmente,</w:t>
      </w:r>
      <w:r>
        <w:t xml:space="preserve"> </w:t>
      </w:r>
      <w:r>
        <w:t xml:space="preserve">“</w:t>
      </w:r>
      <w:r>
        <w:t xml:space="preserve">salud</w:t>
      </w:r>
      <w:r>
        <w:t xml:space="preserve">”</w:t>
      </w:r>
      <w:r>
        <w:t xml:space="preserve"> </w:t>
      </w:r>
      <w:r>
        <w:t xml:space="preserve">no obliga a un modelo reflectivo: la elección del modelo depende de la dirección de causalidad entre constructo e indicadores (Bollen &amp; Lennox, 1991; Jarvis et al., 2003), no de la etiqueta. Los compuestos formativos de</w:t>
      </w:r>
      <w:r>
        <w:t xml:space="preserve"> </w:t>
      </w:r>
      <w:r>
        <w:t xml:space="preserve">“</w:t>
      </w:r>
      <w:r>
        <w:t xml:space="preserve">salud/condición</w:t>
      </w:r>
      <w:r>
        <w:t xml:space="preserve">”</w:t>
      </w:r>
      <w:r>
        <w:t xml:space="preserve"> </w:t>
      </w:r>
      <w:r>
        <w:t xml:space="preserve">son canónicos (Ocean Health Index —Halpern et al., 2012; Index of Biotic Integrity —Karr, 1981; Healthy Eating Index).</w:t>
      </w:r>
      <w:r>
        <w:t xml:space="preserve"> </w:t>
      </w:r>
      <w:r>
        <w:t xml:space="preserve">“</w:t>
      </w:r>
      <w:r>
        <w:t xml:space="preserve">Salud</w:t>
      </w:r>
      <w:r>
        <w:t xml:space="preserve">”</w:t>
      </w:r>
      <w:r>
        <w:t xml:space="preserve"> </w:t>
      </w:r>
      <w:r>
        <w:t xml:space="preserve">solo impone la obligación de definir un</w:t>
      </w:r>
      <w:r>
        <w:t xml:space="preserve"> </w:t>
      </w:r>
      <w:r>
        <w:rPr>
          <w:b/>
        </w:rPr>
        <w:t xml:space="preserve">estado de referencia</w:t>
      </w:r>
      <w:r>
        <w:t xml:space="preserve"> </w:t>
      </w:r>
      <w:r>
        <w:t xml:space="preserve">normativo.</w:t>
      </w:r>
    </w:p>
    <w:p>
      <w:pPr>
        <w:pStyle w:val="Heading2"/>
      </w:pPr>
      <w:bookmarkStart w:id="24" w:name="metodología"/>
      <w:r>
        <w:t xml:space="preserve">4. Metodología</w:t>
      </w:r>
      <w:bookmarkEnd w:id="24"/>
    </w:p>
    <w:p>
      <w:pPr>
        <w:pStyle w:val="FirstParagraph"/>
      </w:pPr>
      <w:r>
        <w:t xml:space="preserve">Se adopta el marco de diez pasos OECD/JRC para índices compuestos, con</w:t>
      </w:r>
      <w:r>
        <w:t xml:space="preserve"> </w:t>
      </w:r>
      <w:r>
        <w:rPr>
          <w:b/>
        </w:rPr>
        <w:t xml:space="preserve">análisis de incertidumbre y sensibilidad</w:t>
      </w:r>
      <w:r>
        <w:t xml:space="preserve"> </w:t>
      </w:r>
      <w:r>
        <w:t xml:space="preserve">obligatorio (un índice sin él</w:t>
      </w:r>
      <w:r>
        <w:t xml:space="preserve"> </w:t>
      </w:r>
      <w:r>
        <w:t xml:space="preserve">“</w:t>
      </w:r>
      <w:r>
        <w:t xml:space="preserve">puede construirse para contar cualquier historia</w:t>
      </w:r>
      <w:r>
        <w:t xml:space="preserve">”</w:t>
      </w:r>
      <w:r>
        <w:t xml:space="preserve">). Al ser el constructo</w:t>
      </w:r>
      <w:r>
        <w:t xml:space="preserve"> </w:t>
      </w:r>
      <w:r>
        <w:rPr>
          <w:b/>
        </w:rPr>
        <w:t xml:space="preserve">formativo</w:t>
      </w:r>
      <w:r>
        <w:t xml:space="preserve">, la validación se apoya en validez de contenido/completitud, validez de criterio (externa), análisis de colinealidad y robustez —no en el α de Cronbach ni en validez convergente/discriminante.</w:t>
      </w:r>
    </w:p>
    <w:p>
      <w:pPr>
        <w:pStyle w:val="Heading2"/>
      </w:pPr>
      <w:bookmarkStart w:id="25" w:name="ontología-y-arquitectura-del-estándar"/>
      <w:r>
        <w:t xml:space="preserve">5. Ontología y arquitectura del estándar</w:t>
      </w:r>
      <w:bookmarkEnd w:id="25"/>
    </w:p>
    <w:p>
      <w:pPr>
        <w:pStyle w:val="FirstParagraph"/>
      </w:pPr>
      <w:r>
        <w:t xml:space="preserve">Una ontología realista de tres estratos separa</w:t>
      </w:r>
      <w:r>
        <w:t xml:space="preserve"> </w:t>
      </w:r>
      <w:r>
        <w:rPr>
          <w:b/>
        </w:rPr>
        <w:t xml:space="preserve">Realidad</w:t>
      </w:r>
      <w:r>
        <w:t xml:space="preserve"> </w:t>
      </w:r>
      <w:r>
        <w:t xml:space="preserve">(industria ⊃ establecimiento ⊃ operación ⊃ recursos/eventos/agentes),</w:t>
      </w:r>
      <w:r>
        <w:t xml:space="preserve"> </w:t>
      </w:r>
      <w:r>
        <w:rPr>
          <w:b/>
        </w:rPr>
        <w:t xml:space="preserve">Norma</w:t>
      </w:r>
      <w:r>
        <w:t xml:space="preserve"> </w:t>
      </w:r>
      <w:r>
        <w:t xml:space="preserve">(los tipos del estándar) y</w:t>
      </w:r>
      <w:r>
        <w:t xml:space="preserve"> </w:t>
      </w:r>
      <w:r>
        <w:rPr>
          <w:b/>
        </w:rPr>
        <w:t xml:space="preserve">Datos</w:t>
      </w:r>
      <w:r>
        <w:t xml:space="preserve"> </w:t>
      </w:r>
      <w:r>
        <w:t xml:space="preserve">(observaciones, valores de KPI, resultados). El estándar no es la raíz; es un artefacto de información sobre la realidad (BFO; REA —McCarthy, 1982; PROV-O). Toda observación admisible se ancla simultáneamente en entidad, proceso, evento y periodo (PROV-O), lo que actúa como compuerta de calidad del dato. La arquitectura del estándar comprende un eje normativo (fundamento → modelo conceptual → taxonomía → matriz de procesos → indicadores/admisibilidad → normalización → modelo matemático → reglas críticas → interpretación → aplicación), planos transversales (gobernanza, glosario, validación-como-compuerta, mejora continua) y un esquema de conformidad paralelo.</w:t>
      </w:r>
    </w:p>
    <w:p>
      <w:pPr>
        <w:pStyle w:val="Heading2"/>
      </w:pPr>
      <w:bookmarkStart w:id="26" w:name="núcleo-universal-de-macroprocesos"/>
      <w:r>
        <w:t xml:space="preserve">6. Núcleo universal de macroprocesos</w:t>
      </w:r>
      <w:bookmarkEnd w:id="26"/>
    </w:p>
    <w:p>
      <w:pPr>
        <w:pStyle w:val="FirstParagraph"/>
      </w:pPr>
      <w:r>
        <w:t xml:space="preserve">Una revisión convergente entre cuatro tradiciones independientes —teoría de sistemas de foodservice (Spears &amp; Gregoire), el marco industry-neutral APQC (5 categorías operativas + 7 de gestión/soporte), el modelado de procesos de restaurantes (Core/Support/Management) y el foodservice hospitalario— sostiene un núcleo a dos niveles: una cadena operativa primaria (planificación/menú → aprovisionamiento → recepción/almacenamiento → producción → entrega al consumidor → cierre transaccional) y procesos transversales de gestión/soporte (inocuidad, mantenimiento, gestión, residuos). La universalidad se sostiene a nivel de</w:t>
      </w:r>
      <w:r>
        <w:t xml:space="preserve"> </w:t>
      </w:r>
      <w:r>
        <w:rPr>
          <w:b/>
        </w:rPr>
        <w:t xml:space="preserve">subsistema</w:t>
      </w:r>
      <w:r>
        <w:t xml:space="preserve">, no de actividad concreta (servicio de mesa, delivery, transporte y bandeja institucional son mutuamente excluyentes). La entrega es universal como</w:t>
      </w:r>
      <w:r>
        <w:t xml:space="preserve"> </w:t>
      </w:r>
      <w:r>
        <w:t xml:space="preserve">“</w:t>
      </w:r>
      <w:r>
        <w:t xml:space="preserve">entrega de valor al consumidor</w:t>
      </w:r>
      <w:r>
        <w:t xml:space="preserve">”</w:t>
      </w:r>
      <w:r>
        <w:t xml:space="preserve">; el cierre transaccional como</w:t>
      </w:r>
      <w:r>
        <w:t xml:space="preserve"> </w:t>
      </w:r>
      <w:r>
        <w:t xml:space="preserve">“</w:t>
      </w:r>
      <w:r>
        <w:t xml:space="preserve">venta o requisición interna</w:t>
      </w:r>
      <w:r>
        <w:t xml:space="preserve">”</w:t>
      </w:r>
      <w:r>
        <w:t xml:space="preserve">, lo que incorpora al foodservice no comercial.</w:t>
      </w:r>
    </w:p>
    <w:p>
      <w:pPr>
        <w:pStyle w:val="Heading2"/>
      </w:pPr>
      <w:bookmarkStart w:id="27" w:name="diseño-provisional-no-validado"/>
      <w:r>
        <w:t xml:space="preserve">7. Diseño provisional (no validado)</w:t>
      </w:r>
      <w:bookmarkEnd w:id="27"/>
    </w:p>
    <w:p>
      <w:pPr>
        <w:pStyle w:val="FirstParagraph"/>
      </w:pPr>
      <w:r>
        <w:t xml:space="preserve">Se proponen —explícitamente como provisionales, pendientes de validación— dimensiones candidatas (eficiencia económica/costos; productividad de recursos; calidad de producto; servicio/experiencia;</w:t>
      </w:r>
      <w:r>
        <w:t xml:space="preserve"> </w:t>
      </w:r>
      <w:r>
        <w:rPr>
          <w:b/>
        </w:rPr>
        <w:t xml:space="preserve">inocuidad, como dimensión y como compuerta no compensable</w:t>
      </w:r>
      <w:r>
        <w:t xml:space="preserve">; personas; sostenibilidad/residuos), una matriz de admisibilidad de KPI (definible, medible, obtenible sin tecnología, trazable, repetible, auditable, realizable por la categoría, no redundante), normalización a estado de referencia 0–100 (como en IBI/OHI/HEI) y una forma de agregación parcialmente no compensatoria con compuertas críticas duras.</w:t>
      </w:r>
      <w:r>
        <w:t xml:space="preserve"> </w:t>
      </w:r>
      <w:r>
        <w:rPr>
          <w:b/>
        </w:rPr>
        <w:t xml:space="preserve">No se afirma ningún peso ni umbral como validado.</w:t>
      </w:r>
    </w:p>
    <w:p>
      <w:pPr>
        <w:pStyle w:val="Heading2"/>
      </w:pPr>
      <w:bookmarkStart w:id="28" w:name="protocolo-de-validación-trabajo-futuro"/>
      <w:r>
        <w:t xml:space="preserve">8. Protocolo de validación (trabajo futuro)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Contenido/completitud mediante</w:t>
      </w:r>
      <w:r>
        <w:t xml:space="preserve"> </w:t>
      </w:r>
      <w:r>
        <w:rPr>
          <w:b/>
        </w:rPr>
        <w:t xml:space="preserve">Delphi</w:t>
      </w:r>
      <w:r>
        <w:t xml:space="preserve"> </w:t>
      </w:r>
      <w:r>
        <w:t xml:space="preserve">de expertos; (2) validez de criterio frente a resultados externos (continuidad del negocio, rentabilidad, satisfacción, no conformidades); (3)</w:t>
      </w:r>
      <w:r>
        <w:t xml:space="preserve"> </w:t>
      </w:r>
      <w:r>
        <w:rPr>
          <w:b/>
        </w:rPr>
        <w:t xml:space="preserve">robustez</w:t>
      </w:r>
      <w:r>
        <w:t xml:space="preserve"> </w:t>
      </w:r>
      <w:r>
        <w:t xml:space="preserve">mediante análisis de incertidumbre/sensibilidad; (4) fiabilidad inter-evaluador y test-retest; (5) piloto manual por categoría; (6) validación predictiva longitudinal opcional si se adopta el marco pleno de</w:t>
      </w:r>
      <w:r>
        <w:t xml:space="preserve"> </w:t>
      </w:r>
      <w:r>
        <w:t xml:space="preserve">“</w:t>
      </w:r>
      <w:r>
        <w:t xml:space="preserve">salud</w:t>
      </w:r>
      <w:r>
        <w:t xml:space="preserve">”</w:t>
      </w:r>
      <w:r>
        <w:t xml:space="preserve">.</w:t>
      </w:r>
    </w:p>
    <w:p>
      <w:pPr>
        <w:pStyle w:val="Heading2"/>
      </w:pPr>
      <w:bookmarkStart w:id="29" w:name="discusión-y-limitaciones"/>
      <w:r>
        <w:t xml:space="preserve">9. Discusión y limitaciones</w:t>
      </w:r>
      <w:bookmarkEnd w:id="29"/>
    </w:p>
    <w:p>
      <w:pPr>
        <w:pStyle w:val="FirstParagraph"/>
      </w:pPr>
      <w:r>
        <w:t xml:space="preserve">El GOEI sobrevive a la refutación en un punto no trivial: la intersección objetivo está empíricamente vacía y la Salud Operacional es coherentemente modelable como compuesto formativo con precedentes sólidos. Tensiones reconocidas: el acrónimo conserva</w:t>
      </w:r>
      <w:r>
        <w:t xml:space="preserve"> </w:t>
      </w:r>
      <w:r>
        <w:t xml:space="preserve">“</w:t>
      </w:r>
      <w:r>
        <w:t xml:space="preserve">Eficiencia</w:t>
      </w:r>
      <w:r>
        <w:t xml:space="preserve">”</w:t>
      </w:r>
      <w:r>
        <w:t xml:space="preserve"> </w:t>
      </w:r>
      <w:r>
        <w:t xml:space="preserve">aunque el núcleo no lo sea; el cálculo manual entra en tensión con el rigor estadístico y, bajo validación longitudinal, con la carga predictiva; y el</w:t>
      </w:r>
      <w:r>
        <w:t xml:space="preserve"> </w:t>
      </w:r>
      <w:r>
        <w:rPr>
          <w:i/>
        </w:rPr>
        <w:t xml:space="preserve">gaming</w:t>
      </w:r>
      <w:r>
        <w:t xml:space="preserve"> </w:t>
      </w:r>
      <w:r>
        <w:t xml:space="preserve">del indicador (Ley de Goodhart) exige vigilancia. La limitación central es que dimensiones, KPI, normalización, pesos y umbrales siguen siendo</w:t>
      </w:r>
      <w:r>
        <w:t xml:space="preserve"> </w:t>
      </w:r>
      <w:r>
        <w:rPr>
          <w:b/>
        </w:rPr>
        <w:t xml:space="preserve">provisionales</w:t>
      </w:r>
      <w:r>
        <w:t xml:space="preserve">: la validación empírica no se ha ejecutado.</w:t>
      </w:r>
    </w:p>
    <w:p>
      <w:pPr>
        <w:pStyle w:val="Heading2"/>
      </w:pPr>
      <w:bookmarkStart w:id="30" w:name="conclusión"/>
      <w:r>
        <w:t xml:space="preserve">10. Conclusión</w:t>
      </w:r>
      <w:bookmarkEnd w:id="30"/>
    </w:p>
    <w:p>
      <w:pPr>
        <w:pStyle w:val="FirstParagraph"/>
      </w:pPr>
      <w:r>
        <w:t xml:space="preserve">Se aporta una justificación crítica del GOEI y un marco metodológico reproducible para construirlo y validarlo. Lo que resta es empírico. La contribución es hacer ese camino riguroso y posible —no declararlo recorrido.</w:t>
      </w:r>
    </w:p>
    <w:p>
      <w:pPr>
        <w:pStyle w:val="Heading2"/>
      </w:pPr>
      <w:bookmarkStart w:id="31" w:name="referencias"/>
      <w:r>
        <w:t xml:space="preserve">Referencias</w:t>
      </w:r>
      <w:bookmarkEnd w:id="31"/>
    </w:p>
    <w:p>
      <w:pPr>
        <w:pStyle w:val="FirstParagraph"/>
      </w:pPr>
      <w:r>
        <w:t xml:space="preserve">Bollen &amp; Lennox (1991); Charnes, Cooper &amp; Rhodes (1978); Diamantopoulos &amp; Winklhofer (2001); Elkington (1994); Gregoire &amp; Spears (</w:t>
      </w:r>
      <w:r>
        <w:rPr>
          <w:i/>
        </w:rPr>
        <w:t xml:space="preserve">Foodservice Organizations</w:t>
      </w:r>
      <w:r>
        <w:t xml:space="preserve">); Halpern et al. (2012,</w:t>
      </w:r>
      <w:r>
        <w:t xml:space="preserve"> </w:t>
      </w:r>
      <w:r>
        <w:rPr>
          <w:i/>
        </w:rPr>
        <w:t xml:space="preserve">Nature</w:t>
      </w:r>
      <w:r>
        <w:t xml:space="preserve">); Jarvis, MacKenzie &amp; Podsakoff (2003); Kaplan &amp; Norton (1992); Karr (1981); McCarthy (1982); Miles (1969); Neely, Gregory &amp; Platts (1995); OECD/JRC (2008); Richard, Devinney, Yip &amp; Johnson (2009); Stevens, Knutson &amp; Patton (1995); APQC PCF; W3C PROV-O (2013); ISO/IEC Annex SL; ISO/IEC 17065.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31">
    <w:nsid w:val="ea454b4c"/>
    <w:multiLevelType w:val="multilevel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Índice de Eficiencia Operacional Gastronómica (GOEI): fundamentación conceptual y diseño de un compuesto formativo de Salud Operacional en establecimientos de foodservice</dc:title>
  <dc:creator>Proyecto GOEI — Comité Científico</dc:creator>
  <dc:language>es</dc:language>
  <cp:keywords/>
  <dcterms:created xsi:type="dcterms:W3CDTF">2026-08-04T08:02:37Z</dcterms:created>
  <dcterms:modified xsi:type="dcterms:W3CDTF">2026-08-04T08:02:37Z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Artículo metodológico / de protocolo de estudio</vt:lpwstr>
  </property>
</Properties>
</file>