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pPr>
      <w:r>
        <w:rPr>
          <w:rFonts w:ascii="Arial" w:cs="Arial" w:eastAsia="Arial" w:hAnsi="Arial"/>
          <w:b w:val="false"/>
          <w:bCs w:val="false"/>
          <w:i w:val="false"/>
          <w:iCs w:val="false"/>
          <w:color w:val="1A1A1A"/>
          <w:sz w:val="8"/>
          <w:szCs w:val="8"/>
        </w:rPr>
        <w:t xml:space="preserve">  </w:t>
      </w:r>
    </w:p>
    <w:p>
      <w:pPr>
        <w:shd w:fill="1F4E79" w:val="clear"/>
        <w:spacing w:after="0" w:before="200"/>
        <w:jc w:val="center"/>
      </w:pPr>
      <w:r>
        <w:rPr>
          <w:rFonts w:ascii="Arial" w:cs="Arial" w:eastAsia="Arial" w:hAnsi="Arial"/>
          <w:b/>
          <w:bCs/>
          <w:i w:val="false"/>
          <w:iCs w:val="false"/>
          <w:color w:val="FFFFFF"/>
          <w:sz w:val="60"/>
          <w:szCs w:val="60"/>
        </w:rPr>
        <w:t xml:space="preserve">DOCUMENTO TÉCNICO</w:t>
      </w:r>
    </w:p>
    <w:p>
      <w:pPr>
        <w:shd w:fill="1F4E79" w:val="clear"/>
        <w:spacing w:after="0" w:before="100"/>
        <w:jc w:val="center"/>
      </w:pPr>
      <w:r>
        <w:rPr>
          <w:rFonts w:ascii="Arial" w:cs="Arial" w:eastAsia="Arial" w:hAnsi="Arial"/>
          <w:b w:val="false"/>
          <w:bCs w:val="false"/>
          <w:i/>
          <w:iCs/>
          <w:color w:val="BDD7EE"/>
          <w:sz w:val="26"/>
          <w:szCs w:val="26"/>
        </w:rPr>
        <w:t xml:space="preserve">Construcción de un Entorno Analítico · SalesHealth</w:t>
      </w:r>
    </w:p>
    <w:p>
      <w:pPr>
        <w:shd w:fill="1F4E79" w:val="clear"/>
        <w:spacing w:after="200" w:before="80"/>
        <w:jc w:val="center"/>
      </w:pPr>
      <w:r>
        <w:rPr>
          <w:rFonts w:ascii="Arial" w:cs="Arial" w:eastAsia="Arial" w:hAnsi="Arial"/>
          <w:b w:val="false"/>
          <w:bCs w:val="false"/>
          <w:i w:val="false"/>
          <w:iCs w:val="false"/>
          <w:color w:val="A0BFD8"/>
          <w:sz w:val="20"/>
          <w:szCs w:val="20"/>
        </w:rPr>
        <w:t xml:space="preserve">Gestión de Bases de Datos · 3º Ingeniería Matemática · UAX 2025/2026</w:t>
      </w:r>
    </w:p>
    <w:p>
      <w:pPr>
        <w:shd w:fill="2E75B6" w:val="clear"/>
        <w:spacing w:after="0" w:before="0"/>
      </w:pPr>
      <w:r>
        <w:rPr>
          <w:rFonts w:ascii="Arial" w:cs="Arial" w:eastAsia="Arial" w:hAnsi="Arial"/>
          <w:b w:val="false"/>
          <w:bCs w:val="false"/>
          <w:i w:val="false"/>
          <w:iCs w:val="false"/>
          <w:color w:val="1A1A1A"/>
          <w:sz w:val="6"/>
          <w:szCs w:val="6"/>
        </w:rPr>
        <w:t xml:space="preserve">  </w:t>
      </w:r>
    </w:p>
    <w:p>
      <w:pPr>
        <w:spacing w:after="0" w:before="500"/>
      </w:pPr>
      <w:r>
        <w:rPr>
          <w:rFonts w:ascii="Arial" w:cs="Arial" w:eastAsia="Arial" w:hAnsi="Arial"/>
          <w:b w:val="false"/>
          <w:bCs w:val="false"/>
          <w:i w:val="false"/>
          <w:iCs w:val="false"/>
          <w:color w:val="1A1A1A"/>
          <w:sz w:val="20"/>
          <w:szCs w:val="20"/>
        </w:rPr>
        <w:t xml:space="preserve"/>
      </w:r>
    </w:p>
    <w:p>
      <w:pPr>
        <w:spacing w:after="80" w:before="0"/>
        <w:jc w:val="center"/>
      </w:pPr>
      <w:r>
        <w:rPr>
          <w:rFonts w:ascii="Arial" w:cs="Arial" w:eastAsia="Arial" w:hAnsi="Arial"/>
          <w:b/>
          <w:bCs/>
          <w:i w:val="false"/>
          <w:iCs w:val="false"/>
          <w:color w:val="1F4E79"/>
          <w:sz w:val="32"/>
          <w:szCs w:val="32"/>
        </w:rPr>
        <w:t xml:space="preserve">Pablo Jiménez Girardeau</w:t>
      </w:r>
    </w:p>
    <w:p>
      <w:pPr>
        <w:spacing w:after="40" w:before="0"/>
        <w:jc w:val="center"/>
      </w:pPr>
      <w:r>
        <w:rPr>
          <w:rFonts w:ascii="Arial" w:cs="Arial" w:eastAsia="Arial" w:hAnsi="Arial"/>
          <w:b w:val="false"/>
          <w:bCs w:val="false"/>
          <w:i w:val="false"/>
          <w:iCs w:val="false"/>
          <w:color w:val="595959"/>
          <w:sz w:val="22"/>
          <w:szCs w:val="22"/>
        </w:rPr>
        <w:t xml:space="preserve">3º Ingeniería Matemática · UAX</w:t>
      </w:r>
    </w:p>
    <w:p>
      <w:pPr>
        <w:spacing w:after="40" w:before="0"/>
        <w:jc w:val="center"/>
      </w:pPr>
      <w:r>
        <w:rPr>
          <w:rFonts w:ascii="Arial" w:cs="Arial" w:eastAsia="Arial" w:hAnsi="Arial"/>
          <w:b w:val="false"/>
          <w:bCs w:val="false"/>
          <w:i w:val="false"/>
          <w:iCs w:val="false"/>
          <w:color w:val="595959"/>
          <w:sz w:val="22"/>
          <w:szCs w:val="22"/>
        </w:rPr>
        <w:t xml:space="preserve">Gestión de Bases de Datos · Curso 2025/2026</w:t>
      </w:r>
    </w:p>
    <w:p>
      <w:pPr>
        <w:pBdr>
          <w:bottom w:val="single" w:color="2E75B6" w:sz="12" w:space="1"/>
        </w:pBdr>
        <w:spacing w:after="0" w:before="280"/>
      </w:pPr>
      <w:r>
        <w:rPr>
          <w:rFonts w:ascii="Arial" w:cs="Arial" w:eastAsia="Arial" w:hAnsi="Arial"/>
          <w:b w:val="false"/>
          <w:bCs w:val="false"/>
          <w:i w:val="false"/>
          <w:iCs w:val="false"/>
          <w:color w:val="1A1A1A"/>
          <w:sz w:val="20"/>
          <w:szCs w:val="20"/>
        </w:rPr>
        <w:t xml:space="preserve"/>
      </w:r>
    </w:p>
    <w:p>
      <w:pPr>
        <w:spacing w:after="80" w:before="0"/>
      </w:pPr>
      <w:r>
        <w:rPr>
          <w:rFonts w:ascii="Arial" w:cs="Arial" w:eastAsia="Arial" w:hAnsi="Arial"/>
          <w:b w:val="false"/>
          <w:bCs w:val="false"/>
          <w:i w:val="false"/>
          <w:iCs w:val="false"/>
          <w:color w:val="1A1A1A"/>
          <w:sz w:val="20"/>
          <w:szCs w:val="20"/>
        </w:rPr>
        <w:t xml:space="preserve"/>
      </w:r>
    </w:p>
    <w:p>
      <w:pPr>
        <w:spacing w:after="60" w:before="0"/>
        <w:jc w:val="center"/>
      </w:pPr>
      <w:r>
        <w:rPr>
          <w:rFonts w:ascii="Arial" w:cs="Arial" w:eastAsia="Arial" w:hAnsi="Arial"/>
          <w:b/>
          <w:bCs/>
          <w:i w:val="false"/>
          <w:iCs w:val="false"/>
          <w:color w:val="2E75B6"/>
          <w:sz w:val="18"/>
          <w:szCs w:val="18"/>
        </w:rPr>
        <w:t xml:space="preserve">RESUMEN EJECUTIVO</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26"/>
      </w:tblGrid>
      <w:tr>
        <w:tc>
          <w:tcPr>
            <w:tcW w:type="dxa" w:w="2808"/>
            <w:tcBorders>
              <w:top w:val="single" w:color="2E75B6" w:sz="1"/>
              <w:left w:val="single" w:color="2E75B6" w:sz="1"/>
              <w:bottom w:val="single" w:color="2E75B6" w:sz="1"/>
              <w:right w:val="single" w:color="2E75B6" w:sz="1"/>
            </w:tcBorders>
            <w:shd w:fill="D6E4F0" w:val="clear"/>
            <w:tcMar>
              <w:top w:type="dxa" w:w="100"/>
              <w:left w:type="dxa" w:w="120"/>
              <w:bottom w:type="dxa" w:w="100"/>
              <w:right w:type="dxa" w:w="120"/>
            </w:tcMar>
          </w:tcPr>
          <w:p>
            <w:pPr>
              <w:spacing w:after="20" w:before="0"/>
              <w:jc w:val="center"/>
            </w:pPr>
            <w:r>
              <w:rPr>
                <w:rFonts w:ascii="Arial" w:cs="Arial" w:eastAsia="Arial" w:hAnsi="Arial"/>
                <w:b/>
                <w:bCs/>
                <w:i w:val="false"/>
                <w:iCs w:val="false"/>
                <w:color w:val="1F4E79"/>
                <w:sz w:val="22"/>
                <w:szCs w:val="22"/>
              </w:rPr>
              <w:t xml:space="preserve">71.935 registros</w:t>
            </w:r>
          </w:p>
          <w:p>
            <w:pPr>
              <w:spacing w:after="0" w:before="0"/>
              <w:jc w:val="center"/>
            </w:pPr>
            <w:r>
              <w:rPr>
                <w:rFonts w:ascii="Arial" w:cs="Arial" w:eastAsia="Arial" w:hAnsi="Arial"/>
                <w:b w:val="false"/>
                <w:bCs w:val="false"/>
                <w:i w:val="false"/>
                <w:iCs w:val="false"/>
                <w:color w:val="595959"/>
                <w:sz w:val="18"/>
                <w:szCs w:val="18"/>
              </w:rPr>
              <w:t xml:space="preserve">integrados desde 4 sistemas</w:t>
            </w:r>
          </w:p>
        </w:tc>
        <w:tc>
          <w:tcPr>
            <w:tcW w:type="dxa" w:w="2808"/>
            <w:tcBorders>
              <w:top w:val="single" w:color="2E75B6" w:sz="1"/>
              <w:left w:val="single" w:color="2E75B6" w:sz="1"/>
              <w:bottom w:val="single" w:color="2E75B6" w:sz="1"/>
              <w:right w:val="single" w:color="2E75B6" w:sz="1"/>
            </w:tcBorders>
            <w:shd w:fill="D6E4F0" w:val="clear"/>
            <w:tcMar>
              <w:top w:type="dxa" w:w="100"/>
              <w:left w:type="dxa" w:w="120"/>
              <w:bottom w:type="dxa" w:w="100"/>
              <w:right w:type="dxa" w:w="120"/>
            </w:tcMar>
          </w:tcPr>
          <w:p>
            <w:pPr>
              <w:spacing w:after="20" w:before="0"/>
              <w:jc w:val="center"/>
            </w:pPr>
            <w:r>
              <w:rPr>
                <w:rFonts w:ascii="Arial" w:cs="Arial" w:eastAsia="Arial" w:hAnsi="Arial"/>
                <w:b/>
                <w:bCs/>
                <w:i w:val="false"/>
                <w:iCs w:val="false"/>
                <w:color w:val="1F4E79"/>
                <w:sz w:val="22"/>
                <w:szCs w:val="22"/>
              </w:rPr>
              <w:t xml:space="preserve">44 tablas</w:t>
            </w:r>
          </w:p>
          <w:p>
            <w:pPr>
              <w:spacing w:after="0" w:before="0"/>
              <w:jc w:val="center"/>
            </w:pPr>
            <w:r>
              <w:rPr>
                <w:rFonts w:ascii="Arial" w:cs="Arial" w:eastAsia="Arial" w:hAnsi="Arial"/>
                <w:b w:val="false"/>
                <w:bCs w:val="false"/>
                <w:i w:val="false"/>
                <w:iCs w:val="false"/>
                <w:color w:val="595959"/>
                <w:sz w:val="18"/>
                <w:szCs w:val="18"/>
              </w:rPr>
              <w:t xml:space="preserve">en 4 schemas (BD única)</w:t>
            </w:r>
          </w:p>
        </w:tc>
        <w:tc>
          <w:tcPr>
            <w:tcW w:type="dxa" w:w="2808"/>
            <w:tcBorders>
              <w:top w:val="single" w:color="2E75B6" w:sz="1"/>
              <w:left w:val="single" w:color="2E75B6" w:sz="1"/>
              <w:bottom w:val="single" w:color="2E75B6" w:sz="1"/>
              <w:right w:val="single" w:color="2E75B6" w:sz="1"/>
            </w:tcBorders>
            <w:shd w:fill="D6E4F0" w:val="clear"/>
            <w:tcMar>
              <w:top w:type="dxa" w:w="100"/>
              <w:left w:type="dxa" w:w="120"/>
              <w:bottom w:type="dxa" w:w="100"/>
              <w:right w:type="dxa" w:w="120"/>
            </w:tcMar>
          </w:tcPr>
          <w:p>
            <w:pPr>
              <w:spacing w:after="20" w:before="0"/>
              <w:jc w:val="center"/>
            </w:pPr>
            <w:r>
              <w:rPr>
                <w:rFonts w:ascii="Arial" w:cs="Arial" w:eastAsia="Arial" w:hAnsi="Arial"/>
                <w:b/>
                <w:bCs/>
                <w:i w:val="false"/>
                <w:iCs w:val="false"/>
                <w:color w:val="1F4E79"/>
                <w:sz w:val="22"/>
                <w:szCs w:val="22"/>
              </w:rPr>
              <w:t xml:space="preserve">21/21 validaciones</w:t>
            </w:r>
          </w:p>
          <w:p>
            <w:pPr>
              <w:spacing w:after="0" w:before="0"/>
              <w:jc w:val="center"/>
            </w:pPr>
            <w:r>
              <w:rPr>
                <w:rFonts w:ascii="Arial" w:cs="Arial" w:eastAsia="Arial" w:hAnsi="Arial"/>
                <w:b w:val="false"/>
                <w:bCs w:val="false"/>
                <w:i w:val="false"/>
                <w:iCs w:val="false"/>
                <w:color w:val="595959"/>
                <w:sz w:val="18"/>
                <w:szCs w:val="18"/>
              </w:rPr>
              <w:t xml:space="preserve">automáticas OK</w:t>
            </w:r>
          </w:p>
        </w:tc>
      </w:tr>
      <w:tr>
        <w:tc>
          <w:tcPr>
            <w:tcW w:type="dxa" w:w="2808"/>
            <w:tcBorders>
              <w:top w:val="single" w:color="2E75B6" w:sz="1"/>
              <w:left w:val="single" w:color="2E75B6" w:sz="1"/>
              <w:bottom w:val="single" w:color="2E75B6" w:sz="1"/>
              <w:right w:val="single" w:color="2E75B6" w:sz="1"/>
            </w:tcBorders>
            <w:shd w:fill="FFFFFF" w:val="clear"/>
            <w:tcMar>
              <w:top w:type="dxa" w:w="100"/>
              <w:left w:type="dxa" w:w="120"/>
              <w:bottom w:type="dxa" w:w="100"/>
              <w:right w:type="dxa" w:w="120"/>
            </w:tcMar>
          </w:tcPr>
          <w:p>
            <w:pPr>
              <w:spacing w:after="20" w:before="0"/>
              <w:jc w:val="center"/>
            </w:pPr>
            <w:r>
              <w:rPr>
                <w:rFonts w:ascii="Arial" w:cs="Arial" w:eastAsia="Arial" w:hAnsi="Arial"/>
                <w:b/>
                <w:bCs/>
                <w:i w:val="false"/>
                <w:iCs w:val="false"/>
                <w:color w:val="1F4E79"/>
                <w:sz w:val="22"/>
                <w:szCs w:val="22"/>
              </w:rPr>
              <w:t xml:space="preserve">5.750 clientes</w:t>
            </w:r>
          </w:p>
          <w:p>
            <w:pPr>
              <w:spacing w:after="0" w:before="0"/>
              <w:jc w:val="center"/>
            </w:pPr>
            <w:r>
              <w:rPr>
                <w:rFonts w:ascii="Arial" w:cs="Arial" w:eastAsia="Arial" w:hAnsi="Arial"/>
                <w:b w:val="false"/>
                <w:bCs w:val="false"/>
                <w:i w:val="false"/>
                <w:iCs w:val="false"/>
                <w:color w:val="595959"/>
                <w:sz w:val="18"/>
                <w:szCs w:val="18"/>
              </w:rPr>
              <w:t xml:space="preserve">segmentados en 3 clusters</w:t>
            </w:r>
          </w:p>
        </w:tc>
        <w:tc>
          <w:tcPr>
            <w:tcW w:type="dxa" w:w="2808"/>
            <w:tcBorders>
              <w:top w:val="single" w:color="2E75B6" w:sz="1"/>
              <w:left w:val="single" w:color="2E75B6" w:sz="1"/>
              <w:bottom w:val="single" w:color="2E75B6" w:sz="1"/>
              <w:right w:val="single" w:color="2E75B6" w:sz="1"/>
            </w:tcBorders>
            <w:shd w:fill="FFFFFF" w:val="clear"/>
            <w:tcMar>
              <w:top w:type="dxa" w:w="100"/>
              <w:left w:type="dxa" w:w="120"/>
              <w:bottom w:type="dxa" w:w="100"/>
              <w:right w:type="dxa" w:w="120"/>
            </w:tcMar>
          </w:tcPr>
          <w:p>
            <w:pPr>
              <w:spacing w:after="20" w:before="0"/>
              <w:jc w:val="center"/>
            </w:pPr>
            <w:r>
              <w:rPr>
                <w:rFonts w:ascii="Arial" w:cs="Arial" w:eastAsia="Arial" w:hAnsi="Arial"/>
                <w:b/>
                <w:bCs/>
                <w:i w:val="false"/>
                <w:iCs w:val="false"/>
                <w:color w:val="1F4E79"/>
                <w:sz w:val="22"/>
                <w:szCs w:val="22"/>
              </w:rPr>
              <w:t xml:space="preserve">K-Means K=3</w:t>
            </w:r>
          </w:p>
          <w:p>
            <w:pPr>
              <w:spacing w:after="0" w:before="0"/>
              <w:jc w:val="center"/>
            </w:pPr>
            <w:r>
              <w:rPr>
                <w:rFonts w:ascii="Arial" w:cs="Arial" w:eastAsia="Arial" w:hAnsi="Arial"/>
                <w:b w:val="false"/>
                <w:bCs w:val="false"/>
                <w:i w:val="false"/>
                <w:iCs w:val="false"/>
                <w:color w:val="595959"/>
                <w:sz w:val="18"/>
                <w:szCs w:val="18"/>
              </w:rPr>
              <w:t xml:space="preserve">Silhouette Score 0,847</w:t>
            </w:r>
          </w:p>
        </w:tc>
        <w:tc>
          <w:tcPr>
            <w:tcW w:type="dxa" w:w="2808"/>
            <w:tcBorders>
              <w:top w:val="single" w:color="2E75B6" w:sz="1"/>
              <w:left w:val="single" w:color="2E75B6" w:sz="1"/>
              <w:bottom w:val="single" w:color="2E75B6" w:sz="1"/>
              <w:right w:val="single" w:color="2E75B6" w:sz="1"/>
            </w:tcBorders>
            <w:shd w:fill="FFFFFF" w:val="clear"/>
            <w:tcMar>
              <w:top w:type="dxa" w:w="100"/>
              <w:left w:type="dxa" w:w="120"/>
              <w:bottom w:type="dxa" w:w="100"/>
              <w:right w:type="dxa" w:w="120"/>
            </w:tcMar>
          </w:tcPr>
          <w:p>
            <w:pPr>
              <w:spacing w:after="20" w:before="0"/>
              <w:jc w:val="center"/>
            </w:pPr>
            <w:r>
              <w:rPr>
                <w:rFonts w:ascii="Arial" w:cs="Arial" w:eastAsia="Arial" w:hAnsi="Arial"/>
                <w:b/>
                <w:bCs/>
                <w:i w:val="false"/>
                <w:iCs w:val="false"/>
                <w:color w:val="1F4E79"/>
                <w:sz w:val="22"/>
                <w:szCs w:val="22"/>
              </w:rPr>
              <w:t xml:space="preserve">Dashboard HTML</w:t>
            </w:r>
          </w:p>
          <w:p>
            <w:pPr>
              <w:spacing w:after="0" w:before="0"/>
              <w:jc w:val="center"/>
            </w:pPr>
            <w:r>
              <w:rPr>
                <w:rFonts w:ascii="Arial" w:cs="Arial" w:eastAsia="Arial" w:hAnsi="Arial"/>
                <w:b w:val="false"/>
                <w:bCs w:val="false"/>
                <w:i w:val="false"/>
                <w:iCs w:val="false"/>
                <w:color w:val="595959"/>
                <w:sz w:val="18"/>
                <w:szCs w:val="18"/>
              </w:rPr>
              <w:t xml:space="preserve">10 páginas interactivas</w:t>
            </w:r>
          </w:p>
        </w:tc>
      </w:tr>
    </w:tbl>
    <w:p>
      <w:r>
        <w:br/>
      </w:r>
    </w:p>
    <w:p>
      <w:pPr>
        <w:pStyle w:val="Heading1"/>
        <w:pBdr>
          <w:bottom w:val="single" w:color="2E75B6" w:sz="10" w:space="4"/>
        </w:pBdr>
        <w:spacing w:after="120" w:before="280"/>
      </w:pPr>
      <w:r>
        <w:rPr>
          <w:rFonts w:ascii="Arial" w:cs="Arial" w:eastAsia="Arial" w:hAnsi="Arial"/>
          <w:b/>
          <w:bCs/>
          <w:color w:val="1F4E79"/>
          <w:sz w:val="28"/>
          <w:szCs w:val="28"/>
        </w:rPr>
        <w:t xml:space="preserve">1. Arquitectura del Entorno Analítico</w:t>
      </w:r>
    </w:p>
    <w:p>
      <w:pPr>
        <w:spacing w:after="80" w:before="100"/>
        <w:jc w:val="both"/>
      </w:pPr>
      <w:r>
        <w:rPr>
          <w:rFonts w:ascii="Arial" w:cs="Arial" w:eastAsia="Arial" w:hAnsi="Arial"/>
          <w:b w:val="false"/>
          <w:bCs w:val="false"/>
          <w:i w:val="false"/>
          <w:iCs w:val="false"/>
          <w:color w:val="1A1A1A"/>
          <w:sz w:val="20"/>
          <w:szCs w:val="20"/>
        </w:rPr>
        <w:t xml:space="preserve">El proyecto implementa un entorno analítico completo sobre una única base de datos PostgreSQL 18 (saleshealth), organizada en cuatro schemas. Se optó por una arquitectura de schemas en lugar de dos bases de datos separadas: permite JOINs directos entre capas sin dblink, simplifica la gestión de credenciales en el ETL y mantiene el aislamiento lógico entre etapas.</w:t>
      </w:r>
    </w:p>
    <w:p>
      <w:pPr>
        <w:spacing w:after="60" w:before="0"/>
      </w:pPr>
      <w:r>
        <w:rPr>
          <w:rFonts w:ascii="Arial" w:cs="Arial" w:eastAsia="Arial" w:hAnsi="Arial"/>
          <w:b w:val="false"/>
          <w:bCs w:val="false"/>
          <w:i w:val="false"/>
          <w:iCs w:val="false"/>
          <w:color w:val="1A1A1A"/>
          <w:sz w:val="20"/>
          <w:szCs w:val="20"/>
        </w:rPr>
        <w:t xml:space="preserve"/>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1226"/>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Schema</w:t>
            </w:r>
          </w:p>
        </w:tc>
        <w:tc>
          <w:tcPr>
            <w:tcW w:type="dxa" w:w="5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Función</w:t>
            </w:r>
          </w:p>
        </w:tc>
        <w:tc>
          <w:tcPr>
            <w:tcW w:type="dxa" w:w="12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Tablas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public</w:t>
            </w:r>
          </w:p>
        </w:tc>
        <w:tc>
          <w:tcPr>
            <w:tcW w:type="dxa" w:w="5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Datos operacionales origen (OLTP)</w:t>
            </w:r>
          </w:p>
        </w:tc>
        <w:tc>
          <w:tcPr>
            <w:tcW w:type="dxa" w:w="12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17</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stg</w:t>
            </w:r>
          </w:p>
        </w:tc>
        <w:tc>
          <w:tcPr>
            <w:tcW w:type="dxa" w:w="5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Staging — copia exacta sin transformaciones</w:t>
            </w:r>
          </w:p>
        </w:tc>
        <w:tc>
          <w:tcPr>
            <w:tcW w:type="dxa" w:w="12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17</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dwh</w:t>
            </w:r>
          </w:p>
        </w:tc>
        <w:tc>
          <w:tcPr>
            <w:tcW w:type="dxa" w:w="5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Data Warehouse dimensional — esquema estrella Kimball</w:t>
            </w:r>
          </w:p>
        </w:tc>
        <w:tc>
          <w:tcPr>
            <w:tcW w:type="dxa" w:w="12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9</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marts</w:t>
            </w:r>
          </w:p>
        </w:tc>
        <w:tc>
          <w:tcPr>
            <w:tcW w:type="dxa" w:w="5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Capa analítica — métricas precalculadas por cliente</w:t>
            </w:r>
          </w:p>
        </w:tc>
        <w:tc>
          <w:tcPr>
            <w:tcW w:type="dxa" w:w="12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1</w:t>
            </w:r>
          </w:p>
        </w:tc>
      </w:tr>
    </w:tbl>
    <w:p>
      <w:pPr>
        <w:spacing w:after="60" w:before="0"/>
      </w:pPr>
      <w:r>
        <w:rPr>
          <w:rFonts w:ascii="Arial" w:cs="Arial" w:eastAsia="Arial" w:hAnsi="Arial"/>
          <w:b w:val="false"/>
          <w:bCs w:val="false"/>
          <w:i w:val="false"/>
          <w:iCs w:val="false"/>
          <w:color w:val="1A1A1A"/>
          <w:sz w:val="20"/>
          <w:szCs w:val="20"/>
        </w:rPr>
        <w:t xml:space="preserve"/>
      </w:r>
    </w:p>
    <w:p>
      <w:pPr>
        <w:spacing w:after="80" w:before="80"/>
        <w:jc w:val="both"/>
      </w:pPr>
      <w:r>
        <w:rPr>
          <w:rFonts w:ascii="Arial" w:cs="Arial" w:eastAsia="Arial" w:hAnsi="Arial"/>
          <w:b w:val="false"/>
          <w:bCs w:val="false"/>
          <w:i w:val="false"/>
          <w:iCs w:val="false"/>
          <w:color w:val="1A1A1A"/>
          <w:sz w:val="20"/>
          <w:szCs w:val="20"/>
        </w:rPr>
        <w:t xml:space="preserve">El flujo sigue la arquitectura Data Lake → Staging → DWH → Data Mart. Los sistemas de origen son ERP (ventas, productos, tiendas), CRM (clientes), Logística (inventario) y Postventa (devoluciones), integrando un total de 71.935 registros operacionales.</w:t>
      </w:r>
    </w:p>
    <w:p>
      <w:pPr>
        <w:pStyle w:val="Heading1"/>
        <w:pBdr>
          <w:bottom w:val="single" w:color="2E75B6" w:sz="10" w:space="4"/>
        </w:pBdr>
        <w:spacing w:after="120" w:before="280"/>
      </w:pPr>
      <w:r>
        <w:rPr>
          <w:rFonts w:ascii="Arial" w:cs="Arial" w:eastAsia="Arial" w:hAnsi="Arial"/>
          <w:b/>
          <w:bCs/>
          <w:color w:val="1F4E79"/>
          <w:sz w:val="28"/>
          <w:szCs w:val="28"/>
        </w:rPr>
        <w:t xml:space="preserve">2. Modelo Dimensional — Esquema Estrella Kimball</w:t>
      </w:r>
    </w:p>
    <w:p>
      <w:pPr>
        <w:spacing w:after="80" w:before="80"/>
        <w:jc w:val="both"/>
      </w:pPr>
      <w:r>
        <w:rPr>
          <w:rFonts w:ascii="Arial" w:cs="Arial" w:eastAsia="Arial" w:hAnsi="Arial"/>
          <w:b w:val="false"/>
          <w:bCs w:val="false"/>
          <w:i w:val="false"/>
          <w:iCs w:val="false"/>
          <w:color w:val="1A1A1A"/>
          <w:sz w:val="20"/>
          <w:szCs w:val="20"/>
        </w:rPr>
        <w:t xml:space="preserve">Metodología Kimball. Grano: 1 fila = 1 línea de venta (sale_item). El modelo incluye 2 tablas de hechos y 7 dimensiones.</w:t>
      </w:r>
    </w:p>
    <w:p>
      <w:pPr>
        <w:pStyle w:val="Heading2"/>
        <w:spacing w:after="80" w:before="180"/>
      </w:pPr>
      <w:r>
        <w:rPr>
          <w:rFonts w:ascii="Arial" w:cs="Arial" w:eastAsia="Arial" w:hAnsi="Arial"/>
          <w:b/>
          <w:bCs/>
          <w:color w:val="2E75B6"/>
          <w:sz w:val="22"/>
          <w:szCs w:val="22"/>
        </w:rPr>
        <w:t xml:space="preserve">2.1 Tablas de hechos</w:t>
      </w:r>
    </w:p>
    <w:p>
      <w:pPr>
        <w:spacing w:after="60" w:before="0"/>
      </w:pPr>
      <w:r>
        <w:rPr>
          <w:rFonts w:ascii="Arial" w:cs="Arial" w:eastAsia="Arial" w:hAnsi="Arial"/>
          <w:b w:val="false"/>
          <w:bCs w:val="false"/>
          <w:i w:val="false"/>
          <w:iCs w:val="false"/>
          <w:color w:val="1A1A1A"/>
          <w:sz w:val="20"/>
          <w:szCs w:val="20"/>
        </w:rPr>
        <w:t xml:space="preserve"/>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3226"/>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Tabla</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Grano</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Registros</w:t>
            </w:r>
          </w:p>
        </w:tc>
        <w:tc>
          <w:tcPr>
            <w:tcW w:type="dxa" w:w="32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Métricas principales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fact_ventas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1 línea de venta</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42.555</w:t>
            </w:r>
          </w:p>
        </w:tc>
        <w:tc>
          <w:tcPr>
            <w:tcW w:type="dxa" w:w="32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cantidad, precio_unitario, subtotal_bruto, coste_total, margen_bruto, margen_pct, subtotal_neto, es_devuelta</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fact_devoluciones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1 devolución</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2.292</w:t>
            </w:r>
          </w:p>
        </w:tc>
        <w:tc>
          <w:tcPr>
            <w:tcW w:type="dxa" w:w="32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cantidad_devuelta, importe_devuelto, coste_devuelto</w:t>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2"/>
        <w:spacing w:after="80" w:before="180"/>
      </w:pPr>
      <w:r>
        <w:rPr>
          <w:rFonts w:ascii="Arial" w:cs="Arial" w:eastAsia="Arial" w:hAnsi="Arial"/>
          <w:b/>
          <w:bCs/>
          <w:color w:val="2E75B6"/>
          <w:sz w:val="22"/>
          <w:szCs w:val="22"/>
        </w:rPr>
        <w:t xml:space="preserve">2.2 Dimensiones</w:t>
      </w:r>
    </w:p>
    <w:p>
      <w:pPr>
        <w:spacing w:after="60" w:before="0"/>
      </w:pPr>
      <w:r>
        <w:rPr>
          <w:rFonts w:ascii="Arial" w:cs="Arial" w:eastAsia="Arial" w:hAnsi="Arial"/>
          <w:b w:val="false"/>
          <w:bCs w:val="false"/>
          <w:i w:val="false"/>
          <w:iCs w:val="false"/>
          <w:color w:val="1A1A1A"/>
          <w:sz w:val="20"/>
          <w:szCs w:val="20"/>
        </w:rPr>
        <w:t xml:space="preserve"/>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700"/>
        <w:gridCol w:w="3526"/>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Dimensión</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Fuente</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Reg.</w:t>
            </w:r>
          </w:p>
        </w:tc>
        <w:tc>
          <w:tcPr>
            <w:tcW w:type="dxa" w:w="35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Campos clave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dim_fecha</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Generada</w:t>
            </w:r>
          </w:p>
        </w:tc>
        <w:tc>
          <w:tcPr>
            <w:tcW w:type="dxa" w:w="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2.191</w:t>
            </w:r>
          </w:p>
        </w:tc>
        <w:tc>
          <w:tcPr>
            <w:tcW w:type="dxa" w:w="3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fecha_sk (YYYYMMDD), anio, trimestre, mes, dia_semana</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dim_cliente</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customer</w:t>
            </w:r>
          </w:p>
        </w:tc>
        <w:tc>
          <w:tcPr>
            <w:tcW w:type="dxa" w:w="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5.751</w:t>
            </w:r>
          </w:p>
        </w:tc>
        <w:tc>
          <w:tcPr>
            <w:tcW w:type="dxa" w:w="35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cliente_sk, cliente_nk, nombre, email, fecha_alta</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dim_producto</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product + central_product + brand + category</w:t>
            </w:r>
          </w:p>
        </w:tc>
        <w:tc>
          <w:tcPr>
            <w:tcW w:type="dxa" w:w="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51</w:t>
            </w:r>
          </w:p>
        </w:tc>
        <w:tc>
          <w:tcPr>
            <w:tcW w:type="dxa" w:w="3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nombre, categoria, marca, precio_venta, coste_unitario, margen_pct</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dim_tienda</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store</w:t>
            </w:r>
          </w:p>
        </w:tc>
        <w:tc>
          <w:tcPr>
            <w:tcW w:type="dxa" w:w="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21</w:t>
            </w:r>
          </w:p>
        </w:tc>
        <w:tc>
          <w:tcPr>
            <w:tcW w:type="dxa" w:w="35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nombre, ciudad, codigo_postal, latitud, longitud</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dim_zona</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city_zone</w:t>
            </w:r>
          </w:p>
        </w:tc>
        <w:tc>
          <w:tcPr>
            <w:tcW w:type="dxa" w:w="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43</w:t>
            </w:r>
          </w:p>
        </w:tc>
        <w:tc>
          <w:tcPr>
            <w:tcW w:type="dxa" w:w="3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codigo_postal (NK), distrito, tipo_area, orientacion</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dim_oferta</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offer</w:t>
            </w:r>
          </w:p>
        </w:tc>
        <w:tc>
          <w:tcPr>
            <w:tcW w:type="dxa" w:w="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2</w:t>
            </w:r>
          </w:p>
        </w:tc>
        <w:tc>
          <w:tcPr>
            <w:tcW w:type="dxa" w:w="35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nombre, descuento_pct, fecha_inicio, fecha_fin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dim_motivo_devolucion</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return_reason</w:t>
            </w:r>
          </w:p>
        </w:tc>
        <w:tc>
          <w:tcPr>
            <w:tcW w:type="dxa" w:w="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7</w:t>
            </w:r>
          </w:p>
        </w:tc>
        <w:tc>
          <w:tcPr>
            <w:tcW w:type="dxa" w:w="35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motivo, activo, es_desconocido</w:t>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2"/>
        <w:spacing w:after="80" w:before="180"/>
      </w:pPr>
      <w:r>
        <w:rPr>
          <w:rFonts w:ascii="Arial" w:cs="Arial" w:eastAsia="Arial" w:hAnsi="Arial"/>
          <w:b/>
          <w:bCs/>
          <w:color w:val="2E75B6"/>
          <w:sz w:val="22"/>
          <w:szCs w:val="22"/>
        </w:rPr>
        <w:t xml:space="preserve">2.3 Decisiones de diseño clave</w:t>
      </w:r>
    </w:p>
    <w:p>
      <w:pPr>
        <w:pStyle w:val="ListParagraph"/>
        <w:numPr>
          <w:ilvl w:val="0"/>
          <w:numId w:val="2"/>
        </w:numPr>
        <w:spacing w:after="50" w:before="50"/>
      </w:pPr>
      <w:r>
        <w:rPr>
          <w:rFonts w:ascii="Arial" w:cs="Arial" w:eastAsia="Arial" w:hAnsi="Arial"/>
          <w:b/>
          <w:bCs/>
          <w:i w:val="false"/>
          <w:iCs w:val="false"/>
          <w:color w:val="1A1A1A"/>
          <w:sz w:val="20"/>
          <w:szCs w:val="20"/>
        </w:rPr>
        <w:t xml:space="preserve">dim_zona como dimensión independiente</w:t>
      </w:r>
      <w:r>
        <w:rPr>
          <w:rFonts w:ascii="Arial" w:cs="Arial" w:eastAsia="Arial" w:hAnsi="Arial"/>
          <w:b w:val="false"/>
          <w:bCs w:val="false"/>
          <w:i w:val="false"/>
          <w:iCs w:val="false"/>
          <w:color w:val="1A1A1A"/>
          <w:sz w:val="20"/>
          <w:szCs w:val="20"/>
        </w:rPr>
        <w:t xml:space="preserve"> → análisis geográfico desacoplado del cliente (customer no tiene FK a city_zone).</w:t>
      </w:r>
    </w:p>
    <w:p>
      <w:pPr>
        <w:pStyle w:val="ListParagraph"/>
        <w:numPr>
          <w:ilvl w:val="0"/>
          <w:numId w:val="2"/>
        </w:numPr>
        <w:spacing w:after="50" w:before="50"/>
      </w:pPr>
      <w:r>
        <w:rPr>
          <w:rFonts w:ascii="Arial" w:cs="Arial" w:eastAsia="Arial" w:hAnsi="Arial"/>
          <w:b/>
          <w:bCs/>
          <w:i w:val="false"/>
          <w:iCs w:val="false"/>
          <w:color w:val="1A1A1A"/>
          <w:sz w:val="20"/>
          <w:szCs w:val="20"/>
        </w:rPr>
        <w:t xml:space="preserve">Flag es_devuelta en fact_ventas</w:t>
      </w:r>
      <w:r>
        <w:rPr>
          <w:rFonts w:ascii="Arial" w:cs="Arial" w:eastAsia="Arial" w:hAnsi="Arial"/>
          <w:b w:val="false"/>
          <w:bCs w:val="false"/>
          <w:i w:val="false"/>
          <w:iCs w:val="false"/>
          <w:color w:val="1A1A1A"/>
          <w:sz w:val="20"/>
          <w:szCs w:val="20"/>
        </w:rPr>
        <w:t xml:space="preserve"> → permite calcular subtotal_neto sin JOIN adicional a fact_devoluciones.</w:t>
      </w:r>
    </w:p>
    <w:p>
      <w:pPr>
        <w:pStyle w:val="ListParagraph"/>
        <w:numPr>
          <w:ilvl w:val="0"/>
          <w:numId w:val="2"/>
        </w:numPr>
        <w:spacing w:after="50" w:before="50"/>
      </w:pPr>
      <w:r>
        <w:rPr>
          <w:rFonts w:ascii="Arial" w:cs="Arial" w:eastAsia="Arial" w:hAnsi="Arial"/>
          <w:b/>
          <w:bCs/>
          <w:i w:val="false"/>
          <w:iCs w:val="false"/>
          <w:color w:val="1A1A1A"/>
          <w:sz w:val="20"/>
          <w:szCs w:val="20"/>
        </w:rPr>
        <w:t xml:space="preserve">Registro Desconocido SK=1 en todas las dimensiones</w:t>
      </w:r>
      <w:r>
        <w:rPr>
          <w:rFonts w:ascii="Arial" w:cs="Arial" w:eastAsia="Arial" w:hAnsi="Arial"/>
          <w:b w:val="false"/>
          <w:bCs w:val="false"/>
          <w:i w:val="false"/>
          <w:iCs w:val="false"/>
          <w:color w:val="1A1A1A"/>
          <w:sz w:val="20"/>
          <w:szCs w:val="20"/>
        </w:rPr>
        <w:t xml:space="preserve"> → 0 NULLs en tablas de hechos, integridad referencial total.</w:t>
      </w:r>
    </w:p>
    <w:p>
      <w:pPr>
        <w:pStyle w:val="ListParagraph"/>
        <w:numPr>
          <w:ilvl w:val="0"/>
          <w:numId w:val="2"/>
        </w:numPr>
        <w:spacing w:after="50" w:before="50"/>
      </w:pPr>
      <w:r>
        <w:rPr>
          <w:rFonts w:ascii="Arial" w:cs="Arial" w:eastAsia="Arial" w:hAnsi="Arial"/>
          <w:b/>
          <w:bCs/>
          <w:i w:val="false"/>
          <w:iCs w:val="false"/>
          <w:color w:val="1A1A1A"/>
          <w:sz w:val="20"/>
          <w:szCs w:val="20"/>
        </w:rPr>
        <w:t xml:space="preserve">Flag coste_imputado en dim_producto</w:t>
      </w:r>
      <w:r>
        <w:rPr>
          <w:rFonts w:ascii="Arial" w:cs="Arial" w:eastAsia="Arial" w:hAnsi="Arial"/>
          <w:b w:val="false"/>
          <w:bCs w:val="false"/>
          <w:i w:val="false"/>
          <w:iCs w:val="false"/>
          <w:color w:val="1A1A1A"/>
          <w:sz w:val="20"/>
          <w:szCs w:val="20"/>
        </w:rPr>
        <w:t xml:space="preserve"> → trazabilidad del producto 29 (precio corregido P06).</w:t>
      </w:r>
    </w:p>
    <w:p>
      <w:pPr>
        <w:pStyle w:val="ListParagraph"/>
        <w:numPr>
          <w:ilvl w:val="0"/>
          <w:numId w:val="2"/>
        </w:numPr>
        <w:spacing w:after="50" w:before="50"/>
      </w:pPr>
      <w:r>
        <w:rPr>
          <w:rFonts w:ascii="Arial" w:cs="Arial" w:eastAsia="Arial" w:hAnsi="Arial"/>
          <w:b/>
          <w:bCs/>
          <w:i w:val="false"/>
          <w:iCs w:val="false"/>
          <w:color w:val="1A1A1A"/>
          <w:sz w:val="20"/>
          <w:szCs w:val="20"/>
        </w:rPr>
        <w:t xml:space="preserve">Zona geográfica resuelta via store.postal_code</w:t>
      </w:r>
      <w:r>
        <w:rPr>
          <w:rFonts w:ascii="Arial" w:cs="Arial" w:eastAsia="Arial" w:hAnsi="Arial"/>
          <w:b w:val="false"/>
          <w:bCs w:val="false"/>
          <w:i w:val="false"/>
          <w:iCs w:val="false"/>
          <w:color w:val="1A1A1A"/>
          <w:sz w:val="20"/>
          <w:szCs w:val="20"/>
        </w:rPr>
        <w:t xml:space="preserve"> → customer no tiene FK a city_zone.</w:t>
      </w:r>
    </w:p>
    <w:p>
      <w:r>
        <w:br/>
      </w:r>
    </w:p>
    <w:p>
      <w:pPr>
        <w:pStyle w:val="Heading1"/>
        <w:pBdr>
          <w:bottom w:val="single" w:color="2E75B6" w:sz="10" w:space="4"/>
        </w:pBdr>
        <w:spacing w:after="120" w:before="280"/>
      </w:pPr>
      <w:r>
        <w:rPr>
          <w:rFonts w:ascii="Arial" w:cs="Arial" w:eastAsia="Arial" w:hAnsi="Arial"/>
          <w:b/>
          <w:bCs/>
          <w:color w:val="1F4E79"/>
          <w:sz w:val="28"/>
          <w:szCs w:val="28"/>
        </w:rPr>
        <w:t xml:space="preserve">3. Pipeline ETL</w:t>
      </w:r>
    </w:p>
    <w:p>
      <w:pPr>
        <w:spacing w:after="80" w:before="80"/>
        <w:jc w:val="both"/>
      </w:pPr>
      <w:r>
        <w:rPr>
          <w:rFonts w:ascii="Arial" w:cs="Arial" w:eastAsia="Arial" w:hAnsi="Arial"/>
          <w:b w:val="false"/>
          <w:bCs w:val="false"/>
          <w:i w:val="false"/>
          <w:iCs w:val="false"/>
          <w:color w:val="1A1A1A"/>
          <w:sz w:val="20"/>
          <w:szCs w:val="20"/>
        </w:rPr>
        <w:t xml:space="preserve">Pipeline idempotente: cada ejecución comienza con TRUNCATE CASCADE sobre hechos y dimensiones. Tiempo total ~18 segundos. Comando: python -m etl.run_etl.</w:t>
      </w:r>
    </w:p>
    <w:p>
      <w:pPr>
        <w:spacing w:after="60" w:before="0"/>
      </w:pPr>
      <w:r>
        <w:rPr>
          <w:rFonts w:ascii="Arial" w:cs="Arial" w:eastAsia="Arial" w:hAnsi="Arial"/>
          <w:b w:val="false"/>
          <w:bCs w:val="false"/>
          <w:i w:val="false"/>
          <w:iCs w:val="false"/>
          <w:color w:val="1A1A1A"/>
          <w:sz w:val="20"/>
          <w:szCs w:val="20"/>
        </w:rPr>
        <w:t xml:space="preserve"/>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200"/>
        <w:gridCol w:w="926"/>
      </w:tblGrid>
      <w:t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Fase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Módulo</w:t>
            </w:r>
          </w:p>
        </w:tc>
        <w:tc>
          <w:tcPr>
            <w:tcW w:type="dxa" w:w="4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Función</w:t>
            </w:r>
          </w:p>
        </w:tc>
        <w:tc>
          <w:tcPr>
            <w:tcW w:type="dxa" w:w="9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Tiempo</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1 — Extract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extract.py</w:t>
            </w:r>
          </w:p>
        </w:tc>
        <w:tc>
          <w:tcPr>
            <w:tcW w:type="dxa" w:w="4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Copia 17 tablas public.* → stg.* sin transformaciones</w:t>
            </w:r>
          </w:p>
        </w:tc>
        <w:tc>
          <w:tcPr>
            <w:tcW w:type="dxa" w:w="9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~0.8s</w:t>
            </w:r>
          </w:p>
        </w:tc>
      </w:tr>
      <w:tr>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2 — Dimensiones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load_dimensions.py</w:t>
            </w:r>
          </w:p>
        </w:tc>
        <w:tc>
          <w:tcPr>
            <w:tcW w:type="dxa" w:w="4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Genera 7 dimensiones con SKs, NKs y registros desconocido</w:t>
            </w:r>
          </w:p>
        </w:tc>
        <w:tc>
          <w:tcPr>
            <w:tcW w:type="dxa" w:w="9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~0.4s</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3 — Hechos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load_facts.py</w:t>
            </w:r>
          </w:p>
        </w:tc>
        <w:tc>
          <w:tcPr>
            <w:tcW w:type="dxa" w:w="4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Carga fact_ventas y fact_devoluciones resolviendo todas las SKs</w:t>
            </w:r>
          </w:p>
        </w:tc>
        <w:tc>
          <w:tcPr>
            <w:tcW w:type="dxa" w:w="9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~1.9s</w:t>
            </w:r>
          </w:p>
        </w:tc>
      </w:tr>
      <w:tr>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4 — Validaciones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validate.py</w:t>
            </w:r>
          </w:p>
        </w:tc>
        <w:tc>
          <w:tcPr>
            <w:tcW w:type="dxa" w:w="4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21 validaciones automáticas declarativas (V01-V21)</w:t>
            </w:r>
          </w:p>
        </w:tc>
        <w:tc>
          <w:tcPr>
            <w:tcW w:type="dxa" w:w="9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~0.1s</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5 — Customer 360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customer_360.py</w:t>
            </w:r>
          </w:p>
        </w:tc>
        <w:tc>
          <w:tcPr>
            <w:tcW w:type="dxa" w:w="4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Calcula CLTV, AOV y Return Rate por cliente en marts</w:t>
            </w:r>
          </w:p>
        </w:tc>
        <w:tc>
          <w:tcPr>
            <w:tcW w:type="dxa" w:w="9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~0.2s</w:t>
            </w:r>
          </w:p>
        </w:tc>
      </w:tr>
      <w:tr>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6 — Clustering</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clusters.py</w:t>
            </w:r>
          </w:p>
        </w:tc>
        <w:tc>
          <w:tcPr>
            <w:tcW w:type="dxa" w:w="4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PCA (2 componentes) + K-Means K=3 → asigna segmento a cada cliente</w:t>
            </w:r>
          </w:p>
        </w:tc>
        <w:tc>
          <w:tcPr>
            <w:tcW w:type="dxa" w:w="9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~14.8s</w:t>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2"/>
        <w:spacing w:after="80" w:before="180"/>
      </w:pPr>
      <w:r>
        <w:rPr>
          <w:rFonts w:ascii="Arial" w:cs="Arial" w:eastAsia="Arial" w:hAnsi="Arial"/>
          <w:b/>
          <w:bCs/>
          <w:color w:val="2E75B6"/>
          <w:sz w:val="22"/>
          <w:szCs w:val="22"/>
        </w:rPr>
        <w:t xml:space="preserve">3.1 Validaciones automáticas — 21/21 OK</w:t>
      </w:r>
    </w:p>
    <w:p>
      <w:pPr>
        <w:pStyle w:val="ListParagraph"/>
        <w:numPr>
          <w:ilvl w:val="0"/>
          <w:numId w:val="2"/>
        </w:numPr>
        <w:spacing w:after="50" w:before="50"/>
      </w:pPr>
      <w:r>
        <w:rPr>
          <w:rFonts w:ascii="Arial" w:cs="Arial" w:eastAsia="Arial" w:hAnsi="Arial"/>
          <w:b/>
          <w:bCs/>
          <w:i w:val="false"/>
          <w:iCs w:val="false"/>
          <w:color w:val="1A1A1A"/>
          <w:sz w:val="20"/>
          <w:szCs w:val="20"/>
        </w:rPr>
        <w:t xml:space="preserve">V01-V04:</w:t>
      </w:r>
      <w:r>
        <w:rPr>
          <w:rFonts w:ascii="Arial" w:cs="Arial" w:eastAsia="Arial" w:hAnsi="Arial"/>
          <w:b w:val="false"/>
          <w:bCs w:val="false"/>
          <w:i w:val="false"/>
          <w:iCs w:val="false"/>
          <w:color w:val="1A1A1A"/>
          <w:sz w:val="20"/>
          <w:szCs w:val="20"/>
        </w:rPr>
        <w:t xml:space="preserve"> Conteos staging: sale 20.000 | sale_item 42.555 | customer 5.750 | product 50.</w:t>
      </w:r>
    </w:p>
    <w:p>
      <w:pPr>
        <w:pStyle w:val="ListParagraph"/>
        <w:numPr>
          <w:ilvl w:val="0"/>
          <w:numId w:val="2"/>
        </w:numPr>
        <w:spacing w:after="50" w:before="50"/>
      </w:pPr>
      <w:r>
        <w:rPr>
          <w:rFonts w:ascii="Arial" w:cs="Arial" w:eastAsia="Arial" w:hAnsi="Arial"/>
          <w:b/>
          <w:bCs/>
          <w:i w:val="false"/>
          <w:iCs w:val="false"/>
          <w:color w:val="1A1A1A"/>
          <w:sz w:val="20"/>
          <w:szCs w:val="20"/>
        </w:rPr>
        <w:t xml:space="preserve">V05-V10:</w:t>
      </w:r>
      <w:r>
        <w:rPr>
          <w:rFonts w:ascii="Arial" w:cs="Arial" w:eastAsia="Arial" w:hAnsi="Arial"/>
          <w:b w:val="false"/>
          <w:bCs w:val="false"/>
          <w:i w:val="false"/>
          <w:iCs w:val="false"/>
          <w:color w:val="1A1A1A"/>
          <w:sz w:val="20"/>
          <w:szCs w:val="20"/>
        </w:rPr>
        <w:t xml:space="preserve"> Conteos dimensiones con registros desconocido incluidos.</w:t>
      </w:r>
    </w:p>
    <w:p>
      <w:pPr>
        <w:pStyle w:val="ListParagraph"/>
        <w:numPr>
          <w:ilvl w:val="0"/>
          <w:numId w:val="2"/>
        </w:numPr>
        <w:spacing w:after="50" w:before="50"/>
      </w:pPr>
      <w:r>
        <w:rPr>
          <w:rFonts w:ascii="Arial" w:cs="Arial" w:eastAsia="Arial" w:hAnsi="Arial"/>
          <w:b/>
          <w:bCs/>
          <w:i w:val="false"/>
          <w:iCs w:val="false"/>
          <w:color w:val="1A1A1A"/>
          <w:sz w:val="20"/>
          <w:szCs w:val="20"/>
        </w:rPr>
        <w:t xml:space="preserve">V11-V12:</w:t>
      </w:r>
      <w:r>
        <w:rPr>
          <w:rFonts w:ascii="Arial" w:cs="Arial" w:eastAsia="Arial" w:hAnsi="Arial"/>
          <w:b w:val="false"/>
          <w:bCs w:val="false"/>
          <w:i w:val="false"/>
          <w:iCs w:val="false"/>
          <w:color w:val="1A1A1A"/>
          <w:sz w:val="20"/>
          <w:szCs w:val="20"/>
        </w:rPr>
        <w:t xml:space="preserve"> Conteos hechos: fact_ventas 42.555 | fact_devoluciones &gt; 0.</w:t>
      </w:r>
    </w:p>
    <w:p>
      <w:pPr>
        <w:pStyle w:val="ListParagraph"/>
        <w:numPr>
          <w:ilvl w:val="0"/>
          <w:numId w:val="2"/>
        </w:numPr>
        <w:spacing w:after="50" w:before="50"/>
      </w:pPr>
      <w:r>
        <w:rPr>
          <w:rFonts w:ascii="Arial" w:cs="Arial" w:eastAsia="Arial" w:hAnsi="Arial"/>
          <w:b/>
          <w:bCs/>
          <w:i w:val="false"/>
          <w:iCs w:val="false"/>
          <w:color w:val="1A1A1A"/>
          <w:sz w:val="20"/>
          <w:szCs w:val="20"/>
        </w:rPr>
        <w:t xml:space="preserve">V13-V16:</w:t>
      </w:r>
      <w:r>
        <w:rPr>
          <w:rFonts w:ascii="Arial" w:cs="Arial" w:eastAsia="Arial" w:hAnsi="Arial"/>
          <w:b w:val="false"/>
          <w:bCs w:val="false"/>
          <w:i w:val="false"/>
          <w:iCs w:val="false"/>
          <w:color w:val="1A1A1A"/>
          <w:sz w:val="20"/>
          <w:szCs w:val="20"/>
        </w:rPr>
        <w:t xml:space="preserve"> Integridad referencial — 0 FKs huérfanas en fact_ventas.</w:t>
      </w:r>
    </w:p>
    <w:p>
      <w:pPr>
        <w:pStyle w:val="ListParagraph"/>
        <w:numPr>
          <w:ilvl w:val="0"/>
          <w:numId w:val="2"/>
        </w:numPr>
        <w:spacing w:after="50" w:before="50"/>
      </w:pPr>
      <w:r>
        <w:rPr>
          <w:rFonts w:ascii="Arial" w:cs="Arial" w:eastAsia="Arial" w:hAnsi="Arial"/>
          <w:b/>
          <w:bCs/>
          <w:i w:val="false"/>
          <w:iCs w:val="false"/>
          <w:color w:val="1A1A1A"/>
          <w:sz w:val="20"/>
          <w:szCs w:val="20"/>
        </w:rPr>
        <w:t xml:space="preserve">V17-V21:</w:t>
      </w:r>
      <w:r>
        <w:rPr>
          <w:rFonts w:ascii="Arial" w:cs="Arial" w:eastAsia="Arial" w:hAnsi="Arial"/>
          <w:b w:val="false"/>
          <w:bCs w:val="false"/>
          <w:i w:val="false"/>
          <w:iCs w:val="false"/>
          <w:color w:val="1A1A1A"/>
          <w:sz w:val="20"/>
          <w:szCs w:val="20"/>
        </w:rPr>
        <w:t xml:space="preserve"> Rangos numéricos sin anomalías, 0 márgenes negativos, total DWH coincide con staging (diferencia &lt; 1€).</w:t>
      </w:r>
    </w:p>
    <w:p>
      <w:pPr>
        <w:pStyle w:val="Heading1"/>
        <w:pBdr>
          <w:bottom w:val="single" w:color="2E75B6" w:sz="10" w:space="4"/>
        </w:pBdr>
        <w:spacing w:after="120" w:before="280"/>
      </w:pPr>
      <w:r>
        <w:rPr>
          <w:rFonts w:ascii="Arial" w:cs="Arial" w:eastAsia="Arial" w:hAnsi="Arial"/>
          <w:b/>
          <w:bCs/>
          <w:color w:val="1F4E79"/>
          <w:sz w:val="28"/>
          <w:szCs w:val="28"/>
        </w:rPr>
        <w:t xml:space="preserve">4. Métricas de Cliente</w:t>
      </w:r>
    </w:p>
    <w:p>
      <w:pPr>
        <w:spacing w:after="80" w:before="80"/>
        <w:jc w:val="both"/>
      </w:pPr>
      <w:r>
        <w:rPr>
          <w:rFonts w:ascii="Arial" w:cs="Arial" w:eastAsia="Arial" w:hAnsi="Arial"/>
          <w:b w:val="false"/>
          <w:bCs w:val="false"/>
          <w:i w:val="false"/>
          <w:iCs w:val="false"/>
          <w:color w:val="1A1A1A"/>
          <w:sz w:val="20"/>
          <w:szCs w:val="20"/>
        </w:rPr>
        <w:t xml:space="preserve">Todas las métricas se calculan en customer_360.py y se persisten en marts.customer_360 (5.750 filas, una por cliente), evitando consultas complejas en tiempo real.</w:t>
      </w:r>
    </w:p>
    <w:p>
      <w:pPr>
        <w:pStyle w:val="Heading2"/>
        <w:spacing w:after="80" w:before="180"/>
      </w:pPr>
      <w:r>
        <w:rPr>
          <w:rFonts w:ascii="Arial" w:cs="Arial" w:eastAsia="Arial" w:hAnsi="Arial"/>
          <w:b/>
          <w:bCs/>
          <w:color w:val="2E75B6"/>
          <w:sz w:val="22"/>
          <w:szCs w:val="22"/>
        </w:rPr>
        <w:t xml:space="preserve">4.1 CLTV (Customer Lifetime Value)</w:t>
      </w:r>
    </w:p>
    <w:p>
      <w:pPr>
        <w:spacing w:after="80" w:before="60"/>
        <w:jc w:val="both"/>
      </w:pPr>
      <w:r>
        <w:rPr>
          <w:rFonts w:ascii="Arial" w:cs="Arial" w:eastAsia="Arial" w:hAnsi="Arial"/>
          <w:b w:val="false"/>
          <w:bCs w:val="false"/>
          <w:i w:val="false"/>
          <w:iCs w:val="false"/>
          <w:color w:val="1A1A1A"/>
          <w:sz w:val="20"/>
          <w:szCs w:val="20"/>
        </w:rPr>
        <w:t xml:space="preserve">Equivalencia algebraica con la fórmula del enunciado CLTV = Ingresos × Margen × Frecuencia × R:</w:t>
      </w:r>
    </w:p>
    <w:p>
      <w:pPr>
        <w:pBdr>
          <w:left w:val="single" w:color="2E75B6" w:sz="12" w:space="8"/>
        </w:pBdr>
        <w:shd w:fill="EEF3F8" w:val="clear"/>
        <w:spacing w:after="60" w:before="60"/>
        <w:ind w:left="360" w:right="360"/>
      </w:pPr>
      <w:r>
        <w:rPr>
          <w:rFonts w:ascii="Arial" w:cs="Arial" w:eastAsia="Arial" w:hAnsi="Arial"/>
          <w:b w:val="false"/>
          <w:bCs w:val="false"/>
          <w:i w:val="false"/>
          <w:iCs w:val="false"/>
          <w:color w:val="1F3864"/>
          <w:sz w:val="18"/>
          <w:szCs w:val="18"/>
        </w:rPr>
        <w:t xml:space="preserve">AOV × (num_ventas / meses_activo) × meses_activo × (margen_pct/100)</w:t>
      </w:r>
    </w:p>
    <w:p>
      <w:pPr>
        <w:pBdr>
          <w:left w:val="single" w:color="2E75B6" w:sz="12" w:space="8"/>
        </w:pBdr>
        <w:shd w:fill="EEF3F8" w:val="clear"/>
        <w:spacing w:after="60" w:before="60"/>
        <w:ind w:left="360" w:right="360"/>
      </w:pPr>
      <w:r>
        <w:rPr>
          <w:rFonts w:ascii="Arial" w:cs="Arial" w:eastAsia="Arial" w:hAnsi="Arial"/>
          <w:b w:val="false"/>
          <w:bCs w:val="false"/>
          <w:i w:val="false"/>
          <w:iCs w:val="false"/>
          <w:color w:val="1F3864"/>
          <w:sz w:val="18"/>
          <w:szCs w:val="18"/>
        </w:rPr>
        <w:t xml:space="preserve">= (ingresos_netos / num_ventas) × num_ventas × (margen_pct/100)</w:t>
      </w:r>
    </w:p>
    <w:p>
      <w:pPr>
        <w:pBdr>
          <w:left w:val="single" w:color="2E75B6" w:sz="12" w:space="8"/>
        </w:pBdr>
        <w:shd w:fill="EEF3F8" w:val="clear"/>
        <w:spacing w:after="60" w:before="60"/>
        <w:ind w:left="360" w:right="360"/>
      </w:pPr>
      <w:r>
        <w:rPr>
          <w:rFonts w:ascii="Arial" w:cs="Arial" w:eastAsia="Arial" w:hAnsi="Arial"/>
          <w:b w:val="false"/>
          <w:bCs w:val="false"/>
          <w:i w:val="false"/>
          <w:iCs w:val="false"/>
          <w:color w:val="1F3864"/>
          <w:sz w:val="18"/>
          <w:szCs w:val="18"/>
        </w:rPr>
        <w:t xml:space="preserve">= GREATEST( ingresos_netos × (margen_pct / 100), 0 )   ← simplificación exacta</w:t>
      </w:r>
    </w:p>
    <w:p>
      <w:pPr>
        <w:spacing w:after="80" w:before="60"/>
        <w:jc w:val="both"/>
      </w:pPr>
      <w:r>
        <w:rPr>
          <w:rFonts w:ascii="Arial" w:cs="Arial" w:eastAsia="Arial" w:hAnsi="Arial"/>
          <w:b w:val="false"/>
          <w:bCs w:val="false"/>
          <w:i/>
          <w:iCs/>
          <w:color w:val="1A1A1A"/>
          <w:sz w:val="20"/>
          <w:szCs w:val="20"/>
        </w:rPr>
        <w:t xml:space="preserve">GREATEST(..., 0) capea a cero los 17 clientes (0,30%) con margen neto negativo por devoluciones excesivas.</w:t>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80" w:before="180"/>
      </w:pPr>
      <w:r>
        <w:rPr>
          <w:rFonts w:ascii="Arial" w:cs="Arial" w:eastAsia="Arial" w:hAnsi="Arial"/>
          <w:b/>
          <w:bCs/>
          <w:color w:val="2E75B6"/>
          <w:sz w:val="22"/>
          <w:szCs w:val="22"/>
        </w:rPr>
        <w:t xml:space="preserve">4.2 AOV, Return Rate y Frecuencia mensual</w:t>
      </w:r>
    </w:p>
    <w:p>
      <w:pPr>
        <w:spacing w:after="60" w:before="0"/>
      </w:pPr>
      <w:r>
        <w:rPr>
          <w:rFonts w:ascii="Arial" w:cs="Arial" w:eastAsia="Arial" w:hAnsi="Arial"/>
          <w:b w:val="false"/>
          <w:bCs w:val="false"/>
          <w:i w:val="false"/>
          <w:iCs w:val="false"/>
          <w:color w:val="1A1A1A"/>
          <w:sz w:val="20"/>
          <w:szCs w:val="20"/>
        </w:rPr>
        <w:t xml:space="preserve"/>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2626"/>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Métrica</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Fórmula implementada</w:t>
            </w:r>
          </w:p>
        </w:tc>
        <w:tc>
          <w:tcPr>
            <w:tcW w:type="dxa" w:w="26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Nota</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AOV</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ingresos_netos / num_ventas</w:t>
            </w:r>
          </w:p>
        </w:tc>
        <w:tc>
          <w:tcPr>
            <w:tcW w:type="dxa" w:w="2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Ticket medio neto por pedido</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Return Rate</w:t>
            </w:r>
          </w:p>
        </w:tc>
        <w:tc>
          <w:tcPr>
            <w:tcW w:type="dxa" w:w="4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LEAST(unidades_devueltas / unidades_compradas × 100, 100)</w:t>
            </w:r>
          </w:p>
        </w:tc>
        <w:tc>
          <w:tcPr>
            <w:tcW w:type="dxa" w:w="26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Capeado a 100% — evita anomalías por doble registro</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Frecuencia mensual</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num_ventas / GREATEST((ultima_compra − primera_compra) / 30, 1)</w:t>
            </w:r>
          </w:p>
        </w:tc>
        <w:tc>
          <w:tcPr>
            <w:tcW w:type="dxa" w:w="2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Denominador mínimo 1 mes — evita división por cero</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Margen % medio</w:t>
            </w:r>
          </w:p>
        </w:tc>
        <w:tc>
          <w:tcPr>
            <w:tcW w:type="dxa" w:w="4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margen_bruto / ingresos_brutos × 100</w:t>
            </w:r>
          </w:p>
        </w:tc>
        <w:tc>
          <w:tcPr>
            <w:tcW w:type="dxa" w:w="26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margen_bruto = SUM(subtotal_bruto) − SUM(coste_total)</w:t>
            </w:r>
          </w:p>
        </w:tc>
      </w:tr>
    </w:tbl>
    <w:p>
      <w:pPr>
        <w:spacing w:after="60" w:before="0"/>
      </w:pPr>
      <w:r>
        <w:rPr>
          <w:rFonts w:ascii="Arial" w:cs="Arial" w:eastAsia="Arial" w:hAnsi="Arial"/>
          <w:b w:val="false"/>
          <w:bCs w:val="false"/>
          <w:i w:val="false"/>
          <w:iCs w:val="false"/>
          <w:color w:val="1A1A1A"/>
          <w:sz w:val="20"/>
          <w:szCs w:val="20"/>
        </w:rPr>
        <w:t xml:space="preserve"/>
      </w:r>
    </w:p>
    <w:p>
      <w:pPr>
        <w:pStyle w:val="Heading2"/>
        <w:spacing w:after="80" w:before="180"/>
      </w:pPr>
      <w:r>
        <w:rPr>
          <w:rFonts w:ascii="Arial" w:cs="Arial" w:eastAsia="Arial" w:hAnsi="Arial"/>
          <w:b/>
          <w:bCs/>
          <w:color w:val="2E75B6"/>
          <w:sz w:val="22"/>
          <w:szCs w:val="22"/>
        </w:rPr>
        <w:t xml:space="preserve">4.3 Resultados principales</w:t>
      </w:r>
    </w:p>
    <w:p>
      <w:pPr>
        <w:spacing w:after="60" w:before="0"/>
      </w:pPr>
      <w:r>
        <w:rPr>
          <w:rFonts w:ascii="Arial" w:cs="Arial" w:eastAsia="Arial" w:hAnsi="Arial"/>
          <w:b w:val="false"/>
          <w:bCs w:val="false"/>
          <w:i w:val="false"/>
          <w:iCs w:val="false"/>
          <w:color w:val="1A1A1A"/>
          <w:sz w:val="20"/>
          <w:szCs w:val="20"/>
        </w:rPr>
        <w:t xml:space="preserve"/>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4500"/>
        <w:gridCol w:w="3926"/>
      </w:tblGrid>
      <w:tr>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KPI</w:t>
            </w:r>
          </w:p>
        </w:tc>
        <w:tc>
          <w:tcPr>
            <w:tcW w:type="dxa" w:w="39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Valor</w:t>
            </w:r>
          </w:p>
        </w:tc>
      </w:tr>
      <w:tr>
        <w:tc>
          <w:tcPr>
            <w:tcW w:type="dxa" w:w="4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Clientes analizados</w:t>
            </w:r>
          </w:p>
        </w:tc>
        <w:tc>
          <w:tcPr>
            <w:tcW w:type="dxa" w:w="39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5.750</w:t>
            </w:r>
          </w:p>
        </w:tc>
      </w:tr>
      <w:tr>
        <w:tc>
          <w:tcPr>
            <w:tcW w:type="dxa" w:w="4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CLTV total · medio · mediana</w:t>
            </w:r>
          </w:p>
        </w:tc>
        <w:tc>
          <w:tcPr>
            <w:tcW w:type="dxa" w:w="39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€3,7M  ·  €643  ·  €52</w:t>
            </w:r>
          </w:p>
        </w:tc>
      </w:tr>
      <w:tr>
        <w:tc>
          <w:tcPr>
            <w:tcW w:type="dxa" w:w="4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AOV medio</w:t>
            </w:r>
          </w:p>
        </w:tc>
        <w:tc>
          <w:tcPr>
            <w:tcW w:type="dxa" w:w="39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€118</w:t>
            </w:r>
          </w:p>
        </w:tc>
      </w:tr>
      <w:tr>
        <w:tc>
          <w:tcPr>
            <w:tcW w:type="dxa" w:w="4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Return Rate global</w:t>
            </w:r>
          </w:p>
        </w:tc>
        <w:tc>
          <w:tcPr>
            <w:tcW w:type="dxa" w:w="39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2,85%</w:t>
            </w:r>
          </w:p>
        </w:tc>
      </w:tr>
      <w:tr>
        <w:tc>
          <w:tcPr>
            <w:tcW w:type="dxa" w:w="4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Ingresos perdidos por devoluciones</w:t>
            </w:r>
          </w:p>
        </w:tc>
        <w:tc>
          <w:tcPr>
            <w:tcW w:type="dxa" w:w="39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€271.811</w:t>
            </w:r>
          </w:p>
        </w:tc>
      </w:tr>
      <w:tr>
        <w:tc>
          <w:tcPr>
            <w:tcW w:type="dxa" w:w="4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 clientes que genera el 80% del CLTV</w:t>
            </w:r>
          </w:p>
        </w:tc>
        <w:tc>
          <w:tcPr>
            <w:tcW w:type="dxa" w:w="39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8,4% (483 clientes)</w:t>
            </w:r>
          </w:p>
        </w:tc>
      </w:tr>
    </w:tbl>
    <w:p>
      <w:r>
        <w:br/>
      </w:r>
    </w:p>
    <w:p>
      <w:pPr>
        <w:pStyle w:val="Heading1"/>
        <w:pBdr>
          <w:bottom w:val="single" w:color="2E75B6" w:sz="10" w:space="4"/>
        </w:pBdr>
        <w:spacing w:after="120" w:before="280"/>
      </w:pPr>
      <w:r>
        <w:rPr>
          <w:rFonts w:ascii="Arial" w:cs="Arial" w:eastAsia="Arial" w:hAnsi="Arial"/>
          <w:b/>
          <w:bCs/>
          <w:color w:val="1F4E79"/>
          <w:sz w:val="28"/>
          <w:szCs w:val="28"/>
        </w:rPr>
        <w:t xml:space="preserve">5. PCA y Clustering de Clientes</w:t>
      </w:r>
    </w:p>
    <w:p>
      <w:pPr>
        <w:spacing w:after="80" w:before="80"/>
        <w:jc w:val="both"/>
      </w:pPr>
      <w:r>
        <w:rPr>
          <w:rFonts w:ascii="Arial" w:cs="Arial" w:eastAsia="Arial" w:hAnsi="Arial"/>
          <w:b w:val="false"/>
          <w:bCs w:val="false"/>
          <w:i w:val="false"/>
          <w:iCs w:val="false"/>
          <w:color w:val="1A1A1A"/>
          <w:sz w:val="20"/>
          <w:szCs w:val="20"/>
        </w:rPr>
        <w:t xml:space="preserve">La segmentación forma parte del pipeline ETL (clusters.py). Se aplica StandardScaler → PCA (2 componentes, random_state=42) → K-Means (K=3, n_init=10) sobre el espacio reducido. Los clusters se etiquetan por CLTV medio descendente.</w:t>
      </w:r>
    </w:p>
    <w:p>
      <w:pPr>
        <w:spacing w:after="80" w:before="60"/>
        <w:jc w:val="both"/>
      </w:pPr>
      <w:r>
        <w:rPr>
          <w:rFonts w:ascii="Arial" w:cs="Arial" w:eastAsia="Arial" w:hAnsi="Arial"/>
          <w:b w:val="false"/>
          <w:bCs w:val="false"/>
          <w:i/>
          <w:iCs/>
          <w:color w:val="1A1A1A"/>
          <w:sz w:val="20"/>
          <w:szCs w:val="20"/>
        </w:rPr>
        <w:t xml:space="preserve">Features: cltv · ingresos_netos · aov · frecuencia_mensual · recencia_dias · return_rate · antiguedad_dias</w:t>
      </w:r>
    </w:p>
    <w:p>
      <w:pPr>
        <w:spacing w:after="80" w:before="60"/>
        <w:jc w:val="both"/>
      </w:pPr>
      <w:r>
        <w:rPr>
          <w:rFonts w:ascii="Arial" w:cs="Arial" w:eastAsia="Arial" w:hAnsi="Arial"/>
          <w:b w:val="false"/>
          <w:bCs w:val="false"/>
          <w:i w:val="false"/>
          <w:iCs w:val="false"/>
          <w:color w:val="1A1A1A"/>
          <w:sz w:val="20"/>
          <w:szCs w:val="20"/>
        </w:rPr>
        <w:t xml:space="preserve">Varianza explicada: PC1=66,1% + PC2=14,7% = 80,8% total. Silhouette Score K=3 = 0,847.</w:t>
      </w:r>
    </w:p>
    <w:p>
      <w:pPr>
        <w:spacing w:after="60" w:before="0"/>
      </w:pPr>
      <w:r>
        <w:rPr>
          <w:rFonts w:ascii="Arial" w:cs="Arial" w:eastAsia="Arial" w:hAnsi="Arial"/>
          <w:b w:val="false"/>
          <w:bCs w:val="false"/>
          <w:i w:val="false"/>
          <w:iCs w:val="false"/>
          <w:color w:val="1A1A1A"/>
          <w:sz w:val="20"/>
          <w:szCs w:val="20"/>
        </w:rPr>
        <w:t xml:space="preserve"/>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1400"/>
        <w:gridCol w:w="3626"/>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Segmento</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Clientes</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 Total</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CLTV medio</w:t>
            </w:r>
          </w:p>
        </w:tc>
        <w:tc>
          <w:tcPr>
            <w:tcW w:type="dxa" w:w="36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Perfil</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Champions</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750</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13,0%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€4.512</w:t>
            </w:r>
          </w:p>
        </w:tc>
        <w:tc>
          <w:tcPr>
            <w:tcW w:type="dxa" w:w="3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20 ventas medias · baja recencia · Return Rate 2,5%</w:t>
            </w:r>
          </w:p>
        </w:tc>
      </w:tr>
      <w:tr>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Base</w:t>
            </w:r>
          </w:p>
        </w:tc>
        <w:tc>
          <w:tcPr>
            <w:tcW w:type="dxa" w:w="1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4.589</w:t>
            </w:r>
          </w:p>
        </w:tc>
        <w:tc>
          <w:tcPr>
            <w:tcW w:type="dxa" w:w="1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79,8%</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€67</w:t>
            </w:r>
          </w:p>
        </w:tc>
        <w:tc>
          <w:tcPr>
            <w:tcW w:type="dxa" w:w="36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1 venta · baja recencia · clientes con única compra</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Churned</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411</w:t>
            </w:r>
          </w:p>
        </w:tc>
        <w:tc>
          <w:tcPr>
            <w:tcW w:type="dxa" w:w="1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7,1%</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€10</w:t>
            </w:r>
          </w:p>
        </w:tc>
        <w:tc>
          <w:tcPr>
            <w:tcW w:type="dxa" w:w="36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1 venta · Return Rate 86,5% · margen neto nulo por devoluciones</w:t>
            </w:r>
          </w:p>
        </w:tc>
      </w:tr>
    </w:tbl>
    <w:p>
      <w:pPr>
        <w:spacing w:after="60" w:before="0"/>
      </w:pPr>
      <w:r>
        <w:rPr>
          <w:rFonts w:ascii="Arial" w:cs="Arial" w:eastAsia="Arial" w:hAnsi="Arial"/>
          <w:b w:val="false"/>
          <w:bCs w:val="false"/>
          <w:i w:val="false"/>
          <w:iCs w:val="false"/>
          <w:color w:val="1A1A1A"/>
          <w:sz w:val="20"/>
          <w:szCs w:val="20"/>
        </w:rPr>
        <w:t xml:space="preserve"/>
      </w:r>
    </w:p>
    <w:p>
      <w:pPr>
        <w:spacing w:after="80" w:before="80"/>
        <w:jc w:val="both"/>
      </w:pPr>
      <w:r>
        <w:rPr>
          <w:rFonts w:ascii="Arial" w:cs="Arial" w:eastAsia="Arial" w:hAnsi="Arial"/>
          <w:b w:val="false"/>
          <w:bCs w:val="false"/>
          <w:i/>
          <w:iCs/>
          <w:color w:val="1A1A1A"/>
          <w:sz w:val="20"/>
          <w:szCs w:val="20"/>
        </w:rPr>
        <w:t xml:space="preserve">Nota: el CLTV capeado a 0 redujo la varianza de los clientes de menor valor, colapsando los 4 grupos teóricos en 3 efectivos.</w:t>
      </w:r>
    </w:p>
    <w:p>
      <w:pPr>
        <w:pStyle w:val="Heading2"/>
        <w:spacing w:after="80" w:before="180"/>
      </w:pPr>
      <w:r>
        <w:rPr>
          <w:rFonts w:ascii="Arial" w:cs="Arial" w:eastAsia="Arial" w:hAnsi="Arial"/>
          <w:b/>
          <w:bCs/>
          <w:color w:val="2E75B6"/>
          <w:sz w:val="22"/>
          <w:szCs w:val="22"/>
        </w:rPr>
        <w:t xml:space="preserve">5.1 Acciones recomendadas por segmento</w:t>
      </w:r>
    </w:p>
    <w:p>
      <w:pPr>
        <w:pStyle w:val="ListParagraph"/>
        <w:numPr>
          <w:ilvl w:val="0"/>
          <w:numId w:val="2"/>
        </w:numPr>
        <w:spacing w:after="50" w:before="50"/>
      </w:pPr>
      <w:r>
        <w:rPr>
          <w:rFonts w:ascii="Arial" w:cs="Arial" w:eastAsia="Arial" w:hAnsi="Arial"/>
          <w:b/>
          <w:bCs/>
          <w:i w:val="false"/>
          <w:iCs w:val="false"/>
          <w:color w:val="1A1A1A"/>
          <w:sz w:val="20"/>
          <w:szCs w:val="20"/>
        </w:rPr>
        <w:t xml:space="preserve">Champions (13%):</w:t>
      </w:r>
      <w:r>
        <w:rPr>
          <w:rFonts w:ascii="Arial" w:cs="Arial" w:eastAsia="Arial" w:hAnsi="Arial"/>
          <w:b w:val="false"/>
          <w:bCs w:val="false"/>
          <w:i w:val="false"/>
          <w:iCs w:val="false"/>
          <w:color w:val="1A1A1A"/>
          <w:sz w:val="20"/>
          <w:szCs w:val="20"/>
        </w:rPr>
        <w:t xml:space="preserve"> Programa VIP, acceso anticipado a nuevos productos y campaña de referidos. Atención personalizada prioritaria.</w:t>
      </w:r>
    </w:p>
    <w:p>
      <w:pPr>
        <w:pStyle w:val="ListParagraph"/>
        <w:numPr>
          <w:ilvl w:val="0"/>
          <w:numId w:val="2"/>
        </w:numPr>
        <w:spacing w:after="50" w:before="50"/>
      </w:pPr>
      <w:r>
        <w:rPr>
          <w:rFonts w:ascii="Arial" w:cs="Arial" w:eastAsia="Arial" w:hAnsi="Arial"/>
          <w:b/>
          <w:bCs/>
          <w:i w:val="false"/>
          <w:iCs w:val="false"/>
          <w:color w:val="1A1A1A"/>
          <w:sz w:val="20"/>
          <w:szCs w:val="20"/>
        </w:rPr>
        <w:t xml:space="preserve">Base (80%):</w:t>
      </w:r>
      <w:r>
        <w:rPr>
          <w:rFonts w:ascii="Arial" w:cs="Arial" w:eastAsia="Arial" w:hAnsi="Arial"/>
          <w:b w:val="false"/>
          <w:bCs w:val="false"/>
          <w:i w:val="false"/>
          <w:iCs w:val="false"/>
          <w:color w:val="1A1A1A"/>
          <w:sz w:val="20"/>
          <w:szCs w:val="20"/>
        </w:rPr>
        <w:t xml:space="preserve"> Campaña de reactivación con incentivo de segunda compra. Objetivo: aumentar frecuencia mensual.</w:t>
      </w:r>
    </w:p>
    <w:p>
      <w:pPr>
        <w:pStyle w:val="ListParagraph"/>
        <w:numPr>
          <w:ilvl w:val="0"/>
          <w:numId w:val="2"/>
        </w:numPr>
        <w:spacing w:after="50" w:before="50"/>
      </w:pPr>
      <w:r>
        <w:rPr>
          <w:rFonts w:ascii="Arial" w:cs="Arial" w:eastAsia="Arial" w:hAnsi="Arial"/>
          <w:b/>
          <w:bCs/>
          <w:i w:val="false"/>
          <w:iCs w:val="false"/>
          <w:color w:val="1A1A1A"/>
          <w:sz w:val="20"/>
          <w:szCs w:val="20"/>
        </w:rPr>
        <w:t xml:space="preserve">Churned (7%):</w:t>
      </w:r>
      <w:r>
        <w:rPr>
          <w:rFonts w:ascii="Arial" w:cs="Arial" w:eastAsia="Arial" w:hAnsi="Arial"/>
          <w:b w:val="false"/>
          <w:bCs w:val="false"/>
          <w:i w:val="false"/>
          <w:iCs w:val="false"/>
          <w:color w:val="1A1A1A"/>
          <w:sz w:val="20"/>
          <w:szCs w:val="20"/>
        </w:rPr>
        <w:t xml:space="preserve"> Evaluar coste vs. beneficio. Descuento agresivo de recuperación o baja definitiva según recencia.</w:t>
      </w:r>
    </w:p>
    <w:p>
      <w:pPr>
        <w:pStyle w:val="Heading1"/>
        <w:pBdr>
          <w:bottom w:val="single" w:color="2E75B6" w:sz="10" w:space="4"/>
        </w:pBdr>
        <w:spacing w:after="120" w:before="280"/>
      </w:pPr>
      <w:r>
        <w:rPr>
          <w:rFonts w:ascii="Arial" w:cs="Arial" w:eastAsia="Arial" w:hAnsi="Arial"/>
          <w:b/>
          <w:bCs/>
          <w:color w:val="1F4E79"/>
          <w:sz w:val="28"/>
          <w:szCs w:val="28"/>
        </w:rPr>
        <w:t xml:space="preserve">6. Calidad de Datos — Correcciones Aplicadas</w:t>
      </w:r>
    </w:p>
    <w:p>
      <w:pPr>
        <w:spacing w:after="80" w:before="80"/>
        <w:jc w:val="both"/>
      </w:pPr>
      <w:r>
        <w:rPr>
          <w:rFonts w:ascii="Arial" w:cs="Arial" w:eastAsia="Arial" w:hAnsi="Arial"/>
          <w:b w:val="false"/>
          <w:bCs w:val="false"/>
          <w:i w:val="false"/>
          <w:iCs w:val="false"/>
          <w:color w:val="1A1A1A"/>
          <w:sz w:val="20"/>
          <w:szCs w:val="20"/>
        </w:rPr>
        <w:t xml:space="preserve">Se identificaron 10 problemas (P01-P10). Los 3 con impacto numérico se corrigieron antes del ETL; los 7 restantes se documentaron sin modificación por regla de negocio.</w:t>
      </w:r>
    </w:p>
    <w:p>
      <w:pPr>
        <w:spacing w:after="60" w:before="0"/>
      </w:pPr>
      <w:r>
        <w:rPr>
          <w:rFonts w:ascii="Arial" w:cs="Arial" w:eastAsia="Arial" w:hAnsi="Arial"/>
          <w:b w:val="false"/>
          <w:bCs w:val="false"/>
          <w:i w:val="false"/>
          <w:iCs w:val="false"/>
          <w:color w:val="1A1A1A"/>
          <w:sz w:val="20"/>
          <w:szCs w:val="20"/>
        </w:rPr>
        <w:t xml:space="preserve"/>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800"/>
        <w:gridCol w:w="2826"/>
      </w:tblGrid>
      <w:t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ID</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Tabla</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Problema</w:t>
            </w:r>
          </w:p>
        </w:tc>
        <w:tc>
          <w:tcPr>
            <w:tcW w:type="dxa" w:w="28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Corrección aplicada</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P06</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product</w:t>
            </w:r>
          </w:p>
        </w:tc>
        <w:tc>
          <w:tcPr>
            <w:tcW w:type="dxa" w:w="3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product_id=29: precio €19,99 con coste €59,94 (margen −199,85%). Categoría 1 tiene margen fijo 40%.</w:t>
            </w:r>
          </w:p>
        </w:tc>
        <w:tc>
          <w:tcPr>
            <w:tcW w:type="dxa" w:w="28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price = 59,94 / 0,60 = €99,90. Flag coste_imputado=TRUE en dim_producto.</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P07</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sale_item</w:t>
            </w:r>
          </w:p>
        </w:tc>
        <w:tc>
          <w:tcPr>
            <w:tcW w:type="dxa" w:w="3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8 líneas: subtotal ≠ quantity × unit_price. Diferencia total −€46,96.</w:t>
            </w:r>
          </w:p>
        </w:tc>
        <w:tc>
          <w:tcPr>
            <w:tcW w:type="dxa" w:w="28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UPDATE subtotal = ROUND(quantity × unit_price, 2). Los ítems son fuente de verdad.</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P08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sale</w:t>
            </w:r>
          </w:p>
        </w:tc>
        <w:tc>
          <w:tcPr>
            <w:tcW w:type="dxa" w:w="3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6 ventas: total ≠ SUM(sale_item.subtotal).</w:t>
            </w:r>
          </w:p>
        </w:tc>
        <w:tc>
          <w:tcPr>
            <w:tcW w:type="dxa" w:w="28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UPDATE total desde suma de líneas (ejecutado después de P07).</w:t>
            </w:r>
          </w:p>
        </w:tc>
      </w:tr>
    </w:tbl>
    <w:p>
      <w:pPr>
        <w:spacing w:after="60" w:before="0"/>
      </w:pPr>
      <w:r>
        <w:rPr>
          <w:rFonts w:ascii="Arial" w:cs="Arial" w:eastAsia="Arial" w:hAnsi="Arial"/>
          <w:b w:val="false"/>
          <w:bCs w:val="false"/>
          <w:i w:val="false"/>
          <w:iCs w:val="false"/>
          <w:color w:val="1A1A1A"/>
          <w:sz w:val="20"/>
          <w:szCs w:val="20"/>
        </w:rPr>
        <w:t xml:space="preserve"/>
      </w:r>
    </w:p>
    <w:p>
      <w:pPr>
        <w:spacing w:after="80" w:before="80"/>
        <w:jc w:val="both"/>
      </w:pPr>
      <w:r>
        <w:rPr>
          <w:rFonts w:ascii="Arial" w:cs="Arial" w:eastAsia="Arial" w:hAnsi="Arial"/>
          <w:b w:val="false"/>
          <w:bCs w:val="false"/>
          <w:i/>
          <w:iCs/>
          <w:color w:val="1A1A1A"/>
          <w:sz w:val="20"/>
          <w:szCs w:val="20"/>
        </w:rPr>
        <w:t xml:space="preserve">Los 7 problemas restantes (emails malformados, teléfonos incorrectos, nombres duplicados, opened_date no fiable, offer_id 99,98% NULL) se documentan y conservan por regla de negocio: nunca eliminar clientes.</w:t>
      </w:r>
    </w:p>
    <w:p>
      <w:pPr>
        <w:pStyle w:val="Heading1"/>
        <w:pBdr>
          <w:bottom w:val="single" w:color="2E75B6" w:sz="10" w:space="4"/>
        </w:pBdr>
        <w:spacing w:after="120" w:before="280"/>
      </w:pPr>
      <w:r>
        <w:rPr>
          <w:rFonts w:ascii="Arial" w:cs="Arial" w:eastAsia="Arial" w:hAnsi="Arial"/>
          <w:b/>
          <w:bCs/>
          <w:color w:val="1F4E79"/>
          <w:sz w:val="28"/>
          <w:szCs w:val="28"/>
        </w:rPr>
        <w:t xml:space="preserve">7. Hallazgos Clave del Análisis</w:t>
      </w:r>
    </w:p>
    <w:p>
      <w:pPr>
        <w:pStyle w:val="ListParagraph"/>
        <w:numPr>
          <w:ilvl w:val="0"/>
          <w:numId w:val="2"/>
        </w:numPr>
        <w:spacing w:after="50" w:before="50"/>
      </w:pPr>
      <w:r>
        <w:rPr>
          <w:rFonts w:ascii="Arial" w:cs="Arial" w:eastAsia="Arial" w:hAnsi="Arial"/>
          <w:b/>
          <w:bCs/>
          <w:i w:val="false"/>
          <w:iCs w:val="false"/>
          <w:color w:val="1A1A1A"/>
          <w:sz w:val="20"/>
          <w:szCs w:val="20"/>
        </w:rPr>
        <w:t xml:space="preserve">Concentración extrema de valor:</w:t>
      </w:r>
      <w:r>
        <w:rPr>
          <w:rFonts w:ascii="Arial" w:cs="Arial" w:eastAsia="Arial" w:hAnsi="Arial"/>
          <w:b w:val="false"/>
          <w:bCs w:val="false"/>
          <w:i w:val="false"/>
          <w:iCs w:val="false"/>
          <w:color w:val="1A1A1A"/>
          <w:sz w:val="20"/>
          <w:szCs w:val="20"/>
        </w:rPr>
        <w:t xml:space="preserve"> El 8,4% de clientes (483) genera el 80% del CLTV. Mediana €52 frente a media €643 — cola larga de alto valor.</w:t>
      </w:r>
    </w:p>
    <w:p>
      <w:pPr>
        <w:pStyle w:val="ListParagraph"/>
        <w:numPr>
          <w:ilvl w:val="0"/>
          <w:numId w:val="2"/>
        </w:numPr>
        <w:spacing w:after="50" w:before="50"/>
      </w:pPr>
      <w:r>
        <w:rPr>
          <w:rFonts w:ascii="Arial" w:cs="Arial" w:eastAsia="Arial" w:hAnsi="Arial"/>
          <w:b/>
          <w:bCs/>
          <w:i w:val="false"/>
          <w:iCs w:val="false"/>
          <w:color w:val="1A1A1A"/>
          <w:sz w:val="20"/>
          <w:szCs w:val="20"/>
        </w:rPr>
        <w:t xml:space="preserve">Champions generan el 91,6% del CLTV:</w:t>
      </w:r>
      <w:r>
        <w:rPr>
          <w:rFonts w:ascii="Arial" w:cs="Arial" w:eastAsia="Arial" w:hAnsi="Arial"/>
          <w:b w:val="false"/>
          <w:bCs w:val="false"/>
          <w:i w:val="false"/>
          <w:iCs w:val="false"/>
          <w:color w:val="1A1A1A"/>
          <w:sz w:val="20"/>
          <w:szCs w:val="20"/>
        </w:rPr>
        <w:t xml:space="preserve"> Solo 750 clientes (13%) concentran prácticamente todo el valor del negocio.</w:t>
      </w:r>
    </w:p>
    <w:p>
      <w:pPr>
        <w:pStyle w:val="ListParagraph"/>
        <w:numPr>
          <w:ilvl w:val="0"/>
          <w:numId w:val="2"/>
        </w:numPr>
        <w:spacing w:after="50" w:before="50"/>
      </w:pPr>
      <w:r>
        <w:rPr>
          <w:rFonts w:ascii="Arial" w:cs="Arial" w:eastAsia="Arial" w:hAnsi="Arial"/>
          <w:b/>
          <w:bCs/>
          <w:i w:val="false"/>
          <w:iCs w:val="false"/>
          <w:color w:val="1A1A1A"/>
          <w:sz w:val="20"/>
          <w:szCs w:val="20"/>
        </w:rPr>
        <w:t xml:space="preserve">Return Rate muy sano:</w:t>
      </w:r>
      <w:r>
        <w:rPr>
          <w:rFonts w:ascii="Arial" w:cs="Arial" w:eastAsia="Arial" w:hAnsi="Arial"/>
          <w:b w:val="false"/>
          <w:bCs w:val="false"/>
          <w:i w:val="false"/>
          <w:iCs w:val="false"/>
          <w:color w:val="1A1A1A"/>
          <w:sz w:val="20"/>
          <w:szCs w:val="20"/>
        </w:rPr>
        <w:t xml:space="preserve"> 2,85% global (mediana 1,3%). Solo 301 clientes (5,2%) superan el 50% de devoluciones. Impacto: €271.811.</w:t>
      </w:r>
    </w:p>
    <w:p>
      <w:pPr>
        <w:pStyle w:val="ListParagraph"/>
        <w:numPr>
          <w:ilvl w:val="0"/>
          <w:numId w:val="2"/>
        </w:numPr>
        <w:spacing w:after="50" w:before="50"/>
      </w:pPr>
      <w:r>
        <w:rPr>
          <w:rFonts w:ascii="Arial" w:cs="Arial" w:eastAsia="Arial" w:hAnsi="Arial"/>
          <w:b/>
          <w:bCs/>
          <w:i w:val="false"/>
          <w:iCs w:val="false"/>
          <w:color w:val="1A1A1A"/>
          <w:sz w:val="20"/>
          <w:szCs w:val="20"/>
        </w:rPr>
        <w:t xml:space="preserve">Correlaciones predictivas del CLTV:</w:t>
      </w:r>
      <w:r>
        <w:rPr>
          <w:rFonts w:ascii="Arial" w:cs="Arial" w:eastAsia="Arial" w:hAnsi="Arial"/>
          <w:b w:val="false"/>
          <w:bCs w:val="false"/>
          <w:i w:val="false"/>
          <w:iCs w:val="false"/>
          <w:color w:val="1A1A1A"/>
          <w:sz w:val="20"/>
          <w:szCs w:val="20"/>
        </w:rPr>
        <w:t xml:space="preserve"> CLTV ↔ ingresos_netos = 0,97. CLTV ↔ num_ventas = 0,94. El número de pedidos es el predictor más potente.</w:t>
      </w:r>
    </w:p>
    <w:p>
      <w:pPr>
        <w:pStyle w:val="ListParagraph"/>
        <w:numPr>
          <w:ilvl w:val="0"/>
          <w:numId w:val="2"/>
        </w:numPr>
        <w:spacing w:after="50" w:before="50"/>
      </w:pPr>
      <w:r>
        <w:rPr>
          <w:rFonts w:ascii="Arial" w:cs="Arial" w:eastAsia="Arial" w:hAnsi="Arial"/>
          <w:b/>
          <w:bCs/>
          <w:i w:val="false"/>
          <w:iCs w:val="false"/>
          <w:color w:val="1A1A1A"/>
          <w:sz w:val="20"/>
          <w:szCs w:val="20"/>
        </w:rPr>
        <w:t xml:space="preserve">Distribución bimodal de compras:</w:t>
      </w:r>
      <w:r>
        <w:rPr>
          <w:rFonts w:ascii="Arial" w:cs="Arial" w:eastAsia="Arial" w:hAnsi="Arial"/>
          <w:b w:val="false"/>
          <w:bCs w:val="false"/>
          <w:i w:val="false"/>
          <w:iCs w:val="false"/>
          <w:color w:val="1A1A1A"/>
          <w:sz w:val="20"/>
          <w:szCs w:val="20"/>
        </w:rPr>
        <w:t xml:space="preserve"> La mayoría de clientes compra una sola vez o más de 10 veces, sin término medio. Refuerza la necesidad de programas de segunda compra.</w:t>
      </w:r>
    </w:p>
    <w:p>
      <w:pPr>
        <w:pStyle w:val="ListParagraph"/>
        <w:numPr>
          <w:ilvl w:val="0"/>
          <w:numId w:val="2"/>
        </w:numPr>
        <w:spacing w:after="50" w:before="50"/>
      </w:pPr>
      <w:r>
        <w:rPr>
          <w:rFonts w:ascii="Arial" w:cs="Arial" w:eastAsia="Arial" w:hAnsi="Arial"/>
          <w:b/>
          <w:bCs/>
          <w:i w:val="false"/>
          <w:iCs w:val="false"/>
          <w:color w:val="1A1A1A"/>
          <w:sz w:val="20"/>
          <w:szCs w:val="20"/>
        </w:rPr>
        <w:t xml:space="preserve">Cohort 2020 acumula el mayor CLTV histórico:</w:t>
      </w:r>
      <w:r>
        <w:rPr>
          <w:rFonts w:ascii="Arial" w:cs="Arial" w:eastAsia="Arial" w:hAnsi="Arial"/>
          <w:b w:val="false"/>
          <w:bCs w:val="false"/>
          <w:i w:val="false"/>
          <w:iCs w:val="false"/>
          <w:color w:val="1A1A1A"/>
          <w:sz w:val="20"/>
          <w:szCs w:val="20"/>
        </w:rPr>
        <w:t xml:space="preserve"> CLTV medio ~€4.800 frente a ~€62 en cohorts recientes — efecto esperado de la fórmula que incorpora antigüedad acumulada.</w:t>
      </w:r>
    </w:p>
    <w:p>
      <w:pPr>
        <w:pStyle w:val="Heading1"/>
        <w:pBdr>
          <w:bottom w:val="single" w:color="2E75B6" w:sz="10" w:space="4"/>
        </w:pBdr>
        <w:spacing w:after="120" w:before="280"/>
      </w:pPr>
      <w:r>
        <w:rPr>
          <w:rFonts w:ascii="Arial" w:cs="Arial" w:eastAsia="Arial" w:hAnsi="Arial"/>
          <w:b/>
          <w:bCs/>
          <w:color w:val="1F4E79"/>
          <w:sz w:val="28"/>
          <w:szCs w:val="28"/>
        </w:rPr>
        <w:t xml:space="preserve">8. Decisiones Técnicas Clave</w:t>
      </w:r>
    </w:p>
    <w:p>
      <w:pPr>
        <w:spacing w:after="60" w:before="0"/>
      </w:pPr>
      <w:r>
        <w:rPr>
          <w:rFonts w:ascii="Arial" w:cs="Arial" w:eastAsia="Arial" w:hAnsi="Arial"/>
          <w:b w:val="false"/>
          <w:bCs w:val="false"/>
          <w:i w:val="false"/>
          <w:iCs w:val="false"/>
          <w:color w:val="1A1A1A"/>
          <w:sz w:val="20"/>
          <w:szCs w:val="20"/>
        </w:rPr>
        <w:t xml:space="preserve"/>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800"/>
        <w:gridCol w:w="34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ID</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Ámbito</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Decisión</w:t>
            </w:r>
          </w:p>
        </w:tc>
        <w:tc>
          <w:tcPr>
            <w:tcW w:type="dxa" w:w="34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Justificación</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D01</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Arquitectura</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Una BD con 4 schemas</w:t>
            </w:r>
          </w:p>
        </w:tc>
        <w:tc>
          <w:tcPr>
            <w:tcW w:type="dxa" w:w="34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JOINs directos entre capas sin dblink</w:t>
            </w:r>
          </w:p>
        </w:tc>
      </w:tr>
      <w:tr>
        <w:tc>
          <w:tcPr>
            <w:tcW w:type="dxa" w:w="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D02</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Calidad</w:t>
            </w:r>
          </w:p>
        </w:tc>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Nunca eliminar clientes</w:t>
            </w:r>
          </w:p>
        </w:tc>
        <w:tc>
          <w:tcPr>
            <w:tcW w:type="dxa" w:w="34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Regla de negocio establecida</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D03</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ETL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Idempotencia — TRUNCATE CASCADE</w:t>
            </w:r>
          </w:p>
        </w:tc>
        <w:tc>
          <w:tcPr>
            <w:tcW w:type="dxa" w:w="34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N ejecuciones, resultados idénticos</w:t>
            </w:r>
          </w:p>
        </w:tc>
      </w:tr>
      <w:tr>
        <w:tc>
          <w:tcPr>
            <w:tcW w:type="dxa" w:w="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D04</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DWH</w:t>
            </w:r>
          </w:p>
        </w:tc>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Registro Desconocido (SK=1) en dims</w:t>
            </w:r>
          </w:p>
        </w:tc>
        <w:tc>
          <w:tcPr>
            <w:tcW w:type="dxa" w:w="34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0 NULLs en tablas de hechos</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D05</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DWH</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dim_zona independiente</w:t>
            </w:r>
          </w:p>
        </w:tc>
        <w:tc>
          <w:tcPr>
            <w:tcW w:type="dxa" w:w="34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Análisis geográfico desacoplado del cliente</w:t>
            </w:r>
          </w:p>
        </w:tc>
      </w:tr>
      <w:tr>
        <w:tc>
          <w:tcPr>
            <w:tcW w:type="dxa" w:w="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D06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DWH</w:t>
            </w:r>
          </w:p>
        </w:tc>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Flag es_devuelta en fact_ventas</w:t>
            </w:r>
          </w:p>
        </w:tc>
        <w:tc>
          <w:tcPr>
            <w:tcW w:type="dxa" w:w="34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CLTV neto sin JOIN adicional</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D07</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Métricas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CLTV = ingresos_netos × (margen/100)</w:t>
            </w:r>
          </w:p>
        </w:tc>
        <w:tc>
          <w:tcPr>
            <w:tcW w:type="dxa" w:w="34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Simplificación algebraica exacta del enunciado</w:t>
            </w:r>
          </w:p>
        </w:tc>
      </w:tr>
      <w:tr>
        <w:tc>
          <w:tcPr>
            <w:tcW w:type="dxa" w:w="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D08</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ML</w:t>
            </w:r>
          </w:p>
        </w:tc>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CLTV capeado — GREATEST(..., 0)</w:t>
            </w:r>
          </w:p>
        </w:tc>
        <w:tc>
          <w:tcPr>
            <w:tcW w:type="dxa" w:w="34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17 clientes con margen neto negativo</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D09</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ML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K-Means sobre espacio PCA 2D</w:t>
            </w:r>
          </w:p>
        </w:tc>
        <w:tc>
          <w:tcPr>
            <w:tcW w:type="dxa" w:w="342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Reduce ruido y mejora separabilidad</w:t>
            </w:r>
          </w:p>
        </w:tc>
      </w:tr>
      <w:tr>
        <w:tc>
          <w:tcPr>
            <w:tcW w:type="dxa" w:w="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1A1A1A"/>
                <w:sz w:val="18"/>
                <w:szCs w:val="18"/>
              </w:rPr>
              <w:t xml:space="preserve">D10</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Zona</w:t>
            </w:r>
          </w:p>
        </w:tc>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Zona via store.postal_code</w:t>
            </w:r>
          </w:p>
        </w:tc>
        <w:tc>
          <w:tcPr>
            <w:tcW w:type="dxa" w:w="3426"/>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after="0" w:before="0"/>
              <w:jc w:val="center"/>
            </w:pPr>
            <w:r>
              <w:rPr>
                <w:rFonts w:ascii="Arial" w:cs="Arial" w:eastAsia="Arial" w:hAnsi="Arial"/>
                <w:b w:val="false"/>
                <w:bCs w:val="false"/>
                <w:i w:val="false"/>
                <w:iCs w:val="false"/>
                <w:color w:val="1A1A1A"/>
                <w:sz w:val="18"/>
                <w:szCs w:val="18"/>
              </w:rPr>
              <w:t xml:space="preserve">customer no tiene FK a city_zone</w:t>
            </w:r>
          </w:p>
        </w:tc>
      </w:tr>
    </w:tbl>
    <w:sectPr>
      <w:headerReference w:type="default" r:id="rId7"/>
      <w:footerReference w:type="default" r:id="rId8"/>
      <w:pgSz w:w="11906" w:h="16838" w:orient="portrait"/>
      <w:pgMar w:top="1418" w:right="1134"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500"/>
      </w:tabs>
      <w:spacing w:after="0" w:before="80"/>
    </w:pPr>
    <w:r>
      <w:rPr>
        <w:rFonts w:ascii="Arial" w:cs="Arial" w:eastAsia="Arial" w:hAnsi="Arial"/>
        <w:b w:val="false"/>
        <w:bCs w:val="false"/>
        <w:i w:val="false"/>
        <w:iCs w:val="false"/>
        <w:color w:val="595959"/>
        <w:sz w:val="16"/>
        <w:szCs w:val="16"/>
      </w:rPr>
      <w:t xml:space="preserve">SalesHealth Analytics · 3º Ingeniería Matemática</w:t>
    </w:r>
    <w:r>
      <w:rPr>
        <w:rFonts w:ascii="Arial" w:cs="Arial" w:eastAsia="Arial" w:hAnsi="Arial"/>
        <w:sz w:val="16"/>
        <w:szCs w:val="16"/>
      </w:rPr>
      <w:t xml:space="preserve">	</w:t>
    </w:r>
    <w:r>
      <w:rPr>
        <w:rFonts w:ascii="Arial" w:cs="Arial" w:eastAsia="Arial" w:hAnsi="Arial"/>
        <w:b w:val="false"/>
        <w:bCs w:val="false"/>
        <w:i w:val="false"/>
        <w:iCs w:val="false"/>
        <w:color w:val="595959"/>
        <w:sz w:val="16"/>
        <w:szCs w:val="16"/>
      </w:rPr>
      <w:t xml:space="preserve">Proyecto Final · Gestión de Bases de Datos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8500"/>
      </w:tabs>
      <w:spacing w:after="100" w:before="0"/>
    </w:pPr>
    <w:r>
      <w:rPr>
        <w:rFonts w:ascii="Arial" w:cs="Arial" w:eastAsia="Arial" w:hAnsi="Arial"/>
        <w:b w:val="false"/>
        <w:bCs w:val="false"/>
        <w:i w:val="false"/>
        <w:iCs w:val="false"/>
        <w:color w:val="595959"/>
        <w:sz w:val="17"/>
        <w:szCs w:val="17"/>
      </w:rPr>
      <w:t xml:space="preserve">Documento Técnico — Gestión de Bases de Datos</w:t>
    </w:r>
    <w:r>
      <w:rPr>
        <w:rFonts w:ascii="Arial" w:cs="Arial" w:eastAsia="Arial" w:hAnsi="Arial"/>
        <w:sz w:val="17"/>
        <w:szCs w:val="17"/>
      </w:rPr>
      <w:t xml:space="preserve">	</w:t>
    </w:r>
    <w:r>
      <w:rPr>
        <w:rFonts w:ascii="Arial" w:cs="Arial" w:eastAsia="Arial" w:hAnsi="Arial"/>
        <w:b w:val="false"/>
        <w:bCs w:val="false"/>
        <w:i w:val="false"/>
        <w:iCs w:val="false"/>
        <w:color w:val="595959"/>
        <w:sz w:val="17"/>
        <w:szCs w:val="17"/>
      </w:rPr>
      <w:t xml:space="preserve">Pablo Jiménez Girardeau · UAX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0" w:before="50"/>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2026-05-11T06:38:02.566Z</dcterms:created>
  <dcterms:modified xsi:type="dcterms:W3CDTF">2026-05-11T06:38:02.590Z</dcterms:modified>
</cp:coreProperties>
</file>

<file path=docProps/custom.xml><?xml version="1.0" encoding="utf-8"?>
<Properties xmlns="http://schemas.openxmlformats.org/officeDocument/2006/custom-properties" xmlns:vt="http://schemas.openxmlformats.org/officeDocument/2006/docPropsVTypes"/>
</file>