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jc w:val="center"/>
      </w:pPr>
      <w:r>
        <w:rPr>
          <w:rFonts w:ascii="Aptos" w:hAnsi="Aptos"/>
          <w:b/>
          <w:i w:val="0"/>
          <w:color w:val="173B30"/>
          <w:sz w:val="24"/>
        </w:rPr>
        <w:t>TOSCAL GARDEN</w:t>
      </w:r>
    </w:p>
    <w:p>
      <w:pPr>
        <w:pStyle w:val="Title"/>
        <w:spacing w:before="280" w:after="320"/>
        <w:jc w:val="center"/>
      </w:pPr>
      <w:r>
        <w:rPr>
          <w:rFonts w:ascii="Aptos" w:hAnsi="Aptos"/>
          <w:b w:val="0"/>
          <w:i w:val="0"/>
          <w:color w:val="000000"/>
          <w:sz w:val="60"/>
        </w:rPr>
        <w:t>Plan de proyecto y presupuesto</w:t>
      </w:r>
    </w:p>
    <w:p>
      <w:pPr>
        <w:spacing w:before="0" w:after="160" w:line="300" w:lineRule="auto"/>
        <w:jc w:val="center"/>
      </w:pPr>
      <w:r>
        <w:rPr>
          <w:rFonts w:ascii="Aptos" w:hAnsi="Aptos"/>
          <w:b w:val="0"/>
          <w:i w:val="0"/>
          <w:color w:val="173B30"/>
          <w:sz w:val="28"/>
        </w:rPr>
        <w:t>Web comercial, señalética del garden y captación de proyectos de jardinería</w:t>
      </w:r>
    </w:p>
    <w:p>
      <w:pPr>
        <w:spacing w:before="1800"/>
        <w:jc w:val="center"/>
      </w:pPr>
      <w:r>
        <w:rPr>
          <w:rFonts w:ascii="Aptos" w:hAnsi="Aptos"/>
          <w:b w:val="0"/>
          <w:i w:val="0"/>
          <w:color w:val="222222"/>
          <w:sz w:val="21"/>
        </w:rPr>
        <w:t>Green Digital</w:t>
        <w:br/>
        <w:t>29 de septiembre de 2026</w:t>
      </w:r>
    </w:p>
    <w:p>
      <w:r>
        <w:br w:type="page"/>
      </w:r>
    </w:p>
    <w:p>
      <w:pPr>
        <w:pStyle w:val="Heading1"/>
        <w:keepNext/>
      </w:pPr>
      <w:r>
        <w:rPr>
          <w:rFonts w:ascii="Aptos" w:hAnsi="Aptos"/>
          <w:b w:val="0"/>
          <w:i w:val="0"/>
          <w:color w:val="000000"/>
          <w:sz w:val="38"/>
        </w:rPr>
        <w:t>Decisión que propone este plan</w:t>
      </w:r>
    </w:p>
    <w:p>
      <w:pPr>
        <w:spacing w:before="0" w:after="120" w:line="278" w:lineRule="auto"/>
      </w:pPr>
      <w:r>
        <w:rPr>
          <w:rFonts w:ascii="Aptos" w:hAnsi="Aptos"/>
          <w:b w:val="0"/>
          <w:i w:val="0"/>
          <w:color w:val="222222"/>
          <w:sz w:val="21"/>
        </w:rPr>
        <w:t>Toscal ya tiene una propuesta difícil de igualar: más de 30 años de trayectoria, 20.000 m2 de garden y 120.000 m2 de producción mediterránea. El trabajo no consiste en inventar una nueva marca, sino en hacer esa diferencia visible antes, durante y después de la visita.</w:t>
      </w:r>
    </w:p>
    <w:p>
      <w:pPr>
        <w:spacing w:before="0" w:after="120" w:line="278" w:lineRule="auto"/>
      </w:pPr>
      <w:r>
        <w:rPr>
          <w:rFonts w:ascii="Aptos" w:hAnsi="Aptos"/>
          <w:b w:val="0"/>
          <w:i w:val="0"/>
          <w:color w:val="222222"/>
          <w:sz w:val="21"/>
        </w:rPr>
        <w:t>Proponemos cuatro partidas que pueden contratarse por separado y comparten una misma dirección de marca. La prioridad inmediata puede ser la señalética, porque mejora una experiencia que ya sucede cada día. La web y la captación de proyectos convierten ese mismo discurso en visitas, consultas y oportunidades de jardinería cualificadas.</w:t>
      </w:r>
    </w:p>
    <w:p>
      <w:pPr>
        <w:pStyle w:val="Heading1"/>
        <w:keepNext/>
      </w:pPr>
      <w:r>
        <w:rPr>
          <w:rFonts w:ascii="Aptos" w:hAnsi="Aptos"/>
          <w:b w:val="0"/>
          <w:i w:val="0"/>
          <w:color w:val="000000"/>
          <w:sz w:val="38"/>
        </w:rPr>
        <w:t>Contexto y oportunidad</w:t>
      </w:r>
    </w:p>
    <w:p>
      <w:pPr>
        <w:spacing w:before="0" w:after="120" w:line="278" w:lineRule="auto"/>
      </w:pPr>
      <w:r>
        <w:rPr>
          <w:rFonts w:ascii="Aptos" w:hAnsi="Aptos"/>
          <w:b w:val="0"/>
          <w:i w:val="0"/>
          <w:color w:val="222222"/>
          <w:sz w:val="21"/>
        </w:rPr>
        <w:t>Hoy Toscal reúne garden, producción mediterránea, categorías especializadas y servicio de jardines. Sin embargo, una persona que descubre el negocio todavía necesita hacer demasiado esfuerzo para entender qué puede encontrar, cómo llegar o cómo iniciar un proyecto de jardín. Al llegar, la amplitud del espacio puede convertirse en una ventaja comercial si el recorrido se entiende con facilidad.</w:t>
      </w:r>
    </w:p>
    <w:p>
      <w:pPr>
        <w:spacing w:before="0" w:after="120" w:line="278" w:lineRule="auto"/>
      </w:pPr>
      <w:r>
        <w:rPr>
          <w:rFonts w:ascii="Aptos" w:hAnsi="Aptos"/>
          <w:b w:val="0"/>
          <w:i w:val="0"/>
          <w:color w:val="222222"/>
          <w:sz w:val="21"/>
        </w:rPr>
        <w:t>La dirección propuesta se apoya en una identidad sobria y mediterránea: verde profundo, tonos crema y arena, terracota usada con moderación, fotografía real del garden y una tipografía editorial de lectura clara. El resultado debe comunicar conocimiento, calidad y cercanía; no lujo distante ni una estética genérica de vivero.</w:t>
      </w:r>
    </w:p>
    <w:p>
      <w:pPr>
        <w:pStyle w:val="Heading1"/>
        <w:keepNext/>
      </w:pPr>
      <w:r>
        <w:rPr>
          <w:rFonts w:ascii="Aptos" w:hAnsi="Aptos"/>
          <w:b w:val="0"/>
          <w:i w:val="0"/>
          <w:color w:val="000000"/>
          <w:sz w:val="38"/>
        </w:rPr>
        <w:t>Objetivos del proyecto</w:t>
      </w:r>
    </w:p>
    <w:p>
      <w:pPr>
        <w:spacing w:before="0" w:after="60" w:line="278" w:lineRule="auto"/>
        <w:ind w:left="403" w:hanging="331"/>
      </w:pPr>
      <w:r>
        <w:rPr>
          <w:rFonts w:ascii="Aptos" w:hAnsi="Aptos"/>
          <w:b w:val="0"/>
          <w:i w:val="0"/>
          <w:color w:val="222222"/>
          <w:sz w:val="21"/>
        </w:rPr>
        <w:t>1.  Aumentar las visitas con intención de compra al garden, haciendo visibles ubicación, horarios, acceso, parking y categorías principales.</w:t>
      </w:r>
    </w:p>
    <w:p>
      <w:pPr>
        <w:spacing w:before="0" w:after="60" w:line="278" w:lineRule="auto"/>
        <w:ind w:left="403" w:hanging="331"/>
      </w:pPr>
      <w:r>
        <w:rPr>
          <w:rFonts w:ascii="Aptos" w:hAnsi="Aptos"/>
          <w:b w:val="0"/>
          <w:i w:val="0"/>
          <w:color w:val="222222"/>
          <w:sz w:val="21"/>
        </w:rPr>
        <w:t>2.  Mejorar la orientación dentro del garden para que cada persona localice antes lo que busca y el equipo pueda dedicar más tiempo al asesoramiento que a indicar direcciones.</w:t>
      </w:r>
    </w:p>
    <w:p>
      <w:pPr>
        <w:spacing w:before="0" w:after="60" w:line="278" w:lineRule="auto"/>
        <w:ind w:left="403" w:hanging="331"/>
      </w:pPr>
      <w:r>
        <w:rPr>
          <w:rFonts w:ascii="Aptos" w:hAnsi="Aptos"/>
          <w:b w:val="0"/>
          <w:i w:val="0"/>
          <w:color w:val="222222"/>
          <w:sz w:val="21"/>
        </w:rPr>
        <w:t>3.  Generar más consultas de producto y disponibilidad sin prometer un catálogo o stock online que Toscal no haya decidido mantener.</w:t>
      </w:r>
    </w:p>
    <w:p>
      <w:pPr>
        <w:spacing w:before="0" w:after="60" w:line="278" w:lineRule="auto"/>
        <w:ind w:left="403" w:hanging="331"/>
      </w:pPr>
      <w:r>
        <w:rPr>
          <w:rFonts w:ascii="Aptos" w:hAnsi="Aptos"/>
          <w:b w:val="0"/>
          <w:i w:val="0"/>
          <w:color w:val="222222"/>
          <w:sz w:val="21"/>
        </w:rPr>
        <w:t>4.  Atraer proyectos de jardinería y separar desde el primer contacto las consultas que encajan con el servicio de las que requieren una respuesta comercial diferente.</w:t>
      </w:r>
    </w:p>
    <w:p>
      <w:pPr>
        <w:spacing w:before="0" w:after="60" w:line="278" w:lineRule="auto"/>
        <w:ind w:left="403" w:hanging="331"/>
      </w:pPr>
      <w:r>
        <w:rPr>
          <w:rFonts w:ascii="Aptos" w:hAnsi="Aptos"/>
          <w:b w:val="0"/>
          <w:i w:val="0"/>
          <w:color w:val="222222"/>
          <w:sz w:val="21"/>
        </w:rPr>
        <w:t>5.  Unificar la percepción de marca en digital y en el espacio físico, con una presencia cuidada, natural, experta y reconocible.</w:t>
      </w:r>
    </w:p>
    <w:p>
      <w:pPr>
        <w:spacing w:before="0" w:after="60" w:line="278" w:lineRule="auto"/>
        <w:ind w:left="403" w:hanging="331"/>
      </w:pPr>
      <w:r>
        <w:rPr>
          <w:rFonts w:ascii="Aptos" w:hAnsi="Aptos"/>
          <w:b w:val="0"/>
          <w:i w:val="0"/>
          <w:color w:val="222222"/>
          <w:sz w:val="21"/>
        </w:rPr>
        <w:t>6.  Crear una base que pueda crecer por fases: nuevas zonas, páginas locales, idiomas, campañas de temporada y medición comercial.</w:t>
      </w:r>
    </w:p>
    <w:p>
      <w:pPr>
        <w:pStyle w:val="Heading1"/>
        <w:keepNext/>
      </w:pPr>
      <w:r>
        <w:rPr>
          <w:rFonts w:ascii="Aptos" w:hAnsi="Aptos"/>
          <w:b w:val="0"/>
          <w:i w:val="0"/>
          <w:color w:val="000000"/>
          <w:sz w:val="38"/>
        </w:rPr>
        <w:t>Principios de trabajo</w:t>
      </w:r>
    </w:p>
    <w:p>
      <w:pPr>
        <w:spacing w:before="0" w:after="60" w:line="278" w:lineRule="auto"/>
        <w:ind w:left="403" w:hanging="331"/>
      </w:pPr>
      <w:r>
        <w:rPr>
          <w:rFonts w:ascii="Aptos" w:hAnsi="Aptos"/>
          <w:b w:val="0"/>
          <w:i w:val="0"/>
          <w:color w:val="222222"/>
          <w:sz w:val="21"/>
        </w:rPr>
        <w:t>•  Se trabajará con fotografías reales de Toscal y con las familias de producto que el equipo confirme.</w:t>
      </w:r>
    </w:p>
    <w:p>
      <w:pPr>
        <w:spacing w:before="0" w:after="60" w:line="278" w:lineRule="auto"/>
        <w:ind w:left="403" w:hanging="331"/>
      </w:pPr>
      <w:r>
        <w:rPr>
          <w:rFonts w:ascii="Aptos" w:hAnsi="Aptos"/>
          <w:b w:val="0"/>
          <w:i w:val="0"/>
          <w:color w:val="222222"/>
          <w:sz w:val="21"/>
        </w:rPr>
        <w:t>•  Cada decisión se validará contra una función concreta: orientar, facilitar una visita, resolver una consulta o pedir un proyecto.</w:t>
      </w:r>
    </w:p>
    <w:p>
      <w:pPr>
        <w:spacing w:before="0" w:after="60" w:line="278" w:lineRule="auto"/>
        <w:ind w:left="403" w:hanging="331"/>
      </w:pPr>
      <w:r>
        <w:rPr>
          <w:rFonts w:ascii="Aptos" w:hAnsi="Aptos"/>
          <w:b w:val="0"/>
          <w:i w:val="0"/>
          <w:color w:val="222222"/>
          <w:sz w:val="21"/>
        </w:rPr>
        <w:t>•  La señalética se diseñará como un sistema. No se plantean carteles aislados sin jerarquía, medida ni recorrido.</w:t>
      </w:r>
    </w:p>
    <w:p>
      <w:pPr>
        <w:spacing w:before="0" w:after="60" w:line="278" w:lineRule="auto"/>
        <w:ind w:left="403" w:hanging="331"/>
      </w:pPr>
      <w:r>
        <w:rPr>
          <w:rFonts w:ascii="Aptos" w:hAnsi="Aptos"/>
          <w:b w:val="0"/>
          <w:i w:val="0"/>
          <w:color w:val="222222"/>
          <w:sz w:val="21"/>
        </w:rPr>
        <w:t>•  Se aplicará una metodología de dos personas: una persona liderará experiencia, contenidos, estrategia y coordinación; la otra traducirá esa dirección a diseño, desarrollo, artes y control técnico. Las horas indicadas son horas totales de trabajo de ambas personas, no horas por persona.</w:t>
      </w:r>
    </w:p>
    <w:p>
      <w:pPr>
        <w:spacing w:before="0" w:after="60" w:line="278" w:lineRule="auto"/>
        <w:ind w:left="403" w:hanging="331"/>
      </w:pPr>
      <w:r>
        <w:rPr>
          <w:rFonts w:ascii="Aptos" w:hAnsi="Aptos"/>
          <w:b w:val="0"/>
          <w:i w:val="0"/>
          <w:color w:val="222222"/>
          <w:sz w:val="21"/>
        </w:rPr>
        <w:t>•  Se incluyen dos rondas de ajustes agrupados por cada partida. Las solicitudes nuevas que alteren el alcance se presupuestarán antes de ejecutarse.</w:t>
      </w:r>
    </w:p>
    <w:p>
      <w:pPr>
        <w:pStyle w:val="Heading1"/>
        <w:keepNext/>
      </w:pPr>
      <w:r>
        <w:rPr>
          <w:rFonts w:ascii="Aptos" w:hAnsi="Aptos"/>
          <w:b w:val="0"/>
          <w:i w:val="0"/>
          <w:color w:val="000000"/>
          <w:sz w:val="38"/>
        </w:rPr>
        <w:t>Partida 1 Web comercial de captación</w:t>
      </w:r>
    </w:p>
    <w:p>
      <w:pPr>
        <w:pStyle w:val="Heading2"/>
        <w:keepNext/>
      </w:pPr>
      <w:r>
        <w:rPr>
          <w:rFonts w:ascii="Aptos" w:hAnsi="Aptos"/>
          <w:b w:val="0"/>
          <w:i w:val="0"/>
          <w:color w:val="000000"/>
          <w:sz w:val="26"/>
        </w:rPr>
        <w:t>Qué resuelve</w:t>
      </w:r>
    </w:p>
    <w:p>
      <w:pPr>
        <w:spacing w:before="0" w:after="120" w:line="278" w:lineRule="auto"/>
      </w:pPr>
      <w:r>
        <w:rPr>
          <w:rFonts w:ascii="Aptos" w:hAnsi="Aptos"/>
          <w:b w:val="0"/>
          <w:i w:val="0"/>
          <w:color w:val="222222"/>
          <w:sz w:val="21"/>
        </w:rPr>
        <w:t>La web debe ayudar a tomar una decisión rápida desde móvil: visitar el garden, encontrar una categoría o producto, o pedir ayuda para crear un jardín. La intención es que el tamaño, el conocimiento y la producción de Toscal sean una razón clara para venir o contactar.</w:t>
      </w:r>
    </w:p>
    <w:p>
      <w:pPr>
        <w:pStyle w:val="Heading2"/>
        <w:keepNext/>
      </w:pPr>
      <w:r>
        <w:rPr>
          <w:rFonts w:ascii="Aptos" w:hAnsi="Aptos"/>
          <w:b w:val="0"/>
          <w:i w:val="0"/>
          <w:color w:val="000000"/>
          <w:sz w:val="26"/>
        </w:rPr>
        <w:t>Alcance incluido</w:t>
      </w:r>
    </w:p>
    <w:p>
      <w:pPr>
        <w:spacing w:before="0" w:after="60" w:line="278" w:lineRule="auto"/>
        <w:ind w:left="403" w:hanging="331"/>
      </w:pPr>
      <w:r>
        <w:rPr>
          <w:rFonts w:ascii="Aptos" w:hAnsi="Aptos"/>
          <w:b w:val="0"/>
          <w:i w:val="0"/>
          <w:color w:val="222222"/>
          <w:sz w:val="21"/>
        </w:rPr>
        <w:t>•  Sesión de arranque para confirmar objetivos, servicios, públicos y contenido disponible.</w:t>
      </w:r>
    </w:p>
    <w:p>
      <w:pPr>
        <w:spacing w:before="0" w:after="60" w:line="278" w:lineRule="auto"/>
        <w:ind w:left="403" w:hanging="331"/>
      </w:pPr>
      <w:r>
        <w:rPr>
          <w:rFonts w:ascii="Aptos" w:hAnsi="Aptos"/>
          <w:b w:val="0"/>
          <w:i w:val="0"/>
          <w:color w:val="222222"/>
          <w:sz w:val="21"/>
        </w:rPr>
        <w:t>•  Adaptación del planteamiento visual y de navegación ya trabajado para una web comercial clara y responsive.</w:t>
      </w:r>
    </w:p>
    <w:p>
      <w:pPr>
        <w:spacing w:before="0" w:after="60" w:line="278" w:lineRule="auto"/>
        <w:ind w:left="403" w:hanging="331"/>
      </w:pPr>
      <w:r>
        <w:rPr>
          <w:rFonts w:ascii="Aptos" w:hAnsi="Aptos"/>
          <w:b w:val="0"/>
          <w:i w:val="0"/>
          <w:color w:val="222222"/>
          <w:sz w:val="21"/>
        </w:rPr>
        <w:t>•  Desarrollo de la página de inicio y de las rutas prioritarias: visitar el garden, encontrar categorías y solicitar un proyecto de jardín.</w:t>
      </w:r>
    </w:p>
    <w:p>
      <w:pPr>
        <w:spacing w:before="0" w:after="60" w:line="278" w:lineRule="auto"/>
        <w:ind w:left="403" w:hanging="331"/>
      </w:pPr>
      <w:r>
        <w:rPr>
          <w:rFonts w:ascii="Aptos" w:hAnsi="Aptos"/>
          <w:b w:val="0"/>
          <w:i w:val="0"/>
          <w:color w:val="222222"/>
          <w:sz w:val="21"/>
        </w:rPr>
        <w:t>•  Hasta cinco páginas o bloques de contenido principales, incluyendo visita y contacto, categorías prioritarias y proyectos de jardín.</w:t>
      </w:r>
    </w:p>
    <w:p>
      <w:pPr>
        <w:spacing w:before="0" w:after="60" w:line="278" w:lineRule="auto"/>
        <w:ind w:left="403" w:hanging="331"/>
      </w:pPr>
      <w:r>
        <w:rPr>
          <w:rFonts w:ascii="Aptos" w:hAnsi="Aptos"/>
          <w:b w:val="0"/>
          <w:i w:val="0"/>
          <w:color w:val="222222"/>
          <w:sz w:val="21"/>
        </w:rPr>
        <w:t>•  Integración de mapa facilitado por Toscal, horario confirmado, teléfono, WhatsApp y llamadas a la acción.</w:t>
      </w:r>
    </w:p>
    <w:p>
      <w:pPr>
        <w:spacing w:before="0" w:after="60" w:line="278" w:lineRule="auto"/>
        <w:ind w:left="403" w:hanging="331"/>
      </w:pPr>
      <w:r>
        <w:rPr>
          <w:rFonts w:ascii="Aptos" w:hAnsi="Aptos"/>
          <w:b w:val="0"/>
          <w:i w:val="0"/>
          <w:color w:val="222222"/>
          <w:sz w:val="21"/>
        </w:rPr>
        <w:t>•  Base SEO local: títulos, descripciones, jerarquía, enlaces internos y datos de negocio validados.</w:t>
      </w:r>
    </w:p>
    <w:p>
      <w:pPr>
        <w:spacing w:before="0" w:after="60" w:line="278" w:lineRule="auto"/>
        <w:ind w:left="403" w:hanging="331"/>
      </w:pPr>
      <w:r>
        <w:rPr>
          <w:rFonts w:ascii="Aptos" w:hAnsi="Aptos"/>
          <w:b w:val="0"/>
          <w:i w:val="0"/>
          <w:color w:val="222222"/>
          <w:sz w:val="21"/>
        </w:rPr>
        <w:t>•  Formularios o enlaces de contacto acordados, pruebas de móvil y escritorio, publicación y entrega.</w:t>
      </w:r>
    </w:p>
    <w:p>
      <w:pPr>
        <w:pStyle w:val="Heading2"/>
        <w:keepNext/>
      </w:pPr>
      <w:r>
        <w:rPr>
          <w:rFonts w:ascii="Aptos" w:hAnsi="Aptos"/>
          <w:b w:val="0"/>
          <w:i w:val="0"/>
          <w:color w:val="000000"/>
          <w:sz w:val="26"/>
        </w:rPr>
        <w:t>Dedicación e inversión</w:t>
      </w:r>
    </w:p>
    <w:tbl>
      <w:tblPr>
        <w:tblStyle w:val="TableGrid"/>
        <w:tblW w:type="auto" w:w="0"/>
        <w:tblLayout w:type="fixed"/>
        <w:tblLook w:firstColumn="1" w:firstRow="1" w:lastColumn="0" w:lastRow="0" w:noHBand="0" w:noVBand="1" w:val="04A0"/>
      </w:tblPr>
      <w:tblGrid>
        <w:gridCol w:w="3216"/>
        <w:gridCol w:w="3216"/>
        <w:gridCol w:w="3216"/>
      </w:tblGrid>
      <w:tr>
        <w:trPr>
          <w:tblHeader w:val="true"/>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left"/>
            </w:pPr>
            <w:r>
              <w:rPr>
                <w:rFonts w:ascii="Aptos" w:hAnsi="Aptos"/>
                <w:b/>
                <w:i w:val="0"/>
                <w:color w:val="FFFFFF"/>
                <w:sz w:val="19"/>
              </w:rPr>
              <w:t>Bloque</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Horas de equipo</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Inversión</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Descubrimiento, contenidos y arquitectura</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10 h</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Incluido</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left"/>
            </w:pPr>
            <w:r>
              <w:rPr>
                <w:rFonts w:ascii="Aptos" w:hAnsi="Aptos"/>
                <w:b w:val="0"/>
                <w:i w:val="0"/>
                <w:color w:val="222222"/>
                <w:sz w:val="19"/>
              </w:rPr>
              <w:t>Adaptación visual y desarrollo de páginas prioritarias</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val="0"/>
                <w:i w:val="0"/>
                <w:color w:val="222222"/>
                <w:sz w:val="19"/>
              </w:rPr>
              <w:t>50 h</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val="0"/>
                <w:i w:val="0"/>
                <w:color w:val="222222"/>
                <w:sz w:val="19"/>
              </w:rPr>
              <w:t>Incluido</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SEO básico, contacto, pruebas, publicación y coordinación</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20 h</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Incluido</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left"/>
            </w:pPr>
            <w:r>
              <w:rPr>
                <w:rFonts w:ascii="Aptos" w:hAnsi="Aptos"/>
                <w:b/>
                <w:i w:val="0"/>
                <w:color w:val="222222"/>
                <w:sz w:val="19"/>
              </w:rPr>
              <w:t>Total partida 1</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i w:val="0"/>
                <w:color w:val="222222"/>
                <w:sz w:val="19"/>
              </w:rPr>
              <w:t>80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i w:val="0"/>
                <w:color w:val="222222"/>
                <w:sz w:val="19"/>
              </w:rPr>
              <w:t>2.700 EUR</w:t>
            </w:r>
          </w:p>
        </w:tc>
      </w:tr>
    </w:tbl>
    <w:p>
      <w:pPr>
        <w:spacing w:after="40"/>
      </w:pPr>
    </w:p>
    <w:p>
      <w:pPr>
        <w:spacing w:before="0" w:after="120" w:line="278" w:lineRule="auto"/>
      </w:pPr>
      <w:r>
        <w:rPr>
          <w:rFonts w:ascii="Aptos" w:hAnsi="Aptos"/>
          <w:b/>
          <w:i w:val="0"/>
          <w:color w:val="222222"/>
          <w:sz w:val="21"/>
        </w:rPr>
        <w:t>Calendario estimado:</w:t>
      </w:r>
      <w:r>
        <w:rPr>
          <w:rFonts w:ascii="Aptos" w:hAnsi="Aptos"/>
          <w:b w:val="0"/>
          <w:i w:val="0"/>
          <w:color w:val="222222"/>
          <w:sz w:val="21"/>
        </w:rPr>
        <w:t xml:space="preserve"> 3 semanas desde la validación de contenidos y accesos. La publicación depende de que Toscal confirme información comercial, textos legales, dominio y accesos técnicos.</w:t>
      </w:r>
    </w:p>
    <w:p>
      <w:pPr>
        <w:pStyle w:val="Heading2"/>
        <w:keepNext/>
      </w:pPr>
      <w:r>
        <w:rPr>
          <w:rFonts w:ascii="Aptos" w:hAnsi="Aptos"/>
          <w:b w:val="0"/>
          <w:i w:val="0"/>
          <w:color w:val="000000"/>
          <w:sz w:val="26"/>
        </w:rPr>
        <w:t>Resultado para Toscal</w:t>
      </w:r>
    </w:p>
    <w:p>
      <w:pPr>
        <w:spacing w:before="0" w:after="120" w:line="278" w:lineRule="auto"/>
      </w:pPr>
      <w:r>
        <w:rPr>
          <w:rFonts w:ascii="Aptos" w:hAnsi="Aptos"/>
          <w:b w:val="0"/>
          <w:i w:val="0"/>
          <w:color w:val="222222"/>
          <w:sz w:val="21"/>
        </w:rPr>
        <w:t>Una primera web comercial que ordena la visita, hace reconocibles las categorías reales y abre una vía de contacto distinta para quien busca producto y quien quiere crear un jardín. No se plantea como comercio electrónico ni como catálogo de stock en tiempo real.</w:t>
      </w:r>
    </w:p>
    <w:p>
      <w:pPr>
        <w:pStyle w:val="Heading1"/>
        <w:keepNext/>
      </w:pPr>
      <w:r>
        <w:rPr>
          <w:rFonts w:ascii="Aptos" w:hAnsi="Aptos"/>
          <w:b w:val="0"/>
          <w:i w:val="0"/>
          <w:color w:val="000000"/>
          <w:sz w:val="38"/>
        </w:rPr>
        <w:t>Partida 2 Señalética y cartelería del garden</w:t>
      </w:r>
    </w:p>
    <w:p>
      <w:pPr>
        <w:pStyle w:val="Heading2"/>
        <w:keepNext/>
      </w:pPr>
      <w:r>
        <w:rPr>
          <w:rFonts w:ascii="Aptos" w:hAnsi="Aptos"/>
          <w:b w:val="0"/>
          <w:i w:val="0"/>
          <w:color w:val="000000"/>
          <w:sz w:val="26"/>
        </w:rPr>
        <w:t>Qué resuelve</w:t>
      </w:r>
    </w:p>
    <w:p>
      <w:pPr>
        <w:spacing w:before="0" w:after="120" w:line="278" w:lineRule="auto"/>
      </w:pPr>
      <w:r>
        <w:rPr>
          <w:rFonts w:ascii="Aptos" w:hAnsi="Aptos"/>
          <w:b w:val="0"/>
          <w:i w:val="0"/>
          <w:color w:val="222222"/>
          <w:sz w:val="21"/>
        </w:rPr>
        <w:t>La señalética debe transformar un espacio amplio en un recorrido fácil de entender. Esta partida se divide en dos opciones que Toscal puede contratar de forma independiente o conjunta. La primera define la realidad del espacio; la segunda convierte esa información en los diseños acordados.</w:t>
      </w:r>
    </w:p>
    <w:p>
      <w:pPr>
        <w:pStyle w:val="Heading2"/>
        <w:keepNext/>
      </w:pPr>
      <w:r>
        <w:rPr>
          <w:rFonts w:ascii="Aptos" w:hAnsi="Aptos"/>
          <w:b w:val="0"/>
          <w:i w:val="0"/>
          <w:color w:val="000000"/>
          <w:sz w:val="26"/>
        </w:rPr>
        <w:t>Opción 2A Visita técnica y plan de señalética</w:t>
      </w:r>
    </w:p>
    <w:p>
      <w:pPr>
        <w:spacing w:before="0" w:after="120" w:line="278" w:lineRule="auto"/>
      </w:pPr>
      <w:r>
        <w:rPr>
          <w:rFonts w:ascii="Aptos" w:hAnsi="Aptos"/>
          <w:b w:val="0"/>
          <w:i w:val="0"/>
          <w:color w:val="222222"/>
          <w:sz w:val="21"/>
        </w:rPr>
        <w:t>Incluye una visita al garden para recorrer entradas, bifurcaciones, zonas, puntos de ayuda y soportes existentes. Tomaremos medidas, revisaremos visibilidad, alturas de lectura y condiciones de exterior, y elaboraremos un inventario de piezas prioritarias con una propuesta de recorrido y ubicación. Esta opción permite decidir qué carteles hacen falta antes de diseñar o pedir precios de fabricación.</w:t>
      </w:r>
    </w:p>
    <w:tbl>
      <w:tblPr>
        <w:tblStyle w:val="TableGrid"/>
        <w:tblW w:type="auto" w:w="0"/>
        <w:tblLayout w:type="fixed"/>
        <w:tblLook w:firstColumn="1" w:firstRow="1" w:lastColumn="0" w:lastRow="0" w:noHBand="0" w:noVBand="1" w:val="04A0"/>
      </w:tblPr>
      <w:tblGrid>
        <w:gridCol w:w="3216"/>
        <w:gridCol w:w="3216"/>
        <w:gridCol w:w="3216"/>
      </w:tblGrid>
      <w:tr>
        <w:trPr>
          <w:tblHeader w:val="true"/>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left"/>
            </w:pPr>
            <w:r>
              <w:rPr>
                <w:rFonts w:ascii="Aptos" w:hAnsi="Aptos"/>
                <w:b/>
                <w:i w:val="0"/>
                <w:color w:val="FFFFFF"/>
                <w:sz w:val="19"/>
              </w:rPr>
              <w:t>Opción</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Horas de equipo</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Inversión</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Visita técnica, medidas, inventario y plan de ubicación</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29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990 EUR</w:t>
            </w:r>
          </w:p>
        </w:tc>
      </w:tr>
    </w:tbl>
    <w:p>
      <w:pPr>
        <w:spacing w:after="40"/>
      </w:pPr>
    </w:p>
    <w:p>
      <w:pPr>
        <w:pStyle w:val="Heading2"/>
        <w:keepNext/>
      </w:pPr>
      <w:r>
        <w:rPr>
          <w:rFonts w:ascii="Aptos" w:hAnsi="Aptos"/>
          <w:b w:val="0"/>
          <w:i w:val="0"/>
          <w:color w:val="000000"/>
          <w:sz w:val="26"/>
        </w:rPr>
        <w:t>Opción 2B Diseño de señalética</w:t>
      </w:r>
    </w:p>
    <w:p>
      <w:pPr>
        <w:spacing w:before="0" w:after="120" w:line="278" w:lineRule="auto"/>
      </w:pPr>
      <w:r>
        <w:rPr>
          <w:rFonts w:ascii="Aptos" w:hAnsi="Aptos"/>
          <w:b w:val="0"/>
          <w:i w:val="0"/>
          <w:color w:val="222222"/>
          <w:sz w:val="21"/>
        </w:rPr>
        <w:t>Incluye el diseño del sistema de señalética a partir de la dirección creativa aprobada: jerarquía, tipografía, color, flechas, pictogramas y adaptaciones de las piezas prioritarias. Se prepararán los diseños acordados y los archivos necesarios para solicitar presupuesto a imprenta. Si Toscal no contrata la opción 2A, deberá facilitar medidas, fotografías, soportes y ubicaciones definitivas para que los diseños puedan prepararse con precisión.</w:t>
      </w:r>
    </w:p>
    <w:tbl>
      <w:tblPr>
        <w:tblStyle w:val="TableGrid"/>
        <w:tblW w:type="auto" w:w="0"/>
        <w:tblLayout w:type="fixed"/>
        <w:tblLook w:firstColumn="1" w:firstRow="1" w:lastColumn="0" w:lastRow="0" w:noHBand="0" w:noVBand="1" w:val="04A0"/>
      </w:tblPr>
      <w:tblGrid>
        <w:gridCol w:w="3216"/>
        <w:gridCol w:w="3216"/>
        <w:gridCol w:w="3216"/>
      </w:tblGrid>
      <w:tr>
        <w:trPr>
          <w:tblHeader w:val="true"/>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left"/>
            </w:pPr>
            <w:r>
              <w:rPr>
                <w:rFonts w:ascii="Aptos" w:hAnsi="Aptos"/>
                <w:b/>
                <w:i w:val="0"/>
                <w:color w:val="FFFFFF"/>
                <w:sz w:val="19"/>
              </w:rPr>
              <w:t>Opción</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Horas de equipo</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Inversión</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Diseño de señalética y archivos para presupuesto de imprenta</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20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690 EUR</w:t>
            </w:r>
          </w:p>
        </w:tc>
      </w:tr>
    </w:tbl>
    <w:p>
      <w:pPr>
        <w:spacing w:after="40"/>
      </w:pPr>
    </w:p>
    <w:p>
      <w:pPr>
        <w:spacing w:before="0" w:after="120" w:line="278" w:lineRule="auto"/>
      </w:pPr>
      <w:r>
        <w:rPr>
          <w:rFonts w:ascii="Aptos" w:hAnsi="Aptos"/>
          <w:b/>
          <w:i w:val="0"/>
          <w:color w:val="222222"/>
          <w:sz w:val="21"/>
        </w:rPr>
        <w:t>Inversión de ambas opciones:</w:t>
      </w:r>
      <w:r>
        <w:rPr>
          <w:rFonts w:ascii="Aptos" w:hAnsi="Aptos"/>
          <w:b w:val="0"/>
          <w:i w:val="0"/>
          <w:color w:val="222222"/>
          <w:sz w:val="21"/>
        </w:rPr>
        <w:t xml:space="preserve"> 1.680 EUR. </w:t>
      </w:r>
      <w:r>
        <w:rPr>
          <w:rFonts w:ascii="Aptos" w:hAnsi="Aptos"/>
          <w:b/>
          <w:i w:val="0"/>
          <w:color w:val="222222"/>
          <w:sz w:val="21"/>
        </w:rPr>
        <w:t>Calendario estimado:</w:t>
      </w:r>
      <w:r>
        <w:rPr>
          <w:rFonts w:ascii="Aptos" w:hAnsi="Aptos"/>
          <w:b w:val="0"/>
          <w:i w:val="0"/>
          <w:color w:val="222222"/>
          <w:sz w:val="21"/>
        </w:rPr>
        <w:t xml:space="preserve"> una a dos semanas por opción, según la rapidez con que se validen las decisiones y se facilite la información necesaria.</w:t>
      </w:r>
    </w:p>
    <w:p>
      <w:pPr>
        <w:pStyle w:val="Heading2"/>
        <w:keepNext/>
      </w:pPr>
      <w:r>
        <w:rPr>
          <w:rFonts w:ascii="Aptos" w:hAnsi="Aptos"/>
          <w:b w:val="0"/>
          <w:i w:val="0"/>
          <w:color w:val="000000"/>
          <w:sz w:val="26"/>
        </w:rPr>
        <w:t>Producción e instalación</w:t>
      </w:r>
    </w:p>
    <w:p>
      <w:pPr>
        <w:spacing w:before="0" w:after="120" w:line="278" w:lineRule="auto"/>
      </w:pPr>
      <w:r>
        <w:rPr>
          <w:rFonts w:ascii="Aptos" w:hAnsi="Aptos"/>
          <w:b w:val="0"/>
          <w:i w:val="0"/>
          <w:color w:val="222222"/>
          <w:sz w:val="21"/>
        </w:rPr>
        <w:t xml:space="preserve">Las dos opciones cubren consultoría, visita, medición, diseño y preparación de archivos dentro de su alcance. </w:t>
      </w:r>
      <w:r>
        <w:rPr>
          <w:rFonts w:ascii="Aptos" w:hAnsi="Aptos"/>
          <w:b/>
          <w:i w:val="0"/>
          <w:color w:val="222222"/>
          <w:sz w:val="21"/>
        </w:rPr>
        <w:t>No incluyen impresión, fabricación, transporte, permisos, obra, soportes ni instalación.</w:t>
      </w:r>
    </w:p>
    <w:p>
      <w:pPr>
        <w:spacing w:before="0" w:after="120" w:line="278" w:lineRule="auto"/>
      </w:pPr>
      <w:r>
        <w:rPr>
          <w:rFonts w:ascii="Aptos" w:hAnsi="Aptos"/>
          <w:b w:val="0"/>
          <w:i w:val="0"/>
          <w:color w:val="222222"/>
          <w:sz w:val="21"/>
        </w:rPr>
        <w:t>Si Toscal no tiene imprenta, recomendaremos una imprenta de confianza y facilitaremos la coordinación necesaria para pedir y comparar presupuestos. Toscal contratará y abonará directamente la fabricación e instalación al proveedor. Green Digital no añadirá comisión, margen ni porcentaje sobre esos trabajos externos.</w:t>
      </w:r>
    </w:p>
    <w:p>
      <w:pPr>
        <w:spacing w:before="0" w:after="120" w:line="278" w:lineRule="auto"/>
      </w:pPr>
      <w:r>
        <w:rPr>
          <w:rFonts w:ascii="Aptos" w:hAnsi="Aptos"/>
          <w:b w:val="0"/>
          <w:i w:val="0"/>
          <w:color w:val="222222"/>
          <w:sz w:val="21"/>
        </w:rPr>
        <w:t>La elección final de materiales se tomará tras conocer medidas, número final de unidades, soportes, anclajes, resistencia exterior y sistema de instalación.</w:t>
      </w:r>
    </w:p>
    <w:p>
      <w:pPr>
        <w:pStyle w:val="Heading2"/>
        <w:keepNext/>
      </w:pPr>
      <w:r>
        <w:rPr>
          <w:rFonts w:ascii="Aptos" w:hAnsi="Aptos"/>
          <w:b w:val="0"/>
          <w:i w:val="0"/>
          <w:color w:val="000000"/>
          <w:sz w:val="26"/>
        </w:rPr>
        <w:t>Resultado para Toscal</w:t>
      </w:r>
    </w:p>
    <w:p>
      <w:pPr>
        <w:spacing w:before="0" w:after="120" w:line="278" w:lineRule="auto"/>
      </w:pPr>
      <w:r>
        <w:rPr>
          <w:rFonts w:ascii="Aptos" w:hAnsi="Aptos"/>
          <w:b w:val="0"/>
          <w:i w:val="0"/>
          <w:color w:val="222222"/>
          <w:sz w:val="21"/>
        </w:rPr>
        <w:t>Un plan claro para decidir qué señalética necesita el garden y, si se activa la opción de diseño, una línea gráfica lista para pedir presupuesto de producción sin improvisaciones.</w:t>
      </w:r>
    </w:p>
    <w:p>
      <w:pPr>
        <w:pStyle w:val="Heading1"/>
        <w:keepNext/>
      </w:pPr>
      <w:r>
        <w:rPr>
          <w:rFonts w:ascii="Aptos" w:hAnsi="Aptos"/>
          <w:b w:val="0"/>
          <w:i w:val="0"/>
          <w:color w:val="000000"/>
          <w:sz w:val="38"/>
        </w:rPr>
        <w:t>Partida 3 Captación y filtro de proyectos de jardinería</w:t>
      </w:r>
    </w:p>
    <w:p>
      <w:pPr>
        <w:pStyle w:val="Heading2"/>
        <w:keepNext/>
      </w:pPr>
      <w:r>
        <w:rPr>
          <w:rFonts w:ascii="Aptos" w:hAnsi="Aptos"/>
          <w:b w:val="0"/>
          <w:i w:val="0"/>
          <w:color w:val="000000"/>
          <w:sz w:val="26"/>
        </w:rPr>
        <w:t>Qué resuelve</w:t>
      </w:r>
    </w:p>
    <w:p>
      <w:pPr>
        <w:spacing w:before="0" w:after="120" w:line="278" w:lineRule="auto"/>
      </w:pPr>
      <w:r>
        <w:rPr>
          <w:rFonts w:ascii="Aptos" w:hAnsi="Aptos"/>
          <w:b w:val="0"/>
          <w:i w:val="0"/>
          <w:color w:val="222222"/>
          <w:sz w:val="21"/>
        </w:rPr>
        <w:t>La oportunidad de jardines necesita una entrada propia. Quien quiere transformar su exterior no debería llegar a un formulario genérico ni consumir tiempo del equipo sin que Toscal sepa primero qué necesita, dónde está, cuál es el tipo de intervención o cuándo quiere empezar.</w:t>
      </w:r>
    </w:p>
    <w:p>
      <w:pPr>
        <w:spacing w:before="0" w:after="120" w:line="278" w:lineRule="auto"/>
      </w:pPr>
      <w:r>
        <w:rPr>
          <w:rFonts w:ascii="Aptos" w:hAnsi="Aptos"/>
          <w:b w:val="0"/>
          <w:i w:val="0"/>
          <w:color w:val="222222"/>
          <w:sz w:val="21"/>
        </w:rPr>
        <w:t>Esta partida crea un proceso de primer contacto que invita a los proyectos adecuados y ordena la respuesta comercial. Puede ponerse en marcha dentro de la nueva web o, si la web se activa más tarde, mediante una página o enlace de contacto específico.</w:t>
      </w:r>
    </w:p>
    <w:p>
      <w:pPr>
        <w:pStyle w:val="Heading2"/>
        <w:keepNext/>
      </w:pPr>
      <w:r>
        <w:rPr>
          <w:rFonts w:ascii="Aptos" w:hAnsi="Aptos"/>
          <w:b w:val="0"/>
          <w:i w:val="0"/>
          <w:color w:val="000000"/>
          <w:sz w:val="26"/>
        </w:rPr>
        <w:t>Alcance incluido</w:t>
      </w:r>
    </w:p>
    <w:p>
      <w:pPr>
        <w:spacing w:before="0" w:after="60" w:line="278" w:lineRule="auto"/>
        <w:ind w:left="403" w:hanging="331"/>
      </w:pPr>
      <w:r>
        <w:rPr>
          <w:rFonts w:ascii="Aptos" w:hAnsi="Aptos"/>
          <w:b w:val="0"/>
          <w:i w:val="0"/>
          <w:color w:val="222222"/>
          <w:sz w:val="21"/>
        </w:rPr>
        <w:t>•  Reunión breve para definir el tipo de consulta que Toscal quiere recibir y los datos imprescindibles antes de responder.</w:t>
      </w:r>
    </w:p>
    <w:p>
      <w:pPr>
        <w:spacing w:before="0" w:after="60" w:line="278" w:lineRule="auto"/>
        <w:ind w:left="403" w:hanging="331"/>
      </w:pPr>
      <w:r>
        <w:rPr>
          <w:rFonts w:ascii="Aptos" w:hAnsi="Aptos"/>
          <w:b w:val="0"/>
          <w:i w:val="0"/>
          <w:color w:val="222222"/>
          <w:sz w:val="21"/>
        </w:rPr>
        <w:t>•  Estructura de un formulario o enlace específico de contacto para proyectos de jardinería, con las preguntas básicas acordadas.</w:t>
      </w:r>
    </w:p>
    <w:p>
      <w:pPr>
        <w:spacing w:before="0" w:after="60" w:line="278" w:lineRule="auto"/>
        <w:ind w:left="403" w:hanging="331"/>
      </w:pPr>
      <w:r>
        <w:rPr>
          <w:rFonts w:ascii="Aptos" w:hAnsi="Aptos"/>
          <w:b w:val="0"/>
          <w:i w:val="0"/>
          <w:color w:val="222222"/>
          <w:sz w:val="21"/>
        </w:rPr>
        <w:t>•  Textos principales de captación y mensaje de respuesta inicial.</w:t>
      </w:r>
    </w:p>
    <w:p>
      <w:pPr>
        <w:spacing w:before="0" w:after="60" w:line="278" w:lineRule="auto"/>
        <w:ind w:left="403" w:hanging="331"/>
      </w:pPr>
      <w:r>
        <w:rPr>
          <w:rFonts w:ascii="Aptos" w:hAnsi="Aptos"/>
          <w:b w:val="0"/>
          <w:i w:val="0"/>
          <w:color w:val="222222"/>
          <w:sz w:val="21"/>
        </w:rPr>
        <w:t>•  Entrega del recorrido y los textos para integrarlos en la web o la herramienta de contacto que Toscal elija.</w:t>
      </w:r>
    </w:p>
    <w:p>
      <w:pPr>
        <w:pStyle w:val="Heading2"/>
        <w:keepNext/>
      </w:pPr>
      <w:r>
        <w:rPr>
          <w:rFonts w:ascii="Aptos" w:hAnsi="Aptos"/>
          <w:b w:val="0"/>
          <w:i w:val="0"/>
          <w:color w:val="000000"/>
          <w:sz w:val="26"/>
        </w:rPr>
        <w:t>Dedicación e inversión</w:t>
      </w:r>
    </w:p>
    <w:tbl>
      <w:tblPr>
        <w:tblStyle w:val="TableGrid"/>
        <w:tblW w:type="auto" w:w="0"/>
        <w:tblLayout w:type="fixed"/>
        <w:tblLook w:firstColumn="1" w:firstRow="1" w:lastColumn="0" w:lastRow="0" w:noHBand="0" w:noVBand="1" w:val="04A0"/>
      </w:tblPr>
      <w:tblGrid>
        <w:gridCol w:w="3216"/>
        <w:gridCol w:w="3216"/>
        <w:gridCol w:w="3216"/>
      </w:tblGrid>
      <w:tr>
        <w:trPr>
          <w:tblHeader w:val="true"/>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left"/>
            </w:pPr>
            <w:r>
              <w:rPr>
                <w:rFonts w:ascii="Aptos" w:hAnsi="Aptos"/>
                <w:b/>
                <w:i w:val="0"/>
                <w:color w:val="FFFFFF"/>
                <w:sz w:val="19"/>
              </w:rPr>
              <w:t>Bloque</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Horas de equipo</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Inversión</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Definición, formulario, textos y entrega</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13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450 EUR</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left"/>
            </w:pPr>
            <w:r>
              <w:rPr>
                <w:rFonts w:ascii="Aptos" w:hAnsi="Aptos"/>
                <w:b/>
                <w:i w:val="0"/>
                <w:color w:val="222222"/>
                <w:sz w:val="19"/>
              </w:rPr>
              <w:t>Total partida 3</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i w:val="0"/>
                <w:color w:val="222222"/>
                <w:sz w:val="19"/>
              </w:rPr>
              <w:t>13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i w:val="0"/>
                <w:color w:val="222222"/>
                <w:sz w:val="19"/>
              </w:rPr>
              <w:t>450 EUR</w:t>
            </w:r>
          </w:p>
        </w:tc>
      </w:tr>
    </w:tbl>
    <w:p>
      <w:pPr>
        <w:spacing w:after="40"/>
      </w:pPr>
    </w:p>
    <w:p>
      <w:pPr>
        <w:spacing w:before="0" w:after="120" w:line="278" w:lineRule="auto"/>
      </w:pPr>
      <w:r>
        <w:rPr>
          <w:rFonts w:ascii="Aptos" w:hAnsi="Aptos"/>
          <w:b/>
          <w:i w:val="0"/>
          <w:color w:val="222222"/>
          <w:sz w:val="21"/>
        </w:rPr>
        <w:t>Calendario estimado:</w:t>
      </w:r>
      <w:r>
        <w:rPr>
          <w:rFonts w:ascii="Aptos" w:hAnsi="Aptos"/>
          <w:b w:val="0"/>
          <w:i w:val="0"/>
          <w:color w:val="222222"/>
          <w:sz w:val="21"/>
        </w:rPr>
        <w:t xml:space="preserve"> hasta 1 semana. Si se integra en la partida web, se desarrollará durante ese proyecto.</w:t>
      </w:r>
    </w:p>
    <w:p>
      <w:pPr>
        <w:pStyle w:val="Heading2"/>
        <w:keepNext/>
      </w:pPr>
      <w:r>
        <w:rPr>
          <w:rFonts w:ascii="Aptos" w:hAnsi="Aptos"/>
          <w:b w:val="0"/>
          <w:i w:val="0"/>
          <w:color w:val="000000"/>
          <w:sz w:val="26"/>
        </w:rPr>
        <w:t>Resultado para Toscal</w:t>
      </w:r>
    </w:p>
    <w:p>
      <w:pPr>
        <w:spacing w:before="0" w:after="120" w:line="278" w:lineRule="auto"/>
      </w:pPr>
      <w:r>
        <w:rPr>
          <w:rFonts w:ascii="Aptos" w:hAnsi="Aptos"/>
          <w:b w:val="0"/>
          <w:i w:val="0"/>
          <w:color w:val="222222"/>
          <w:sz w:val="21"/>
        </w:rPr>
        <w:t>Un punto de entrada claro para proyectos de jardín, preparado para conocer lo esencial antes de responder y proteger el tiempo del equipo.</w:t>
      </w:r>
    </w:p>
    <w:p>
      <w:pPr>
        <w:pStyle w:val="Heading1"/>
        <w:keepNext/>
      </w:pPr>
      <w:r>
        <w:rPr>
          <w:rFonts w:ascii="Aptos" w:hAnsi="Aptos"/>
          <w:b w:val="0"/>
          <w:i w:val="0"/>
          <w:color w:val="000000"/>
          <w:sz w:val="38"/>
        </w:rPr>
        <w:t>Partida 4 Tarifa de acompañamiento integral</w:t>
      </w:r>
    </w:p>
    <w:p>
      <w:pPr>
        <w:pStyle w:val="Heading2"/>
        <w:keepNext/>
      </w:pPr>
      <w:r>
        <w:rPr>
          <w:rFonts w:ascii="Aptos" w:hAnsi="Aptos"/>
          <w:b w:val="0"/>
          <w:i w:val="0"/>
          <w:color w:val="000000"/>
          <w:sz w:val="26"/>
        </w:rPr>
        <w:t>Qué resuelve</w:t>
      </w:r>
    </w:p>
    <w:p>
      <w:pPr>
        <w:spacing w:before="0" w:after="120" w:line="278" w:lineRule="auto"/>
      </w:pPr>
      <w:r>
        <w:rPr>
          <w:rFonts w:ascii="Aptos" w:hAnsi="Aptos"/>
          <w:b w:val="0"/>
          <w:i w:val="0"/>
          <w:color w:val="222222"/>
          <w:sz w:val="21"/>
        </w:rPr>
        <w:t>Esta opción aplica la tarifa de 650 EUR recogida en nuestro catálogo. Incluye todas las acciones y el acompañamiento previstos en dicha tarifa para la relación contratada, con el compromiso vinculado a los servicios que Toscal adquiera.</w:t>
      </w:r>
    </w:p>
    <w:p>
      <w:pPr>
        <w:spacing w:before="0" w:after="120" w:line="278" w:lineRule="auto"/>
      </w:pPr>
      <w:r>
        <w:rPr>
          <w:rFonts w:ascii="Aptos" w:hAnsi="Aptos"/>
          <w:b w:val="0"/>
          <w:i w:val="0"/>
          <w:color w:val="222222"/>
          <w:sz w:val="21"/>
        </w:rPr>
        <w:t>La definición concreta de entregables, periodo, alcance y condiciones de compromiso será la que figure en la ficha de tarifa del catálogo que se incorpore al acuerdo. Así Toscal puede optar por una relación continuada, en lugar de contratar cada intervención por separado.</w:t>
      </w:r>
    </w:p>
    <w:tbl>
      <w:tblPr>
        <w:tblStyle w:val="TableGrid"/>
        <w:tblW w:type="auto" w:w="0"/>
        <w:tblLayout w:type="fixed"/>
        <w:tblLook w:firstColumn="1" w:firstRow="1" w:lastColumn="0" w:lastRow="0" w:noHBand="0" w:noVBand="1" w:val="04A0"/>
      </w:tblPr>
      <w:tblGrid>
        <w:gridCol w:w="4824"/>
        <w:gridCol w:w="4824"/>
      </w:tblGrid>
      <w:tr>
        <w:trPr>
          <w:tblHeader w:val="true"/>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left"/>
            </w:pPr>
            <w:r>
              <w:rPr>
                <w:rFonts w:ascii="Aptos" w:hAnsi="Aptos"/>
                <w:b/>
                <w:i w:val="0"/>
                <w:color w:val="FFFFFF"/>
                <w:sz w:val="19"/>
              </w:rPr>
              <w:t>Partida</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Inversión</w:t>
            </w:r>
          </w:p>
        </w:tc>
      </w:tr>
      <w:tr>
        <w:trPr>
          <w:cantSplit/>
        </w:trPr>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Tarifa de acompañamiento integral según catálogo y compromiso adquirido</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650 EUR</w:t>
            </w:r>
          </w:p>
        </w:tc>
      </w:tr>
    </w:tbl>
    <w:p>
      <w:pPr>
        <w:spacing w:after="40"/>
      </w:pPr>
    </w:p>
    <w:p>
      <w:pPr>
        <w:pStyle w:val="Heading1"/>
        <w:keepNext/>
      </w:pPr>
      <w:r>
        <w:rPr>
          <w:rFonts w:ascii="Aptos" w:hAnsi="Aptos"/>
          <w:b w:val="0"/>
          <w:i w:val="0"/>
          <w:color w:val="000000"/>
          <w:sz w:val="38"/>
        </w:rPr>
        <w:t>Resumen económico</w:t>
      </w:r>
    </w:p>
    <w:tbl>
      <w:tblPr>
        <w:tblStyle w:val="TableGrid"/>
        <w:tblW w:type="auto" w:w="0"/>
        <w:tblLayout w:type="fixed"/>
        <w:tblLook w:firstColumn="1" w:firstRow="1" w:lastColumn="0" w:lastRow="0" w:noHBand="0" w:noVBand="1" w:val="04A0"/>
      </w:tblPr>
      <w:tblGrid>
        <w:gridCol w:w="3216"/>
        <w:gridCol w:w="3216"/>
        <w:gridCol w:w="3216"/>
      </w:tblGrid>
      <w:tr>
        <w:trPr>
          <w:tblHeader w:val="true"/>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left"/>
            </w:pPr>
            <w:r>
              <w:rPr>
                <w:rFonts w:ascii="Aptos" w:hAnsi="Aptos"/>
                <w:b/>
                <w:i w:val="0"/>
                <w:color w:val="FFFFFF"/>
                <w:sz w:val="19"/>
              </w:rPr>
              <w:t>Partida</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Horas de equipo</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173B30" w:val="clear"/>
          </w:tcPr>
          <w:p>
            <w:pPr>
              <w:spacing w:before="0" w:after="0" w:line="252" w:lineRule="auto"/>
              <w:jc w:val="right"/>
            </w:pPr>
            <w:r>
              <w:rPr>
                <w:rFonts w:ascii="Aptos" w:hAnsi="Aptos"/>
                <w:b/>
                <w:i w:val="0"/>
                <w:color w:val="FFFFFF"/>
                <w:sz w:val="19"/>
              </w:rPr>
              <w:t>Inversión sin IVA</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1 Web comercial de captación</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80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2.700 EUR</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left"/>
            </w:pPr>
            <w:r>
              <w:rPr>
                <w:rFonts w:ascii="Aptos" w:hAnsi="Aptos"/>
                <w:b w:val="0"/>
                <w:i w:val="0"/>
                <w:color w:val="222222"/>
                <w:sz w:val="19"/>
              </w:rPr>
              <w:t>2A Visita técnica y plan de señalética</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val="0"/>
                <w:i w:val="0"/>
                <w:color w:val="222222"/>
                <w:sz w:val="19"/>
              </w:rPr>
              <w:t>29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val="0"/>
                <w:i w:val="0"/>
                <w:color w:val="222222"/>
                <w:sz w:val="19"/>
              </w:rPr>
              <w:t>990 EUR</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2B Diseño de señalética</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20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690 EUR</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left"/>
            </w:pPr>
            <w:r>
              <w:rPr>
                <w:rFonts w:ascii="Aptos" w:hAnsi="Aptos"/>
                <w:b w:val="0"/>
                <w:i w:val="0"/>
                <w:color w:val="222222"/>
                <w:sz w:val="19"/>
              </w:rPr>
              <w:t>3 Captación y filtro de proyectos de jardinería</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val="0"/>
                <w:i w:val="0"/>
                <w:color w:val="222222"/>
                <w:sz w:val="19"/>
              </w:rPr>
              <w:t>13 h estimadas</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9F6EF" w:val="clear"/>
          </w:tcPr>
          <w:p>
            <w:pPr>
              <w:spacing w:before="0" w:after="0" w:line="252" w:lineRule="auto"/>
              <w:jc w:val="right"/>
            </w:pPr>
            <w:r>
              <w:rPr>
                <w:rFonts w:ascii="Aptos" w:hAnsi="Aptos"/>
                <w:b w:val="0"/>
                <w:i w:val="0"/>
                <w:color w:val="222222"/>
                <w:sz w:val="19"/>
              </w:rPr>
              <w:t>450 EUR</w:t>
            </w:r>
          </w:p>
        </w:tc>
      </w:tr>
      <w:tr>
        <w:trPr>
          <w:cantSplit/>
        </w:trPr>
        <w:tc>
          <w:tcPr>
            <w:tcW w:type="dxa" w:w="53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left"/>
            </w:pPr>
            <w:r>
              <w:rPr>
                <w:rFonts w:ascii="Aptos" w:hAnsi="Aptos"/>
                <w:b w:val="0"/>
                <w:i w:val="0"/>
                <w:color w:val="222222"/>
                <w:sz w:val="19"/>
              </w:rPr>
              <w:t>4 Tarifa de acompañamiento integral según catálogo</w:t>
            </w:r>
          </w:p>
        </w:tc>
        <w:tc>
          <w:tcPr>
            <w:tcW w:type="dxa" w:w="17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Según tarifa de catálogo</w:t>
            </w:r>
          </w:p>
        </w:tc>
        <w:tc>
          <w:tcPr>
            <w:tcW w:type="dxa" w:w="247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before="0" w:after="0" w:line="252" w:lineRule="auto"/>
              <w:jc w:val="right"/>
            </w:pPr>
            <w:r>
              <w:rPr>
                <w:rFonts w:ascii="Aptos" w:hAnsi="Aptos"/>
                <w:b w:val="0"/>
                <w:i w:val="0"/>
                <w:color w:val="222222"/>
                <w:sz w:val="19"/>
              </w:rPr>
              <w:t>650 EUR</w:t>
            </w:r>
          </w:p>
        </w:tc>
      </w:tr>
    </w:tbl>
    <w:p>
      <w:pPr>
        <w:spacing w:after="40"/>
      </w:pPr>
    </w:p>
    <w:p>
      <w:pPr>
        <w:spacing w:before="0" w:after="120" w:line="278" w:lineRule="auto"/>
      </w:pPr>
      <w:r>
        <w:rPr>
          <w:rFonts w:ascii="Aptos" w:hAnsi="Aptos"/>
          <w:b w:val="0"/>
          <w:i w:val="0"/>
          <w:color w:val="222222"/>
          <w:sz w:val="21"/>
        </w:rPr>
        <w:t>Las partidas son independientes. Las opciones 2A y 2B pueden activarse juntas por 1.680 EUR. La partida 4 se regirá por las condiciones de compromiso asociadas a la tarifa de catálogo; no se suma automáticamente a los servicios puntuales.</w:t>
      </w:r>
    </w:p>
    <w:p>
      <w:pPr>
        <w:pStyle w:val="Heading1"/>
        <w:keepNext/>
      </w:pPr>
      <w:r>
        <w:rPr>
          <w:rFonts w:ascii="Aptos" w:hAnsi="Aptos"/>
          <w:b w:val="0"/>
          <w:i w:val="0"/>
          <w:color w:val="000000"/>
          <w:sz w:val="38"/>
        </w:rPr>
        <w:t>Fases recomendadas</w:t>
      </w:r>
    </w:p>
    <w:p>
      <w:pPr>
        <w:pStyle w:val="Heading2"/>
        <w:keepNext/>
      </w:pPr>
      <w:r>
        <w:rPr>
          <w:rFonts w:ascii="Aptos" w:hAnsi="Aptos"/>
          <w:b w:val="0"/>
          <w:i w:val="0"/>
          <w:color w:val="000000"/>
          <w:sz w:val="26"/>
        </w:rPr>
        <w:t>Fase inmediata</w:t>
      </w:r>
    </w:p>
    <w:p>
      <w:pPr>
        <w:spacing w:before="0" w:after="120" w:line="278" w:lineRule="auto"/>
      </w:pPr>
      <w:r>
        <w:rPr>
          <w:rFonts w:ascii="Aptos" w:hAnsi="Aptos"/>
          <w:b w:val="0"/>
          <w:i w:val="0"/>
          <w:color w:val="222222"/>
          <w:sz w:val="21"/>
        </w:rPr>
        <w:t>Activar la opción 2A. La visita técnica resuelve una necesidad expresa del garden y permite cerrar el número real de piezas, prioridades y producción antes de encargar diseños o fabricación.</w:t>
      </w:r>
    </w:p>
    <w:p>
      <w:pPr>
        <w:pStyle w:val="Heading2"/>
        <w:keepNext/>
      </w:pPr>
      <w:r>
        <w:rPr>
          <w:rFonts w:ascii="Aptos" w:hAnsi="Aptos"/>
          <w:b w:val="0"/>
          <w:i w:val="0"/>
          <w:color w:val="000000"/>
          <w:sz w:val="26"/>
        </w:rPr>
        <w:t>Fase de captación</w:t>
      </w:r>
    </w:p>
    <w:p>
      <w:pPr>
        <w:spacing w:before="0" w:after="120" w:line="278" w:lineRule="auto"/>
      </w:pPr>
      <w:r>
        <w:rPr>
          <w:rFonts w:ascii="Aptos" w:hAnsi="Aptos"/>
          <w:b w:val="0"/>
          <w:i w:val="0"/>
          <w:color w:val="222222"/>
          <w:sz w:val="21"/>
        </w:rPr>
        <w:t>Activar la partida 3 en paralelo o justo después. El objetivo es que la publicidad, las recomendaciones y la futura web tengan una puerta clara para proyectos de jardinería. La opción 2B puede activarse después de la visita técnica, cuando las necesidades de señalética estén confirmadas.</w:t>
      </w:r>
    </w:p>
    <w:p>
      <w:pPr>
        <w:pStyle w:val="Heading2"/>
        <w:keepNext/>
      </w:pPr>
      <w:r>
        <w:rPr>
          <w:rFonts w:ascii="Aptos" w:hAnsi="Aptos"/>
          <w:b w:val="0"/>
          <w:i w:val="0"/>
          <w:color w:val="000000"/>
          <w:sz w:val="26"/>
        </w:rPr>
        <w:t>Fase digital</w:t>
      </w:r>
    </w:p>
    <w:p>
      <w:pPr>
        <w:spacing w:before="0" w:after="120" w:line="278" w:lineRule="auto"/>
      </w:pPr>
      <w:r>
        <w:rPr>
          <w:rFonts w:ascii="Aptos" w:hAnsi="Aptos"/>
          <w:b w:val="0"/>
          <w:i w:val="0"/>
          <w:color w:val="222222"/>
          <w:sz w:val="21"/>
        </w:rPr>
        <w:t>Activar la partida 1 cuando Toscal tenga confirmados los servicios, categorías prioritarias, horarios, responsables de contenido y accesos técnicos. La web se beneficia del trabajo de señalética porque ambos sistemas hablarán con el mismo lenguaje y responderán a las mismas necesidades.</w:t>
      </w:r>
    </w:p>
    <w:p>
      <w:pPr>
        <w:pStyle w:val="Heading1"/>
        <w:keepNext/>
      </w:pPr>
      <w:r>
        <w:rPr>
          <w:rFonts w:ascii="Aptos" w:hAnsi="Aptos"/>
          <w:b w:val="0"/>
          <w:i w:val="0"/>
          <w:color w:val="000000"/>
          <w:sz w:val="38"/>
        </w:rPr>
        <w:t>Hitos y forma de trabajo</w:t>
      </w:r>
    </w:p>
    <w:p>
      <w:pPr>
        <w:spacing w:before="0" w:after="60" w:line="278" w:lineRule="auto"/>
        <w:ind w:left="403" w:hanging="331"/>
      </w:pPr>
      <w:r>
        <w:rPr>
          <w:rFonts w:ascii="Aptos" w:hAnsi="Aptos"/>
          <w:b w:val="0"/>
          <w:i w:val="0"/>
          <w:color w:val="222222"/>
          <w:sz w:val="21"/>
        </w:rPr>
        <w:t>1.  Reunión de arranque y confirmación de prioridades.</w:t>
      </w:r>
    </w:p>
    <w:p>
      <w:pPr>
        <w:spacing w:before="0" w:after="60" w:line="278" w:lineRule="auto"/>
        <w:ind w:left="403" w:hanging="331"/>
      </w:pPr>
      <w:r>
        <w:rPr>
          <w:rFonts w:ascii="Aptos" w:hAnsi="Aptos"/>
          <w:b w:val="0"/>
          <w:i w:val="0"/>
          <w:color w:val="222222"/>
          <w:sz w:val="21"/>
        </w:rPr>
        <w:t>2.  Visita técnica y validación del inventario de señalética, si se activa la opción 2A.</w:t>
      </w:r>
    </w:p>
    <w:p>
      <w:pPr>
        <w:spacing w:before="0" w:after="60" w:line="278" w:lineRule="auto"/>
        <w:ind w:left="403" w:hanging="331"/>
      </w:pPr>
      <w:r>
        <w:rPr>
          <w:rFonts w:ascii="Aptos" w:hAnsi="Aptos"/>
          <w:b w:val="0"/>
          <w:i w:val="0"/>
          <w:color w:val="222222"/>
          <w:sz w:val="21"/>
        </w:rPr>
        <w:t>3.  Aprobación de dirección visual, ubicaciones y piezas prioritarias.</w:t>
      </w:r>
    </w:p>
    <w:p>
      <w:pPr>
        <w:spacing w:before="0" w:after="60" w:line="278" w:lineRule="auto"/>
        <w:ind w:left="403" w:hanging="331"/>
      </w:pPr>
      <w:r>
        <w:rPr>
          <w:rFonts w:ascii="Aptos" w:hAnsi="Aptos"/>
          <w:b w:val="0"/>
          <w:i w:val="0"/>
          <w:color w:val="222222"/>
          <w:sz w:val="21"/>
        </w:rPr>
        <w:t>4.  Desarrollo por bloques y revisión de cada partida contratada.</w:t>
      </w:r>
    </w:p>
    <w:p>
      <w:pPr>
        <w:spacing w:before="0" w:after="60" w:line="278" w:lineRule="auto"/>
        <w:ind w:left="403" w:hanging="331"/>
      </w:pPr>
      <w:r>
        <w:rPr>
          <w:rFonts w:ascii="Aptos" w:hAnsi="Aptos"/>
          <w:b w:val="0"/>
          <w:i w:val="0"/>
          <w:color w:val="222222"/>
          <w:sz w:val="21"/>
        </w:rPr>
        <w:t>5.  Entrega de archivos para imprenta, publicación web o activación del canal de captación según el alcance contratado.</w:t>
      </w:r>
    </w:p>
    <w:p>
      <w:pPr>
        <w:spacing w:before="0" w:after="60" w:line="278" w:lineRule="auto"/>
        <w:ind w:left="403" w:hanging="331"/>
      </w:pPr>
      <w:r>
        <w:rPr>
          <w:rFonts w:ascii="Aptos" w:hAnsi="Aptos"/>
          <w:b w:val="0"/>
          <w:i w:val="0"/>
          <w:color w:val="222222"/>
          <w:sz w:val="21"/>
        </w:rPr>
        <w:t>6.  Si se elige la partida 4, activación del acompañamiento conforme a la tarifa y al compromiso acordados.</w:t>
      </w:r>
    </w:p>
    <w:p>
      <w:pPr>
        <w:pStyle w:val="Heading1"/>
        <w:keepNext/>
      </w:pPr>
      <w:r>
        <w:rPr>
          <w:rFonts w:ascii="Aptos" w:hAnsi="Aptos"/>
          <w:b w:val="0"/>
          <w:i w:val="0"/>
          <w:color w:val="000000"/>
          <w:sz w:val="38"/>
        </w:rPr>
        <w:t>Dependencias y elementos no incluidos</w:t>
      </w:r>
    </w:p>
    <w:p>
      <w:pPr>
        <w:spacing w:before="0" w:after="60" w:line="278" w:lineRule="auto"/>
        <w:ind w:left="403" w:hanging="331"/>
      </w:pPr>
      <w:r>
        <w:rPr>
          <w:rFonts w:ascii="Aptos" w:hAnsi="Aptos"/>
          <w:b w:val="0"/>
          <w:i w:val="0"/>
          <w:color w:val="222222"/>
          <w:sz w:val="21"/>
        </w:rPr>
        <w:t>•  Redacción o revisión legal de privacidad, cookies, términos de contratación o accesibilidad legal.</w:t>
      </w:r>
    </w:p>
    <w:p>
      <w:pPr>
        <w:spacing w:before="0" w:after="60" w:line="278" w:lineRule="auto"/>
        <w:ind w:left="403" w:hanging="331"/>
      </w:pPr>
      <w:r>
        <w:rPr>
          <w:rFonts w:ascii="Aptos" w:hAnsi="Aptos"/>
          <w:b w:val="0"/>
          <w:i w:val="0"/>
          <w:color w:val="222222"/>
          <w:sz w:val="21"/>
        </w:rPr>
        <w:t>•  Compra o renovación de dominio, hosting, licencias, herramientas de formularios, mapas de pago, analítica o servicios de terceros.</w:t>
      </w:r>
    </w:p>
    <w:p>
      <w:pPr>
        <w:spacing w:before="0" w:after="60" w:line="278" w:lineRule="auto"/>
        <w:ind w:left="403" w:hanging="331"/>
      </w:pPr>
      <w:r>
        <w:rPr>
          <w:rFonts w:ascii="Aptos" w:hAnsi="Aptos"/>
          <w:b w:val="0"/>
          <w:i w:val="0"/>
          <w:color w:val="222222"/>
          <w:sz w:val="21"/>
        </w:rPr>
        <w:t>•  Traducción profesional y revisión humana de versiones en inglés y neerlandés.</w:t>
      </w:r>
    </w:p>
    <w:p>
      <w:pPr>
        <w:spacing w:before="0" w:after="60" w:line="278" w:lineRule="auto"/>
        <w:ind w:left="403" w:hanging="331"/>
      </w:pPr>
      <w:r>
        <w:rPr>
          <w:rFonts w:ascii="Aptos" w:hAnsi="Aptos"/>
          <w:b w:val="0"/>
          <w:i w:val="0"/>
          <w:color w:val="222222"/>
          <w:sz w:val="21"/>
        </w:rPr>
        <w:t>•  Fotografía o vídeo nuevos, estilismo, drones, producción audiovisual o banco de imágenes. Se podrá elaborar una propuesta aparte si conviene ampliar el material visual.</w:t>
      </w:r>
    </w:p>
    <w:p>
      <w:pPr>
        <w:spacing w:before="0" w:after="60" w:line="278" w:lineRule="auto"/>
        <w:ind w:left="403" w:hanging="331"/>
      </w:pPr>
      <w:r>
        <w:rPr>
          <w:rFonts w:ascii="Aptos" w:hAnsi="Aptos"/>
          <w:b w:val="0"/>
          <w:i w:val="0"/>
          <w:color w:val="222222"/>
          <w:sz w:val="21"/>
        </w:rPr>
        <w:t>•  Gestión continua de redes sociales, campañas de pago, mantenimiento mensual, actualización de stock o atención de consultas.</w:t>
      </w:r>
    </w:p>
    <w:p>
      <w:pPr>
        <w:spacing w:before="0" w:after="60" w:line="278" w:lineRule="auto"/>
        <w:ind w:left="403" w:hanging="331"/>
      </w:pPr>
      <w:r>
        <w:rPr>
          <w:rFonts w:ascii="Aptos" w:hAnsi="Aptos"/>
          <w:b w:val="0"/>
          <w:i w:val="0"/>
          <w:color w:val="222222"/>
          <w:sz w:val="21"/>
        </w:rPr>
        <w:t>•  Comercio electrónico, catálogo con disponibilidad en tiempo real, integraciones con ERP o CRM y automatizaciones complejas.</w:t>
      </w:r>
    </w:p>
    <w:p>
      <w:pPr>
        <w:spacing w:before="0" w:after="60" w:line="278" w:lineRule="auto"/>
        <w:ind w:left="403" w:hanging="331"/>
      </w:pPr>
      <w:r>
        <w:rPr>
          <w:rFonts w:ascii="Aptos" w:hAnsi="Aptos"/>
          <w:b w:val="0"/>
          <w:i w:val="0"/>
          <w:color w:val="222222"/>
          <w:sz w:val="21"/>
        </w:rPr>
        <w:t>•  Impresión, fabricación, transporte, instalación, permisos, obra civil, soportes o cualquier coste facturado por proveedores externos.</w:t>
      </w:r>
    </w:p>
    <w:p>
      <w:pPr>
        <w:pStyle w:val="Heading1"/>
        <w:keepNext/>
      </w:pPr>
      <w:r>
        <w:rPr>
          <w:rFonts w:ascii="Aptos" w:hAnsi="Aptos"/>
          <w:b w:val="0"/>
          <w:i w:val="0"/>
          <w:color w:val="000000"/>
          <w:sz w:val="38"/>
        </w:rPr>
        <w:t>Información que Toscal deberá confirmar</w:t>
      </w:r>
    </w:p>
    <w:p>
      <w:pPr>
        <w:spacing w:before="0" w:after="60" w:line="278" w:lineRule="auto"/>
        <w:ind w:left="403" w:hanging="331"/>
      </w:pPr>
      <w:r>
        <w:rPr>
          <w:rFonts w:ascii="Aptos" w:hAnsi="Aptos"/>
          <w:b w:val="0"/>
          <w:i w:val="0"/>
          <w:color w:val="222222"/>
          <w:sz w:val="21"/>
        </w:rPr>
        <w:t>•  Horarios definitivos, teléfono, WhatsApp, correo, ubicación, accesos, parking y contactos de atención.</w:t>
      </w:r>
    </w:p>
    <w:p>
      <w:pPr>
        <w:spacing w:before="0" w:after="60" w:line="278" w:lineRule="auto"/>
        <w:ind w:left="403" w:hanging="331"/>
      </w:pPr>
      <w:r>
        <w:rPr>
          <w:rFonts w:ascii="Aptos" w:hAnsi="Aptos"/>
          <w:b w:val="0"/>
          <w:i w:val="0"/>
          <w:color w:val="222222"/>
          <w:sz w:val="21"/>
        </w:rPr>
        <w:t>•  Servicios de jardinería activos, zonas de trabajo, capacidad, tipo de proyecto mínimo y proceso actual de respuesta.</w:t>
      </w:r>
    </w:p>
    <w:p>
      <w:pPr>
        <w:spacing w:before="0" w:after="60" w:line="278" w:lineRule="auto"/>
        <w:ind w:left="403" w:hanging="331"/>
      </w:pPr>
      <w:r>
        <w:rPr>
          <w:rFonts w:ascii="Aptos" w:hAnsi="Aptos"/>
          <w:b w:val="0"/>
          <w:i w:val="0"/>
          <w:color w:val="222222"/>
          <w:sz w:val="21"/>
        </w:rPr>
        <w:t>•  Categorías y zonas que se deben priorizar en la primera fase de señalética.</w:t>
      </w:r>
    </w:p>
    <w:p>
      <w:pPr>
        <w:spacing w:before="0" w:after="60" w:line="278" w:lineRule="auto"/>
        <w:ind w:left="403" w:hanging="331"/>
      </w:pPr>
      <w:r>
        <w:rPr>
          <w:rFonts w:ascii="Aptos" w:hAnsi="Aptos"/>
          <w:b w:val="0"/>
          <w:i w:val="0"/>
          <w:color w:val="222222"/>
          <w:sz w:val="21"/>
        </w:rPr>
        <w:t>•  Inventario de soportes existentes, restricciones del espacio y persona que autoriza ubicaciones y artes finales.</w:t>
      </w:r>
    </w:p>
    <w:p>
      <w:pPr>
        <w:spacing w:before="0" w:after="60" w:line="278" w:lineRule="auto"/>
        <w:ind w:left="403" w:hanging="331"/>
      </w:pPr>
      <w:r>
        <w:rPr>
          <w:rFonts w:ascii="Aptos" w:hAnsi="Aptos"/>
          <w:b w:val="0"/>
          <w:i w:val="0"/>
          <w:color w:val="222222"/>
          <w:sz w:val="21"/>
        </w:rPr>
        <w:t>•  Accesos a dominio, hosting, web actual, perfiles de Google, analítica y herramientas de contacto, cuando se active la web.</w:t>
      </w:r>
    </w:p>
    <w:p>
      <w:pPr>
        <w:spacing w:before="0" w:after="60" w:line="278" w:lineRule="auto"/>
        <w:ind w:left="403" w:hanging="331"/>
      </w:pPr>
      <w:r>
        <w:rPr>
          <w:rFonts w:ascii="Aptos" w:hAnsi="Aptos"/>
          <w:b w:val="0"/>
          <w:i w:val="0"/>
          <w:color w:val="222222"/>
          <w:sz w:val="21"/>
        </w:rPr>
        <w:t>•  Material de marca disponible y derechos de uso de fotografías, textos, reseñas y proyectos que se quieran mostrar.</w:t>
      </w:r>
    </w:p>
    <w:p>
      <w:pPr>
        <w:pStyle w:val="Heading1"/>
        <w:keepNext/>
      </w:pPr>
      <w:r>
        <w:rPr>
          <w:rFonts w:ascii="Aptos" w:hAnsi="Aptos"/>
          <w:b w:val="0"/>
          <w:i w:val="0"/>
          <w:color w:val="000000"/>
          <w:sz w:val="38"/>
        </w:rPr>
        <w:t>Propuesta de inicio</w:t>
      </w:r>
    </w:p>
    <w:p>
      <w:pPr>
        <w:spacing w:before="0" w:after="120" w:line="278" w:lineRule="auto"/>
      </w:pPr>
      <w:r>
        <w:rPr>
          <w:rFonts w:ascii="Aptos" w:hAnsi="Aptos"/>
          <w:b w:val="0"/>
          <w:i w:val="0"/>
          <w:color w:val="222222"/>
          <w:sz w:val="21"/>
        </w:rPr>
        <w:t>La recomendación es aprobar una reunión de arranque y la visita técnica del garden como punto de partida de la opción 2A. Con esa visita se confirmarán medidas, número de piezas, materiales y proveedor, y se convertirá la dirección ya validada en un plan de producción realista.</w:t>
      </w:r>
    </w:p>
    <w:p>
      <w:pPr>
        <w:spacing w:before="0" w:after="120" w:line="278" w:lineRule="auto"/>
      </w:pPr>
      <w:r>
        <w:rPr>
          <w:rFonts w:ascii="Aptos" w:hAnsi="Aptos"/>
          <w:b w:val="0"/>
          <w:i w:val="0"/>
          <w:color w:val="222222"/>
          <w:sz w:val="21"/>
        </w:rPr>
        <w:t>El proyecto tendrá éxito si la señalética reduce dudas dentro del garden, la web genera decisiones claras antes de la visita y el canal de jardinería trae conversaciones que el equipo realmente quiere atender. Esas tres señales se revisarán en el cierre de cada fase mediante recorridos de prueba, consultas recibidas y clics de contacto disponibles.</w:t>
      </w:r>
    </w:p>
    <w:sectPr w:rsidR="00FC693F" w:rsidRPr="0006063C" w:rsidSect="00034616">
      <w:headerReference w:type="default" r:id="rId9"/>
      <w:footerReference w:type="default" r:id="rId10"/>
      <w:pgSz w:w="12240" w:h="15840"/>
      <w:pgMar w:top="1037" w:right="1296" w:bottom="92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6"/>
      </w:rPr>
      <w:t>Green Digital  |  Importes cerrados  |  Sin 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173B30"/>
        <w:sz w:val="17"/>
      </w:rPr>
      <w:t>TOSCAL GARDEN  |  PLAN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