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color w:val="1A2333"/>
          <w:sz w:val="30"/>
          <w:szCs w:val="30"/>
        </w:rPr>
        <w:t xml:space="preserve">Resumen de la</w:t>
      </w:r>
    </w:p>
    <w:p>
      <w:pPr>
        <w:spacing w:after="40"/>
        <w:jc w:val="center"/>
      </w:pPr>
      <w:r>
        <w:rPr>
          <w:b/>
          <w:bCs/>
          <w:color w:val="13294B"/>
          <w:sz w:val="34"/>
          <w:szCs w:val="34"/>
        </w:rPr>
        <w:t xml:space="preserve">Reunión Retrospectiva</w:t>
      </w:r>
    </w:p>
    <w:p>
      <w:pPr>
        <w:spacing w:after="260"/>
        <w:jc w:val="center"/>
      </w:pPr>
      <w:r>
        <w:rPr>
          <w:b/>
          <w:bCs/>
          <w:i/>
          <w:iCs/>
          <w:color w:val="D4A24C"/>
          <w:sz w:val="22"/>
          <w:szCs w:val="22"/>
        </w:rPr>
        <w:t xml:space="preserve">Sprint 2 — LicitaWatch</w:t>
      </w:r>
    </w:p>
    <w:p>
      <w:pPr>
        <w:spacing w:after="100" w:before="100"/>
      </w:pPr>
      <w:r>
        <w:rPr>
          <w:b/>
          <w:bCs/>
          <w:color w:val="13294B"/>
          <w:sz w:val="22"/>
          <w:szCs w:val="22"/>
        </w:rPr>
        <w:t xml:space="preserve">Información de la empresa y proyecto:</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Empresa / Organización</w:t>
            </w:r>
          </w:p>
        </w:tc>
        <w:tc>
          <w:tcPr>
            <w:tcW w:type="dxa" w:w="6800"/>
            <w:tcMar>
              <w:top w:type="dxa" w:w="90"/>
              <w:left w:type="dxa" w:w="110"/>
              <w:bottom w:type="dxa" w:w="90"/>
              <w:right w:type="dxa" w:w="110"/>
            </w:tcMar>
            <w:vAlign w:val="center"/>
          </w:tcPr>
          <w:p>
            <w:r>
              <w:rPr>
                <w:color w:val="1A2333"/>
                <w:sz w:val="20"/>
                <w:szCs w:val="20"/>
              </w:rPr>
              <w:t xml:space="preserve">LicitaWatch</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Proyecto</w:t>
            </w:r>
          </w:p>
        </w:tc>
        <w:tc>
          <w:tcPr>
            <w:tcW w:type="dxa" w:w="6800"/>
            <w:tcMar>
              <w:top w:type="dxa" w:w="90"/>
              <w:left w:type="dxa" w:w="110"/>
              <w:bottom w:type="dxa" w:w="90"/>
              <w:right w:type="dxa" w:w="110"/>
            </w:tcMar>
            <w:vAlign w:val="center"/>
          </w:tcPr>
          <w:p>
            <w:r>
              <w:rPr>
                <w:color w:val="1A2333"/>
                <w:sz w:val="20"/>
                <w:szCs w:val="20"/>
              </w:rPr>
              <w:t xml:space="preserve">Proyecto LicitaWatch — Plataforma Privada de Gestión de Licitaciones</w:t>
            </w:r>
          </w:p>
        </w:tc>
      </w:tr>
    </w:tbl>
    <w:p>
      <w:pPr>
        <w:spacing w:after="220"/>
      </w:pPr>
    </w:p>
    <w:p>
      <w:pPr>
        <w:spacing w:after="100" w:before="100"/>
      </w:pPr>
      <w:r>
        <w:rPr>
          <w:b/>
          <w:bCs/>
          <w:color w:val="13294B"/>
          <w:sz w:val="22"/>
          <w:szCs w:val="22"/>
        </w:rPr>
        <w:t xml:space="preserve">Información de la reunión:</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Lugar</w:t>
            </w:r>
          </w:p>
        </w:tc>
        <w:tc>
          <w:tcPr>
            <w:tcW w:type="dxa" w:w="6800"/>
            <w:tcMar>
              <w:top w:type="dxa" w:w="90"/>
              <w:left w:type="dxa" w:w="110"/>
              <w:bottom w:type="dxa" w:w="90"/>
              <w:right w:type="dxa" w:w="110"/>
            </w:tcMar>
            <w:vAlign w:val="center"/>
          </w:tcPr>
          <w:p>
            <w:r>
              <w:rPr>
                <w:color w:val="1A2333"/>
                <w:sz w:val="20"/>
                <w:szCs w:val="20"/>
              </w:rPr>
              <w:t xml:space="preserve">Reunión virtual — Discord</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Fecha</w:t>
            </w:r>
          </w:p>
        </w:tc>
        <w:tc>
          <w:tcPr>
            <w:tcW w:type="dxa" w:w="6800"/>
            <w:tcMar>
              <w:top w:type="dxa" w:w="90"/>
              <w:left w:type="dxa" w:w="110"/>
              <w:bottom w:type="dxa" w:w="90"/>
              <w:right w:type="dxa" w:w="110"/>
            </w:tcMar>
            <w:vAlign w:val="center"/>
          </w:tcPr>
          <w:p>
            <w:r>
              <w:rPr>
                <w:color w:val="1A2333"/>
                <w:sz w:val="20"/>
                <w:szCs w:val="20"/>
              </w:rPr>
              <w:t>26-09-2026</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Número de iteración / sprint</w:t>
            </w:r>
          </w:p>
        </w:tc>
        <w:tc>
          <w:tcPr>
            <w:tcW w:type="dxa" w:w="6800"/>
            <w:tcMar>
              <w:top w:type="dxa" w:w="90"/>
              <w:left w:type="dxa" w:w="110"/>
              <w:bottom w:type="dxa" w:w="90"/>
              <w:right w:type="dxa" w:w="110"/>
            </w:tcMar>
            <w:vAlign w:val="center"/>
          </w:tcPr>
          <w:p>
            <w:r>
              <w:rPr>
                <w:color w:val="1A2333"/>
                <w:sz w:val="20"/>
                <w:szCs w:val="20"/>
              </w:rPr>
              <w:t xml:space="preserve">2 Sprint</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convocadas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que asistieron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bl>
    <w:p>
      <w:pPr>
        <w:spacing w:after="220"/>
      </w:pPr>
    </w:p>
    <w:p>
      <w:pPr>
        <w:spacing w:after="100" w:before="100"/>
      </w:pPr>
      <w:r>
        <w:rPr>
          <w:b/>
          <w:bCs/>
          <w:color w:val="13294B"/>
          <w:sz w:val="22"/>
          <w:szCs w:val="22"/>
        </w:rPr>
        <w:t xml:space="preserve">Instrucciones:</w:t>
      </w:r>
    </w:p>
    <w:p>
      <w:pPr>
        <w:spacing w:after="140" w:line="280"/>
        <w:jc w:val="both"/>
      </w:pPr>
      <w:r>
        <w:rPr>
          <w:color w:val="1A2333"/>
          <w:sz w:val="20"/>
          <w:szCs w:val="20"/>
        </w:rPr>
        <w:t xml:space="preserve">La reunión retrospectiva es una herramienta del marco de trabajo Scrum, que pertenece a la familia de marcos de trabajo de desarrollo ágil. Se realiza en cada iteración (denominada Sprint en Scrum), justo después de la reunión de revisión de la iteración (Sprint Review) con el dueño del producto (Product Owner). En esta reunión deben revisarse tres aspectos: lo que salió bien durante la iteración (aciertos), lo que no salió tan bien (errores) y las mejoras que pudieran implementarse en la próxima iteración para evitar errores y mantener aciertos.</w:t>
      </w:r>
    </w:p>
    <w:p>
      <w:pPr>
        <w:spacing w:after="140" w:line="280"/>
        <w:jc w:val="both"/>
      </w:pPr>
      <w:r>
        <w:rPr>
          <w:color w:val="1A2333"/>
          <w:sz w:val="20"/>
          <w:szCs w:val="20"/>
        </w:rPr>
        <w:t xml:space="preserve">El dueño del producto (Product Owner) no asiste a esta reunión, por lo que es una oportunidad para que el equipo hable con franqueza de sus éxitos y dificultades, siendo importante analizar el propio desempeño e identificar estrategias de mejora. De forma similar, el Scrum Master puede observar impedimentos comunes que están afectando al equipo y tomar acciones para resolverlos.</w:t>
      </w:r>
    </w:p>
    <w:p>
      <w:pPr>
        <w:spacing w:after="140" w:line="280"/>
        <w:jc w:val="both"/>
      </w:pPr>
      <w:r>
        <w:rPr>
          <w:color w:val="1A2333"/>
          <w:sz w:val="20"/>
          <w:szCs w:val="20"/>
        </w:rPr>
        <w:t xml:space="preserve">La reunión usualmente se restringe a tres horas.</w:t>
      </w:r>
    </w:p>
    <w:p>
      <w:r>
        <w:br w:type="page"/>
      </w:r>
    </w:p>
    <w:p>
      <w:pPr>
        <w:spacing w:after="100" w:before="0"/>
      </w:pPr>
      <w:r>
        <w:rPr>
          <w:b/>
          <w:bCs/>
          <w:color w:val="13294B"/>
          <w:sz w:val="24"/>
          <w:szCs w:val="24"/>
        </w:rPr>
        <w:t xml:space="preserve">Formulario de reunión retrospectiva</w:t>
      </w:r>
    </w:p>
    <w:p>
      <w:pPr>
        <w:spacing w:after="140" w:line="280"/>
        <w:jc w:val="both"/>
      </w:pPr>
      <w:r>
        <w:rPr>
          <w:i/>
          <w:iCs/>
          <w:color w:val="5C6B7A"/>
          <w:sz w:val="20"/>
          <w:szCs w:val="20"/>
        </w:rPr>
        <w:t>Tema del Sprint 2: publicación y búsqueda de licitaciones.</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gridCol w:w="100"/>
        <w:gridCol w:w="100"/>
      </w:tblGrid>
      <w:tr>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salió bien en la iteración? (aciertos)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no salió bien en la iteración? (errores)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problemas tenemos para progresar correctamente en el último Sprint?</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mejoras vamos a implementar en la próxima iteración? (recomendaciones de mejora continua)</w:t>
            </w:r>
          </w:p>
        </w:tc>
      </w:tr>
      <w:tr>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La publicación de licitaciones por parte del Licitador (sin costo) y la búsqueda con filtros por parte de la Pyme fueron completadas.</w:t>
            </w:r>
          </w:p>
          <w:p>
            <w:pPr>
              <w:pStyle w:val="ListParagraph"/>
              <w:numPr>
                <w:ilvl w:val="0"/>
                <w:numId w:val="2"/>
              </w:numPr>
              <w:spacing w:after="90" w:line="264"/>
            </w:pPr>
            <w:r>
              <w:rPr>
                <w:color w:val="1A2333"/>
                <w:sz w:val="19"/>
                <w:szCs w:val="19"/>
              </w:rPr>
              <w:t>La comunicación dentro del equipo mejoró notoriamente respecto al sprint anterior, y el día perdido por Fiestas Patrias (18-09) se recuperó con una jornada el sábado 26-09.</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El filtro de búsqueda por rubro no distinguía correctamente entre mayúsculas y minúsculas (IMP-003).</w:t>
            </w:r>
          </w:p>
          <w:p>
            <w:pPr>
              <w:pStyle w:val="ListParagraph"/>
              <w:numPr>
                <w:ilvl w:val="0"/>
                <w:numId w:val="2"/>
              </w:numPr>
              <w:spacing w:after="90" w:line="264"/>
            </w:pPr>
            <w:r>
              <w:rPr>
                <w:color w:val="1A2333"/>
                <w:sz w:val="19"/>
                <w:szCs w:val="19"/>
              </w:rPr>
              <w:t>No se probó el listado de licitaciones con un volumen de datos realista antes de dar por cerrada la tarea, y se volvió lento con más de 50 registros (IMP-004).</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La dependencia del modelo de datos de licitaciones definido en el sprint anterior generó un pequeño retrabajo.</w:t>
            </w:r>
          </w:p>
          <w:p>
            <w:pPr>
              <w:pStyle w:val="ListParagraph"/>
              <w:numPr>
                <w:ilvl w:val="0"/>
                <w:numId w:val="2"/>
              </w:numPr>
              <w:spacing w:after="90" w:line="264"/>
            </w:pPr>
            <w:r>
              <w:rPr>
                <w:color w:val="1A2333"/>
                <w:sz w:val="19"/>
                <w:szCs w:val="19"/>
              </w:rPr>
              <w:t>Poca claridad inicial sobre qué campos eran obligatorios al publicar una licitación.</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Revisar y acordar los campos obligatorios de cada formulario antes de iniciar el desarrollo de la tarea.</w:t>
            </w:r>
          </w:p>
          <w:p>
            <w:pPr>
              <w:pStyle w:val="ListParagraph"/>
              <w:numPr>
                <w:ilvl w:val="0"/>
                <w:numId w:val="2"/>
              </w:numPr>
              <w:spacing w:after="90" w:line="264"/>
            </w:pPr>
            <w:r>
              <w:rPr>
                <w:color w:val="1A2333"/>
                <w:sz w:val="19"/>
                <w:szCs w:val="19"/>
              </w:rPr>
              <w:t>Incluir pruebas con un volumen de datos más realista antes de dar por cerrada una historia, considerando paginación e índices desde el diseño.</w:t>
            </w:r>
          </w:p>
        </w:tc>
      </w:tr>
    </w:tbl>
    <w:p>
      <w:pPr>
        <w:spacing w:after="80" w:before="220"/>
      </w:pPr>
      <w:r>
        <w:rPr>
          <w:b/>
          <w:bCs/>
          <w:color w:val="13294B"/>
          <w:sz w:val="20"/>
          <w:szCs w:val="20"/>
        </w:rPr>
        <w:t xml:space="preserve">Nota:</w:t>
      </w:r>
    </w:p>
    <w:p>
      <w:pPr>
        <w:pStyle w:val="ListParagraph"/>
        <w:numPr>
          <w:ilvl w:val="0"/>
          <w:numId w:val="2"/>
        </w:numPr>
        <w:spacing w:after="60" w:line="260"/>
      </w:pPr>
      <w:r>
        <w:rPr>
          <w:color w:val="5C6B7A"/>
          <w:sz w:val="19"/>
          <w:szCs w:val="19"/>
        </w:rPr>
        <w:t xml:space="preserve">Se recomienda utilizar viñetas (bullets) para enumerar los aciertos, errores y recomendaciones de mejora continua.</w:t>
      </w:r>
    </w:p>
    <w:p>
      <w:pPr>
        <w:pStyle w:val="ListParagraph"/>
        <w:numPr>
          <w:ilvl w:val="0"/>
          <w:numId w:val="2"/>
        </w:numPr>
        <w:spacing w:after="60" w:line="260"/>
      </w:pPr>
      <w:r>
        <w:rPr>
          <w:color w:val="5C6B7A"/>
          <w:sz w:val="19"/>
          <w:szCs w:val="19"/>
        </w:rPr>
        <w:t xml:space="preserve">El formulario se puede extender cuantas páginas sea necesario para registrar todos los aciertos, errores y recomendaciones.</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2026-09-27T18:54:25.431Z</dcterms:created>
  <dcterms:modified xsi:type="dcterms:W3CDTF">2026-09-27T18:54:25.431Z</dcterms:modified>
</cp:coreProperties>
</file>

<file path=docProps/custom.xml><?xml version="1.0" encoding="utf-8"?>
<Properties xmlns="http://schemas.openxmlformats.org/officeDocument/2006/custom-properties" xmlns:vt="http://schemas.openxmlformats.org/officeDocument/2006/docPropsVTypes"/>
</file>