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color w:val="1A2333"/>
          <w:sz w:val="30"/>
          <w:szCs w:val="30"/>
        </w:rPr>
        <w:t xml:space="preserve">Resumen de la</w:t>
      </w:r>
    </w:p>
    <w:p>
      <w:pPr>
        <w:spacing w:after="40"/>
        <w:jc w:val="center"/>
      </w:pPr>
      <w:r>
        <w:rPr>
          <w:b/>
          <w:bCs/>
          <w:color w:val="13294B"/>
          <w:sz w:val="34"/>
          <w:szCs w:val="34"/>
        </w:rPr>
        <w:t xml:space="preserve">Reunión Retrospectiva</w:t>
      </w:r>
    </w:p>
    <w:p>
      <w:pPr>
        <w:spacing w:after="260"/>
        <w:jc w:val="center"/>
      </w:pPr>
      <w:r>
        <w:rPr>
          <w:b/>
          <w:bCs/>
          <w:i/>
          <w:iCs/>
          <w:color w:val="D4A24C"/>
          <w:sz w:val="22"/>
          <w:szCs w:val="22"/>
        </w:rPr>
        <w:t xml:space="preserve">Sprint 3 — LicitaWatch</w:t>
      </w:r>
    </w:p>
    <w:p>
      <w:pPr>
        <w:spacing w:after="100" w:before="100"/>
      </w:pPr>
      <w:r>
        <w:rPr>
          <w:b/>
          <w:bCs/>
          <w:color w:val="13294B"/>
          <w:sz w:val="22"/>
          <w:szCs w:val="22"/>
        </w:rPr>
        <w:t xml:space="preserve">Información de la empresa y proyecto:</w:t>
      </w:r>
    </w:p>
    <w:tbl>
      <w:tblPr>
        <w:tblW w:type="dxa" w:w="9600"/>
        <w:tblBorders>
          <w:top w:val="single" w:color="D8E1EC" w:sz="4"/>
          <w:left w:val="single" w:color="D8E1EC" w:sz="4"/>
          <w:bottom w:val="single" w:color="D8E1EC" w:sz="4"/>
          <w:right w:val="single" w:color="D8E1EC" w:sz="4"/>
          <w:insideH w:val="single" w:color="D8E1EC" w:sz="4"/>
          <w:insideV w:val="single" w:color="D8E1EC" w:sz="4"/>
        </w:tblBorders>
      </w:tblPr>
      <w:tblGrid>
        <w:gridCol w:w="100"/>
        <w:gridCol w:w="100"/>
      </w:tblGrid>
      <w:tr>
        <w:tc>
          <w:tcPr>
            <w:tcW w:type="dxa" w:w="2800"/>
            <w:shd w:fill="EFE3C8" w:val="clear"/>
            <w:tcMar>
              <w:top w:type="dxa" w:w="90"/>
              <w:left w:type="dxa" w:w="110"/>
              <w:bottom w:type="dxa" w:w="90"/>
              <w:right w:type="dxa" w:w="110"/>
            </w:tcMar>
            <w:vAlign w:val="center"/>
          </w:tcPr>
          <w:p>
            <w:r>
              <w:rPr>
                <w:b/>
                <w:bCs/>
                <w:color w:val="13294B"/>
                <w:sz w:val="20"/>
                <w:szCs w:val="20"/>
              </w:rPr>
              <w:t xml:space="preserve">Empresa / Organización</w:t>
            </w:r>
          </w:p>
        </w:tc>
        <w:tc>
          <w:tcPr>
            <w:tcW w:type="dxa" w:w="6800"/>
            <w:tcMar>
              <w:top w:type="dxa" w:w="90"/>
              <w:left w:type="dxa" w:w="110"/>
              <w:bottom w:type="dxa" w:w="90"/>
              <w:right w:type="dxa" w:w="110"/>
            </w:tcMar>
            <w:vAlign w:val="center"/>
          </w:tcPr>
          <w:p>
            <w:r>
              <w:rPr>
                <w:color w:val="1A2333"/>
                <w:sz w:val="20"/>
                <w:szCs w:val="20"/>
              </w:rPr>
              <w:t xml:space="preserve">LicitaWatch</w:t>
            </w:r>
          </w:p>
        </w:tc>
      </w:tr>
      <w:tr>
        <w:tc>
          <w:tcPr>
            <w:tcW w:type="dxa" w:w="2800"/>
            <w:shd w:fill="EFE3C8" w:val="clear"/>
            <w:tcMar>
              <w:top w:type="dxa" w:w="90"/>
              <w:left w:type="dxa" w:w="110"/>
              <w:bottom w:type="dxa" w:w="90"/>
              <w:right w:type="dxa" w:w="110"/>
            </w:tcMar>
            <w:vAlign w:val="center"/>
          </w:tcPr>
          <w:p>
            <w:r>
              <w:rPr>
                <w:b/>
                <w:bCs/>
                <w:color w:val="13294B"/>
                <w:sz w:val="20"/>
                <w:szCs w:val="20"/>
              </w:rPr>
              <w:t xml:space="preserve">Proyecto</w:t>
            </w:r>
          </w:p>
        </w:tc>
        <w:tc>
          <w:tcPr>
            <w:tcW w:type="dxa" w:w="6800"/>
            <w:tcMar>
              <w:top w:type="dxa" w:w="90"/>
              <w:left w:type="dxa" w:w="110"/>
              <w:bottom w:type="dxa" w:w="90"/>
              <w:right w:type="dxa" w:w="110"/>
            </w:tcMar>
            <w:vAlign w:val="center"/>
          </w:tcPr>
          <w:p>
            <w:r>
              <w:rPr>
                <w:color w:val="1A2333"/>
                <w:sz w:val="20"/>
                <w:szCs w:val="20"/>
              </w:rPr>
              <w:t xml:space="preserve">Proyecto LicitaWatch — Plataforma Privada de Gestión de Licitaciones</w:t>
            </w:r>
          </w:p>
        </w:tc>
      </w:tr>
    </w:tbl>
    <w:p>
      <w:pPr>
        <w:spacing w:after="220"/>
      </w:pPr>
    </w:p>
    <w:p>
      <w:pPr>
        <w:spacing w:after="100" w:before="100"/>
      </w:pPr>
      <w:r>
        <w:rPr>
          <w:b/>
          <w:bCs/>
          <w:color w:val="13294B"/>
          <w:sz w:val="22"/>
          <w:szCs w:val="22"/>
        </w:rPr>
        <w:t xml:space="preserve">Información de la reunión:</w:t>
      </w:r>
    </w:p>
    <w:tbl>
      <w:tblPr>
        <w:tblW w:type="dxa" w:w="9600"/>
        <w:tblBorders>
          <w:top w:val="single" w:color="D8E1EC" w:sz="4"/>
          <w:left w:val="single" w:color="D8E1EC" w:sz="4"/>
          <w:bottom w:val="single" w:color="D8E1EC" w:sz="4"/>
          <w:right w:val="single" w:color="D8E1EC" w:sz="4"/>
          <w:insideH w:val="single" w:color="D8E1EC" w:sz="4"/>
          <w:insideV w:val="single" w:color="D8E1EC" w:sz="4"/>
        </w:tblBorders>
      </w:tblPr>
      <w:tblGrid>
        <w:gridCol w:w="100"/>
        <w:gridCol w:w="100"/>
      </w:tblGrid>
      <w:tr>
        <w:tc>
          <w:tcPr>
            <w:tcW w:type="dxa" w:w="2800"/>
            <w:shd w:fill="EFE3C8" w:val="clear"/>
            <w:tcMar>
              <w:top w:type="dxa" w:w="90"/>
              <w:left w:type="dxa" w:w="110"/>
              <w:bottom w:type="dxa" w:w="90"/>
              <w:right w:type="dxa" w:w="110"/>
            </w:tcMar>
            <w:vAlign w:val="center"/>
          </w:tcPr>
          <w:p>
            <w:r>
              <w:rPr>
                <w:b/>
                <w:bCs/>
                <w:color w:val="13294B"/>
                <w:sz w:val="20"/>
                <w:szCs w:val="20"/>
              </w:rPr>
              <w:t xml:space="preserve">Lugar</w:t>
            </w:r>
          </w:p>
        </w:tc>
        <w:tc>
          <w:tcPr>
            <w:tcW w:type="dxa" w:w="6800"/>
            <w:tcMar>
              <w:top w:type="dxa" w:w="90"/>
              <w:left w:type="dxa" w:w="110"/>
              <w:bottom w:type="dxa" w:w="90"/>
              <w:right w:type="dxa" w:w="110"/>
            </w:tcMar>
            <w:vAlign w:val="center"/>
          </w:tcPr>
          <w:p>
            <w:r>
              <w:rPr>
                <w:color w:val="1A2333"/>
                <w:sz w:val="20"/>
                <w:szCs w:val="20"/>
              </w:rPr>
              <w:t xml:space="preserve">Reunión virtual — Discord</w:t>
            </w:r>
          </w:p>
        </w:tc>
      </w:tr>
      <w:tr>
        <w:tc>
          <w:tcPr>
            <w:tcW w:type="dxa" w:w="2800"/>
            <w:shd w:fill="EFE3C8" w:val="clear"/>
            <w:tcMar>
              <w:top w:type="dxa" w:w="90"/>
              <w:left w:type="dxa" w:w="110"/>
              <w:bottom w:type="dxa" w:w="90"/>
              <w:right w:type="dxa" w:w="110"/>
            </w:tcMar>
            <w:vAlign w:val="center"/>
          </w:tcPr>
          <w:p>
            <w:r>
              <w:rPr>
                <w:b/>
                <w:bCs/>
                <w:color w:val="13294B"/>
                <w:sz w:val="20"/>
                <w:szCs w:val="20"/>
              </w:rPr>
              <w:t xml:space="preserve">Fecha</w:t>
            </w:r>
          </w:p>
        </w:tc>
        <w:tc>
          <w:tcPr>
            <w:tcW w:type="dxa" w:w="6800"/>
            <w:tcMar>
              <w:top w:type="dxa" w:w="90"/>
              <w:left w:type="dxa" w:w="110"/>
              <w:bottom w:type="dxa" w:w="90"/>
              <w:right w:type="dxa" w:w="110"/>
            </w:tcMar>
            <w:vAlign w:val="center"/>
          </w:tcPr>
          <w:p>
            <w:r>
              <w:rPr>
                <w:color w:val="1A2333"/>
                <w:sz w:val="20"/>
                <w:szCs w:val="20"/>
              </w:rPr>
              <w:t>09-10-2026</w:t>
            </w:r>
          </w:p>
        </w:tc>
      </w:tr>
      <w:tr>
        <w:tc>
          <w:tcPr>
            <w:tcW w:type="dxa" w:w="2800"/>
            <w:shd w:fill="EFE3C8" w:val="clear"/>
            <w:tcMar>
              <w:top w:type="dxa" w:w="90"/>
              <w:left w:type="dxa" w:w="110"/>
              <w:bottom w:type="dxa" w:w="90"/>
              <w:right w:type="dxa" w:w="110"/>
            </w:tcMar>
            <w:vAlign w:val="center"/>
          </w:tcPr>
          <w:p>
            <w:r>
              <w:rPr>
                <w:b/>
                <w:bCs/>
                <w:color w:val="13294B"/>
                <w:sz w:val="20"/>
                <w:szCs w:val="20"/>
              </w:rPr>
              <w:t xml:space="preserve">Número de iteración / sprint</w:t>
            </w:r>
          </w:p>
        </w:tc>
        <w:tc>
          <w:tcPr>
            <w:tcW w:type="dxa" w:w="6800"/>
            <w:tcMar>
              <w:top w:type="dxa" w:w="90"/>
              <w:left w:type="dxa" w:w="110"/>
              <w:bottom w:type="dxa" w:w="90"/>
              <w:right w:type="dxa" w:w="110"/>
            </w:tcMar>
            <w:vAlign w:val="center"/>
          </w:tcPr>
          <w:p>
            <w:r>
              <w:rPr>
                <w:color w:val="1A2333"/>
                <w:sz w:val="20"/>
                <w:szCs w:val="20"/>
              </w:rPr>
              <w:t xml:space="preserve">3 Sprint</w:t>
            </w:r>
          </w:p>
        </w:tc>
      </w:tr>
      <w:tr>
        <w:tc>
          <w:tcPr>
            <w:tcW w:type="dxa" w:w="2800"/>
            <w:shd w:fill="EFE3C8" w:val="clear"/>
            <w:tcMar>
              <w:top w:type="dxa" w:w="90"/>
              <w:left w:type="dxa" w:w="110"/>
              <w:bottom w:type="dxa" w:w="90"/>
              <w:right w:type="dxa" w:w="110"/>
            </w:tcMar>
            <w:vAlign w:val="center"/>
          </w:tcPr>
          <w:p>
            <w:r>
              <w:rPr>
                <w:b/>
                <w:bCs/>
                <w:color w:val="13294B"/>
                <w:sz w:val="20"/>
                <w:szCs w:val="20"/>
              </w:rPr>
              <w:t xml:space="preserve">Personas convocadas a la reunión</w:t>
            </w:r>
          </w:p>
        </w:tc>
        <w:tc>
          <w:tcPr>
            <w:tcW w:type="dxa" w:w="6800"/>
            <w:tcMar>
              <w:top w:type="dxa" w:w="90"/>
              <w:left w:type="dxa" w:w="110"/>
              <w:bottom w:type="dxa" w:w="90"/>
              <w:right w:type="dxa" w:w="110"/>
            </w:tcMar>
            <w:vAlign w:val="center"/>
          </w:tcPr>
          <w:p>
            <w:r>
              <w:rPr>
                <w:color w:val="1A2333"/>
                <w:sz w:val="20"/>
                <w:szCs w:val="20"/>
              </w:rPr>
              <w:t xml:space="preserve">Pablo Baez, Daniel Roman, Gonzalo Palacios</w:t>
            </w:r>
          </w:p>
        </w:tc>
      </w:tr>
      <w:tr>
        <w:tc>
          <w:tcPr>
            <w:tcW w:type="dxa" w:w="2800"/>
            <w:shd w:fill="EFE3C8" w:val="clear"/>
            <w:tcMar>
              <w:top w:type="dxa" w:w="90"/>
              <w:left w:type="dxa" w:w="110"/>
              <w:bottom w:type="dxa" w:w="90"/>
              <w:right w:type="dxa" w:w="110"/>
            </w:tcMar>
            <w:vAlign w:val="center"/>
          </w:tcPr>
          <w:p>
            <w:r>
              <w:rPr>
                <w:b/>
                <w:bCs/>
                <w:color w:val="13294B"/>
                <w:sz w:val="20"/>
                <w:szCs w:val="20"/>
              </w:rPr>
              <w:t xml:space="preserve">Personas que asistieron a la reunión</w:t>
            </w:r>
          </w:p>
        </w:tc>
        <w:tc>
          <w:tcPr>
            <w:tcW w:type="dxa" w:w="6800"/>
            <w:tcMar>
              <w:top w:type="dxa" w:w="90"/>
              <w:left w:type="dxa" w:w="110"/>
              <w:bottom w:type="dxa" w:w="90"/>
              <w:right w:type="dxa" w:w="110"/>
            </w:tcMar>
            <w:vAlign w:val="center"/>
          </w:tcPr>
          <w:p>
            <w:r>
              <w:rPr>
                <w:color w:val="1A2333"/>
                <w:sz w:val="20"/>
                <w:szCs w:val="20"/>
              </w:rPr>
              <w:t xml:space="preserve">Pablo Baez, Daniel Roman, Gonzalo Palacios</w:t>
            </w:r>
          </w:p>
        </w:tc>
      </w:tr>
    </w:tbl>
    <w:p>
      <w:pPr>
        <w:spacing w:after="220"/>
      </w:pPr>
    </w:p>
    <w:p>
      <w:pPr>
        <w:spacing w:after="100" w:before="100"/>
      </w:pPr>
      <w:r>
        <w:rPr>
          <w:b/>
          <w:bCs/>
          <w:color w:val="13294B"/>
          <w:sz w:val="22"/>
          <w:szCs w:val="22"/>
        </w:rPr>
        <w:t xml:space="preserve">Instrucciones:</w:t>
      </w:r>
    </w:p>
    <w:p>
      <w:pPr>
        <w:spacing w:after="140" w:line="280"/>
        <w:jc w:val="both"/>
      </w:pPr>
      <w:r>
        <w:rPr>
          <w:color w:val="1A2333"/>
          <w:sz w:val="20"/>
          <w:szCs w:val="20"/>
        </w:rPr>
        <w:t xml:space="preserve">La reunión retrospectiva es una herramienta del marco de trabajo Scrum, que pertenece a la familia de marcos de trabajo de desarrollo ágil. Se realiza en cada iteración (denominada Sprint en Scrum), justo después de la reunión de revisión de la iteración (Sprint Review) con el dueño del producto (Product Owner). En esta reunión deben revisarse tres aspectos: lo que salió bien durante la iteración (aciertos), lo que no salió tan bien (errores) y las mejoras que pudieran implementarse en la próxima iteración para evitar errores y mantener aciertos.</w:t>
      </w:r>
    </w:p>
    <w:p>
      <w:pPr>
        <w:spacing w:after="140" w:line="280"/>
        <w:jc w:val="both"/>
      </w:pPr>
      <w:r>
        <w:rPr>
          <w:color w:val="1A2333"/>
          <w:sz w:val="20"/>
          <w:szCs w:val="20"/>
        </w:rPr>
        <w:t xml:space="preserve">El dueño del producto (Product Owner) no asiste a esta reunión, por lo que es una oportunidad para que el equipo hable con franqueza de sus éxitos y dificultades, siendo importante analizar el propio desempeño e identificar estrategias de mejora. De forma similar, el Scrum Master puede observar impedimentos comunes que están afectando al equipo y tomar acciones para resolverlos.</w:t>
      </w:r>
    </w:p>
    <w:p>
      <w:pPr>
        <w:spacing w:after="140" w:line="280"/>
        <w:jc w:val="both"/>
      </w:pPr>
      <w:r>
        <w:rPr>
          <w:color w:val="1A2333"/>
          <w:sz w:val="20"/>
          <w:szCs w:val="20"/>
        </w:rPr>
        <w:t xml:space="preserve">La reunión usualmente se restringe a tres horas.</w:t>
      </w:r>
    </w:p>
    <w:p>
      <w:r>
        <w:br w:type="page"/>
      </w:r>
    </w:p>
    <w:p>
      <w:pPr>
        <w:spacing w:after="100" w:before="0"/>
      </w:pPr>
      <w:r>
        <w:rPr>
          <w:b/>
          <w:bCs/>
          <w:color w:val="13294B"/>
          <w:sz w:val="24"/>
          <w:szCs w:val="24"/>
        </w:rPr>
        <w:t xml:space="preserve">Formulario de reunión retrospectiva</w:t>
      </w:r>
    </w:p>
    <w:p>
      <w:pPr>
        <w:spacing w:after="140" w:line="280"/>
        <w:jc w:val="both"/>
      </w:pPr>
      <w:r>
        <w:rPr>
          <w:i/>
          <w:iCs/>
          <w:color w:val="5C6B7A"/>
          <w:sz w:val="20"/>
          <w:szCs w:val="20"/>
        </w:rPr>
        <w:t>Tema del Sprint 3: postulación a licitaciones y selección de postulantes.</w:t>
      </w:r>
    </w:p>
    <w:tbl>
      <w:tblPr>
        <w:tblW w:type="dxa" w:w="9600"/>
        <w:tblBorders>
          <w:top w:val="single" w:color="D8E1EC" w:sz="4"/>
          <w:left w:val="single" w:color="D8E1EC" w:sz="4"/>
          <w:bottom w:val="single" w:color="D8E1EC" w:sz="4"/>
          <w:right w:val="single" w:color="D8E1EC" w:sz="4"/>
          <w:insideH w:val="single" w:color="D8E1EC" w:sz="4"/>
          <w:insideV w:val="single" w:color="D8E1EC" w:sz="4"/>
        </w:tblBorders>
      </w:tblPr>
      <w:tblGrid>
        <w:gridCol w:w="100"/>
        <w:gridCol w:w="100"/>
        <w:gridCol w:w="100"/>
        <w:gridCol w:w="100"/>
      </w:tblGrid>
      <w:tr>
        <w:tc>
          <w:tcPr>
            <w:tcW w:type="dxa" w:w="2400"/>
            <w:shd w:fill="13294B" w:val="clear"/>
            <w:tcMar>
              <w:top w:type="dxa" w:w="100"/>
              <w:left w:type="dxa" w:w="110"/>
              <w:bottom w:type="dxa" w:w="100"/>
              <w:right w:type="dxa" w:w="110"/>
            </w:tcMar>
            <w:vAlign w:val="center"/>
          </w:tcPr>
          <w:p>
            <w:pPr>
              <w:jc w:val="center"/>
            </w:pPr>
            <w:r>
              <w:rPr>
                <w:b/>
                <w:bCs/>
                <w:color w:val="FFFFFF"/>
                <w:sz w:val="19"/>
                <w:szCs w:val="19"/>
              </w:rPr>
              <w:t xml:space="preserve">¿Qué salió bien en la iteración? (aciertos)</w:t>
            </w:r>
          </w:p>
        </w:tc>
        <w:tc>
          <w:tcPr>
            <w:tcW w:type="dxa" w:w="2400"/>
            <w:shd w:fill="13294B" w:val="clear"/>
            <w:tcMar>
              <w:top w:type="dxa" w:w="100"/>
              <w:left w:type="dxa" w:w="110"/>
              <w:bottom w:type="dxa" w:w="100"/>
              <w:right w:type="dxa" w:w="110"/>
            </w:tcMar>
            <w:vAlign w:val="center"/>
          </w:tcPr>
          <w:p>
            <w:pPr>
              <w:jc w:val="center"/>
            </w:pPr>
            <w:r>
              <w:rPr>
                <w:b/>
                <w:bCs/>
                <w:color w:val="FFFFFF"/>
                <w:sz w:val="19"/>
                <w:szCs w:val="19"/>
              </w:rPr>
              <w:t xml:space="preserve">¿Qué no salió bien en la iteración? (errores)</w:t>
            </w:r>
          </w:p>
        </w:tc>
        <w:tc>
          <w:tcPr>
            <w:tcW w:type="dxa" w:w="2400"/>
            <w:shd w:fill="13294B" w:val="clear"/>
            <w:tcMar>
              <w:top w:type="dxa" w:w="100"/>
              <w:left w:type="dxa" w:w="110"/>
              <w:bottom w:type="dxa" w:w="100"/>
              <w:right w:type="dxa" w:w="110"/>
            </w:tcMar>
            <w:vAlign w:val="center"/>
          </w:tcPr>
          <w:p>
            <w:pPr>
              <w:jc w:val="center"/>
            </w:pPr>
            <w:r>
              <w:rPr>
                <w:b/>
                <w:bCs/>
                <w:color w:val="FFFFFF"/>
                <w:sz w:val="19"/>
                <w:szCs w:val="19"/>
              </w:rPr>
              <w:t xml:space="preserve">¿Qué problemas tenemos para progresar correctamente en el último Sprint?</w:t>
            </w:r>
          </w:p>
        </w:tc>
        <w:tc>
          <w:tcPr>
            <w:tcW w:type="dxa" w:w="2400"/>
            <w:shd w:fill="13294B" w:val="clear"/>
            <w:tcMar>
              <w:top w:type="dxa" w:w="100"/>
              <w:left w:type="dxa" w:w="110"/>
              <w:bottom w:type="dxa" w:w="100"/>
              <w:right w:type="dxa" w:w="110"/>
            </w:tcMar>
            <w:vAlign w:val="center"/>
          </w:tcPr>
          <w:p>
            <w:pPr>
              <w:jc w:val="center"/>
            </w:pPr>
            <w:r>
              <w:rPr>
                <w:b/>
                <w:bCs/>
                <w:color w:val="FFFFFF"/>
                <w:sz w:val="19"/>
                <w:szCs w:val="19"/>
              </w:rPr>
              <w:t xml:space="preserve">¿Qué mejoras vamos a implementar en la próxima iteración? (recomendaciones de mejora continua)</w:t>
            </w:r>
          </w:p>
        </w:tc>
      </w:tr>
      <w:tr>
        <w:tc>
          <w:tcPr>
            <w:tcW w:type="dxa" w:w="2400"/>
            <w:shd w:fill="F7F8FA" w:val="clear"/>
            <w:tcMar>
              <w:top w:type="dxa" w:w="110"/>
              <w:left w:type="dxa" w:w="140"/>
              <w:bottom w:type="dxa" w:w="110"/>
              <w:right w:type="dxa" w:w="140"/>
            </w:tcMar>
            <w:vAlign w:val="top"/>
          </w:tcPr>
          <w:p>
            <w:pPr>
              <w:pStyle w:val="ListParagraph"/>
              <w:numPr>
                <w:ilvl w:val="0"/>
                <w:numId w:val="2"/>
              </w:numPr>
              <w:spacing w:after="90" w:line="264"/>
            </w:pPr>
            <w:r>
              <w:rPr>
                <w:color w:val="1A2333"/>
                <w:sz w:val="19"/>
                <w:szCs w:val="19"/>
              </w:rPr>
              <w:t>El ciclo completo de postulación (postular → revisar → seleccionar) quedó funcional de extremo a extremo, con los estados Pendiente, Aprobada y Rechazada.</w:t>
            </w:r>
          </w:p>
          <w:p>
            <w:pPr>
              <w:pStyle w:val="ListParagraph"/>
              <w:numPr>
                <w:ilvl w:val="0"/>
                <w:numId w:val="2"/>
              </w:numPr>
              <w:spacing w:after="90" w:line="264"/>
            </w:pPr>
            <w:r>
              <w:rPr>
                <w:color w:val="1A2333"/>
                <w:sz w:val="19"/>
                <w:szCs w:val="19"/>
              </w:rPr>
              <w:t>Las pruebas de integración entre licitación y postulación se realizaron dentro del plazo previsto.</w:t>
            </w:r>
          </w:p>
        </w:tc>
        <w:tc>
          <w:tcPr>
            <w:tcW w:type="dxa" w:w="2400"/>
            <w:shd w:fill="F7F8FA" w:val="clear"/>
            <w:tcMar>
              <w:top w:type="dxa" w:w="110"/>
              <w:left w:type="dxa" w:w="140"/>
              <w:bottom w:type="dxa" w:w="110"/>
              <w:right w:type="dxa" w:w="140"/>
            </w:tcMar>
            <w:vAlign w:val="top"/>
          </w:tcPr>
          <w:p>
            <w:pPr>
              <w:pStyle w:val="ListParagraph"/>
              <w:numPr>
                <w:ilvl w:val="0"/>
                <w:numId w:val="2"/>
              </w:numPr>
              <w:spacing w:after="90" w:line="264"/>
            </w:pPr>
            <w:r>
              <w:rPr>
                <w:color w:val="1A2333"/>
                <w:sz w:val="19"/>
                <w:szCs w:val="19"/>
              </w:rPr>
              <w:t>Al seleccionar una Pyme, el estado de la postulación no se actualizaba de forma inmediata en la interfaz (IMP-005).</w:t>
            </w:r>
          </w:p>
          <w:p>
            <w:pPr>
              <w:pStyle w:val="ListParagraph"/>
              <w:numPr>
                <w:ilvl w:val="0"/>
                <w:numId w:val="2"/>
              </w:numPr>
              <w:spacing w:after="90" w:line="264"/>
            </w:pPr>
            <w:r>
              <w:rPr>
                <w:color w:val="1A2333"/>
                <w:sz w:val="19"/>
                <w:szCs w:val="19"/>
              </w:rPr>
              <w:t>Se generaban postulaciones duplicadas al hacer doble clic en "Postular" (IMP-006) y no se contempló inicialmente el caso de una licitación sin ninguna postulación recibida.</w:t>
            </w:r>
          </w:p>
        </w:tc>
        <w:tc>
          <w:tcPr>
            <w:tcW w:type="dxa" w:w="2400"/>
            <w:shd w:fill="F7F8FA" w:val="clear"/>
            <w:tcMar>
              <w:top w:type="dxa" w:w="110"/>
              <w:left w:type="dxa" w:w="140"/>
              <w:bottom w:type="dxa" w:w="110"/>
              <w:right w:type="dxa" w:w="140"/>
            </w:tcMar>
            <w:vAlign w:val="top"/>
          </w:tcPr>
          <w:p>
            <w:pPr>
              <w:pStyle w:val="ListParagraph"/>
              <w:numPr>
                <w:ilvl w:val="0"/>
                <w:numId w:val="2"/>
              </w:numPr>
              <w:spacing w:after="90" w:line="264"/>
            </w:pPr>
            <w:r>
              <w:rPr>
                <w:color w:val="1A2333"/>
                <w:sz w:val="19"/>
                <w:szCs w:val="19"/>
              </w:rPr>
              <w:t>La sincronización de estados entre licitación y postulación tomó más tiempo del estimado.</w:t>
            </w:r>
          </w:p>
          <w:p>
            <w:pPr>
              <w:pStyle w:val="ListParagraph"/>
              <w:numPr>
                <w:ilvl w:val="0"/>
                <w:numId w:val="2"/>
              </w:numPr>
              <w:spacing w:after="90" w:line="264"/>
            </w:pPr>
            <w:r>
              <w:rPr>
                <w:color w:val="1A2333"/>
                <w:sz w:val="19"/>
                <w:szCs w:val="19"/>
              </w:rPr>
              <w:t>La regla de postulación según el plan (límite mensual) depende de los planes de suscripción, que se construyen recién en el Sprint 5.</w:t>
            </w:r>
          </w:p>
        </w:tc>
        <w:tc>
          <w:tcPr>
            <w:tcW w:type="dxa" w:w="2400"/>
            <w:shd w:fill="F7F8FA" w:val="clear"/>
            <w:tcMar>
              <w:top w:type="dxa" w:w="110"/>
              <w:left w:type="dxa" w:w="140"/>
              <w:bottom w:type="dxa" w:w="110"/>
              <w:right w:type="dxa" w:w="140"/>
            </w:tcMar>
            <w:vAlign w:val="top"/>
          </w:tcPr>
          <w:p>
            <w:pPr>
              <w:pStyle w:val="ListParagraph"/>
              <w:numPr>
                <w:ilvl w:val="0"/>
                <w:numId w:val="2"/>
              </w:numPr>
              <w:spacing w:after="90" w:line="264"/>
            </w:pPr>
            <w:r>
              <w:rPr>
                <w:color w:val="1A2333"/>
                <w:sz w:val="19"/>
                <w:szCs w:val="19"/>
              </w:rPr>
              <w:t>Definir con más detalle los estados posibles y sus transiciones antes de comenzar a programar.</w:t>
            </w:r>
          </w:p>
          <w:p>
            <w:pPr>
              <w:pStyle w:val="ListParagraph"/>
              <w:numPr>
                <w:ilvl w:val="0"/>
                <w:numId w:val="2"/>
              </w:numPr>
              <w:spacing w:after="90" w:line="264"/>
            </w:pPr>
            <w:r>
              <w:rPr>
                <w:color w:val="1A2333"/>
                <w:sz w:val="19"/>
                <w:szCs w:val="19"/>
              </w:rPr>
              <w:t>Acordar bloques de horario fijos para el trabajo conjunto y deshabilitar los botones de acción mientras la solicitud está en curso.</w:t>
            </w:r>
          </w:p>
        </w:tc>
      </w:tr>
    </w:tbl>
    <w:p>
      <w:pPr>
        <w:spacing w:after="80" w:before="220"/>
      </w:pPr>
      <w:r>
        <w:rPr>
          <w:b/>
          <w:bCs/>
          <w:color w:val="13294B"/>
          <w:sz w:val="20"/>
          <w:szCs w:val="20"/>
        </w:rPr>
        <w:t xml:space="preserve">Nota:</w:t>
      </w:r>
    </w:p>
    <w:p>
      <w:pPr>
        <w:pStyle w:val="ListParagraph"/>
        <w:numPr>
          <w:ilvl w:val="0"/>
          <w:numId w:val="2"/>
        </w:numPr>
        <w:spacing w:after="60" w:line="260"/>
      </w:pPr>
      <w:r>
        <w:rPr>
          <w:color w:val="5C6B7A"/>
          <w:sz w:val="19"/>
          <w:szCs w:val="19"/>
        </w:rPr>
        <w:t xml:space="preserve">Se recomienda utilizar viñetas (bullets) para enumerar los aciertos, errores y recomendaciones de mejora continua.</w:t>
      </w:r>
    </w:p>
    <w:p>
      <w:pPr>
        <w:pStyle w:val="ListParagraph"/>
        <w:numPr>
          <w:ilvl w:val="0"/>
          <w:numId w:val="2"/>
        </w:numPr>
        <w:spacing w:after="60" w:line="260"/>
      </w:pPr>
      <w:r>
        <w:rPr>
          <w:color w:val="5C6B7A"/>
          <w:sz w:val="19"/>
          <w:szCs w:val="19"/>
        </w:rPr>
        <w:t xml:space="preserve">El formulario se puede extender cuantas páginas sea necesario para registrar todos los aciertos, errores y recomendaciones.</w:t>
      </w:r>
    </w:p>
    <w:sectPr>
      <w:pgSz w:w="15840" w:h="122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2026-09-27T18:54:25.444Z</dcterms:created>
  <dcterms:modified xsi:type="dcterms:W3CDTF">2026-09-27T18:54:25.444Z</dcterms:modified>
</cp:coreProperties>
</file>

<file path=docProps/custom.xml><?xml version="1.0" encoding="utf-8"?>
<Properties xmlns="http://schemas.openxmlformats.org/officeDocument/2006/custom-properties" xmlns:vt="http://schemas.openxmlformats.org/officeDocument/2006/docPropsVTypes"/>
</file>