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color w:val="1A2333"/>
          <w:sz w:val="30"/>
          <w:szCs w:val="30"/>
        </w:rPr>
        <w:t xml:space="preserve">Resumen de la</w:t>
      </w:r>
    </w:p>
    <w:p>
      <w:pPr>
        <w:spacing w:after="40"/>
        <w:jc w:val="center"/>
      </w:pPr>
      <w:r>
        <w:rPr>
          <w:b/>
          <w:bCs/>
          <w:color w:val="13294B"/>
          <w:sz w:val="34"/>
          <w:szCs w:val="34"/>
        </w:rPr>
        <w:t xml:space="preserve">Reunión Retrospectiva</w:t>
      </w:r>
    </w:p>
    <w:p>
      <w:pPr>
        <w:spacing w:after="260"/>
        <w:jc w:val="center"/>
      </w:pPr>
      <w:r>
        <w:rPr>
          <w:b/>
          <w:bCs/>
          <w:i/>
          <w:iCs/>
          <w:color w:val="D4A24C"/>
          <w:sz w:val="22"/>
          <w:szCs w:val="22"/>
        </w:rPr>
        <w:t xml:space="preserve">Sprint 4 — LicitaWatch</w:t>
      </w:r>
    </w:p>
    <w:p>
      <w:pPr>
        <w:spacing w:after="100" w:before="100"/>
      </w:pPr>
      <w:r>
        <w:rPr>
          <w:b/>
          <w:bCs/>
          <w:color w:val="13294B"/>
          <w:sz w:val="22"/>
          <w:szCs w:val="22"/>
        </w:rPr>
        <w:t xml:space="preserve">Información de la empresa y proyecto:</w:t>
      </w:r>
    </w:p>
    <w:tbl>
      <w:tblPr>
        <w:tblW w:type="dxa" w:w="9600"/>
        <w:tblBorders>
          <w:top w:val="single" w:color="D8E1EC" w:sz="4"/>
          <w:left w:val="single" w:color="D8E1EC" w:sz="4"/>
          <w:bottom w:val="single" w:color="D8E1EC" w:sz="4"/>
          <w:right w:val="single" w:color="D8E1EC" w:sz="4"/>
          <w:insideH w:val="single" w:color="D8E1EC" w:sz="4"/>
          <w:insideV w:val="single" w:color="D8E1EC" w:sz="4"/>
        </w:tblBorders>
      </w:tblPr>
      <w:tblGrid>
        <w:gridCol w:w="100"/>
        <w:gridCol w:w="100"/>
      </w:tblGrid>
      <w:tr>
        <w:tc>
          <w:tcPr>
            <w:tcW w:type="dxa" w:w="2800"/>
            <w:shd w:fill="EFE3C8" w:val="clear"/>
            <w:tcMar>
              <w:top w:type="dxa" w:w="90"/>
              <w:left w:type="dxa" w:w="110"/>
              <w:bottom w:type="dxa" w:w="90"/>
              <w:right w:type="dxa" w:w="110"/>
            </w:tcMar>
            <w:vAlign w:val="center"/>
          </w:tcPr>
          <w:p>
            <w:r>
              <w:rPr>
                <w:b/>
                <w:bCs/>
                <w:color w:val="13294B"/>
                <w:sz w:val="20"/>
                <w:szCs w:val="20"/>
              </w:rPr>
              <w:t xml:space="preserve">Empresa / Organización</w:t>
            </w:r>
          </w:p>
        </w:tc>
        <w:tc>
          <w:tcPr>
            <w:tcW w:type="dxa" w:w="6800"/>
            <w:tcMar>
              <w:top w:type="dxa" w:w="90"/>
              <w:left w:type="dxa" w:w="110"/>
              <w:bottom w:type="dxa" w:w="90"/>
              <w:right w:type="dxa" w:w="110"/>
            </w:tcMar>
            <w:vAlign w:val="center"/>
          </w:tcPr>
          <w:p>
            <w:r>
              <w:rPr>
                <w:color w:val="1A2333"/>
                <w:sz w:val="20"/>
                <w:szCs w:val="20"/>
              </w:rPr>
              <w:t xml:space="preserve">LicitaWatch</w:t>
            </w:r>
          </w:p>
        </w:tc>
      </w:tr>
      <w:tr>
        <w:tc>
          <w:tcPr>
            <w:tcW w:type="dxa" w:w="2800"/>
            <w:shd w:fill="EFE3C8" w:val="clear"/>
            <w:tcMar>
              <w:top w:type="dxa" w:w="90"/>
              <w:left w:type="dxa" w:w="110"/>
              <w:bottom w:type="dxa" w:w="90"/>
              <w:right w:type="dxa" w:w="110"/>
            </w:tcMar>
            <w:vAlign w:val="center"/>
          </w:tcPr>
          <w:p>
            <w:r>
              <w:rPr>
                <w:b/>
                <w:bCs/>
                <w:color w:val="13294B"/>
                <w:sz w:val="20"/>
                <w:szCs w:val="20"/>
              </w:rPr>
              <w:t xml:space="preserve">Proyecto</w:t>
            </w:r>
          </w:p>
        </w:tc>
        <w:tc>
          <w:tcPr>
            <w:tcW w:type="dxa" w:w="6800"/>
            <w:tcMar>
              <w:top w:type="dxa" w:w="90"/>
              <w:left w:type="dxa" w:w="110"/>
              <w:bottom w:type="dxa" w:w="90"/>
              <w:right w:type="dxa" w:w="110"/>
            </w:tcMar>
            <w:vAlign w:val="center"/>
          </w:tcPr>
          <w:p>
            <w:r>
              <w:rPr>
                <w:color w:val="1A2333"/>
                <w:sz w:val="20"/>
                <w:szCs w:val="20"/>
              </w:rPr>
              <w:t xml:space="preserve">Proyecto LicitaWatch — Plataforma Privada de Gestión de Licitaciones</w:t>
            </w:r>
          </w:p>
        </w:tc>
      </w:tr>
    </w:tbl>
    <w:p>
      <w:pPr>
        <w:spacing w:after="220"/>
      </w:pPr>
    </w:p>
    <w:p>
      <w:pPr>
        <w:spacing w:after="100" w:before="100"/>
      </w:pPr>
      <w:r>
        <w:rPr>
          <w:b/>
          <w:bCs/>
          <w:color w:val="13294B"/>
          <w:sz w:val="22"/>
          <w:szCs w:val="22"/>
        </w:rPr>
        <w:t xml:space="preserve">Información de la reunión:</w:t>
      </w:r>
    </w:p>
    <w:tbl>
      <w:tblPr>
        <w:tblW w:type="dxa" w:w="9600"/>
        <w:tblBorders>
          <w:top w:val="single" w:color="D8E1EC" w:sz="4"/>
          <w:left w:val="single" w:color="D8E1EC" w:sz="4"/>
          <w:bottom w:val="single" w:color="D8E1EC" w:sz="4"/>
          <w:right w:val="single" w:color="D8E1EC" w:sz="4"/>
          <w:insideH w:val="single" w:color="D8E1EC" w:sz="4"/>
          <w:insideV w:val="single" w:color="D8E1EC" w:sz="4"/>
        </w:tblBorders>
      </w:tblPr>
      <w:tblGrid>
        <w:gridCol w:w="100"/>
        <w:gridCol w:w="100"/>
      </w:tblGrid>
      <w:tr>
        <w:tc>
          <w:tcPr>
            <w:tcW w:type="dxa" w:w="2800"/>
            <w:shd w:fill="EFE3C8" w:val="clear"/>
            <w:tcMar>
              <w:top w:type="dxa" w:w="90"/>
              <w:left w:type="dxa" w:w="110"/>
              <w:bottom w:type="dxa" w:w="90"/>
              <w:right w:type="dxa" w:w="110"/>
            </w:tcMar>
            <w:vAlign w:val="center"/>
          </w:tcPr>
          <w:p>
            <w:r>
              <w:rPr>
                <w:b/>
                <w:bCs/>
                <w:color w:val="13294B"/>
                <w:sz w:val="20"/>
                <w:szCs w:val="20"/>
              </w:rPr>
              <w:t xml:space="preserve">Lugar</w:t>
            </w:r>
          </w:p>
        </w:tc>
        <w:tc>
          <w:tcPr>
            <w:tcW w:type="dxa" w:w="6800"/>
            <w:tcMar>
              <w:top w:type="dxa" w:w="90"/>
              <w:left w:type="dxa" w:w="110"/>
              <w:bottom w:type="dxa" w:w="90"/>
              <w:right w:type="dxa" w:w="110"/>
            </w:tcMar>
            <w:vAlign w:val="center"/>
          </w:tcPr>
          <w:p>
            <w:r>
              <w:rPr>
                <w:color w:val="1A2333"/>
                <w:sz w:val="20"/>
                <w:szCs w:val="20"/>
              </w:rPr>
              <w:t xml:space="preserve">Reunión virtual — Discord</w:t>
            </w:r>
          </w:p>
        </w:tc>
      </w:tr>
      <w:tr>
        <w:tc>
          <w:tcPr>
            <w:tcW w:type="dxa" w:w="2800"/>
            <w:shd w:fill="EFE3C8" w:val="clear"/>
            <w:tcMar>
              <w:top w:type="dxa" w:w="90"/>
              <w:left w:type="dxa" w:w="110"/>
              <w:bottom w:type="dxa" w:w="90"/>
              <w:right w:type="dxa" w:w="110"/>
            </w:tcMar>
            <w:vAlign w:val="center"/>
          </w:tcPr>
          <w:p>
            <w:r>
              <w:rPr>
                <w:b/>
                <w:bCs/>
                <w:color w:val="13294B"/>
                <w:sz w:val="20"/>
                <w:szCs w:val="20"/>
              </w:rPr>
              <w:t xml:space="preserve">Fecha</w:t>
            </w:r>
          </w:p>
        </w:tc>
        <w:tc>
          <w:tcPr>
            <w:tcW w:type="dxa" w:w="6800"/>
            <w:tcMar>
              <w:top w:type="dxa" w:w="90"/>
              <w:left w:type="dxa" w:w="110"/>
              <w:bottom w:type="dxa" w:w="90"/>
              <w:right w:type="dxa" w:w="110"/>
            </w:tcMar>
            <w:vAlign w:val="center"/>
          </w:tcPr>
          <w:p>
            <w:r>
              <w:rPr>
                <w:color w:val="1A2333"/>
                <w:sz w:val="20"/>
                <w:szCs w:val="20"/>
              </w:rPr>
              <w:t>23-10-2026</w:t>
            </w:r>
          </w:p>
        </w:tc>
      </w:tr>
      <w:tr>
        <w:tc>
          <w:tcPr>
            <w:tcW w:type="dxa" w:w="2800"/>
            <w:shd w:fill="EFE3C8" w:val="clear"/>
            <w:tcMar>
              <w:top w:type="dxa" w:w="90"/>
              <w:left w:type="dxa" w:w="110"/>
              <w:bottom w:type="dxa" w:w="90"/>
              <w:right w:type="dxa" w:w="110"/>
            </w:tcMar>
            <w:vAlign w:val="center"/>
          </w:tcPr>
          <w:p>
            <w:r>
              <w:rPr>
                <w:b/>
                <w:bCs/>
                <w:color w:val="13294B"/>
                <w:sz w:val="20"/>
                <w:szCs w:val="20"/>
              </w:rPr>
              <w:t xml:space="preserve">Número de iteración / sprint</w:t>
            </w:r>
          </w:p>
        </w:tc>
        <w:tc>
          <w:tcPr>
            <w:tcW w:type="dxa" w:w="6800"/>
            <w:tcMar>
              <w:top w:type="dxa" w:w="90"/>
              <w:left w:type="dxa" w:w="110"/>
              <w:bottom w:type="dxa" w:w="90"/>
              <w:right w:type="dxa" w:w="110"/>
            </w:tcMar>
            <w:vAlign w:val="center"/>
          </w:tcPr>
          <w:p>
            <w:r>
              <w:rPr>
                <w:color w:val="1A2333"/>
                <w:sz w:val="20"/>
                <w:szCs w:val="20"/>
              </w:rPr>
              <w:t xml:space="preserve">4 Sprint</w:t>
            </w:r>
          </w:p>
        </w:tc>
      </w:tr>
      <w:tr>
        <w:tc>
          <w:tcPr>
            <w:tcW w:type="dxa" w:w="2800"/>
            <w:shd w:fill="EFE3C8" w:val="clear"/>
            <w:tcMar>
              <w:top w:type="dxa" w:w="90"/>
              <w:left w:type="dxa" w:w="110"/>
              <w:bottom w:type="dxa" w:w="90"/>
              <w:right w:type="dxa" w:w="110"/>
            </w:tcMar>
            <w:vAlign w:val="center"/>
          </w:tcPr>
          <w:p>
            <w:r>
              <w:rPr>
                <w:b/>
                <w:bCs/>
                <w:color w:val="13294B"/>
                <w:sz w:val="20"/>
                <w:szCs w:val="20"/>
              </w:rPr>
              <w:t xml:space="preserve">Personas convocadas a la reunión</w:t>
            </w:r>
          </w:p>
        </w:tc>
        <w:tc>
          <w:tcPr>
            <w:tcW w:type="dxa" w:w="6800"/>
            <w:tcMar>
              <w:top w:type="dxa" w:w="90"/>
              <w:left w:type="dxa" w:w="110"/>
              <w:bottom w:type="dxa" w:w="90"/>
              <w:right w:type="dxa" w:w="110"/>
            </w:tcMar>
            <w:vAlign w:val="center"/>
          </w:tcPr>
          <w:p>
            <w:r>
              <w:rPr>
                <w:color w:val="1A2333"/>
                <w:sz w:val="20"/>
                <w:szCs w:val="20"/>
              </w:rPr>
              <w:t xml:space="preserve">Pablo Baez, Daniel Roman, Gonzalo Palacios</w:t>
            </w:r>
          </w:p>
        </w:tc>
      </w:tr>
      <w:tr>
        <w:tc>
          <w:tcPr>
            <w:tcW w:type="dxa" w:w="2800"/>
            <w:shd w:fill="EFE3C8" w:val="clear"/>
            <w:tcMar>
              <w:top w:type="dxa" w:w="90"/>
              <w:left w:type="dxa" w:w="110"/>
              <w:bottom w:type="dxa" w:w="90"/>
              <w:right w:type="dxa" w:w="110"/>
            </w:tcMar>
            <w:vAlign w:val="center"/>
          </w:tcPr>
          <w:p>
            <w:r>
              <w:rPr>
                <w:b/>
                <w:bCs/>
                <w:color w:val="13294B"/>
                <w:sz w:val="20"/>
                <w:szCs w:val="20"/>
              </w:rPr>
              <w:t xml:space="preserve">Personas que asistieron a la reunión</w:t>
            </w:r>
          </w:p>
        </w:tc>
        <w:tc>
          <w:tcPr>
            <w:tcW w:type="dxa" w:w="6800"/>
            <w:tcMar>
              <w:top w:type="dxa" w:w="90"/>
              <w:left w:type="dxa" w:w="110"/>
              <w:bottom w:type="dxa" w:w="90"/>
              <w:right w:type="dxa" w:w="110"/>
            </w:tcMar>
            <w:vAlign w:val="center"/>
          </w:tcPr>
          <w:p>
            <w:r>
              <w:rPr>
                <w:color w:val="1A2333"/>
                <w:sz w:val="20"/>
                <w:szCs w:val="20"/>
              </w:rPr>
              <w:t xml:space="preserve">Pablo Baez, Daniel Roman, Gonzalo Palacios</w:t>
            </w:r>
          </w:p>
        </w:tc>
      </w:tr>
    </w:tbl>
    <w:p>
      <w:pPr>
        <w:spacing w:after="220"/>
      </w:pPr>
    </w:p>
    <w:p>
      <w:pPr>
        <w:spacing w:after="100" w:before="100"/>
      </w:pPr>
      <w:r>
        <w:rPr>
          <w:b/>
          <w:bCs/>
          <w:color w:val="13294B"/>
          <w:sz w:val="22"/>
          <w:szCs w:val="22"/>
        </w:rPr>
        <w:t xml:space="preserve">Instrucciones:</w:t>
      </w:r>
    </w:p>
    <w:p>
      <w:pPr>
        <w:spacing w:after="140" w:line="280"/>
        <w:jc w:val="both"/>
      </w:pPr>
      <w:r>
        <w:rPr>
          <w:color w:val="1A2333"/>
          <w:sz w:val="20"/>
          <w:szCs w:val="20"/>
        </w:rPr>
        <w:t xml:space="preserve">La reunión retrospectiva es una herramienta del marco de trabajo Scrum, que pertenece a la familia de marcos de trabajo de desarrollo ágil. Se realiza en cada iteración (denominada Sprint en Scrum), justo después de la reunión de revisión de la iteración (Sprint Review) con el dueño del producto (Product Owner). En esta reunión deben revisarse tres aspectos: lo que salió bien durante la iteración (aciertos), lo que no salió tan bien (errores) y las mejoras que pudieran implementarse en la próxima iteración para evitar errores y mantener aciertos.</w:t>
      </w:r>
    </w:p>
    <w:p>
      <w:pPr>
        <w:spacing w:after="140" w:line="280"/>
        <w:jc w:val="both"/>
      </w:pPr>
      <w:r>
        <w:rPr>
          <w:color w:val="1A2333"/>
          <w:sz w:val="20"/>
          <w:szCs w:val="20"/>
        </w:rPr>
        <w:t xml:space="preserve">El dueño del producto (Product Owner) no asiste a esta reunión, por lo que es una oportunidad para que el equipo hable con franqueza de sus éxitos y dificultades, siendo importante analizar el propio desempeño e identificar estrategias de mejora. De forma similar, el Scrum Master puede observar impedimentos comunes que están afectando al equipo y tomar acciones para resolverlos.</w:t>
      </w:r>
    </w:p>
    <w:p>
      <w:pPr>
        <w:spacing w:after="140" w:line="280"/>
        <w:jc w:val="both"/>
      </w:pPr>
      <w:r>
        <w:rPr>
          <w:color w:val="1A2333"/>
          <w:sz w:val="20"/>
          <w:szCs w:val="20"/>
        </w:rPr>
        <w:t xml:space="preserve">La reunión usualmente se restringe a tres horas.</w:t>
      </w:r>
    </w:p>
    <w:p>
      <w:r>
        <w:br w:type="page"/>
      </w:r>
    </w:p>
    <w:p>
      <w:pPr>
        <w:spacing w:after="100" w:before="0"/>
      </w:pPr>
      <w:r>
        <w:rPr>
          <w:b/>
          <w:bCs/>
          <w:color w:val="13294B"/>
          <w:sz w:val="24"/>
          <w:szCs w:val="24"/>
        </w:rPr>
        <w:t xml:space="preserve">Formulario de reunión retrospectiva</w:t>
      </w:r>
    </w:p>
    <w:p>
      <w:pPr>
        <w:spacing w:after="140" w:line="280"/>
        <w:jc w:val="both"/>
      </w:pPr>
      <w:r>
        <w:rPr>
          <w:i/>
          <w:iCs/>
          <w:color w:val="5C6B7A"/>
          <w:sz w:val="20"/>
          <w:szCs w:val="20"/>
        </w:rPr>
        <w:t>Tema del Sprint 4: panel de Administrador y seguimiento de postulaciones.</w:t>
      </w:r>
    </w:p>
    <w:tbl>
      <w:tblPr>
        <w:tblW w:type="dxa" w:w="9600"/>
        <w:tblBorders>
          <w:top w:val="single" w:color="D8E1EC" w:sz="4"/>
          <w:left w:val="single" w:color="D8E1EC" w:sz="4"/>
          <w:bottom w:val="single" w:color="D8E1EC" w:sz="4"/>
          <w:right w:val="single" w:color="D8E1EC" w:sz="4"/>
          <w:insideH w:val="single" w:color="D8E1EC" w:sz="4"/>
          <w:insideV w:val="single" w:color="D8E1EC" w:sz="4"/>
        </w:tblBorders>
      </w:tblPr>
      <w:tblGrid>
        <w:gridCol w:w="100"/>
        <w:gridCol w:w="100"/>
        <w:gridCol w:w="100"/>
        <w:gridCol w:w="100"/>
      </w:tblGrid>
      <w:tr>
        <w:tc>
          <w:tcPr>
            <w:tcW w:type="dxa" w:w="2400"/>
            <w:shd w:fill="13294B" w:val="clear"/>
            <w:tcMar>
              <w:top w:type="dxa" w:w="100"/>
              <w:left w:type="dxa" w:w="110"/>
              <w:bottom w:type="dxa" w:w="100"/>
              <w:right w:type="dxa" w:w="110"/>
            </w:tcMar>
            <w:vAlign w:val="center"/>
          </w:tcPr>
          <w:p>
            <w:pPr>
              <w:jc w:val="center"/>
            </w:pPr>
            <w:r>
              <w:rPr>
                <w:b/>
                <w:bCs/>
                <w:color w:val="FFFFFF"/>
                <w:sz w:val="19"/>
                <w:szCs w:val="19"/>
              </w:rPr>
              <w:t xml:space="preserve">¿Qué salió bien en la iteración? (aciertos)</w:t>
            </w:r>
          </w:p>
        </w:tc>
        <w:tc>
          <w:tcPr>
            <w:tcW w:type="dxa" w:w="2400"/>
            <w:shd w:fill="13294B" w:val="clear"/>
            <w:tcMar>
              <w:top w:type="dxa" w:w="100"/>
              <w:left w:type="dxa" w:w="110"/>
              <w:bottom w:type="dxa" w:w="100"/>
              <w:right w:type="dxa" w:w="110"/>
            </w:tcMar>
            <w:vAlign w:val="center"/>
          </w:tcPr>
          <w:p>
            <w:pPr>
              <w:jc w:val="center"/>
            </w:pPr>
            <w:r>
              <w:rPr>
                <w:b/>
                <w:bCs/>
                <w:color w:val="FFFFFF"/>
                <w:sz w:val="19"/>
                <w:szCs w:val="19"/>
              </w:rPr>
              <w:t xml:space="preserve">¿Qué no salió bien en la iteración? (errores)</w:t>
            </w:r>
          </w:p>
        </w:tc>
        <w:tc>
          <w:tcPr>
            <w:tcW w:type="dxa" w:w="2400"/>
            <w:shd w:fill="13294B" w:val="clear"/>
            <w:tcMar>
              <w:top w:type="dxa" w:w="100"/>
              <w:left w:type="dxa" w:w="110"/>
              <w:bottom w:type="dxa" w:w="100"/>
              <w:right w:type="dxa" w:w="110"/>
            </w:tcMar>
            <w:vAlign w:val="center"/>
          </w:tcPr>
          <w:p>
            <w:pPr>
              <w:jc w:val="center"/>
            </w:pPr>
            <w:r>
              <w:rPr>
                <w:b/>
                <w:bCs/>
                <w:color w:val="FFFFFF"/>
                <w:sz w:val="19"/>
                <w:szCs w:val="19"/>
              </w:rPr>
              <w:t xml:space="preserve">¿Qué problemas tenemos para progresar correctamente en el último Sprint?</w:t>
            </w:r>
          </w:p>
        </w:tc>
        <w:tc>
          <w:tcPr>
            <w:tcW w:type="dxa" w:w="2400"/>
            <w:shd w:fill="13294B" w:val="clear"/>
            <w:tcMar>
              <w:top w:type="dxa" w:w="100"/>
              <w:left w:type="dxa" w:w="110"/>
              <w:bottom w:type="dxa" w:w="100"/>
              <w:right w:type="dxa" w:w="110"/>
            </w:tcMar>
            <w:vAlign w:val="center"/>
          </w:tcPr>
          <w:p>
            <w:pPr>
              <w:jc w:val="center"/>
            </w:pPr>
            <w:r>
              <w:rPr>
                <w:b/>
                <w:bCs/>
                <w:color w:val="FFFFFF"/>
                <w:sz w:val="19"/>
                <w:szCs w:val="19"/>
              </w:rPr>
              <w:t xml:space="preserve">¿Qué mejoras vamos a implementar en la próxima iteración? (recomendaciones de mejora continua)</w:t>
            </w:r>
          </w:p>
        </w:tc>
      </w:tr>
      <w:tr>
        <w:tc>
          <w:tcPr>
            <w:tcW w:type="dxa" w:w="2400"/>
            <w:shd w:fill="F7F8FA" w:val="clear"/>
            <w:tcMar>
              <w:top w:type="dxa" w:w="110"/>
              <w:left w:type="dxa" w:w="140"/>
              <w:bottom w:type="dxa" w:w="110"/>
              <w:right w:type="dxa" w:w="140"/>
            </w:tcMar>
            <w:vAlign w:val="top"/>
          </w:tcPr>
          <w:p>
            <w:pPr>
              <w:pStyle w:val="ListParagraph"/>
              <w:numPr>
                <w:ilvl w:val="0"/>
                <w:numId w:val="2"/>
              </w:numPr>
              <w:spacing w:after="90" w:line="264"/>
            </w:pPr>
            <w:r>
              <w:rPr>
                <w:color w:val="1A2333"/>
                <w:sz w:val="19"/>
                <w:szCs w:val="19"/>
              </w:rPr>
              <w:t>Se completó el panel de Administrador (usuarios, licitaciones y ventas) a pesar de ser el sprint de mayor carga hasta ese momento.</w:t>
            </w:r>
          </w:p>
          <w:p>
            <w:pPr>
              <w:pStyle w:val="ListParagraph"/>
              <w:numPr>
                <w:ilvl w:val="0"/>
                <w:numId w:val="2"/>
              </w:numPr>
              <w:spacing w:after="90" w:line="264"/>
            </w:pPr>
            <w:r>
              <w:rPr>
                <w:color w:val="1A2333"/>
                <w:sz w:val="19"/>
                <w:szCs w:val="19"/>
              </w:rPr>
              <w:t>El seguimiento de postulaciones para la Pyme quedó funcional y bien integrado con las historias anteriores.</w:t>
            </w:r>
          </w:p>
        </w:tc>
        <w:tc>
          <w:tcPr>
            <w:tcW w:type="dxa" w:w="2400"/>
            <w:shd w:fill="F7F8FA" w:val="clear"/>
            <w:tcMar>
              <w:top w:type="dxa" w:w="110"/>
              <w:left w:type="dxa" w:w="140"/>
              <w:bottom w:type="dxa" w:w="110"/>
              <w:right w:type="dxa" w:w="140"/>
            </w:tcMar>
            <w:vAlign w:val="top"/>
          </w:tcPr>
          <w:p>
            <w:pPr>
              <w:pStyle w:val="ListParagraph"/>
              <w:numPr>
                <w:ilvl w:val="0"/>
                <w:numId w:val="2"/>
              </w:numPr>
              <w:spacing w:after="90" w:line="264"/>
            </w:pPr>
            <w:r>
              <w:rPr>
                <w:color w:val="1A2333"/>
                <w:sz w:val="19"/>
                <w:szCs w:val="19"/>
              </w:rPr>
              <w:t>Se subestimó el esfuerzo real de moderar una licitación reportada; tomó más horas de las estimadas, y la acción no registraba qué Administrador la ejecutó (IMP-008).</w:t>
            </w:r>
          </w:p>
          <w:p>
            <w:pPr>
              <w:pStyle w:val="ListParagraph"/>
              <w:numPr>
                <w:ilvl w:val="0"/>
                <w:numId w:val="2"/>
              </w:numPr>
              <w:spacing w:after="90" w:line="264"/>
            </w:pPr>
            <w:r>
              <w:rPr>
                <w:color w:val="1A2333"/>
                <w:sz w:val="19"/>
                <w:szCs w:val="19"/>
              </w:rPr>
              <w:t>La interfaz del panel de Administrador quedó menos pulida de lo esperado por falta de tiempo.</w:t>
            </w:r>
          </w:p>
        </w:tc>
        <w:tc>
          <w:tcPr>
            <w:tcW w:type="dxa" w:w="2400"/>
            <w:shd w:fill="F7F8FA" w:val="clear"/>
            <w:tcMar>
              <w:top w:type="dxa" w:w="110"/>
              <w:left w:type="dxa" w:w="140"/>
              <w:bottom w:type="dxa" w:w="110"/>
              <w:right w:type="dxa" w:w="140"/>
            </w:tcMar>
            <w:vAlign w:val="top"/>
          </w:tcPr>
          <w:p>
            <w:pPr>
              <w:pStyle w:val="ListParagraph"/>
              <w:numPr>
                <w:ilvl w:val="0"/>
                <w:numId w:val="2"/>
              </w:numPr>
              <w:spacing w:after="90" w:line="264"/>
            </w:pPr>
            <w:r>
              <w:rPr>
                <w:color w:val="1A2333"/>
                <w:sz w:val="19"/>
                <w:szCs w:val="19"/>
              </w:rPr>
              <w:t>El sprint excedió la capacidad estimada del equipo (112 horas frente a 105 horas de capacidad), generando sobrecarga (IMP-007).</w:t>
            </w:r>
          </w:p>
          <w:p>
            <w:pPr>
              <w:pStyle w:val="ListParagraph"/>
              <w:numPr>
                <w:ilvl w:val="0"/>
                <w:numId w:val="2"/>
              </w:numPr>
              <w:spacing w:after="90" w:line="264"/>
            </w:pPr>
            <w:r>
              <w:rPr>
                <w:color w:val="1A2333"/>
                <w:sz w:val="19"/>
                <w:szCs w:val="19"/>
              </w:rPr>
              <w:t>Tener tres historias de alta estimación en un mismo sprint dificultó mantener el foco del equipo, con solo 9 días hábiles por el feriado del 12-10.</w:t>
            </w:r>
          </w:p>
        </w:tc>
        <w:tc>
          <w:tcPr>
            <w:tcW w:type="dxa" w:w="2400"/>
            <w:shd w:fill="F7F8FA" w:val="clear"/>
            <w:tcMar>
              <w:top w:type="dxa" w:w="110"/>
              <w:left w:type="dxa" w:w="140"/>
              <w:bottom w:type="dxa" w:w="110"/>
              <w:right w:type="dxa" w:w="140"/>
            </w:tcMar>
            <w:vAlign w:val="top"/>
          </w:tcPr>
          <w:p>
            <w:pPr>
              <w:pStyle w:val="ListParagraph"/>
              <w:numPr>
                <w:ilvl w:val="0"/>
                <w:numId w:val="2"/>
              </w:numPr>
              <w:spacing w:after="90" w:line="264"/>
            </w:pPr>
            <w:r>
              <w:rPr>
                <w:color w:val="1A2333"/>
                <w:sz w:val="19"/>
                <w:szCs w:val="19"/>
              </w:rPr>
              <w:t>Evitar agrupar varias historias de alta estimación en un mismo sprint; distribuir mejor la carga entre sprints.</w:t>
            </w:r>
          </w:p>
          <w:p>
            <w:pPr>
              <w:pStyle w:val="ListParagraph"/>
              <w:numPr>
                <w:ilvl w:val="0"/>
                <w:numId w:val="2"/>
              </w:numPr>
              <w:spacing w:after="90" w:line="264"/>
            </w:pPr>
            <w:r>
              <w:rPr>
                <w:color w:val="1A2333"/>
                <w:sz w:val="19"/>
                <w:szCs w:val="19"/>
              </w:rPr>
              <w:t>Reservar tiempo explícito para pulir la interfaz, y no solo la lógica funcional de cada historia.</w:t>
            </w:r>
          </w:p>
        </w:tc>
      </w:tr>
    </w:tbl>
    <w:p>
      <w:pPr>
        <w:spacing w:after="80" w:before="220"/>
      </w:pPr>
      <w:r>
        <w:rPr>
          <w:b/>
          <w:bCs/>
          <w:color w:val="13294B"/>
          <w:sz w:val="20"/>
          <w:szCs w:val="20"/>
        </w:rPr>
        <w:t xml:space="preserve">Nota:</w:t>
      </w:r>
    </w:p>
    <w:p>
      <w:pPr>
        <w:pStyle w:val="ListParagraph"/>
        <w:numPr>
          <w:ilvl w:val="0"/>
          <w:numId w:val="2"/>
        </w:numPr>
        <w:spacing w:after="60" w:line="260"/>
      </w:pPr>
      <w:r>
        <w:rPr>
          <w:color w:val="5C6B7A"/>
          <w:sz w:val="19"/>
          <w:szCs w:val="19"/>
        </w:rPr>
        <w:t xml:space="preserve">Se recomienda utilizar viñetas (bullets) para enumerar los aciertos, errores y recomendaciones de mejora continua.</w:t>
      </w:r>
    </w:p>
    <w:p>
      <w:pPr>
        <w:pStyle w:val="ListParagraph"/>
        <w:numPr>
          <w:ilvl w:val="0"/>
          <w:numId w:val="2"/>
        </w:numPr>
        <w:spacing w:after="60" w:line="260"/>
      </w:pPr>
      <w:r>
        <w:rPr>
          <w:color w:val="5C6B7A"/>
          <w:sz w:val="19"/>
          <w:szCs w:val="19"/>
        </w:rPr>
        <w:t xml:space="preserve">El formulario se puede extender cuantas páginas sea necesario para registrar todos los aciertos, errores y recomendaciones.</w:t>
      </w:r>
    </w:p>
    <w:sectPr>
      <w:pgSz w:w="15840" w:h="122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2026-09-27T18:54:25.475Z</dcterms:created>
  <dcterms:modified xsi:type="dcterms:W3CDTF">2026-09-27T18:54:25.475Z</dcterms:modified>
</cp:coreProperties>
</file>

<file path=docProps/custom.xml><?xml version="1.0" encoding="utf-8"?>
<Properties xmlns="http://schemas.openxmlformats.org/officeDocument/2006/custom-properties" xmlns:vt="http://schemas.openxmlformats.org/officeDocument/2006/docPropsVTypes"/>
</file>