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color w:val="1A2333"/>
          <w:sz w:val="30"/>
          <w:szCs w:val="30"/>
        </w:rPr>
        <w:t xml:space="preserve">Resumen de la</w:t>
      </w:r>
    </w:p>
    <w:p>
      <w:pPr>
        <w:spacing w:after="40"/>
        <w:jc w:val="center"/>
      </w:pPr>
      <w:r>
        <w:rPr>
          <w:b/>
          <w:bCs/>
          <w:color w:val="13294B"/>
          <w:sz w:val="34"/>
          <w:szCs w:val="34"/>
        </w:rPr>
        <w:t xml:space="preserve">Reunión Retrospectiva</w:t>
      </w:r>
    </w:p>
    <w:p>
      <w:pPr>
        <w:spacing w:after="260"/>
        <w:jc w:val="center"/>
      </w:pPr>
      <w:r>
        <w:rPr>
          <w:b/>
          <w:bCs/>
          <w:i/>
          <w:iCs/>
          <w:color w:val="D4A24C"/>
          <w:sz w:val="22"/>
          <w:szCs w:val="22"/>
        </w:rPr>
        <w:t xml:space="preserve">Sprint 5 — LicitaWatch</w:t>
      </w:r>
    </w:p>
    <w:p>
      <w:pPr>
        <w:spacing w:after="100" w:before="100"/>
      </w:pPr>
      <w:r>
        <w:rPr>
          <w:b/>
          <w:bCs/>
          <w:color w:val="13294B"/>
          <w:sz w:val="22"/>
          <w:szCs w:val="22"/>
        </w:rPr>
        <w:t xml:space="preserve">Información de la empresa y proyecto:</w:t>
      </w:r>
    </w:p>
    <w:tbl>
      <w:tblPr>
        <w:tblW w:type="dxa" w:w="9600"/>
        <w:tblBorders>
          <w:top w:val="single" w:color="D8E1EC" w:sz="4"/>
          <w:left w:val="single" w:color="D8E1EC" w:sz="4"/>
          <w:bottom w:val="single" w:color="D8E1EC" w:sz="4"/>
          <w:right w:val="single" w:color="D8E1EC" w:sz="4"/>
          <w:insideH w:val="single" w:color="D8E1EC" w:sz="4"/>
          <w:insideV w:val="single" w:color="D8E1EC" w:sz="4"/>
        </w:tblBorders>
      </w:tblPr>
      <w:tblGrid>
        <w:gridCol w:w="100"/>
        <w:gridCol w:w="100"/>
      </w:tblGrid>
      <w:tr>
        <w:tc>
          <w:tcPr>
            <w:tcW w:type="dxa" w:w="2800"/>
            <w:shd w:fill="EFE3C8" w:val="clear"/>
            <w:tcMar>
              <w:top w:type="dxa" w:w="90"/>
              <w:left w:type="dxa" w:w="110"/>
              <w:bottom w:type="dxa" w:w="90"/>
              <w:right w:type="dxa" w:w="110"/>
            </w:tcMar>
            <w:vAlign w:val="center"/>
          </w:tcPr>
          <w:p>
            <w:r>
              <w:rPr>
                <w:b/>
                <w:bCs/>
                <w:color w:val="13294B"/>
                <w:sz w:val="20"/>
                <w:szCs w:val="20"/>
              </w:rPr>
              <w:t xml:space="preserve">Empresa / Organización</w:t>
            </w:r>
          </w:p>
        </w:tc>
        <w:tc>
          <w:tcPr>
            <w:tcW w:type="dxa" w:w="6800"/>
            <w:tcMar>
              <w:top w:type="dxa" w:w="90"/>
              <w:left w:type="dxa" w:w="110"/>
              <w:bottom w:type="dxa" w:w="90"/>
              <w:right w:type="dxa" w:w="110"/>
            </w:tcMar>
            <w:vAlign w:val="center"/>
          </w:tcPr>
          <w:p>
            <w:r>
              <w:rPr>
                <w:color w:val="1A2333"/>
                <w:sz w:val="20"/>
                <w:szCs w:val="20"/>
              </w:rPr>
              <w:t xml:space="preserve">LicitaWatch</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Proyecto</w:t>
            </w:r>
          </w:p>
        </w:tc>
        <w:tc>
          <w:tcPr>
            <w:tcW w:type="dxa" w:w="6800"/>
            <w:tcMar>
              <w:top w:type="dxa" w:w="90"/>
              <w:left w:type="dxa" w:w="110"/>
              <w:bottom w:type="dxa" w:w="90"/>
              <w:right w:type="dxa" w:w="110"/>
            </w:tcMar>
            <w:vAlign w:val="center"/>
          </w:tcPr>
          <w:p>
            <w:r>
              <w:rPr>
                <w:color w:val="1A2333"/>
                <w:sz w:val="20"/>
                <w:szCs w:val="20"/>
              </w:rPr>
              <w:t xml:space="preserve">Proyecto LicitaWatch — Plataforma Privada de Gestión de Licitaciones</w:t>
            </w:r>
          </w:p>
        </w:tc>
      </w:tr>
    </w:tbl>
    <w:p>
      <w:pPr>
        <w:spacing w:after="220"/>
      </w:pPr>
    </w:p>
    <w:p>
      <w:pPr>
        <w:spacing w:after="100" w:before="100"/>
      </w:pPr>
      <w:r>
        <w:rPr>
          <w:b/>
          <w:bCs/>
          <w:color w:val="13294B"/>
          <w:sz w:val="22"/>
          <w:szCs w:val="22"/>
        </w:rPr>
        <w:t xml:space="preserve">Información de la reunión:</w:t>
      </w:r>
    </w:p>
    <w:tbl>
      <w:tblPr>
        <w:tblW w:type="dxa" w:w="9600"/>
        <w:tblBorders>
          <w:top w:val="single" w:color="D8E1EC" w:sz="4"/>
          <w:left w:val="single" w:color="D8E1EC" w:sz="4"/>
          <w:bottom w:val="single" w:color="D8E1EC" w:sz="4"/>
          <w:right w:val="single" w:color="D8E1EC" w:sz="4"/>
          <w:insideH w:val="single" w:color="D8E1EC" w:sz="4"/>
          <w:insideV w:val="single" w:color="D8E1EC" w:sz="4"/>
        </w:tblBorders>
      </w:tblPr>
      <w:tblGrid>
        <w:gridCol w:w="100"/>
        <w:gridCol w:w="100"/>
      </w:tblGrid>
      <w:tr>
        <w:tc>
          <w:tcPr>
            <w:tcW w:type="dxa" w:w="2800"/>
            <w:shd w:fill="EFE3C8" w:val="clear"/>
            <w:tcMar>
              <w:top w:type="dxa" w:w="90"/>
              <w:left w:type="dxa" w:w="110"/>
              <w:bottom w:type="dxa" w:w="90"/>
              <w:right w:type="dxa" w:w="110"/>
            </w:tcMar>
            <w:vAlign w:val="center"/>
          </w:tcPr>
          <w:p>
            <w:r>
              <w:rPr>
                <w:b/>
                <w:bCs/>
                <w:color w:val="13294B"/>
                <w:sz w:val="20"/>
                <w:szCs w:val="20"/>
              </w:rPr>
              <w:t xml:space="preserve">Lugar</w:t>
            </w:r>
          </w:p>
        </w:tc>
        <w:tc>
          <w:tcPr>
            <w:tcW w:type="dxa" w:w="6800"/>
            <w:tcMar>
              <w:top w:type="dxa" w:w="90"/>
              <w:left w:type="dxa" w:w="110"/>
              <w:bottom w:type="dxa" w:w="90"/>
              <w:right w:type="dxa" w:w="110"/>
            </w:tcMar>
            <w:vAlign w:val="center"/>
          </w:tcPr>
          <w:p>
            <w:r>
              <w:rPr>
                <w:color w:val="1A2333"/>
                <w:sz w:val="20"/>
                <w:szCs w:val="20"/>
              </w:rPr>
              <w:t xml:space="preserve">Reunión virtual — Discord</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Fecha</w:t>
            </w:r>
          </w:p>
        </w:tc>
        <w:tc>
          <w:tcPr>
            <w:tcW w:type="dxa" w:w="6800"/>
            <w:tcMar>
              <w:top w:type="dxa" w:w="90"/>
              <w:left w:type="dxa" w:w="110"/>
              <w:bottom w:type="dxa" w:w="90"/>
              <w:right w:type="dxa" w:w="110"/>
            </w:tcMar>
            <w:vAlign w:val="center"/>
          </w:tcPr>
          <w:p>
            <w:r>
              <w:rPr>
                <w:color w:val="1A2333"/>
                <w:sz w:val="20"/>
                <w:szCs w:val="20"/>
              </w:rPr>
              <w:t>06-11-2026</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Número de iteración / sprint</w:t>
            </w:r>
          </w:p>
        </w:tc>
        <w:tc>
          <w:tcPr>
            <w:tcW w:type="dxa" w:w="6800"/>
            <w:tcMar>
              <w:top w:type="dxa" w:w="90"/>
              <w:left w:type="dxa" w:w="110"/>
              <w:bottom w:type="dxa" w:w="90"/>
              <w:right w:type="dxa" w:w="110"/>
            </w:tcMar>
            <w:vAlign w:val="center"/>
          </w:tcPr>
          <w:p>
            <w:r>
              <w:rPr>
                <w:color w:val="1A2333"/>
                <w:sz w:val="20"/>
                <w:szCs w:val="20"/>
              </w:rPr>
              <w:t xml:space="preserve">5 Sprint</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Personas convocadas a la reunión</w:t>
            </w:r>
          </w:p>
        </w:tc>
        <w:tc>
          <w:tcPr>
            <w:tcW w:type="dxa" w:w="6800"/>
            <w:tcMar>
              <w:top w:type="dxa" w:w="90"/>
              <w:left w:type="dxa" w:w="110"/>
              <w:bottom w:type="dxa" w:w="90"/>
              <w:right w:type="dxa" w:w="110"/>
            </w:tcMar>
            <w:vAlign w:val="center"/>
          </w:tcPr>
          <w:p>
            <w:r>
              <w:rPr>
                <w:color w:val="1A2333"/>
                <w:sz w:val="20"/>
                <w:szCs w:val="20"/>
              </w:rPr>
              <w:t xml:space="preserve">Pablo Baez, Daniel Roman, Gonzalo Palacios</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Personas que asistieron a la reunión</w:t>
            </w:r>
          </w:p>
        </w:tc>
        <w:tc>
          <w:tcPr>
            <w:tcW w:type="dxa" w:w="6800"/>
            <w:tcMar>
              <w:top w:type="dxa" w:w="90"/>
              <w:left w:type="dxa" w:w="110"/>
              <w:bottom w:type="dxa" w:w="90"/>
              <w:right w:type="dxa" w:w="110"/>
            </w:tcMar>
            <w:vAlign w:val="center"/>
          </w:tcPr>
          <w:p>
            <w:r>
              <w:rPr>
                <w:color w:val="1A2333"/>
                <w:sz w:val="20"/>
                <w:szCs w:val="20"/>
              </w:rPr>
              <w:t xml:space="preserve">Pablo Baez, Daniel Roman, Gonzalo Palacios</w:t>
            </w:r>
          </w:p>
        </w:tc>
      </w:tr>
    </w:tbl>
    <w:p>
      <w:pPr>
        <w:spacing w:after="220"/>
      </w:pPr>
    </w:p>
    <w:p>
      <w:pPr>
        <w:spacing w:after="100" w:before="100"/>
      </w:pPr>
      <w:r>
        <w:rPr>
          <w:b/>
          <w:bCs/>
          <w:color w:val="13294B"/>
          <w:sz w:val="22"/>
          <w:szCs w:val="22"/>
        </w:rPr>
        <w:t xml:space="preserve">Instrucciones:</w:t>
      </w:r>
    </w:p>
    <w:p>
      <w:pPr>
        <w:spacing w:after="140" w:line="280"/>
        <w:jc w:val="both"/>
      </w:pPr>
      <w:r>
        <w:rPr>
          <w:color w:val="1A2333"/>
          <w:sz w:val="20"/>
          <w:szCs w:val="20"/>
        </w:rPr>
        <w:t xml:space="preserve">La reunión retrospectiva es una herramienta del marco de trabajo Scrum, que pertenece a la familia de marcos de trabajo de desarrollo ágil. Se realiza en cada iteración (denominada Sprint en Scrum), justo después de la reunión de revisión de la iteración (Sprint Review) con el dueño del producto (Product Owner). En esta reunión deben revisarse tres aspectos: lo que salió bien durante la iteración (aciertos), lo que no salió tan bien (errores) y las mejoras que pudieran implementarse en la próxima iteración para evitar errores y mantener aciertos.</w:t>
      </w:r>
    </w:p>
    <w:p>
      <w:pPr>
        <w:spacing w:after="140" w:line="280"/>
        <w:jc w:val="both"/>
      </w:pPr>
      <w:r>
        <w:rPr>
          <w:color w:val="1A2333"/>
          <w:sz w:val="20"/>
          <w:szCs w:val="20"/>
        </w:rPr>
        <w:t xml:space="preserve">El dueño del producto (Product Owner) no asiste a esta reunión, por lo que es una oportunidad para que el equipo hable con franqueza de sus éxitos y dificultades, siendo importante analizar el propio desempeño e identificar estrategias de mejora. De forma similar, el Scrum Master puede observar impedimentos comunes que están afectando al equipo y tomar acciones para resolverlos.</w:t>
      </w:r>
    </w:p>
    <w:p>
      <w:pPr>
        <w:spacing w:after="140" w:line="280"/>
        <w:jc w:val="both"/>
      </w:pPr>
      <w:r>
        <w:rPr>
          <w:color w:val="1A2333"/>
          <w:sz w:val="20"/>
          <w:szCs w:val="20"/>
        </w:rPr>
        <w:t xml:space="preserve">La reunión usualmente se restringe a tres horas.</w:t>
      </w:r>
    </w:p>
    <w:p>
      <w:r>
        <w:br w:type="page"/>
      </w:r>
    </w:p>
    <w:p>
      <w:pPr>
        <w:spacing w:after="100" w:before="0"/>
      </w:pPr>
      <w:r>
        <w:rPr>
          <w:b/>
          <w:bCs/>
          <w:color w:val="13294B"/>
          <w:sz w:val="24"/>
          <w:szCs w:val="24"/>
        </w:rPr>
        <w:t xml:space="preserve">Formulario de reunión retrospectiva</w:t>
      </w:r>
    </w:p>
    <w:p>
      <w:pPr>
        <w:spacing w:after="140" w:line="280"/>
        <w:jc w:val="both"/>
      </w:pPr>
      <w:r>
        <w:rPr>
          <w:i/>
          <w:iCs/>
          <w:color w:val="5C6B7A"/>
          <w:sz w:val="20"/>
          <w:szCs w:val="20"/>
        </w:rPr>
        <w:t>Tema del Sprint 5: suscripción y pago en línea, documentos adjuntos y detalle del plan.</w:t>
      </w:r>
    </w:p>
    <w:tbl>
      <w:tblPr>
        <w:tblW w:type="dxa" w:w="9600"/>
        <w:tblBorders>
          <w:top w:val="single" w:color="D8E1EC" w:sz="4"/>
          <w:left w:val="single" w:color="D8E1EC" w:sz="4"/>
          <w:bottom w:val="single" w:color="D8E1EC" w:sz="4"/>
          <w:right w:val="single" w:color="D8E1EC" w:sz="4"/>
          <w:insideH w:val="single" w:color="D8E1EC" w:sz="4"/>
          <w:insideV w:val="single" w:color="D8E1EC" w:sz="4"/>
        </w:tblBorders>
      </w:tblPr>
      <w:tblGrid>
        <w:gridCol w:w="100"/>
        <w:gridCol w:w="100"/>
        <w:gridCol w:w="100"/>
        <w:gridCol w:w="100"/>
      </w:tblGrid>
      <w:tr>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salió bien en la iteración? (aciertos)</w:t>
            </w:r>
          </w:p>
        </w:tc>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no salió bien en la iteración? (errores)</w:t>
            </w:r>
          </w:p>
        </w:tc>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problemas tenemos para progresar correctamente en el último Sprint?</w:t>
            </w:r>
          </w:p>
        </w:tc>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mejoras vamos a implementar en la próxima iteración? (recomendaciones de mejora continua)</w:t>
            </w:r>
          </w:p>
        </w:tc>
      </w:tr>
      <w:tr>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La integración con la pasarela de pago externa se logró exitosamente, incluyendo los casos de pago exitoso y rechazado, con el plan Estándar gratuito y el Premium de pago.</w:t>
            </w:r>
          </w:p>
          <w:p>
            <w:pPr>
              <w:pStyle w:val="ListParagraph"/>
              <w:numPr>
                <w:ilvl w:val="0"/>
                <w:numId w:val="2"/>
              </w:numPr>
              <w:spacing w:after="90" w:line="264"/>
            </w:pPr>
            <w:r>
              <w:rPr>
                <w:color w:val="1A2333"/>
                <w:sz w:val="19"/>
                <w:szCs w:val="19"/>
              </w:rPr>
              <w:t>Los documentos adjuntos en las licitaciones y el detalle del plan para la Pyme se completaron junto a la historia de pago, dentro de la capacidad del sprint (104 horas).</w:t>
            </w:r>
          </w:p>
        </w:tc>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La primera integración con la pasarela falló por un error de configuración de las credenciales de prueba (IMP-009) y el webhook de confirmación no se ejecutaba en el ambiente local (IMP-010).</w:t>
            </w:r>
          </w:p>
          <w:p>
            <w:pPr>
              <w:pStyle w:val="ListParagraph"/>
              <w:numPr>
                <w:ilvl w:val="0"/>
                <w:numId w:val="2"/>
              </w:numPr>
              <w:spacing w:after="90" w:line="264"/>
            </w:pPr>
            <w:r>
              <w:rPr>
                <w:color w:val="1A2333"/>
                <w:sz w:val="19"/>
                <w:szCs w:val="19"/>
              </w:rPr>
              <w:t>No se documentó el proceso de configuración del ambiente de pruebas, dificultando el trabajo en paralelo.</w:t>
            </w:r>
          </w:p>
        </w:tc>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La dependencia de un servicio externo generó tiempos de espera no planificados.</w:t>
            </w:r>
          </w:p>
          <w:p>
            <w:pPr>
              <w:pStyle w:val="ListParagraph"/>
              <w:numPr>
                <w:ilvl w:val="0"/>
                <w:numId w:val="2"/>
              </w:numPr>
              <w:spacing w:after="90" w:line="264"/>
            </w:pPr>
            <w:r>
              <w:rPr>
                <w:color w:val="1A2333"/>
                <w:sz w:val="19"/>
                <w:szCs w:val="19"/>
              </w:rPr>
              <w:t>Las pruebas funcionales del flujo de pago, y la validación de formato y tamaño de los archivos adjuntos, fueron más complejas de lo estimado inicialmente.</w:t>
            </w:r>
          </w:p>
        </w:tc>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Documentar la configuración de servicios externos apenas se resuelva, para no depender de una sola persona.</w:t>
            </w:r>
          </w:p>
          <w:p>
            <w:pPr>
              <w:pStyle w:val="ListParagraph"/>
              <w:numPr>
                <w:ilvl w:val="0"/>
                <w:numId w:val="2"/>
              </w:numPr>
              <w:spacing w:after="90" w:line="264"/>
            </w:pPr>
            <w:r>
              <w:rPr>
                <w:color w:val="1A2333"/>
                <w:sz w:val="19"/>
                <w:szCs w:val="19"/>
              </w:rPr>
              <w:t>Reservar un margen de tiempo adicional cuando una historia dependa de un servicio externo y acordar desde el inicio los formatos y el tamaño máximo permitidos para los archivos.</w:t>
            </w:r>
          </w:p>
        </w:tc>
      </w:tr>
    </w:tbl>
    <w:p>
      <w:pPr>
        <w:spacing w:after="80" w:before="220"/>
      </w:pPr>
      <w:r>
        <w:rPr>
          <w:b/>
          <w:bCs/>
          <w:color w:val="13294B"/>
          <w:sz w:val="20"/>
          <w:szCs w:val="20"/>
        </w:rPr>
        <w:t xml:space="preserve">Nota:</w:t>
      </w:r>
    </w:p>
    <w:p>
      <w:pPr>
        <w:pStyle w:val="ListParagraph"/>
        <w:numPr>
          <w:ilvl w:val="0"/>
          <w:numId w:val="2"/>
        </w:numPr>
        <w:spacing w:after="60" w:line="260"/>
      </w:pPr>
      <w:r>
        <w:rPr>
          <w:color w:val="5C6B7A"/>
          <w:sz w:val="19"/>
          <w:szCs w:val="19"/>
        </w:rPr>
        <w:t xml:space="preserve">Se recomienda utilizar viñetas (bullets) para enumerar los aciertos, errores y recomendaciones de mejora continua.</w:t>
      </w:r>
    </w:p>
    <w:p>
      <w:pPr>
        <w:pStyle w:val="ListParagraph"/>
        <w:numPr>
          <w:ilvl w:val="0"/>
          <w:numId w:val="2"/>
        </w:numPr>
        <w:spacing w:after="60" w:line="260"/>
      </w:pPr>
      <w:r>
        <w:rPr>
          <w:color w:val="5C6B7A"/>
          <w:sz w:val="19"/>
          <w:szCs w:val="19"/>
        </w:rPr>
        <w:t xml:space="preserve">El formulario se puede extender cuantas páginas sea necesario para registrar todos los aciertos, errores y recomendaciones.</w:t>
      </w:r>
    </w:p>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2026-09-27T18:54:25.497Z</dcterms:created>
  <dcterms:modified xsi:type="dcterms:W3CDTF">2026-09-27T18:54:25.497Z</dcterms:modified>
</cp:coreProperties>
</file>

<file path=docProps/custom.xml><?xml version="1.0" encoding="utf-8"?>
<Properties xmlns="http://schemas.openxmlformats.org/officeDocument/2006/custom-properties" xmlns:vt="http://schemas.openxmlformats.org/officeDocument/2006/docPropsVTypes"/>
</file>