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color w:val="1A2333"/>
          <w:sz w:val="30"/>
          <w:szCs w:val="30"/>
        </w:rPr>
        <w:t xml:space="preserve">Resumen de la</w:t>
      </w:r>
    </w:p>
    <w:p>
      <w:pPr>
        <w:spacing w:after="40"/>
        <w:jc w:val="center"/>
      </w:pPr>
      <w:r>
        <w:rPr>
          <w:b/>
          <w:bCs/>
          <w:color w:val="13294B"/>
          <w:sz w:val="34"/>
          <w:szCs w:val="34"/>
        </w:rPr>
        <w:t xml:space="preserve">Reunión Retrospectiva</w:t>
      </w:r>
    </w:p>
    <w:p>
      <w:pPr>
        <w:spacing w:after="260"/>
        <w:jc w:val="center"/>
      </w:pPr>
      <w:r>
        <w:rPr>
          <w:b/>
          <w:bCs/>
          <w:i/>
          <w:iCs/>
          <w:color w:val="D4A24C"/>
          <w:sz w:val="22"/>
          <w:szCs w:val="22"/>
        </w:rPr>
        <w:t xml:space="preserve">Sprint 6 — LicitaWatch</w:t>
      </w:r>
    </w:p>
    <w:p>
      <w:pPr>
        <w:spacing w:after="100" w:before="100"/>
      </w:pPr>
      <w:r>
        <w:rPr>
          <w:b/>
          <w:bCs/>
          <w:color w:val="13294B"/>
          <w:sz w:val="22"/>
          <w:szCs w:val="22"/>
        </w:rPr>
        <w:t xml:space="preserve">Información de la empresa y proyecto:</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tblGrid>
      <w:tr>
        <w:tc>
          <w:tcPr>
            <w:tcW w:type="dxa" w:w="2800"/>
            <w:shd w:fill="EFE3C8" w:val="clear"/>
            <w:tcMar>
              <w:top w:type="dxa" w:w="90"/>
              <w:left w:type="dxa" w:w="110"/>
              <w:bottom w:type="dxa" w:w="90"/>
              <w:right w:type="dxa" w:w="110"/>
            </w:tcMar>
            <w:vAlign w:val="center"/>
          </w:tcPr>
          <w:p>
            <w:r>
              <w:rPr>
                <w:b/>
                <w:bCs/>
                <w:color w:val="13294B"/>
                <w:sz w:val="20"/>
                <w:szCs w:val="20"/>
              </w:rPr>
              <w:t xml:space="preserve">Empresa / Organización</w:t>
            </w:r>
          </w:p>
        </w:tc>
        <w:tc>
          <w:tcPr>
            <w:tcW w:type="dxa" w:w="6800"/>
            <w:tcMar>
              <w:top w:type="dxa" w:w="90"/>
              <w:left w:type="dxa" w:w="110"/>
              <w:bottom w:type="dxa" w:w="90"/>
              <w:right w:type="dxa" w:w="110"/>
            </w:tcMar>
            <w:vAlign w:val="center"/>
          </w:tcPr>
          <w:p>
            <w:r>
              <w:rPr>
                <w:color w:val="1A2333"/>
                <w:sz w:val="20"/>
                <w:szCs w:val="20"/>
              </w:rPr>
              <w:t xml:space="preserve">LicitaWatch</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Proyecto</w:t>
            </w:r>
          </w:p>
        </w:tc>
        <w:tc>
          <w:tcPr>
            <w:tcW w:type="dxa" w:w="6800"/>
            <w:tcMar>
              <w:top w:type="dxa" w:w="90"/>
              <w:left w:type="dxa" w:w="110"/>
              <w:bottom w:type="dxa" w:w="90"/>
              <w:right w:type="dxa" w:w="110"/>
            </w:tcMar>
            <w:vAlign w:val="center"/>
          </w:tcPr>
          <w:p>
            <w:r>
              <w:rPr>
                <w:color w:val="1A2333"/>
                <w:sz w:val="20"/>
                <w:szCs w:val="20"/>
              </w:rPr>
              <w:t xml:space="preserve">Proyecto LicitaWatch — Plataforma Privada de Gestión de Licitaciones</w:t>
            </w:r>
          </w:p>
        </w:tc>
      </w:tr>
    </w:tbl>
    <w:p>
      <w:pPr>
        <w:spacing w:after="220"/>
      </w:pPr>
    </w:p>
    <w:p>
      <w:pPr>
        <w:spacing w:after="100" w:before="100"/>
      </w:pPr>
      <w:r>
        <w:rPr>
          <w:b/>
          <w:bCs/>
          <w:color w:val="13294B"/>
          <w:sz w:val="22"/>
          <w:szCs w:val="22"/>
        </w:rPr>
        <w:t xml:space="preserve">Información de la reunión:</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tblGrid>
      <w:tr>
        <w:tc>
          <w:tcPr>
            <w:tcW w:type="dxa" w:w="2800"/>
            <w:shd w:fill="EFE3C8" w:val="clear"/>
            <w:tcMar>
              <w:top w:type="dxa" w:w="90"/>
              <w:left w:type="dxa" w:w="110"/>
              <w:bottom w:type="dxa" w:w="90"/>
              <w:right w:type="dxa" w:w="110"/>
            </w:tcMar>
            <w:vAlign w:val="center"/>
          </w:tcPr>
          <w:p>
            <w:r>
              <w:rPr>
                <w:b/>
                <w:bCs/>
                <w:color w:val="13294B"/>
                <w:sz w:val="20"/>
                <w:szCs w:val="20"/>
              </w:rPr>
              <w:t xml:space="preserve">Lugar</w:t>
            </w:r>
          </w:p>
        </w:tc>
        <w:tc>
          <w:tcPr>
            <w:tcW w:type="dxa" w:w="6800"/>
            <w:tcMar>
              <w:top w:type="dxa" w:w="90"/>
              <w:left w:type="dxa" w:w="110"/>
              <w:bottom w:type="dxa" w:w="90"/>
              <w:right w:type="dxa" w:w="110"/>
            </w:tcMar>
            <w:vAlign w:val="center"/>
          </w:tcPr>
          <w:p>
            <w:r>
              <w:rPr>
                <w:color w:val="1A2333"/>
                <w:sz w:val="20"/>
                <w:szCs w:val="20"/>
              </w:rPr>
              <w:t xml:space="preserve">Reunión virtual — Discord</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Fecha</w:t>
            </w:r>
          </w:p>
        </w:tc>
        <w:tc>
          <w:tcPr>
            <w:tcW w:type="dxa" w:w="6800"/>
            <w:tcMar>
              <w:top w:type="dxa" w:w="90"/>
              <w:left w:type="dxa" w:w="110"/>
              <w:bottom w:type="dxa" w:w="90"/>
              <w:right w:type="dxa" w:w="110"/>
            </w:tcMar>
            <w:vAlign w:val="center"/>
          </w:tcPr>
          <w:p>
            <w:r>
              <w:rPr>
                <w:color w:val="1A2333"/>
                <w:sz w:val="20"/>
                <w:szCs w:val="20"/>
              </w:rPr>
              <w:t>20-11-2026</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Número de iteración / sprint</w:t>
            </w:r>
          </w:p>
        </w:tc>
        <w:tc>
          <w:tcPr>
            <w:tcW w:type="dxa" w:w="6800"/>
            <w:tcMar>
              <w:top w:type="dxa" w:w="90"/>
              <w:left w:type="dxa" w:w="110"/>
              <w:bottom w:type="dxa" w:w="90"/>
              <w:right w:type="dxa" w:w="110"/>
            </w:tcMar>
            <w:vAlign w:val="center"/>
          </w:tcPr>
          <w:p>
            <w:r>
              <w:rPr>
                <w:color w:val="1A2333"/>
                <w:sz w:val="20"/>
                <w:szCs w:val="20"/>
              </w:rPr>
              <w:t xml:space="preserve">6 Sprint</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Personas convocadas a la reunión</w:t>
            </w:r>
          </w:p>
        </w:tc>
        <w:tc>
          <w:tcPr>
            <w:tcW w:type="dxa" w:w="6800"/>
            <w:tcMar>
              <w:top w:type="dxa" w:w="90"/>
              <w:left w:type="dxa" w:w="110"/>
              <w:bottom w:type="dxa" w:w="90"/>
              <w:right w:type="dxa" w:w="110"/>
            </w:tcMar>
            <w:vAlign w:val="center"/>
          </w:tcPr>
          <w:p>
            <w:r>
              <w:rPr>
                <w:color w:val="1A2333"/>
                <w:sz w:val="20"/>
                <w:szCs w:val="20"/>
              </w:rPr>
              <w:t xml:space="preserve">Pablo Baez, Daniel Roman, Gonzalo Palacios</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Personas que asistieron a la reunión</w:t>
            </w:r>
          </w:p>
        </w:tc>
        <w:tc>
          <w:tcPr>
            <w:tcW w:type="dxa" w:w="6800"/>
            <w:tcMar>
              <w:top w:type="dxa" w:w="90"/>
              <w:left w:type="dxa" w:w="110"/>
              <w:bottom w:type="dxa" w:w="90"/>
              <w:right w:type="dxa" w:w="110"/>
            </w:tcMar>
            <w:vAlign w:val="center"/>
          </w:tcPr>
          <w:p>
            <w:r>
              <w:rPr>
                <w:color w:val="1A2333"/>
                <w:sz w:val="20"/>
                <w:szCs w:val="20"/>
              </w:rPr>
              <w:t xml:space="preserve">Pablo Baez, Daniel Roman, Gonzalo Palacios</w:t>
            </w:r>
          </w:p>
        </w:tc>
      </w:tr>
    </w:tbl>
    <w:p>
      <w:pPr>
        <w:spacing w:after="220"/>
      </w:pPr>
    </w:p>
    <w:p>
      <w:pPr>
        <w:spacing w:after="100" w:before="100"/>
      </w:pPr>
      <w:r>
        <w:rPr>
          <w:b/>
          <w:bCs/>
          <w:color w:val="13294B"/>
          <w:sz w:val="22"/>
          <w:szCs w:val="22"/>
        </w:rPr>
        <w:t xml:space="preserve">Instrucciones:</w:t>
      </w:r>
    </w:p>
    <w:p>
      <w:pPr>
        <w:spacing w:after="140" w:line="280"/>
        <w:jc w:val="both"/>
      </w:pPr>
      <w:r>
        <w:rPr>
          <w:color w:val="1A2333"/>
          <w:sz w:val="20"/>
          <w:szCs w:val="20"/>
        </w:rPr>
        <w:t xml:space="preserve">La reunión retrospectiva es una herramienta del marco de trabajo Scrum, que pertenece a la familia de marcos de trabajo de desarrollo ágil. Se realiza en cada iteración (denominada Sprint en Scrum), justo después de la reunión de revisión de la iteración (Sprint Review) con el dueño del producto (Product Owner). En esta reunión deben revisarse tres aspectos: lo que salió bien durante la iteración (aciertos), lo que no salió tan bien (errores) y las mejoras que pudieran implementarse en la próxima iteración para evitar errores y mantener aciertos.</w:t>
      </w:r>
    </w:p>
    <w:p>
      <w:pPr>
        <w:spacing w:after="140" w:line="280"/>
        <w:jc w:val="both"/>
      </w:pPr>
      <w:r>
        <w:rPr>
          <w:color w:val="1A2333"/>
          <w:sz w:val="20"/>
          <w:szCs w:val="20"/>
        </w:rPr>
        <w:t xml:space="preserve">El dueño del producto (Product Owner) no asiste a esta reunión, por lo que es una oportunidad para que el equipo hable con franqueza de sus éxitos y dificultades, siendo importante analizar el propio desempeño e identificar estrategias de mejora. De forma similar, el Scrum Master puede observar impedimentos comunes que están afectando al equipo y tomar acciones para resolverlos.</w:t>
      </w:r>
    </w:p>
    <w:p>
      <w:pPr>
        <w:spacing w:after="140" w:line="280"/>
        <w:jc w:val="both"/>
      </w:pPr>
      <w:r>
        <w:rPr>
          <w:color w:val="1A2333"/>
          <w:sz w:val="20"/>
          <w:szCs w:val="20"/>
        </w:rPr>
        <w:t xml:space="preserve">La reunión usualmente se restringe a tres horas.</w:t>
      </w:r>
    </w:p>
    <w:p>
      <w:r>
        <w:br w:type="page"/>
      </w:r>
    </w:p>
    <w:p>
      <w:pPr>
        <w:spacing w:after="100" w:before="0"/>
      </w:pPr>
      <w:r>
        <w:rPr>
          <w:b/>
          <w:bCs/>
          <w:color w:val="13294B"/>
          <w:sz w:val="24"/>
          <w:szCs w:val="24"/>
        </w:rPr>
        <w:t xml:space="preserve">Formulario de reunión retrospectiva</w:t>
      </w:r>
    </w:p>
    <w:p>
      <w:pPr>
        <w:spacing w:after="140" w:line="280"/>
        <w:jc w:val="both"/>
      </w:pPr>
      <w:r>
        <w:rPr>
          <w:i/>
          <w:iCs/>
          <w:color w:val="5C6B7A"/>
          <w:sz w:val="20"/>
          <w:szCs w:val="20"/>
        </w:rPr>
        <w:t>Tema del Sprint 6: LicitAsist (IA), notificaciones automáticas, chat entre Licitador y Pyme y edición de perfil.</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gridCol w:w="100"/>
        <w:gridCol w:w="100"/>
      </w:tblGrid>
      <w:tr>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salió bien en la iteración? (aciertos)</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no salió bien en la iteración? (errores)</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problemas tenemos para progresar correctamente en el último Sprint?</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mejoras vamos a implementar en la próxima iteración? (recomendaciones de mejora continua)</w:t>
            </w:r>
          </w:p>
        </w:tc>
      </w:tr>
      <w:tr>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Se logró integrar la API de inteligencia artificial (Groq) para LicitAsist, incluido en el plan Premium, y las notificaciones automáticas quedaron funcionando con sus tres eventos: licitación, postulación y pago.</w:t>
            </w:r>
          </w:p>
          <w:p>
            <w:pPr>
              <w:pStyle w:val="ListParagraph"/>
              <w:numPr>
                <w:ilvl w:val="0"/>
                <w:numId w:val="2"/>
              </w:numPr>
              <w:spacing w:after="90" w:line="264"/>
            </w:pPr>
            <w:r>
              <w:rPr>
                <w:color w:val="1A2333"/>
                <w:sz w:val="19"/>
                <w:szCs w:val="19"/>
              </w:rPr>
              <w:t>Se incorporó el chat privado, que se abre al adjudicar la licitación y solo permite acceso a sus dos participantes, y la edición de perfil. Se completaron las 18 historias de usuario planificadas (75 puntos, 600 horas).</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El límite de uso gratuito de la API de IA se detectó recién a mitad del sprint (IMP-011), cuando debió probarse desde el inicio.</w:t>
            </w:r>
          </w:p>
          <w:p>
            <w:pPr>
              <w:pStyle w:val="ListParagraph"/>
              <w:numPr>
                <w:ilvl w:val="0"/>
                <w:numId w:val="2"/>
              </w:numPr>
              <w:spacing w:after="90" w:line="264"/>
            </w:pPr>
            <w:r>
              <w:rPr>
                <w:color w:val="1A2333"/>
                <w:sz w:val="19"/>
                <w:szCs w:val="19"/>
              </w:rPr>
              <w:t>Algunas notificaciones llegaban duplicadas cuando ocurrían dos eventos en un periodo de tiempo muy corto (IMP-012), y la solución sigue en proceso.</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Fue el sprint de mayor carga: 160 horas con cuatro historias, muy por sobre la capacidad estimada de 105 horas.</w:t>
            </w:r>
          </w:p>
          <w:p>
            <w:pPr>
              <w:pStyle w:val="ListParagraph"/>
              <w:numPr>
                <w:ilvl w:val="0"/>
                <w:numId w:val="2"/>
              </w:numPr>
              <w:spacing w:after="90" w:line="264"/>
            </w:pPr>
            <w:r>
              <w:rPr>
                <w:color w:val="1A2333"/>
                <w:sz w:val="19"/>
                <w:szCs w:val="19"/>
              </w:rPr>
              <w:t>Al ser el último sprint, quedó poco margen para corregir incidencias detectadas tardíamente, y la dependencia del nivel gratuito de la IA limitó las pruebas más exhaustivas.</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En un futuro proyecto, probar los límites de los servicios externos gratuitos desde el inicio, no al final, y repartir la carga para que ningún sprint concentre tantas historias.</w:t>
            </w:r>
          </w:p>
          <w:p>
            <w:pPr>
              <w:pStyle w:val="ListParagraph"/>
              <w:numPr>
                <w:ilvl w:val="0"/>
                <w:numId w:val="2"/>
              </w:numPr>
              <w:spacing w:after="90" w:line="264"/>
            </w:pPr>
            <w:r>
              <w:rPr>
                <w:color w:val="1A2333"/>
                <w:sz w:val="19"/>
                <w:szCs w:val="19"/>
              </w:rPr>
              <w:t>Reservar siempre un sprint (o parte de uno) exclusivamente para estabilización antes del cierre del proyecto.</w:t>
            </w:r>
          </w:p>
        </w:tc>
      </w:tr>
    </w:tbl>
    <w:p>
      <w:pPr>
        <w:spacing w:after="80" w:before="220"/>
      </w:pPr>
      <w:r>
        <w:rPr>
          <w:b/>
          <w:bCs/>
          <w:color w:val="13294B"/>
          <w:sz w:val="20"/>
          <w:szCs w:val="20"/>
        </w:rPr>
        <w:t xml:space="preserve">Nota:</w:t>
      </w:r>
    </w:p>
    <w:p>
      <w:pPr>
        <w:pStyle w:val="ListParagraph"/>
        <w:numPr>
          <w:ilvl w:val="0"/>
          <w:numId w:val="2"/>
        </w:numPr>
        <w:spacing w:after="60" w:line="260"/>
      </w:pPr>
      <w:r>
        <w:rPr>
          <w:color w:val="5C6B7A"/>
          <w:sz w:val="19"/>
          <w:szCs w:val="19"/>
        </w:rPr>
        <w:t xml:space="preserve">Se recomienda utilizar viñetas (bullets) para enumerar los aciertos, errores y recomendaciones de mejora continua.</w:t>
      </w:r>
    </w:p>
    <w:p>
      <w:pPr>
        <w:pStyle w:val="ListParagraph"/>
        <w:numPr>
          <w:ilvl w:val="0"/>
          <w:numId w:val="2"/>
        </w:numPr>
        <w:spacing w:after="60" w:line="260"/>
      </w:pPr>
      <w:r>
        <w:rPr>
          <w:color w:val="5C6B7A"/>
          <w:sz w:val="19"/>
          <w:szCs w:val="19"/>
        </w:rPr>
        <w:t xml:space="preserve">El formulario se puede extender cuantas páginas sea necesario para registrar todos los aciertos, errores y recomendaciones.</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2026-09-27T18:54:25.508Z</dcterms:created>
  <dcterms:modified xsi:type="dcterms:W3CDTF">2026-09-27T18:54:25.508Z</dcterms:modified>
</cp:coreProperties>
</file>

<file path=docProps/custom.xml><?xml version="1.0" encoding="utf-8"?>
<Properties xmlns="http://schemas.openxmlformats.org/officeDocument/2006/custom-properties" xmlns:vt="http://schemas.openxmlformats.org/officeDocument/2006/docPropsVTypes"/>
</file>