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13294B"/>
          <w:sz w:val="26"/>
          <w:szCs w:val="26"/>
        </w:rPr>
        <w:t xml:space="preserve">PROYECTO LICITAWATCH — VISIÓN DEL PROYECTO Y PILARES</w:t>
      </w:r>
    </w:p>
    <w:p>
      <w:pPr>
        <w:spacing w:after="360"/>
        <w:jc w:val="center"/>
      </w:pPr>
      <w:r>
        <w:rPr>
          <w:b/>
          <w:bCs/>
          <w:color w:val="D4A24C"/>
          <w:sz w:val="22"/>
          <w:szCs w:val="22"/>
        </w:rPr>
        <w:t xml:space="preserve">Plataforma privada de gestión de licitaciones</w:t>
      </w:r>
    </w:p>
    <w:tbl>
      <w:tblPr>
        <w:tblW w:type="dxa" w:w="14000"/>
        <w:tblBorders>
          <w:top w:val="single" w:color="D8E1EC" w:sz="4"/>
          <w:left w:val="single" w:color="D8E1EC" w:sz="4"/>
          <w:bottom w:val="single" w:color="D8E1EC" w:sz="4"/>
          <w:right w:val="single" w:color="D8E1EC" w:sz="4"/>
          <w:insideH w:val="single" w:color="D8E1EC" w:sz="4"/>
          <w:insideV w:val="single" w:color="D8E1EC" w:sz="4"/>
        </w:tblBorders>
      </w:tblPr>
      <w:tblGrid>
        <w:gridCol w:w="100"/>
      </w:tblGrid>
      <w:tr>
        <w:tc>
          <w:tcPr>
            <w:tcW w:type="dxa" w:w="14000"/>
            <w:shd w:fill="13294B" w:val="clear"/>
            <w:tcMar>
              <w:top w:type="dxa" w:w="120"/>
              <w:left w:type="dxa" w:w="160"/>
              <w:bottom w:type="dxa" w:w="120"/>
              <w:right w:type="dxa" w:w="160"/>
            </w:tcMar>
          </w:tcPr>
          <w:p>
            <w:pPr>
              <w:jc w:val="center"/>
            </w:pPr>
            <w:r>
              <w:rPr>
                <w:b/>
                <w:bCs/>
                <w:color w:val="FFFFFF"/>
                <w:sz w:val="24"/>
                <w:szCs w:val="24"/>
              </w:rPr>
              <w:t xml:space="preserve">Visión</w:t>
            </w:r>
          </w:p>
        </w:tc>
      </w:tr>
      <w:tr>
        <w:tc>
          <w:tcPr>
            <w:tcW w:type="dxa" w:w="14000"/>
            <w:shd w:fill="F7F8FA" w:val="clear"/>
            <w:tcMar>
              <w:top w:type="dxa" w:w="220"/>
              <w:left w:type="dxa" w:w="220"/>
              <w:bottom w:type="dxa" w:w="220"/>
              <w:right w:type="dxa" w:w="220"/>
            </w:tcMar>
          </w:tcPr>
          <w:p>
            <w:pPr>
              <w:spacing w:line="300"/>
              <w:jc w:val="both"/>
            </w:pPr>
            <w:r>
              <w:rPr>
                <w:color w:val="1A2333"/>
                <w:sz w:val="22"/>
                <w:szCs w:val="22"/>
              </w:rPr>
              <w:t xml:space="preserve">Nuestra visión es desarrollar una plataforma web privada, basada en microservicios, que centralice la publicación y postulación a licitaciones entre empresas — conectando a licitadores que necesitan contratar obras, servicios o insumos con pymes que buscan oportunidades de negocio. Buscamos que LicitaWatch sea una plataforma confiable, segura y fácil de usar que digitalice un proceso hoy disperso y manual, integrando autenticación por roles, planes de suscripción, una pasarela de pago propia y un asistente de inteligencia artificial que facilite tanto la publicación como la postulación a licitaciones.</w:t>
            </w:r>
          </w:p>
        </w:tc>
      </w:tr>
    </w:tbl>
    <w:p>
      <w:pPr>
        <w:spacing w:after="300"/>
      </w:pPr>
    </w:p>
    <w:tbl>
      <w:tblPr>
        <w:tblW w:type="dxa" w:w="140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gridCol w:w="100"/>
        <w:gridCol w:w="100"/>
      </w:tblGrid>
      <w:tr>
        <w:tc>
          <w:tcPr>
            <w:tcW w:type="dxa" w:w="14000"/>
            <w:gridSpan w:val="4"/>
            <w:shd w:fill="13294B" w:val="clear"/>
            <w:tcMar>
              <w:top w:type="dxa" w:w="120"/>
              <w:left w:type="dxa" w:w="160"/>
              <w:bottom w:type="dxa" w:w="120"/>
              <w:right w:type="dxa" w:w="160"/>
            </w:tcMar>
          </w:tcPr>
          <w:p>
            <w:pPr>
              <w:jc w:val="center"/>
            </w:pPr>
            <w:r>
              <w:rPr>
                <w:b/>
                <w:bCs/>
                <w:color w:val="FFFFFF"/>
                <w:sz w:val="24"/>
                <w:szCs w:val="24"/>
              </w:rPr>
              <w:t xml:space="preserve">Pilares del proyecto</w:t>
            </w:r>
          </w:p>
        </w:tc>
      </w:tr>
      <w:tr>
        <w:tc>
          <w:tcPr>
            <w:tcW w:type="dxa" w:w="3500"/>
            <w:shd w:fill="EFE3C8" w:val="clear"/>
            <w:tcMar>
              <w:top w:type="dxa" w:w="160"/>
              <w:left w:type="dxa" w:w="140"/>
              <w:bottom w:type="dxa" w:w="120"/>
              <w:right w:type="dxa" w:w="140"/>
            </w:tcMar>
            <w:vAlign w:val="top"/>
          </w:tcPr>
          <w:p>
            <w:pPr>
              <w:jc w:val="center"/>
            </w:pPr>
            <w:r>
              <w:rPr>
                <w:b/>
                <w:bCs/>
                <w:color w:val="13294B"/>
                <w:sz w:val="21"/>
                <w:szCs w:val="21"/>
              </w:rPr>
              <w:t xml:space="preserve">Acceso Seguro y Confiable</w:t>
            </w:r>
          </w:p>
        </w:tc>
        <w:tc>
          <w:tcPr>
            <w:tcW w:type="dxa" w:w="3500"/>
            <w:shd w:fill="EFE3C8" w:val="clear"/>
            <w:tcMar>
              <w:top w:type="dxa" w:w="160"/>
              <w:left w:type="dxa" w:w="140"/>
              <w:bottom w:type="dxa" w:w="120"/>
              <w:right w:type="dxa" w:w="140"/>
            </w:tcMar>
            <w:vAlign w:val="top"/>
          </w:tcPr>
          <w:p>
            <w:pPr>
              <w:jc w:val="center"/>
            </w:pPr>
            <w:r>
              <w:rPr>
                <w:b/>
                <w:bCs/>
                <w:color w:val="13294B"/>
                <w:sz w:val="21"/>
                <w:szCs w:val="21"/>
              </w:rPr>
              <w:t xml:space="preserve">Automatización Inteligente</w:t>
            </w:r>
          </w:p>
        </w:tc>
        <w:tc>
          <w:tcPr>
            <w:tcW w:type="dxa" w:w="3500"/>
            <w:shd w:fill="EFE3C8" w:val="clear"/>
            <w:tcMar>
              <w:top w:type="dxa" w:w="160"/>
              <w:left w:type="dxa" w:w="140"/>
              <w:bottom w:type="dxa" w:w="120"/>
              <w:right w:type="dxa" w:w="140"/>
            </w:tcMar>
            <w:vAlign w:val="top"/>
          </w:tcPr>
          <w:p>
            <w:pPr>
              <w:jc w:val="center"/>
            </w:pPr>
            <w:r>
              <w:rPr>
                <w:b/>
                <w:bCs/>
                <w:color w:val="13294B"/>
                <w:sz w:val="21"/>
                <w:szCs w:val="21"/>
              </w:rPr>
              <w:t xml:space="preserve">Escalabilidad y Flexibilidad</w:t>
            </w:r>
          </w:p>
        </w:tc>
        <w:tc>
          <w:tcPr>
            <w:tcW w:type="dxa" w:w="3500"/>
            <w:shd w:fill="EFE3C8" w:val="clear"/>
            <w:tcMar>
              <w:top w:type="dxa" w:w="160"/>
              <w:left w:type="dxa" w:w="140"/>
              <w:bottom w:type="dxa" w:w="120"/>
              <w:right w:type="dxa" w:w="140"/>
            </w:tcMar>
            <w:vAlign w:val="top"/>
          </w:tcPr>
          <w:p>
            <w:pPr>
              <w:jc w:val="center"/>
            </w:pPr>
            <w:r>
              <w:rPr>
                <w:b/>
                <w:bCs/>
                <w:color w:val="13294B"/>
                <w:sz w:val="21"/>
                <w:szCs w:val="21"/>
              </w:rPr>
              <w:t xml:space="preserve">Sostenibilidad y Crecimiento del Ecosistema</w:t>
            </w:r>
          </w:p>
        </w:tc>
      </w:tr>
      <w:tr>
        <w:tc>
          <w:tcPr>
            <w:tcW w:type="dxa" w:w="3500"/>
            <w:shd w:fill="F7F8FA" w:val="clear"/>
            <w:tcMar>
              <w:top w:type="dxa" w:w="160"/>
              <w:left w:type="dxa" w:w="160"/>
              <w:bottom w:type="dxa" w:w="160"/>
              <w:right w:type="dxa" w:w="160"/>
            </w:tcMar>
            <w:vAlign w:val="top"/>
          </w:tcPr>
          <w:p>
            <w:pPr>
              <w:spacing w:line="276"/>
              <w:jc w:val="both"/>
            </w:pPr>
            <w:r>
              <w:rPr>
                <w:color w:val="1A2333"/>
                <w:sz w:val="19"/>
                <w:szCs w:val="19"/>
              </w:rPr>
              <w:t xml:space="preserve">LicitaWatch está construido sobre una base de autenticación robusta, con tres perfiles claramente diferenciados —Licitador, Pyme y Administrador— cada uno con acceso solo a lo que le corresponde. La plataforma incorpora JWT, control de acceso por rol (RBAC) y protecciones frente a vulnerabilidades comunes, para que publicar o postular a una licitación sea un proceso confiable de principio a fin.</w:t>
            </w:r>
          </w:p>
        </w:tc>
        <w:tc>
          <w:tcPr>
            <w:tcW w:type="dxa" w:w="3500"/>
            <w:shd w:fill="F7F8FA" w:val="clear"/>
            <w:tcMar>
              <w:top w:type="dxa" w:w="160"/>
              <w:left w:type="dxa" w:w="160"/>
              <w:bottom w:type="dxa" w:w="160"/>
              <w:right w:type="dxa" w:w="160"/>
            </w:tcMar>
            <w:vAlign w:val="top"/>
          </w:tcPr>
          <w:p>
            <w:pPr>
              <w:spacing w:line="276"/>
              <w:jc w:val="both"/>
            </w:pPr>
            <w:r>
              <w:rPr>
                <w:color w:val="1A2333"/>
                <w:sz w:val="19"/>
                <w:szCs w:val="19"/>
              </w:rPr>
              <w:t xml:space="preserve">A través de LicitAsist, nuestro asistente conversacional con inteligencia artificial, y de un motor de coincidencia que cruza cada licitación con el perfil de la pyme interesada, LicitaWatch reduce el trabajo manual de buscar y evaluar oportunidades. Las notificaciones automáticas mantienen a licitadores y pymes al tanto de cada evento relevante, sin que deban revisar la plataforma constantemente.</w:t>
            </w:r>
          </w:p>
        </w:tc>
        <w:tc>
          <w:tcPr>
            <w:tcW w:type="dxa" w:w="3500"/>
            <w:shd w:fill="F7F8FA" w:val="clear"/>
            <w:tcMar>
              <w:top w:type="dxa" w:w="160"/>
              <w:left w:type="dxa" w:w="160"/>
              <w:bottom w:type="dxa" w:w="160"/>
              <w:right w:type="dxa" w:w="160"/>
            </w:tcMar>
            <w:vAlign w:val="top"/>
          </w:tcPr>
          <w:p>
            <w:pPr>
              <w:spacing w:line="276"/>
              <w:jc w:val="both"/>
            </w:pPr>
            <w:r>
              <w:rPr>
                <w:color w:val="1A2333"/>
                <w:sz w:val="19"/>
                <w:szCs w:val="19"/>
              </w:rPr>
              <w:t xml:space="preserve">La plataforma está desarrollada bajo una arquitectura de microservicios, donde cada funcionalidad —usuarios, licitaciones, ventas, notificaciones— opera de forma independiente con su propia base de datos. Esto permite incorporar nuevos módulos, rubros o funcionalidades a futuro sin comprometer el rendimiento ni la experiencia de los perfiles ya existentes.</w:t>
            </w:r>
          </w:p>
        </w:tc>
        <w:tc>
          <w:tcPr>
            <w:tcW w:type="dxa" w:w="3500"/>
            <w:shd w:fill="F7F8FA" w:val="clear"/>
            <w:tcMar>
              <w:top w:type="dxa" w:w="160"/>
              <w:left w:type="dxa" w:w="160"/>
              <w:bottom w:type="dxa" w:w="160"/>
              <w:right w:type="dxa" w:w="160"/>
            </w:tcMar>
            <w:vAlign w:val="top"/>
          </w:tcPr>
          <w:p>
            <w:pPr>
              <w:spacing w:line="276"/>
              <w:jc w:val="both"/>
            </w:pPr>
            <w:r>
              <w:rPr>
                <w:color w:val="1A2333"/>
                <w:sz w:val="19"/>
                <w:szCs w:val="19"/>
              </w:rPr>
              <w:t xml:space="preserve">LicitaWatch se sostiene con un modelo de negocio propio, a través de planes de suscripción Estándar y Premium, sin depender de licitaciones públicas externas. El proyecto busca fortalecer el mercado privado de licitaciones, dando a las pymes visibilidad frente a oportunidades reales y a los licitadores un canal directo y confiable para encontrar postulantes calificados.</w:t>
            </w:r>
          </w:p>
        </w:tc>
      </w:tr>
    </w:tbl>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2026-09-23T15:30:53.897Z</dcterms:created>
  <dcterms:modified xsi:type="dcterms:W3CDTF">2026-09-23T15:30:53.898Z</dcterms:modified>
</cp:coreProperties>
</file>

<file path=docProps/custom.xml><?xml version="1.0" encoding="utf-8"?>
<Properties xmlns="http://schemas.openxmlformats.org/officeDocument/2006/custom-properties" xmlns:vt="http://schemas.openxmlformats.org/officeDocument/2006/docPropsVTypes"/>
</file>