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5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3.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26/10/2023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30/10/2023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Jesús Torres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JTV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jtorres@us.es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 los documentos de la semana 3 y recibir las primeras sensaciones del patrocinador. Estos documentos terminados son: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hitos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Dirección del Proyecto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Calidad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 planificación de la documentación para la semana 4.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reunión con el patrocinador trato de los siguientes temas: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Comenzó con el patrocinador dando su opinión sobre todos los documentos. Nos comentó que, en regla general, aprobaba estos documentos aunque con las siguientes excepciones: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Tenemos que añadir el control de versiones a todos estos documentos.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plan de gestión del cronograma había que mejorarlo.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Debíamos interpretar de otra forma los requisitos.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diccionario de la EDT teníamos que hacerlo de distinta forma.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habíamos realizado el plan de gestión del alcance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continuación, le comentamos algunas dudas como podían ser: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Dudas sobre la plantilla de las métricas de calidad y lista de actividades que se nos dijo que podíamos hacerlo a nuestro gusto.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spacing w:after="0" w:afterAutospacing="0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Dudas sobre si se podrían realizar pruebas informales y se nos comentó que sí.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finalizar, sin el patrocinador realizamos la planificación de las tareas a realizar que se detalla posteriormente</w:t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Posibilidad de hacer pruebas informales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 de hacer los documentos de las métricas de calidad y lista de actividades.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control de versiones a todos los documentos.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DCR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plan de gestión del cronograma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de nuevo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registro de requisitos.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30/10/2023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Diccionario de la EDT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JCG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Plan de gestión del 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lista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métricas de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plan de gestión de las adquisiciones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la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Matriz de trazabilidad de los requisitos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 los nuevos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PMG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26/10/2023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Plan de Gestión de los Requisitos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 las modificaciones de los requisitos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</w:p>
        </w:tc>
      </w:tr>
    </w:tbl>
    <w:p w:rsidR="00000000" w:rsidDel="00000000" w:rsidP="00000000" w:rsidRDefault="00000000" w:rsidRPr="00000000" w14:paraId="000000A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toda la documentación realizada.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los documentos de la semana 5.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EDT.pdf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Enunciado del Alcance.pdf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Hitos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Lista de Hitos.pdf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 de Requisitos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Matriz de Trazabilidad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Dirección del Proyecto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Dirección del Proyecto.pdf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Comunicaciones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Gestión de Comunicaciones.pdf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la calidad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Gestión de la calidad.pdf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Gestión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Gestión de Riesgos.pdf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Cronograma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Plan de Gestión del Cronograma.pdf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Requisitos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Registro de Requisitos.pdf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Registro de Riesgos.pdf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Supuestos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PGPI-G2.15\Semana 3\G2.15 - Registro de Supuestos.pdf</w:t>
            </w:r>
          </w:p>
        </w:tc>
      </w:tr>
    </w:tbl>
    <w:p w:rsidR="00000000" w:rsidDel="00000000" w:rsidP="00000000" w:rsidRDefault="00000000" w:rsidRPr="00000000" w14:paraId="000000D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-19048</wp:posOffset>
          </wp:positionH>
          <wp:positionV relativeFrom="paragraph">
            <wp:posOffset>-345856</wp:posOffset>
          </wp:positionV>
          <wp:extent cx="952500" cy="89535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/BNIlwiXF+5C4uYke1t2WLj0gg==">CgMxLjAyCGguZ2pkZ3hzOAByITFQRGpCWHFfbzIxUVFOT1NEVVFiNGZ5T2RrRkphY0lLUA==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