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 Papis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G2.15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11/10/2023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Primera versión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Juan Jesús Campos Garrido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635"/>
        <w:gridCol w:w="3150"/>
        <w:gridCol w:w="1740"/>
        <w:gridCol w:w="1695"/>
        <w:gridCol w:w="2760"/>
        <w:tblGridChange w:id="0">
          <w:tblGrid>
            <w:gridCol w:w="585"/>
            <w:gridCol w:w="4635"/>
            <w:gridCol w:w="3150"/>
            <w:gridCol w:w="1740"/>
            <w:gridCol w:w="169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recursos físicos y humanos estarán disponible según se planifique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(Pablo Mera)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alcance del proyecto no variará durante el proceso de ejecución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(Antonio Carretero)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281249999999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Todos los interesados aprobarán los entregables y los cambios importantes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(David Cortabarra)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riesgos se gestionarán de forma adecuada y no afectarán de forma negativa al proyecto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(Alejandro Campano)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equipo de trabajo del proyecto no cambiará a lo largo del proceso de ejecución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(Juan Jesús Campos Garrido)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 regulaciones que puedan afectar al proyecto no sufrirán cambios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(Pablo Mera)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tecnología y las herramientas necesarias funcionarán sin problemas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(Antonio Carretero)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interesados estarán disponibles para hacer reuniones cuando se requiera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(David Cortabarra)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equipo del proyecto estará bien formado para poder completar sus tareas antes de comenzar el proceso de ejecución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(Alejandro Campano)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13/11/2023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deWtvI+6Dp6RTbLYWIK0fTFJA==">CgMxLjA4AHIhMVdzZmR3d0pvZDBRR2p6ZzdsT3dLMlNpWWdLYUdzSmVH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