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360" w:lineRule="auto"/>
        <w:jc w:val="both"/>
        <w:rPr/>
      </w:pPr>
      <w:bookmarkStart w:colFirst="0" w:colLast="0" w:name="_h86bvhm3qr6v" w:id="0"/>
      <w:bookmarkEnd w:id="0"/>
      <w:r w:rsidDel="00000000" w:rsidR="00000000" w:rsidRPr="00000000">
        <w:rPr>
          <w:b w:val="1"/>
          <w:bCs w:val="1"/>
          <w:sz w:val="28"/>
          <w:szCs w:val="28"/>
          <w:rtl w:val="0"/>
        </w:rPr>
        <w:t xml:space="preserve">Ficha Técnica: Conocimiento del Dominio y Contexto del Proyecto</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810495333451"/>
        <w:gridCol w:w="2210.7217428492368"/>
        <w:gridCol w:w="4531.979572840935"/>
        <w:tblGridChange w:id="0">
          <w:tblGrid>
            <w:gridCol w:w="2282.810495333451"/>
            <w:gridCol w:w="2210.7217428492368"/>
            <w:gridCol w:w="4531.97957284093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SECCIÓN</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3">
            <w:pPr>
              <w:spacing w:line="240" w:lineRule="auto"/>
              <w:jc w:val="center"/>
              <w:rPr>
                <w:b w:val="1"/>
                <w:bCs w:val="1"/>
              </w:rPr>
            </w:pPr>
            <w:r w:rsidDel="00000000" w:rsidR="00000000" w:rsidRPr="00000000">
              <w:rPr>
                <w:b w:val="1"/>
                <w:bCs w:val="1"/>
                <w:rtl w:val="0"/>
              </w:rPr>
              <w:t xml:space="preserve">CAMPO DE REGISTRO</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4">
            <w:pPr>
              <w:spacing w:line="240" w:lineRule="auto"/>
              <w:jc w:val="center"/>
              <w:rPr>
                <w:b w:val="1"/>
                <w:bCs w:val="1"/>
              </w:rPr>
            </w:pPr>
            <w:r w:rsidDel="00000000" w:rsidR="00000000" w:rsidRPr="00000000">
              <w:rPr>
                <w:b w:val="1"/>
                <w:bCs w:val="1"/>
                <w:rtl w:val="0"/>
              </w:rPr>
              <w:t xml:space="preserve">DESCRIPCIÓN / OBJETIVO</w:t>
            </w:r>
          </w:p>
        </w:tc>
      </w:tr>
      <w:tr>
        <w:trPr>
          <w:cantSplit w:val="1"/>
          <w:trHeight w:val="700.957031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5">
            <w:pPr>
              <w:spacing w:line="240" w:lineRule="auto"/>
              <w:rPr>
                <w:b w:val="1"/>
                <w:bCs w:val="1"/>
              </w:rPr>
            </w:pPr>
            <w:r w:rsidDel="00000000" w:rsidR="00000000" w:rsidRPr="00000000">
              <w:rPr>
                <w:b w:val="1"/>
                <w:bCs w:val="1"/>
                <w:rtl w:val="0"/>
              </w:rPr>
              <w:t xml:space="preserve">Identificación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Nombre del Proyecto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Infecciones respiratorias agudas en Argentina: cambios entre la etapa pre pandemia (2019) y post </w:t>
            </w:r>
            <w:r w:rsidDel="00000000" w:rsidR="00000000" w:rsidRPr="00000000">
              <w:rPr>
                <w:rtl w:val="0"/>
              </w:rPr>
              <w:t xml:space="preserve">pandemia</w:t>
            </w:r>
            <w:r w:rsidDel="00000000" w:rsidR="00000000" w:rsidRPr="00000000">
              <w:rPr>
                <w:rtl w:val="0"/>
              </w:rPr>
              <w:t xml:space="preserve"> (2025-2026) </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b w:val="1"/>
                <w:bCs w:val="1"/>
              </w:rPr>
            </w:pPr>
            <w:r w:rsidDel="00000000" w:rsidR="00000000" w:rsidRPr="00000000">
              <w:rPr>
                <w:b w:val="1"/>
                <w:bCs w:val="1"/>
                <w:rtl w:val="0"/>
              </w:rPr>
              <w:t xml:space="preserve">Eje Temático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Salud pública – Vigilancia epidemiológica de enfermedades respiratorias. </w:t>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B">
            <w:pPr>
              <w:spacing w:line="240" w:lineRule="auto"/>
              <w:rPr>
                <w:b w:val="1"/>
                <w:bCs w:val="1"/>
              </w:rPr>
            </w:pPr>
            <w:r w:rsidDel="00000000" w:rsidR="00000000" w:rsidRPr="00000000">
              <w:rPr>
                <w:b w:val="1"/>
                <w:bCs w:val="1"/>
                <w:rtl w:val="0"/>
              </w:rPr>
              <w:t xml:space="preserve">Contexto de análisis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b w:val="1"/>
                <w:bCs w:val="1"/>
              </w:rPr>
            </w:pPr>
            <w:r w:rsidDel="00000000" w:rsidR="00000000" w:rsidRPr="00000000">
              <w:rPr>
                <w:b w:val="1"/>
                <w:bCs w:val="1"/>
                <w:rtl w:val="0"/>
              </w:rPr>
              <w:t xml:space="preserve">Descripción del análisis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80" w:lineRule="auto"/>
              <w:rPr/>
            </w:pPr>
            <w:r w:rsidDel="00000000" w:rsidR="00000000" w:rsidRPr="00000000">
              <w:rPr>
                <w:rtl w:val="0"/>
              </w:rPr>
              <w:t xml:space="preserve">Se analizarán los casos de infecciones respiratorias agudas (IRA) notificados al Sistema Nacional de Vigilancia de la Salud (SNVS): enfermedad tipo influenza (ETI), neumonía y bronquiolitis en menores de 2 años.</w:t>
            </w:r>
          </w:p>
          <w:p w:rsidR="00000000" w:rsidDel="00000000" w:rsidP="00000000" w:rsidRDefault="00000000" w:rsidRPr="00000000" w14:paraId="0000000E">
            <w:pPr>
              <w:spacing w:after="80" w:lineRule="auto"/>
              <w:rPr/>
            </w:pPr>
            <w:r w:rsidDel="00000000" w:rsidR="00000000" w:rsidRPr="00000000">
              <w:rPr>
                <w:rtl w:val="0"/>
              </w:rPr>
              <w:t xml:space="preserve">El objetivo es describir cómo cambiaron entre 2019 y 2025-2026: cuántos casos hay de cada evento, en qué semanas del año se concentran, a qué grupos de edad afectan y cómo se distribuyen entre provincias en relación con su población.</w:t>
            </w:r>
          </w:p>
          <w:p w:rsidR="00000000" w:rsidDel="00000000" w:rsidP="00000000" w:rsidRDefault="00000000" w:rsidRPr="00000000" w14:paraId="0000000F">
            <w:pPr>
              <w:spacing w:line="240" w:lineRule="auto"/>
              <w:rPr/>
            </w:pPr>
            <w:r w:rsidDel="00000000" w:rsidR="00000000" w:rsidRPr="00000000">
              <w:rPr>
                <w:rtl w:val="0"/>
              </w:rPr>
              <w:t xml:space="preserve">Se sabe que la pandemia alteró la circulación de los virus respiratorios y los sistemas de vigilancia, por lo que interesa saber si el comportamiento actual es distinto al existente años atrás. </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0">
            <w:pPr>
              <w:spacing w:line="24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b w:val="1"/>
                <w:bCs w:val="1"/>
              </w:rPr>
            </w:pPr>
            <w:r w:rsidDel="00000000" w:rsidR="00000000" w:rsidRPr="00000000">
              <w:rPr>
                <w:b w:val="1"/>
                <w:bCs w:val="1"/>
                <w:rtl w:val="0"/>
              </w:rPr>
              <w:t xml:space="preserve">Glosario de Términos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numPr>
                <w:ilvl w:val="0"/>
                <w:numId w:val="2"/>
              </w:numPr>
              <w:spacing w:line="240" w:lineRule="auto"/>
              <w:ind w:left="720" w:hanging="360"/>
              <w:rPr/>
            </w:pPr>
            <w:r w:rsidDel="00000000" w:rsidR="00000000" w:rsidRPr="00000000">
              <w:rPr>
                <w:b w:val="1"/>
                <w:bCs w:val="1"/>
                <w:rtl w:val="0"/>
              </w:rPr>
              <w:t xml:space="preserve">Vigilancia epidemiológica:</w:t>
            </w:r>
            <w:r w:rsidDel="00000000" w:rsidR="00000000" w:rsidRPr="00000000">
              <w:rPr>
                <w:rtl w:val="0"/>
              </w:rPr>
              <w:t xml:space="preserve"> proceso continuo y sistemático de recolección, análisis, interpretación y difusión de datos sobre la salud de una población para prevenir y controlar enfermedades.</w:t>
              <w:br w:type="textWrapping"/>
            </w:r>
            <w:r w:rsidDel="00000000" w:rsidR="00000000" w:rsidRPr="00000000">
              <w:rPr>
                <w:b w:val="1"/>
                <w:bCs w:val="1"/>
                <w:rtl w:val="0"/>
              </w:rPr>
              <w:t xml:space="preserve">IRA: </w:t>
            </w:r>
            <w:r w:rsidDel="00000000" w:rsidR="00000000" w:rsidRPr="00000000">
              <w:rPr>
                <w:rtl w:val="0"/>
              </w:rPr>
              <w:t xml:space="preserve">infecciones respiratorias agudas; agrupa los tres eventos analizados.</w:t>
            </w:r>
          </w:p>
          <w:p w:rsidR="00000000" w:rsidDel="00000000" w:rsidP="00000000" w:rsidRDefault="00000000" w:rsidRPr="00000000" w14:paraId="00000013">
            <w:pPr>
              <w:numPr>
                <w:ilvl w:val="0"/>
                <w:numId w:val="4"/>
              </w:numPr>
              <w:spacing w:after="0" w:afterAutospacing="0" w:lineRule="auto"/>
              <w:ind w:left="720" w:hanging="360"/>
              <w:rPr/>
            </w:pPr>
            <w:r w:rsidDel="00000000" w:rsidR="00000000" w:rsidRPr="00000000">
              <w:rPr>
                <w:b w:val="1"/>
                <w:bCs w:val="1"/>
                <w:rtl w:val="0"/>
              </w:rPr>
              <w:t xml:space="preserve">ETI (enfermedad tipo influenza): </w:t>
            </w:r>
            <w:r w:rsidDel="00000000" w:rsidR="00000000" w:rsidRPr="00000000">
              <w:rPr>
                <w:rtl w:val="0"/>
              </w:rPr>
              <w:t xml:space="preserve">cuadro de aparición súbita con fiebre mayor a 38 °C y tos o dolor de garganta, sin otra causa que lo explique.</w:t>
            </w:r>
          </w:p>
          <w:p w:rsidR="00000000" w:rsidDel="00000000" w:rsidP="00000000" w:rsidRDefault="00000000" w:rsidRPr="00000000" w14:paraId="00000014">
            <w:pPr>
              <w:numPr>
                <w:ilvl w:val="0"/>
                <w:numId w:val="4"/>
              </w:numPr>
              <w:spacing w:after="0" w:afterAutospacing="0" w:lineRule="auto"/>
              <w:ind w:left="720" w:hanging="360"/>
              <w:rPr/>
            </w:pPr>
            <w:r w:rsidDel="00000000" w:rsidR="00000000" w:rsidRPr="00000000">
              <w:rPr>
                <w:b w:val="1"/>
                <w:bCs w:val="1"/>
                <w:rtl w:val="0"/>
              </w:rPr>
              <w:t xml:space="preserve">Neumonía: </w:t>
            </w:r>
            <w:r w:rsidDel="00000000" w:rsidR="00000000" w:rsidRPr="00000000">
              <w:rPr>
                <w:rtl w:val="0"/>
              </w:rPr>
              <w:t xml:space="preserve">infección del tejido pulmonar, diagnosticada por la clínica y/o la radiografía.</w:t>
            </w:r>
          </w:p>
          <w:p w:rsidR="00000000" w:rsidDel="00000000" w:rsidP="00000000" w:rsidRDefault="00000000" w:rsidRPr="00000000" w14:paraId="00000015">
            <w:pPr>
              <w:numPr>
                <w:ilvl w:val="0"/>
                <w:numId w:val="4"/>
              </w:numPr>
              <w:spacing w:after="0" w:afterAutospacing="0" w:lineRule="auto"/>
              <w:ind w:left="720" w:hanging="360"/>
              <w:rPr/>
            </w:pPr>
            <w:r w:rsidDel="00000000" w:rsidR="00000000" w:rsidRPr="00000000">
              <w:rPr>
                <w:b w:val="1"/>
                <w:bCs w:val="1"/>
                <w:rtl w:val="0"/>
              </w:rPr>
              <w:t xml:space="preserve">Bronquiolitis: </w:t>
            </w:r>
            <w:r w:rsidDel="00000000" w:rsidR="00000000" w:rsidRPr="00000000">
              <w:rPr>
                <w:rtl w:val="0"/>
              </w:rPr>
              <w:t xml:space="preserve">infección de las vías respiratorias pequeñas (bronquiolos) en menores de 2 años; la causa más frecuente es el VSR.</w:t>
            </w:r>
          </w:p>
          <w:p w:rsidR="00000000" w:rsidDel="00000000" w:rsidP="00000000" w:rsidRDefault="00000000" w:rsidRPr="00000000" w14:paraId="00000016">
            <w:pPr>
              <w:numPr>
                <w:ilvl w:val="0"/>
                <w:numId w:val="4"/>
              </w:numPr>
              <w:spacing w:after="0" w:afterAutospacing="0" w:lineRule="auto"/>
              <w:ind w:left="720" w:hanging="360"/>
              <w:rPr/>
            </w:pPr>
            <w:r w:rsidDel="00000000" w:rsidR="00000000" w:rsidRPr="00000000">
              <w:rPr>
                <w:b w:val="1"/>
                <w:bCs w:val="1"/>
                <w:rtl w:val="0"/>
              </w:rPr>
              <w:t xml:space="preserve">VSR: </w:t>
            </w:r>
            <w:r w:rsidDel="00000000" w:rsidR="00000000" w:rsidRPr="00000000">
              <w:rPr>
                <w:rtl w:val="0"/>
              </w:rPr>
              <w:t xml:space="preserve">virus sincicial respiratorio.</w:t>
            </w:r>
          </w:p>
          <w:p w:rsidR="00000000" w:rsidDel="00000000" w:rsidP="00000000" w:rsidRDefault="00000000" w:rsidRPr="00000000" w14:paraId="00000017">
            <w:pPr>
              <w:numPr>
                <w:ilvl w:val="0"/>
                <w:numId w:val="4"/>
              </w:numPr>
              <w:spacing w:after="0" w:afterAutospacing="0" w:lineRule="auto"/>
              <w:ind w:left="720" w:hanging="360"/>
              <w:rPr/>
            </w:pPr>
            <w:r w:rsidDel="00000000" w:rsidR="00000000" w:rsidRPr="00000000">
              <w:rPr>
                <w:b w:val="1"/>
                <w:bCs w:val="1"/>
                <w:rtl w:val="0"/>
              </w:rPr>
              <w:t xml:space="preserve">SNVS 2.0: </w:t>
            </w:r>
            <w:r w:rsidDel="00000000" w:rsidR="00000000" w:rsidRPr="00000000">
              <w:rPr>
                <w:rtl w:val="0"/>
              </w:rPr>
              <w:t xml:space="preserve">sistema informático nacional donde se registran las notificaciones.</w:t>
            </w:r>
          </w:p>
          <w:p w:rsidR="00000000" w:rsidDel="00000000" w:rsidP="00000000" w:rsidRDefault="00000000" w:rsidRPr="00000000" w14:paraId="00000018">
            <w:pPr>
              <w:numPr>
                <w:ilvl w:val="0"/>
                <w:numId w:val="4"/>
              </w:numPr>
              <w:spacing w:after="0" w:afterAutospacing="0" w:lineRule="auto"/>
              <w:ind w:left="720" w:hanging="360"/>
              <w:rPr/>
            </w:pPr>
            <w:r w:rsidDel="00000000" w:rsidR="00000000" w:rsidRPr="00000000">
              <w:rPr>
                <w:b w:val="1"/>
                <w:bCs w:val="1"/>
                <w:rtl w:val="0"/>
              </w:rPr>
              <w:t xml:space="preserve">Incidencia (tasa cada 100.000 hab.): </w:t>
            </w:r>
            <w:r w:rsidDel="00000000" w:rsidR="00000000" w:rsidRPr="00000000">
              <w:rPr>
                <w:rtl w:val="0"/>
              </w:rPr>
              <w:t xml:space="preserve">casos ÷ población × 100.000; permite comparar provincias de distinto tamaño.</w:t>
            </w:r>
          </w:p>
          <w:p w:rsidR="00000000" w:rsidDel="00000000" w:rsidP="00000000" w:rsidRDefault="00000000" w:rsidRPr="00000000" w14:paraId="00000019">
            <w:pPr>
              <w:numPr>
                <w:ilvl w:val="0"/>
                <w:numId w:val="4"/>
              </w:numPr>
              <w:spacing w:after="80" w:lineRule="auto"/>
              <w:ind w:left="720" w:hanging="360"/>
              <w:rPr/>
            </w:pPr>
            <w:r w:rsidDel="00000000" w:rsidR="00000000" w:rsidRPr="00000000">
              <w:rPr>
                <w:b w:val="1"/>
                <w:bCs w:val="1"/>
                <w:rtl w:val="0"/>
              </w:rPr>
              <w:t xml:space="preserve">Subregistro: </w:t>
            </w:r>
            <w:r w:rsidDel="00000000" w:rsidR="00000000" w:rsidRPr="00000000">
              <w:rPr>
                <w:rtl w:val="0"/>
              </w:rPr>
              <w:t xml:space="preserve">casos que ocurrieron pero no fueron notificados.</w:t>
            </w:r>
          </w:p>
          <w:p w:rsidR="00000000" w:rsidDel="00000000" w:rsidP="00000000" w:rsidRDefault="00000000" w:rsidRPr="00000000" w14:paraId="0000001A">
            <w:pPr>
              <w:spacing w:line="240" w:lineRule="auto"/>
              <w:rPr/>
            </w:pPr>
            <w:r w:rsidDel="00000000" w:rsidR="00000000" w:rsidRPr="00000000">
              <w:rPr>
                <w:rtl w:val="0"/>
              </w:rPr>
              <w:t xml:space="preserve"> </w:t>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B">
            <w:pPr>
              <w:spacing w:line="240" w:lineRule="auto"/>
              <w:rPr>
                <w:b w:val="1"/>
                <w:bCs w:val="1"/>
              </w:rPr>
            </w:pPr>
            <w:r w:rsidDel="00000000" w:rsidR="00000000" w:rsidRPr="00000000">
              <w:rPr>
                <w:b w:val="1"/>
                <w:bCs w:val="1"/>
                <w:rtl w:val="0"/>
              </w:rPr>
              <w:t xml:space="preserve">Análisis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b w:val="1"/>
                <w:bCs w:val="1"/>
              </w:rPr>
            </w:pPr>
            <w:r w:rsidDel="00000000" w:rsidR="00000000" w:rsidRPr="00000000">
              <w:rPr>
                <w:b w:val="1"/>
                <w:bCs w:val="1"/>
                <w:rtl w:val="0"/>
              </w:rPr>
              <w:t xml:space="preserve">Diccionario Semántico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numPr>
                <w:ilvl w:val="0"/>
                <w:numId w:val="1"/>
              </w:numPr>
              <w:spacing w:after="0" w:afterAutospacing="0" w:lineRule="auto"/>
              <w:ind w:left="720" w:hanging="360"/>
              <w:rPr/>
            </w:pPr>
            <w:r w:rsidDel="00000000" w:rsidR="00000000" w:rsidRPr="00000000">
              <w:rPr>
                <w:b w:val="1"/>
                <w:bCs w:val="1"/>
                <w:rtl w:val="0"/>
              </w:rPr>
              <w:t xml:space="preserve">Provincia y departamento: </w:t>
            </w:r>
            <w:r w:rsidDel="00000000" w:rsidR="00000000" w:rsidRPr="00000000">
              <w:rPr>
                <w:rtl w:val="0"/>
              </w:rPr>
              <w:t xml:space="preserve">jurisdicción donde se registró la notificación; puede no coincidir con el lugar donde vive la persona.</w:t>
            </w:r>
          </w:p>
          <w:p w:rsidR="00000000" w:rsidDel="00000000" w:rsidP="00000000" w:rsidRDefault="00000000" w:rsidRPr="00000000" w14:paraId="0000001E">
            <w:pPr>
              <w:numPr>
                <w:ilvl w:val="0"/>
                <w:numId w:val="1"/>
              </w:numPr>
              <w:spacing w:after="0" w:afterAutospacing="0" w:lineRule="auto"/>
              <w:ind w:left="720" w:hanging="360"/>
              <w:rPr/>
            </w:pPr>
            <w:r w:rsidDel="00000000" w:rsidR="00000000" w:rsidRPr="00000000">
              <w:rPr>
                <w:b w:val="1"/>
                <w:bCs w:val="1"/>
                <w:rtl w:val="0"/>
              </w:rPr>
              <w:t xml:space="preserve">Año y semana epidemiológica: </w:t>
            </w:r>
            <w:r w:rsidDel="00000000" w:rsidR="00000000" w:rsidRPr="00000000">
              <w:rPr>
                <w:rtl w:val="0"/>
              </w:rPr>
              <w:t xml:space="preserve">momento en que se atendió y registró el caso, no necesariamente el día en que empezaron los síntomas.</w:t>
            </w:r>
          </w:p>
          <w:p w:rsidR="00000000" w:rsidDel="00000000" w:rsidP="00000000" w:rsidRDefault="00000000" w:rsidRPr="00000000" w14:paraId="0000001F">
            <w:pPr>
              <w:numPr>
                <w:ilvl w:val="0"/>
                <w:numId w:val="1"/>
              </w:numPr>
              <w:spacing w:after="0" w:afterAutospacing="0" w:lineRule="auto"/>
              <w:ind w:left="720" w:hanging="360"/>
              <w:rPr/>
            </w:pPr>
            <w:r w:rsidDel="00000000" w:rsidR="00000000" w:rsidRPr="00000000">
              <w:rPr>
                <w:b w:val="1"/>
                <w:bCs w:val="1"/>
                <w:rtl w:val="0"/>
              </w:rPr>
              <w:t xml:space="preserve">Evento: </w:t>
            </w:r>
            <w:r w:rsidDel="00000000" w:rsidR="00000000" w:rsidRPr="00000000">
              <w:rPr>
                <w:rtl w:val="0"/>
              </w:rPr>
              <w:t xml:space="preserve">tipo de cuadro según una definición clínica. No indica qué virus lo causó. En 2025-2026 además dice si el paciente fue atendido en forma ambulatoria o internado.</w:t>
            </w:r>
          </w:p>
          <w:p w:rsidR="00000000" w:rsidDel="00000000" w:rsidP="00000000" w:rsidRDefault="00000000" w:rsidRPr="00000000" w14:paraId="00000020">
            <w:pPr>
              <w:numPr>
                <w:ilvl w:val="0"/>
                <w:numId w:val="1"/>
              </w:numPr>
              <w:spacing w:after="0" w:afterAutospacing="0" w:lineRule="auto"/>
              <w:ind w:left="720" w:hanging="360"/>
              <w:rPr/>
            </w:pPr>
            <w:r w:rsidDel="00000000" w:rsidR="00000000" w:rsidRPr="00000000">
              <w:rPr>
                <w:b w:val="1"/>
                <w:bCs w:val="1"/>
                <w:rtl w:val="0"/>
              </w:rPr>
              <w:t xml:space="preserve">Grupo de edad: </w:t>
            </w:r>
            <w:r w:rsidDel="00000000" w:rsidR="00000000" w:rsidRPr="00000000">
              <w:rPr>
                <w:rtl w:val="0"/>
              </w:rPr>
              <w:t xml:space="preserve">rango de edad de la persona atendida; en menores de 2 años se mide en meses.</w:t>
            </w:r>
          </w:p>
          <w:p w:rsidR="00000000" w:rsidDel="00000000" w:rsidP="00000000" w:rsidRDefault="00000000" w:rsidRPr="00000000" w14:paraId="00000021">
            <w:pPr>
              <w:numPr>
                <w:ilvl w:val="0"/>
                <w:numId w:val="1"/>
              </w:numPr>
              <w:spacing w:after="0" w:afterAutospacing="0" w:lineRule="auto"/>
              <w:ind w:left="720" w:hanging="360"/>
              <w:rPr/>
            </w:pPr>
            <w:r w:rsidDel="00000000" w:rsidR="00000000" w:rsidRPr="00000000">
              <w:rPr>
                <w:b w:val="1"/>
                <w:bCs w:val="1"/>
                <w:rtl w:val="0"/>
              </w:rPr>
              <w:t xml:space="preserve">Cantidad de casos: </w:t>
            </w:r>
            <w:r w:rsidDel="00000000" w:rsidR="00000000" w:rsidRPr="00000000">
              <w:rPr>
                <w:rtl w:val="0"/>
              </w:rPr>
              <w:t xml:space="preserve">personas atendidas que cumplen la definición del evento en esa semana, lugar y grupo de edad. Mide la demanda registrada, no el total real de enfermos.</w:t>
            </w:r>
          </w:p>
          <w:p w:rsidR="00000000" w:rsidDel="00000000" w:rsidP="00000000" w:rsidRDefault="00000000" w:rsidRPr="00000000" w14:paraId="00000022">
            <w:pPr>
              <w:numPr>
                <w:ilvl w:val="0"/>
                <w:numId w:val="1"/>
              </w:numPr>
              <w:spacing w:after="80" w:lineRule="auto"/>
              <w:ind w:left="720" w:hanging="360"/>
              <w:rPr/>
            </w:pPr>
            <w:r w:rsidDel="00000000" w:rsidR="00000000" w:rsidRPr="00000000">
              <w:rPr>
                <w:b w:val="1"/>
                <w:bCs w:val="1"/>
                <w:rtl w:val="0"/>
              </w:rPr>
              <w:t xml:space="preserve">Población (INDEC): </w:t>
            </w:r>
            <w:r w:rsidDel="00000000" w:rsidR="00000000" w:rsidRPr="00000000">
              <w:rPr>
                <w:rtl w:val="0"/>
              </w:rPr>
              <w:t xml:space="preserve">personas que viven en cada jurisdicción según el Censo 2022; es la base para comparar provincias.</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3">
            <w:pPr>
              <w:spacing w:line="24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b w:val="1"/>
                <w:bCs w:val="1"/>
              </w:rPr>
            </w:pPr>
            <w:r w:rsidDel="00000000" w:rsidR="00000000" w:rsidRPr="00000000">
              <w:rPr>
                <w:b w:val="1"/>
                <w:bCs w:val="1"/>
                <w:rtl w:val="0"/>
              </w:rPr>
              <w:t xml:space="preserve">Factores Externos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numPr>
                <w:ilvl w:val="0"/>
                <w:numId w:val="6"/>
              </w:numPr>
              <w:spacing w:after="0" w:afterAutospacing="0" w:lineRule="auto"/>
              <w:ind w:left="720" w:hanging="360"/>
              <w:rPr>
                <w:u w:val="none"/>
              </w:rPr>
            </w:pPr>
            <w:r w:rsidDel="00000000" w:rsidR="00000000" w:rsidRPr="00000000">
              <w:rPr>
                <w:b w:val="1"/>
                <w:bCs w:val="1"/>
                <w:rtl w:val="0"/>
              </w:rPr>
              <w:t xml:space="preserve">Pandemia de COVID-19 (2020-2022): </w:t>
            </w:r>
            <w:r w:rsidDel="00000000" w:rsidR="00000000" w:rsidRPr="00000000">
              <w:rPr>
                <w:rtl w:val="0"/>
              </w:rPr>
              <w:t xml:space="preserve">aislamiento, cambios en la circulación de virus y en la forma de consultar.</w:t>
            </w:r>
          </w:p>
          <w:p w:rsidR="00000000" w:rsidDel="00000000" w:rsidP="00000000" w:rsidRDefault="00000000" w:rsidRPr="00000000" w14:paraId="00000026">
            <w:pPr>
              <w:numPr>
                <w:ilvl w:val="0"/>
                <w:numId w:val="6"/>
              </w:numPr>
              <w:spacing w:after="0" w:afterAutospacing="0" w:lineRule="auto"/>
              <w:ind w:left="720" w:hanging="360"/>
              <w:rPr>
                <w:u w:val="none"/>
              </w:rPr>
            </w:pPr>
            <w:r w:rsidDel="00000000" w:rsidR="00000000" w:rsidRPr="00000000">
              <w:rPr>
                <w:b w:val="1"/>
                <w:bCs w:val="1"/>
                <w:rtl w:val="0"/>
              </w:rPr>
              <w:t xml:space="preserve">Cambios en la notificación: </w:t>
            </w:r>
            <w:r w:rsidDel="00000000" w:rsidR="00000000" w:rsidRPr="00000000">
              <w:rPr>
                <w:rtl w:val="0"/>
              </w:rPr>
              <w:t xml:space="preserve">nuevas categorías en el SNVS 2.0 y jurisdicciones con sistemas propios o con cambios de carga.</w:t>
            </w:r>
          </w:p>
          <w:p w:rsidR="00000000" w:rsidDel="00000000" w:rsidP="00000000" w:rsidRDefault="00000000" w:rsidRPr="00000000" w14:paraId="00000027">
            <w:pPr>
              <w:numPr>
                <w:ilvl w:val="0"/>
                <w:numId w:val="6"/>
              </w:numPr>
              <w:spacing w:after="0" w:afterAutospacing="0" w:lineRule="auto"/>
              <w:ind w:left="720" w:hanging="360"/>
              <w:rPr>
                <w:u w:val="none"/>
              </w:rPr>
            </w:pPr>
            <w:r w:rsidDel="00000000" w:rsidR="00000000" w:rsidRPr="00000000">
              <w:rPr>
                <w:b w:val="1"/>
                <w:bCs w:val="1"/>
                <w:rtl w:val="0"/>
              </w:rPr>
              <w:t xml:space="preserve">Vacunación: </w:t>
            </w:r>
            <w:r w:rsidDel="00000000" w:rsidR="00000000" w:rsidRPr="00000000">
              <w:rPr>
                <w:rtl w:val="0"/>
              </w:rPr>
              <w:t xml:space="preserve">vacuna contra el VSR para personas gestantes en el Calendario Nacional desde 2024, campañas antigripales anuales y vacunas contra COVID-19.</w:t>
            </w:r>
          </w:p>
          <w:p w:rsidR="00000000" w:rsidDel="00000000" w:rsidP="00000000" w:rsidRDefault="00000000" w:rsidRPr="00000000" w14:paraId="00000028">
            <w:pPr>
              <w:numPr>
                <w:ilvl w:val="0"/>
                <w:numId w:val="6"/>
              </w:numPr>
              <w:spacing w:after="0" w:afterAutospacing="0" w:lineRule="auto"/>
              <w:ind w:left="720" w:hanging="360"/>
              <w:rPr>
                <w:u w:val="none"/>
              </w:rPr>
            </w:pPr>
            <w:r w:rsidDel="00000000" w:rsidR="00000000" w:rsidRPr="00000000">
              <w:rPr>
                <w:b w:val="1"/>
                <w:bCs w:val="1"/>
                <w:rtl w:val="0"/>
              </w:rPr>
              <w:t xml:space="preserve">Clima: </w:t>
            </w:r>
            <w:r w:rsidDel="00000000" w:rsidR="00000000" w:rsidRPr="00000000">
              <w:rPr>
                <w:rtl w:val="0"/>
              </w:rPr>
              <w:t xml:space="preserve">temperaturas bajas y estación fría.</w:t>
            </w:r>
          </w:p>
          <w:p w:rsidR="00000000" w:rsidDel="00000000" w:rsidP="00000000" w:rsidRDefault="00000000" w:rsidRPr="00000000" w14:paraId="00000029">
            <w:pPr>
              <w:numPr>
                <w:ilvl w:val="0"/>
                <w:numId w:val="6"/>
              </w:numPr>
              <w:spacing w:after="0" w:afterAutospacing="0" w:lineRule="auto"/>
              <w:ind w:left="720" w:hanging="360"/>
              <w:rPr>
                <w:u w:val="none"/>
              </w:rPr>
            </w:pPr>
            <w:r w:rsidDel="00000000" w:rsidR="00000000" w:rsidRPr="00000000">
              <w:rPr>
                <w:b w:val="1"/>
                <w:bCs w:val="1"/>
                <w:rtl w:val="0"/>
              </w:rPr>
              <w:t xml:space="preserve">Calendario escolar: </w:t>
            </w:r>
            <w:r w:rsidDel="00000000" w:rsidR="00000000" w:rsidRPr="00000000">
              <w:rPr>
                <w:rtl w:val="0"/>
              </w:rPr>
              <w:t xml:space="preserve">inicio de clases y vacaciones de invierno.</w:t>
            </w:r>
          </w:p>
          <w:p w:rsidR="00000000" w:rsidDel="00000000" w:rsidP="00000000" w:rsidRDefault="00000000" w:rsidRPr="00000000" w14:paraId="0000002A">
            <w:pPr>
              <w:numPr>
                <w:ilvl w:val="0"/>
                <w:numId w:val="6"/>
              </w:numPr>
              <w:spacing w:after="0" w:afterAutospacing="0" w:lineRule="auto"/>
              <w:ind w:left="720" w:hanging="360"/>
              <w:rPr>
                <w:u w:val="none"/>
              </w:rPr>
            </w:pPr>
            <w:r w:rsidDel="00000000" w:rsidR="00000000" w:rsidRPr="00000000">
              <w:rPr>
                <w:b w:val="1"/>
                <w:bCs w:val="1"/>
                <w:rtl w:val="0"/>
              </w:rPr>
              <w:t xml:space="preserve">Circulación viral: </w:t>
            </w:r>
            <w:r w:rsidDel="00000000" w:rsidR="00000000" w:rsidRPr="00000000">
              <w:rPr>
                <w:rtl w:val="0"/>
              </w:rPr>
              <w:t xml:space="preserve">nuevas cepas de influenza y variantes de SARS-CoV-2.</w:t>
            </w:r>
          </w:p>
          <w:p w:rsidR="00000000" w:rsidDel="00000000" w:rsidP="00000000" w:rsidRDefault="00000000" w:rsidRPr="00000000" w14:paraId="0000002B">
            <w:pPr>
              <w:numPr>
                <w:ilvl w:val="0"/>
                <w:numId w:val="6"/>
              </w:numPr>
              <w:spacing w:after="80" w:lineRule="auto"/>
              <w:ind w:left="720" w:hanging="360"/>
              <w:rPr>
                <w:u w:val="none"/>
              </w:rPr>
            </w:pPr>
            <w:r w:rsidDel="00000000" w:rsidR="00000000" w:rsidRPr="00000000">
              <w:rPr>
                <w:b w:val="1"/>
                <w:bCs w:val="1"/>
                <w:rtl w:val="0"/>
              </w:rPr>
              <w:t xml:space="preserve">Acceso y demanda de atención: </w:t>
            </w:r>
            <w:r w:rsidDel="00000000" w:rsidR="00000000" w:rsidRPr="00000000">
              <w:rPr>
                <w:rtl w:val="0"/>
              </w:rPr>
              <w:t xml:space="preserve">cantidad de consultas, campañas de comunicación, brotes con alta difusión. </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Preguntas de análisis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b w:val="1"/>
                <w:bCs w:val="1"/>
              </w:rPr>
            </w:pPr>
            <w:r w:rsidDel="00000000" w:rsidR="00000000" w:rsidRPr="00000000">
              <w:rPr>
                <w:b w:val="1"/>
                <w:bCs w:val="1"/>
                <w:rtl w:val="0"/>
              </w:rPr>
              <w:t xml:space="preserve">Pregunta Análisis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¿Qué eventos (enfermedad tipo influenza, neumonía y bronquiolitis) aumentaron y cuáles disminuyeron entre 2019 y 2025? </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ind w:left="0" w:firstLine="0"/>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b w:val="1"/>
                <w:bCs w:val="1"/>
                <w:highlight w:val="yellow"/>
              </w:rPr>
            </w:pPr>
            <w:r w:rsidDel="00000000" w:rsidR="00000000" w:rsidRPr="00000000">
              <w:rPr>
                <w:b w:val="1"/>
                <w:bCs w:val="1"/>
                <w:highlight w:val="yellow"/>
                <w:rtl w:val="0"/>
              </w:rPr>
              <w:t xml:space="preserve">Aporte de valor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80" w:lineRule="auto"/>
              <w:rPr/>
            </w:pPr>
            <w:r w:rsidDel="00000000" w:rsidR="00000000" w:rsidRPr="00000000">
              <w:rPr>
                <w:rtl w:val="0"/>
              </w:rPr>
              <w:t xml:space="preserve">Permite saber si la temporada de infecciones respiratorias cambió después de la pandemia (si llega antes, si es más intensa o si afecta a otras edades). Es información útil para planificar camas, insumos, personal y campañas de vacunación en el momento adecuado.</w:t>
            </w:r>
          </w:p>
          <w:p w:rsidR="00000000" w:rsidDel="00000000" w:rsidP="00000000" w:rsidRDefault="00000000" w:rsidRPr="00000000" w14:paraId="00000032">
            <w:pPr>
              <w:spacing w:line="240" w:lineRule="auto"/>
              <w:rPr/>
            </w:pPr>
            <w:r w:rsidDel="00000000" w:rsidR="00000000" w:rsidRPr="00000000">
              <w:rPr>
                <w:rtl w:val="0"/>
              </w:rPr>
              <w:t xml:space="preserve">El ajuste por población muestra qué provincias tienen mayor carga real, más allá de su tamaño. Además, el análisis pone en evidencia problemas de calidad en los datos (como posibles subregistros), que también es un aporte para quien los usa. </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3">
            <w:pPr>
              <w:spacing w:after="0" w:before="0" w:line="240" w:lineRule="auto"/>
              <w:ind w:left="0" w:firstLine="0"/>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b w:val="1"/>
                <w:bCs w:val="1"/>
              </w:rPr>
            </w:pPr>
            <w:r w:rsidDel="00000000" w:rsidR="00000000" w:rsidRPr="00000000">
              <w:rPr>
                <w:b w:val="1"/>
                <w:bCs w:val="1"/>
                <w:rtl w:val="0"/>
              </w:rPr>
              <w:t xml:space="preserve">Alcance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numPr>
                <w:ilvl w:val="0"/>
                <w:numId w:val="5"/>
              </w:numPr>
              <w:spacing w:after="0" w:afterAutospacing="0" w:lineRule="auto"/>
              <w:ind w:left="720" w:hanging="360"/>
              <w:rPr>
                <w:u w:val="none"/>
              </w:rPr>
            </w:pPr>
            <w:r w:rsidDel="00000000" w:rsidR="00000000" w:rsidRPr="00000000">
              <w:rPr>
                <w:b w:val="1"/>
                <w:bCs w:val="1"/>
                <w:rtl w:val="0"/>
              </w:rPr>
              <w:t xml:space="preserve">Territorial: </w:t>
            </w:r>
            <w:r w:rsidDel="00000000" w:rsidR="00000000" w:rsidRPr="00000000">
              <w:rPr>
                <w:rtl w:val="0"/>
              </w:rPr>
              <w:t xml:space="preserve">nacional, 24 jurisdicciones, con análisis por provincia (los datos permiten llegar a nivel de departamento).</w:t>
            </w:r>
          </w:p>
          <w:p w:rsidR="00000000" w:rsidDel="00000000" w:rsidP="00000000" w:rsidRDefault="00000000" w:rsidRPr="00000000" w14:paraId="00000036">
            <w:pPr>
              <w:numPr>
                <w:ilvl w:val="0"/>
                <w:numId w:val="5"/>
              </w:numPr>
              <w:spacing w:after="0" w:afterAutospacing="0" w:lineRule="auto"/>
              <w:ind w:left="720" w:hanging="360"/>
              <w:rPr>
                <w:u w:val="none"/>
              </w:rPr>
            </w:pPr>
            <w:r w:rsidDel="00000000" w:rsidR="00000000" w:rsidRPr="00000000">
              <w:rPr>
                <w:b w:val="1"/>
                <w:bCs w:val="1"/>
                <w:rtl w:val="0"/>
              </w:rPr>
              <w:t xml:space="preserve">Temporal: </w:t>
            </w:r>
            <w:r w:rsidDel="00000000" w:rsidR="00000000" w:rsidRPr="00000000">
              <w:rPr>
                <w:rtl w:val="0"/>
              </w:rPr>
              <w:t xml:space="preserve">2019 como referencia pre pandemia; 2025 completo y 2026 hasta la SE 36 como post pandemia. 2018 (desde SE 18) como apoyo. No incluye 2020-2022.</w:t>
            </w:r>
          </w:p>
          <w:p w:rsidR="00000000" w:rsidDel="00000000" w:rsidP="00000000" w:rsidRDefault="00000000" w:rsidRPr="00000000" w14:paraId="00000037">
            <w:pPr>
              <w:numPr>
                <w:ilvl w:val="0"/>
                <w:numId w:val="5"/>
              </w:numPr>
              <w:spacing w:after="0" w:afterAutospacing="0" w:lineRule="auto"/>
              <w:ind w:left="720" w:hanging="360"/>
              <w:rPr>
                <w:u w:val="none"/>
              </w:rPr>
            </w:pPr>
            <w:r w:rsidDel="00000000" w:rsidR="00000000" w:rsidRPr="00000000">
              <w:rPr>
                <w:b w:val="1"/>
                <w:bCs w:val="1"/>
                <w:rtl w:val="0"/>
              </w:rPr>
              <w:t xml:space="preserve">Poblacional</w:t>
            </w:r>
            <w:r w:rsidDel="00000000" w:rsidR="00000000" w:rsidRPr="00000000">
              <w:rPr>
                <w:b w:val="1"/>
                <w:bCs w:val="1"/>
                <w:rtl w:val="0"/>
              </w:rPr>
              <w:t xml:space="preserve">: </w:t>
            </w:r>
            <w:r w:rsidDel="00000000" w:rsidR="00000000" w:rsidRPr="00000000">
              <w:rPr>
                <w:rtl w:val="0"/>
              </w:rPr>
              <w:t xml:space="preserve">casos notificados al SNVS, todas las edades (la bronquiolitis solo en menores de 2 años).</w:t>
            </w:r>
          </w:p>
          <w:p w:rsidR="00000000" w:rsidDel="00000000" w:rsidP="00000000" w:rsidRDefault="00000000" w:rsidRPr="00000000" w14:paraId="00000038">
            <w:pPr>
              <w:numPr>
                <w:ilvl w:val="0"/>
                <w:numId w:val="5"/>
              </w:numPr>
              <w:spacing w:after="80" w:lineRule="auto"/>
              <w:ind w:left="720" w:hanging="360"/>
              <w:rPr>
                <w:u w:val="none"/>
              </w:rPr>
            </w:pPr>
            <w:r w:rsidDel="00000000" w:rsidR="00000000" w:rsidRPr="00000000">
              <w:rPr>
                <w:b w:val="1"/>
                <w:bCs w:val="1"/>
                <w:rtl w:val="0"/>
              </w:rPr>
              <w:t xml:space="preserve">Fuera del alcance: </w:t>
            </w:r>
            <w:r w:rsidDel="00000000" w:rsidR="00000000" w:rsidRPr="00000000">
              <w:rPr>
                <w:rtl w:val="0"/>
              </w:rPr>
              <w:t xml:space="preserve">casos que no consultaron, confirmación de laboratorio (qué virus), defunciones y datos por sexo, que no están en los datasets. </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9">
            <w:pPr>
              <w:spacing w:after="0" w:before="0" w:line="240" w:lineRule="auto"/>
              <w:ind w:left="0" w:firstLine="0"/>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b w:val="1"/>
                <w:bCs w:val="1"/>
                <w:highlight w:val="yellow"/>
              </w:rPr>
            </w:pPr>
            <w:r w:rsidDel="00000000" w:rsidR="00000000" w:rsidRPr="00000000">
              <w:rPr>
                <w:b w:val="1"/>
                <w:bCs w:val="1"/>
                <w:highlight w:val="yellow"/>
                <w:rtl w:val="0"/>
              </w:rPr>
              <w:t xml:space="preserve">Enfoque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80" w:lineRule="auto"/>
              <w:rPr/>
            </w:pPr>
            <w:r w:rsidDel="00000000" w:rsidR="00000000" w:rsidRPr="00000000">
              <w:rPr>
                <w:rtl w:val="0"/>
              </w:rPr>
              <w:t xml:space="preserve">Descriptivo y comparativo, desde la perspectiva de la salud pública. Se comparan dos períodos en las mismas semanas epidemiológicas y se usan tasas cada 100.000 habitantes para comparar provincias.</w:t>
            </w:r>
          </w:p>
          <w:p w:rsidR="00000000" w:rsidDel="00000000" w:rsidP="00000000" w:rsidRDefault="00000000" w:rsidRPr="00000000" w14:paraId="0000003C">
            <w:pPr>
              <w:spacing w:line="240" w:lineRule="auto"/>
              <w:rPr/>
            </w:pPr>
            <w:r w:rsidDel="00000000" w:rsidR="00000000" w:rsidRPr="00000000">
              <w:rPr>
                <w:rtl w:val="0"/>
              </w:rPr>
              <w:t xml:space="preserve">Se espera comprender qué cambió (eventos), cuándo (estacionalidad), en quiénes (edad) y dónde (provincias). El análisis no busca demostrar causas: los cambios observados se interpretan considerando los factores externos.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line="240" w:lineRule="auto"/>
              <w:rPr>
                <w:b w:val="1"/>
                <w:bCs w:val="1"/>
              </w:rPr>
            </w:pPr>
            <w:r w:rsidDel="00000000" w:rsidR="00000000" w:rsidRPr="00000000">
              <w:rPr>
                <w:b w:val="1"/>
                <w:bCs w:val="1"/>
                <w:rtl w:val="0"/>
              </w:rPr>
              <w:t xml:space="preserve">Observaciones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b w:val="1"/>
                <w:bCs w:val="1"/>
              </w:rPr>
            </w:pPr>
            <w:r w:rsidDel="00000000" w:rsidR="00000000" w:rsidRPr="00000000">
              <w:rPr>
                <w:b w:val="1"/>
                <w:bCs w:val="1"/>
                <w:rtl w:val="0"/>
              </w:rPr>
              <w:t xml:space="preserve">Limitaciones Identificadas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numPr>
                <w:ilvl w:val="0"/>
                <w:numId w:val="3"/>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Casos notificados ≠ casos reales: hay subregistro y depende de que las personas consulten.</w:t>
            </w:r>
          </w:p>
          <w:p w:rsidR="00000000" w:rsidDel="00000000" w:rsidP="00000000" w:rsidRDefault="00000000" w:rsidRPr="00000000" w14:paraId="00000040">
            <w:pPr>
              <w:numPr>
                <w:ilvl w:val="0"/>
                <w:numId w:val="3"/>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Cambios en la forma de notificar entre períodos: Santa Fe (−90%) y CABA (−66%) muestran caídas que probablemente no se deben a la enfermedad.</w:t>
            </w:r>
          </w:p>
          <w:p w:rsidR="00000000" w:rsidDel="00000000" w:rsidP="00000000" w:rsidRDefault="00000000" w:rsidRPr="00000000" w14:paraId="00000041">
            <w:pPr>
              <w:numPr>
                <w:ilvl w:val="0"/>
                <w:numId w:val="3"/>
              </w:numPr>
              <w:spacing w:after="0" w:afterAutospacing="0" w:lineRule="auto"/>
              <w:ind w:left="720" w:hanging="360"/>
              <w:rPr>
                <w:u w:val="none"/>
              </w:rPr>
            </w:pPr>
            <w:r w:rsidDel="00000000" w:rsidR="00000000" w:rsidRPr="00000000">
              <w:rPr>
                <w:rtl w:val="0"/>
              </w:rPr>
              <w:t xml:space="preserve">Categorías de evento distintas (3 en 2019 y 7 en 2025-2026): hubo que agruparlas.</w:t>
            </w:r>
          </w:p>
          <w:p w:rsidR="00000000" w:rsidDel="00000000" w:rsidP="00000000" w:rsidRDefault="00000000" w:rsidRPr="00000000" w14:paraId="00000042">
            <w:pPr>
              <w:numPr>
                <w:ilvl w:val="0"/>
                <w:numId w:val="3"/>
              </w:numPr>
              <w:spacing w:after="0" w:afterAutospacing="0" w:lineRule="auto"/>
              <w:ind w:left="720" w:hanging="360"/>
              <w:rPr>
                <w:u w:val="none"/>
              </w:rPr>
            </w:pPr>
            <w:r w:rsidDel="00000000" w:rsidR="00000000" w:rsidRPr="00000000">
              <w:rPr>
                <w:rtl w:val="0"/>
              </w:rPr>
              <w:t xml:space="preserve">Faltan los años de pandemia (2020-2022): las versiones .xls del portal están cortadas en 65.535 filas.</w:t>
            </w:r>
          </w:p>
          <w:p w:rsidR="00000000" w:rsidDel="00000000" w:rsidP="00000000" w:rsidRDefault="00000000" w:rsidRPr="00000000" w14:paraId="00000043">
            <w:pPr>
              <w:numPr>
                <w:ilvl w:val="0"/>
                <w:numId w:val="3"/>
              </w:numPr>
              <w:spacing w:after="0" w:afterAutospacing="0" w:lineRule="auto"/>
              <w:ind w:left="720" w:hanging="360"/>
              <w:rPr>
                <w:u w:val="none"/>
              </w:rPr>
            </w:pPr>
            <w:r w:rsidDel="00000000" w:rsidR="00000000" w:rsidRPr="00000000">
              <w:rPr>
                <w:rtl w:val="0"/>
              </w:rPr>
              <w:t xml:space="preserve">Se usa la población del Censo 2022 para todos los años.</w:t>
            </w:r>
          </w:p>
          <w:p w:rsidR="00000000" w:rsidDel="00000000" w:rsidP="00000000" w:rsidRDefault="00000000" w:rsidRPr="00000000" w14:paraId="00000044">
            <w:pPr>
              <w:numPr>
                <w:ilvl w:val="0"/>
                <w:numId w:val="3"/>
              </w:numPr>
              <w:spacing w:after="0" w:afterAutospacing="0" w:lineRule="auto"/>
              <w:ind w:left="720" w:hanging="360"/>
              <w:rPr>
                <w:u w:val="none"/>
              </w:rPr>
            </w:pPr>
            <w:r w:rsidDel="00000000" w:rsidR="00000000" w:rsidRPr="00000000">
              <w:rPr>
                <w:rtl w:val="0"/>
              </w:rPr>
              <w:t xml:space="preserve">Períodos incompletos: 2018 desde la SE 18 y 2026 hasta la SE 36, con las últimas semanas afectadas por retraso en la notificación.</w:t>
            </w:r>
          </w:p>
          <w:p w:rsidR="00000000" w:rsidDel="00000000" w:rsidP="00000000" w:rsidRDefault="00000000" w:rsidRPr="00000000" w14:paraId="00000045">
            <w:pPr>
              <w:numPr>
                <w:ilvl w:val="0"/>
                <w:numId w:val="3"/>
              </w:numPr>
              <w:spacing w:after="0" w:afterAutospacing="0" w:lineRule="auto"/>
              <w:ind w:left="720" w:hanging="360"/>
              <w:rPr>
                <w:u w:val="none"/>
              </w:rPr>
            </w:pPr>
            <w:r w:rsidDel="00000000" w:rsidR="00000000" w:rsidRPr="00000000">
              <w:rPr>
                <w:rtl w:val="0"/>
              </w:rPr>
              <w:t xml:space="preserve">En 2018-2019 se sumaron filas con la misma clave (supuesto: una por establecimiento), a validar con la fuente.</w:t>
            </w:r>
          </w:p>
          <w:p w:rsidR="00000000" w:rsidDel="00000000" w:rsidP="00000000" w:rsidRDefault="00000000" w:rsidRPr="00000000" w14:paraId="00000046">
            <w:pPr>
              <w:numPr>
                <w:ilvl w:val="0"/>
                <w:numId w:val="3"/>
              </w:numPr>
              <w:spacing w:after="0" w:afterAutospacing="0" w:lineRule="auto"/>
              <w:ind w:left="720" w:hanging="360"/>
              <w:rPr>
                <w:u w:val="none"/>
              </w:rPr>
            </w:pPr>
            <w:r w:rsidDel="00000000" w:rsidR="00000000" w:rsidRPr="00000000">
              <w:rPr>
                <w:rtl w:val="0"/>
              </w:rPr>
              <w:t xml:space="preserve">Diagnóstico clínico: no se sabe qué virus causó cada caso. Tampoco hay datos por sexo ni socioeconómicos.</w:t>
            </w:r>
          </w:p>
          <w:p w:rsidR="00000000" w:rsidDel="00000000" w:rsidP="00000000" w:rsidRDefault="00000000" w:rsidRPr="00000000" w14:paraId="00000047">
            <w:pPr>
              <w:numPr>
                <w:ilvl w:val="0"/>
                <w:numId w:val="3"/>
              </w:numPr>
              <w:spacing w:after="80" w:lineRule="auto"/>
              <w:ind w:left="720" w:hanging="360"/>
              <w:rPr>
                <w:u w:val="none"/>
              </w:rPr>
            </w:pPr>
            <w:r w:rsidDel="00000000" w:rsidR="00000000" w:rsidRPr="00000000">
              <w:rPr>
                <w:rtl w:val="0"/>
              </w:rPr>
              <w:t xml:space="preserve">El lugar de notificación puede no coincidir con el de residencia. </w:t>
            </w:r>
          </w:p>
        </w:tc>
      </w:tr>
    </w:tbl>
    <w:p w:rsidR="00000000" w:rsidDel="00000000" w:rsidP="00000000" w:rsidRDefault="00000000" w:rsidRPr="00000000" w14:paraId="00000048">
      <w:pPr>
        <w:spacing w:after="240" w:before="24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