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h86bvhm3qr6v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Técnica: Conocimiento del Dominio y Contexto del Proyecto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organizar la información de manera clara y estructurada, se propone una </w:t>
      </w:r>
      <w:r w:rsidDel="00000000" w:rsidR="00000000" w:rsidRPr="00000000">
        <w:rPr>
          <w:i w:val="1"/>
          <w:iCs w:val="1"/>
          <w:rtl w:val="0"/>
        </w:rPr>
        <w:t xml:space="preserve">Ficha de Caracterización del Dominio</w:t>
      </w:r>
      <w:r w:rsidDel="00000000" w:rsidR="00000000" w:rsidRPr="00000000">
        <w:rPr>
          <w:rtl w:val="0"/>
        </w:rPr>
        <w:t xml:space="preserve">. Esta herramienta permite que el equipo defina el contexto del análisis, comprenda el problema y establezca un enfoque antes de comenzar el trabajo con los datos.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2.810495333451"/>
        <w:gridCol w:w="2210.7217428492368"/>
        <w:gridCol w:w="4531.979572840935"/>
        <w:tblGridChange w:id="0">
          <w:tblGrid>
            <w:gridCol w:w="2282.810495333451"/>
            <w:gridCol w:w="2210.7217428492368"/>
            <w:gridCol w:w="4531.9795728409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DE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REGISTRO DEL EQUIPO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Título descriptivo del análisis.</w:t>
            </w:r>
          </w:p>
          <w:p>
            <w:pPr>
              <w:spacing w:after="80" w:line="240" w:lineRule="auto"/>
              <w:rPr/>
            </w:pPr>
            <w:r>
              <w:rPr>
                <w:b w:val="1"/>
                <w:bCs w:val="1"/>
                <w:rtl w:val="0"/>
              </w:rPr>
              <w:t xml:space="preserve">Infecciones respiratorias agudas en Argentina: cambios entre 2019 (prepandemia) y 2025 (pospandemia)</w:t>
            </w:r>
          </w:p>
          <w:p>
            <w:pPr>
              <w:spacing w:after="0" w:line="240" w:lineRule="auto"/>
              <w:rPr/>
            </w:pPr>
            <w:r>
              <w:rPr>
                <w:i w:val="1"/>
                <w:iCs w:val="1"/>
                <w:sz w:val="18"/>
                <w:szCs w:val="18"/>
                <w:rtl w:val="0"/>
              </w:rPr>
              <w:t xml:space="preserve">Versión actualizada en el Sprint 2 (20/10/2026) a partir de la devolución docente.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 Temático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Área general (ej. Salud, Finanzas, Medio Ambiente).</w:t>
            </w:r>
          </w:p>
          <w:p>
            <w:pPr>
              <w:spacing w:after="80" w:line="240" w:lineRule="auto"/>
              <w:rPr/>
            </w:pPr>
            <w:r>
              <w:rPr>
                <w:rtl w:val="0"/>
              </w:rPr>
              <w:t xml:space="preserve">Salud pública – Vigilancia epidemiológica de enfermedades respiratorias.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de análisis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análisis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¿Qué vamos a analizar?Describe el objeto/fenómeno</w:t>
            </w:r>
          </w:p>
          <w:p>
            <w:pPr>
              <w:spacing w:after="80" w:line="240" w:lineRule="auto"/>
              <w:rPr/>
            </w:pPr>
            <w:r>
              <w:rPr>
                <w:rtl w:val="0"/>
              </w:rPr>
              <w:t xml:space="preserve">Se analizan las notificaciones de infecciones respiratorias agudas (IRA) registradas en el Sistema Nacional de Vigilancia de la Salud (SNVS): enfermedad tipo influenza (ETI), neumonía y bronquiolitis en menores de 2 años.</w:t>
            </w:r>
          </w:p>
          <w:p>
            <w:pPr>
              <w:spacing w:after="80" w:line="240" w:lineRule="auto"/>
              <w:rPr/>
            </w:pPr>
            <w:r>
              <w:rPr>
                <w:rtl w:val="0"/>
              </w:rPr>
              <w:t xml:space="preserve">El objetivo es describir qué cambió entre 2019 (antes de la pandemia de COVID-19) y 2025, dos años completos: qué eventos y grupos de edad concentran los cambios, en qué semanas empieza, alcanza su pico y termina la temporada, y qué provincias tienen mayor incidencia en relación con su población.</w:t>
            </w:r>
          </w:p>
          <w:p>
            <w:pPr>
              <w:spacing w:after="80" w:line="240" w:lineRule="auto"/>
              <w:rPr/>
            </w:pPr>
            <w:r>
              <w:rPr>
                <w:rtl w:val="0"/>
              </w:rPr>
              <w:t xml:space="preserve">Las IRA son una de las principales causas de consulta e internación, sobre todo en los meses fríos. La pandemia alteró la circulación de los virus respiratorios y los sistemas de vigilancia, por lo que interesa saber si el comportamiento actual es distinto al previo.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Glosario de Términos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Definición de conceptos clave para evitar ambigüedades.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IRA: </w:t>
            </w:r>
            <w:r>
              <w:rPr>
                <w:rtl w:val="0"/>
              </w:rPr>
              <w:t xml:space="preserve">infecciones respiratorias agudas; agrupa los tres eventos analizados.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ETI (enfermedad tipo influenza): </w:t>
            </w:r>
            <w:r>
              <w:rPr>
                <w:rtl w:val="0"/>
              </w:rPr>
              <w:t xml:space="preserve">cuadro de aparición súbita con fiebre mayor a 38 °C y tos o dolor de garganta, sin otra causa que lo explique.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Neumonía: </w:t>
            </w:r>
            <w:r>
              <w:rPr>
                <w:rtl w:val="0"/>
              </w:rPr>
              <w:t xml:space="preserve">infección del tejido pulmonar, diagnosticada por la clínica y/o la radiografía.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Bronquiolitis: </w:t>
            </w:r>
            <w:r>
              <w:rPr>
                <w:rtl w:val="0"/>
              </w:rPr>
              <w:t xml:space="preserve">infección de las vías respiratorias pequeñas (bronquiolos) en menores de 2 años; la causa más frecuente es el VSR.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VSR: </w:t>
            </w:r>
            <w:r>
              <w:rPr>
                <w:rtl w:val="0"/>
              </w:rPr>
              <w:t xml:space="preserve">virus sincicial respiratorio.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Notificación: </w:t>
            </w:r>
            <w:r>
              <w:rPr>
                <w:rtl w:val="0"/>
              </w:rPr>
              <w:t xml:space="preserve">caso que un establecimiento de salud registró en el SNVS. No es un caso confirmado por laboratorio ni el total real de enfermos.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Evento de notificación obligatoria: </w:t>
            </w:r>
            <w:r>
              <w:rPr>
                <w:rtl w:val="0"/>
              </w:rPr>
              <w:t xml:space="preserve">enfermedad que los establecimientos deben informar por ley al sistema de vigilancia.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SNVS 2.0: </w:t>
            </w:r>
            <w:r>
              <w:rPr>
                <w:rtl w:val="0"/>
              </w:rPr>
              <w:t xml:space="preserve">sistema informático nacional donde se registran las notificaciones.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Semana epidemiológica (SE): </w:t>
            </w:r>
            <w:r>
              <w:rPr>
                <w:rtl w:val="0"/>
              </w:rPr>
              <w:t xml:space="preserve">unidad de tiempo de la vigilancia, de domingo a sábado; el año tiene 52 o 53.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Temporada: </w:t>
            </w:r>
            <w:r>
              <w:rPr>
                <w:rtl w:val="0"/>
              </w:rPr>
              <w:t xml:space="preserve">semanas consecutivas con al menos la mitad de las notificaciones de la semana pico de ese año. Su inicio y su fin se expresan en SE.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Pico: </w:t>
            </w:r>
            <w:r>
              <w:rPr>
                <w:rtl w:val="0"/>
              </w:rPr>
              <w:t xml:space="preserve">semana con más notificaciones del año.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Variación %: </w:t>
            </w:r>
            <w:r>
              <w:rPr>
                <w:rtl w:val="0"/>
              </w:rPr>
              <w:t xml:space="preserve">(valor 2025 − valor 2019) ÷ valor 2019.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Incidencia (tasa cada 100.000 hab.): </w:t>
            </w:r>
            <w:r>
              <w:rPr>
                <w:rtl w:val="0"/>
              </w:rPr>
              <w:t xml:space="preserve">notificaciones ÷ población × 100.000; permite comparar provincias de distinto tamaño.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Subnotificación: </w:t>
            </w:r>
            <w:r>
              <w:rPr>
                <w:rtl w:val="0"/>
              </w:rPr>
              <w:t xml:space="preserve">casos que ocurrieron pero no fueron notificados.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Prepandemia / pospandemia: </w:t>
            </w:r>
            <w:r>
              <w:rPr>
                <w:rtl w:val="0"/>
              </w:rPr>
              <w:t xml:space="preserve">en este proyecto, 2019 / 2025.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Diccionario Semántico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¿Qué significa cada variable en el mundo real? (No solo el tipo de dato).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Provincia y departamento: </w:t>
            </w:r>
            <w:r>
              <w:rPr>
                <w:rtl w:val="0"/>
              </w:rPr>
              <w:t xml:space="preserve">jurisdicción donde se registró la notificación; puede no coincidir con el lugar donde vive la persona.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Año y semana epidemiológica: </w:t>
            </w:r>
            <w:r>
              <w:rPr>
                <w:rtl w:val="0"/>
              </w:rPr>
              <w:t xml:space="preserve">momento en que se atendió y registró el caso, no necesariamente el día en que empezaron los síntomas.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Evento: </w:t>
            </w:r>
            <w:r>
              <w:rPr>
                <w:rtl w:val="0"/>
              </w:rPr>
              <w:t xml:space="preserve">tipo de cuadro según una definición clínica. No indica qué virus lo causó. En 2025 además dice si el paciente fue atendido en forma ambulatoria o internado.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Grupo de edad: </w:t>
            </w:r>
            <w:r>
              <w:rPr>
                <w:rtl w:val="0"/>
              </w:rPr>
              <w:t xml:space="preserve">rango de edad de la persona atendida; en menores de 2 años se mide en meses. Para el análisis se agrupó en 6 grupos: menores de 2 años, 2 a 4, 5 a 14, 15 a 44, 45 a 64 y 65 años o más.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Cantidad de notificaciones (cantidad_casos): </w:t>
            </w:r>
            <w:r>
              <w:rPr>
                <w:rtl w:val="0"/>
              </w:rPr>
              <w:t xml:space="preserve">personas atendidas que cumplen la definición del evento en esa semana, lugar y grupo de edad. Mide demanda registrada, no el total real de enfermos.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Población (INDEC): </w:t>
            </w:r>
            <w:r>
              <w:rPr>
                <w:rtl w:val="0"/>
              </w:rPr>
              <w:t xml:space="preserve">personas que viven en cada jurisdicción según el Censo 2022; es la base para comparar provincias.</w:t>
            </w:r>
          </w:p>
          <w:p>
            <w:pPr>
              <w:spacing w:after="0" w:line="240" w:lineRule="auto"/>
              <w:rPr/>
            </w:pPr>
            <w:r>
              <w:rPr>
                <w:i w:val="1"/>
                <w:iCs w:val="1"/>
                <w:sz w:val="18"/>
                <w:szCs w:val="18"/>
                <w:rtl w:val="0"/>
              </w:rPr>
              <w:t xml:space="preserve">El detalle técnico de cada variable está en el Diccionario de datos.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Externos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Lista de eventos que pueden alterar los valores (festivos, cambios de política, clima).No implica causalidad</w:t>
            </w:r>
          </w:p>
          <w:p>
            <w:pPr>
              <w:spacing w:after="80" w:line="240" w:lineRule="auto"/>
              <w:rPr/>
            </w:pPr>
            <w:r>
              <w:rPr>
                <w:i w:val="1"/>
                <w:iCs w:val="1"/>
                <w:rtl w:val="0"/>
              </w:rPr>
              <w:t xml:space="preserve">Eventos que pueden alterar los valores (no implican causalidad):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Pandemia de COVID-19 (2020-2022): </w:t>
            </w:r>
            <w:r>
              <w:rPr>
                <w:rtl w:val="0"/>
              </w:rPr>
              <w:t xml:space="preserve">aislamiento, cambios en la circulación de virus y en la forma de consultar.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Cambios en la notificación: </w:t>
            </w:r>
            <w:r>
              <w:rPr>
                <w:rtl w:val="0"/>
              </w:rPr>
              <w:t xml:space="preserve">nuevas categorías en el SNVS 2.0 y jurisdicciones con sistemas propios o con cambios de carga.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Vacunación: </w:t>
            </w:r>
            <w:r>
              <w:rPr>
                <w:rtl w:val="0"/>
              </w:rPr>
              <w:t xml:space="preserve">vacuna contra el VSR para personas gestantes en el Calendario Nacional desde 2024, campañas antigripales anuales y vacunas contra COVID-19.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Clima: </w:t>
            </w:r>
            <w:r>
              <w:rPr>
                <w:rtl w:val="0"/>
              </w:rPr>
              <w:t xml:space="preserve">temperaturas bajas y estación fría.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Calendario escolar: </w:t>
            </w:r>
            <w:r>
              <w:rPr>
                <w:rtl w:val="0"/>
              </w:rPr>
              <w:t xml:space="preserve">inicio de clases y vacaciones de invierno.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Circulación viral: </w:t>
            </w:r>
            <w:r>
              <w:rPr>
                <w:rtl w:val="0"/>
              </w:rPr>
              <w:t xml:space="preserve">nuevas cepas de influenza y variantes de SARS-CoV-2.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Acceso y demanda de atención: </w:t>
            </w:r>
            <w:r>
              <w:rPr>
                <w:rtl w:val="0"/>
              </w:rPr>
              <w:t xml:space="preserve">cantidad de consultas, campañas de comunicación, brotes con alta difusión.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Preguntas de análisis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Análisis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Enunciados claros de lo que se busca analizar a partir de los datos.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1. ¿Qué cambió? </w:t>
            </w:r>
            <w:r>
              <w:rPr>
                <w:rtl w:val="0"/>
              </w:rPr>
              <w:t xml:space="preserve">¿El aumento de las notificaciones entre 2019 y 2025 fue parejo o se concentró en algunos eventos (ETI, neumonía y bronquiolitis) y grupos de edad?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2. ¿Cuándo? </w:t>
            </w:r>
            <w:r>
              <w:rPr>
                <w:rtl w:val="0"/>
              </w:rPr>
              <w:t xml:space="preserve">¿La temporada de 2025 empezó, alcanzó su pico y terminó en las mismas semanas epidemiológicas que en 2019?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3. ¿Dónde? </w:t>
            </w:r>
            <w:r>
              <w:rPr>
                <w:rtl w:val="0"/>
              </w:rPr>
              <w:t xml:space="preserve">¿Qué provincias presentan mayor incidencia de notificaciones en relación con su población, y cómo cambió entre 2019 y 2025?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Aporte de valor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¿Por qué es relevante responder esta pregunta? ¿Qué conocimiento puede aportar el análisis?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Pregunta 1: </w:t>
            </w:r>
            <w:r>
              <w:rPr>
                <w:rtl w:val="0"/>
              </w:rPr>
              <w:t xml:space="preserve">permite saber si el aumento total se reparte por igual o se explica por eventos y edades en particular. Así se describe el comportamiento pospandemia de cada evento por separado, en lugar de tratar a las IRA como un todo.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Pregunta 2: </w:t>
            </w:r>
            <w:r>
              <w:rPr>
                <w:rtl w:val="0"/>
              </w:rPr>
              <w:t xml:space="preserve">describe si el calendario de la temporada respiratoria se mantuvo o se corrió, y si cambiaron su intensidad y su duración, algo que el total anual no muestra.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Pregunta 3: </w:t>
            </w:r>
            <w:r>
              <w:rPr>
                <w:rtl w:val="0"/>
              </w:rPr>
              <w:t xml:space="preserve">el ajuste por población muestra qué provincias tienen mayor incidencia más allá de su tamaño y si son las mismas antes y después de la pandemia. Además, pone en evidencia problemas de calidad en los datos, como la subnotificación.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¿Hasta dónde se extiende el análisis? Por ejemplo: territorial, temporal, social, económico o poblacional.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Territorial: </w:t>
            </w:r>
            <w:r>
              <w:rPr>
                <w:rtl w:val="0"/>
              </w:rPr>
              <w:t xml:space="preserve">nacional, 24 jurisdicciones, con análisis por provincia.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Temporal: </w:t>
            </w:r>
            <w:r>
              <w:rPr>
                <w:rtl w:val="0"/>
              </w:rPr>
              <w:t xml:space="preserve">2019 (prepandemia) y 2025 (pospandemia), años completos, semanas epidemiológicas 1 a 52. Se excluyen 2018 (desde la SE 18) y 2026 (hasta la SE 36) por estar incompletos, y la SE 53 de 2025. No incluye 2020-2022.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Poblacional: </w:t>
            </w:r>
            <w:r>
              <w:rPr>
                <w:rtl w:val="0"/>
              </w:rPr>
              <w:t xml:space="preserve">notificaciones al SNVS, todas las edades (la bronquiolitis solo en menores de 2 años).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>Fuera del alcance: </w:t>
            </w:r>
            <w:r>
              <w:rPr>
                <w:rtl w:val="0"/>
              </w:rPr>
              <w:t xml:space="preserve">casos que no consultaron, confirmación de laboratorio (qué virus), defunciones, datos por sexo e internaciones (solo una provincia notifica esa modalidad). La relación con la vacunación COVID-19 se exploró y se descartó: no se observó relación con la incidencia a nivel provincial.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Enfoque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¿Desde qué perspectiva se va a analizar la pregunta y qué se espera comprender a partir de los datos?</w:t>
            </w:r>
          </w:p>
          <w:p>
            <w:pPr>
              <w:spacing w:after="80" w:line="240" w:lineRule="auto"/>
              <w:rPr/>
            </w:pPr>
            <w:r>
              <w:rPr>
                <w:rtl w:val="0"/>
              </w:rPr>
              <w:t xml:space="preserve">Descriptivo y comparativo, desde la perspectiva de la vigilancia en salud pública. Se comparan dos años completos en las mismas semanas epidemiológicas y se usan variaciones porcentuales y tasas cada 100.000 habitantes.</w:t>
            </w:r>
          </w:p>
          <w:p>
            <w:pPr>
              <w:spacing w:after="80" w:line="240" w:lineRule="auto"/>
              <w:rPr/>
            </w:pPr>
            <w:r>
              <w:rPr>
                <w:rtl w:val="0"/>
              </w:rPr>
              <w:t xml:space="preserve">Se espera comprender qué cambió (eventos y edades), cuándo (temporada) y dónde (provincias). El análisis no busca demostrar causas: los cambios observados se interpretan considerando los factores externos.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Limitaciones Identificadas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100" w:line="240" w:lineRule="auto"/>
              <w:rPr/>
            </w:pPr>
            <w:r>
              <w:rPr>
                <w:i w:val="1"/>
                <w:iCs w:val="1"/>
                <w:color w:val="7F7F7F"/>
                <w:sz w:val="16"/>
                <w:szCs w:val="16"/>
                <w:rtl w:val="0"/>
              </w:rPr>
              <w:t xml:space="preserve">Posibles sesgos o vacíos de información detectados en esta etapa.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Notificaciones ≠ casos reales: hay subnotificación y depende de que las personas consulten.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Cambios en la forma de notificar entre períodos: Santa Fe (−90%) y CABA (−66%) muestran caídas que probablemente no se deben a la enfermedad; sus tasas no son comparables.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Categorías de evento distintas (3 en 2019 y 7 en 2025): hubo que agruparlas.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La modalidad "internados" solo la notifica Salta (4.490 notificaciones en 2025-2026), por lo que no es posible analizar internaciones a nivel nacional.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Las notificaciones sin edad especificada quedan fuera de la comparación por grupo de edad.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Faltan los años de pandemia (2020-2022): las versiones .xls del portal están cortadas en 65.535 filas.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Se usa la población del Censo 2022 para ambos años.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En 2018-2019 se sumaron filas con la misma clave (supuesto: una por establecimiento), a validar con la fuente.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Diagnóstico clínico: no se sabe qué virus causó cada caso. Tampoco hay datos por sexo ni socioeconómicos.</w:t>
            </w:r>
          </w:p>
          <w:p>
            <w:pPr>
              <w:spacing w:after="80" w:line="240" w:lineRule="auto"/>
              <w:ind w:left="220" w:hanging="220"/>
              <w:rPr/>
            </w:pPr>
            <w:r>
              <w:rPr>
                <w:rtl w:val="0"/>
              </w:rPr>
              <w:t xml:space="preserve">• </w:t>
            </w:r>
            <w:r>
              <w:rPr>
                <w:b w:val="1"/>
                <w:bCs w:val="1"/>
                <w:rtl w:val="0"/>
              </w:rPr>
              <w:t xml:space="preserve"/>
            </w:r>
            <w:r>
              <w:rPr>
                <w:rtl w:val="0"/>
              </w:rPr>
              <w:t xml:space="preserve">El lugar de notificación puede no coincidir con el de residencia.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importante que esta ficha sea completada en conjunto por el equipo de trabajo.</w:t>
        <w:br w:type="textWrapping"/>
        <w:t xml:space="preserve">Puede apoyarse en fuentes confiables del área (informes oficiales, documentación técnica, portales de datos) que ayuden a comprender el contexto y las variables analizadas. La ficha no es un documento estático: a medida que avanza el análisis y se comprende mejor la información, puede y debe actualizarse. El objetivo no es desarrollar un marco teórico extenso, sino construir una base clara que permita entender qué se está analizando.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