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4F6C"/>
          <w:sz w:val="40"/>
          <w:szCs w:val="40"/>
        </w:rPr>
        <w:t xml:space="preserve">ShipShield</w:t>
      </w:r>
    </w:p>
    <w:p>
      <w:pPr>
        <w:spacing w:after="40"/>
        <w:jc w:val="center"/>
      </w:pPr>
      <w:r>
        <w:rPr>
          <w:b/>
          <w:bCs/>
          <w:sz w:val="28"/>
          <w:szCs w:val="28"/>
        </w:rPr>
        <w:t xml:space="preserve">Nutzungsbedingungen und Einwilligung zur Datenverarbeitung</w:t>
      </w:r>
    </w:p>
    <w:p>
      <w:pPr>
        <w:spacing w:after="240"/>
        <w:jc w:val="center"/>
      </w:pPr>
      <w:r>
        <w:rPr>
          <w:i/>
          <w:iCs/>
          <w:color w:val="605E5C"/>
        </w:rPr>
        <w:t xml:space="preserve">gemäß Datenschutz-Grundverordnung (DSGVO) und BDSG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4CE" w:val="clear"/>
            <w:tcMar>
              <w:top w:type="dxa" w:w="120"/>
              <w:left w:type="dxa" w:w="160"/>
              <w:bottom w:type="dxa" w:w="120"/>
              <w:right w:type="dxa" w:w="160"/>
            </w:tcMar>
          </w:tcPr>
          <w:p>
            <w:pPr>
              <w:spacing w:after="80"/>
            </w:pPr>
            <w:r>
              <w:rPr>
                <w:b/>
                <w:bCs/>
              </w:rPr>
              <w:t xml:space="preserve">Rechtlicher Hinweis (kein Rechtsrat)</w:t>
            </w:r>
          </w:p>
          <w:p>
            <w:pPr>
              <w:spacing w:after="40"/>
            </w:pPr>
            <w:r>
              <w:t xml:space="preserve">Dieses Dokument ist eine Vorlage für ein Studien-/Startup-Projekt und stellt keine Rechtsberatung dar. Vor dem produktiven Einsatz ist eine Prüfung durch eine qualifizierte Rechtsanwältin/einen qualifizierten Rechtsanwalt bzw. die/den Datenschutzbeauftragte(n) zwingend erforderlich. Alle [eckigen Platzhalter] sind vor Veröffentlichung auszufüllen.</w:t>
            </w:r>
          </w:p>
        </w:tc>
      </w:tr>
    </w:tbl>
    <w:p>
      <w:pPr>
        <w:spacing w:after="120"/>
      </w:pPr>
      <w:r>
        <w:t xml:space="preserve"/>
      </w:r>
    </w:p>
    <w:p>
      <w:pPr>
        <w:pStyle w:val="Heading1"/>
      </w:pPr>
      <w:r>
        <w:t xml:space="preserve">1. Verantwortlicher</w:t>
      </w:r>
    </w:p>
    <w:p>
      <w:pPr>
        <w:spacing w:after="120"/>
      </w:pPr>
      <w:r>
        <w:t xml:space="preserve">Verantwortlicher im Sinne von Art. 4 Nr. 7 DSGVO 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4CE" w:val="clear"/>
            <w:tcMar>
              <w:top w:type="dxa" w:w="120"/>
              <w:left w:type="dxa" w:w="160"/>
              <w:bottom w:type="dxa" w:w="120"/>
              <w:right w:type="dxa" w:w="160"/>
            </w:tcMar>
          </w:tcPr>
          <w:p>
            <w:pPr>
              <w:spacing w:after="80"/>
            </w:pPr>
            <w:r>
              <w:rPr>
                <w:b/>
                <w:bCs/>
              </w:rPr>
              <w:t xml:space="preserve">Verantwortliche Stelle</w:t>
            </w:r>
          </w:p>
          <w:p>
            <w:pPr>
              <w:spacing w:after="40"/>
            </w:pPr>
            <w:r>
              <w:t xml:space="preserve">[ShipShield GmbH] — [Straße, Hausnummer] — [PLZ Ort], Deutschland</w:t>
            </w:r>
          </w:p>
          <w:p>
            <w:pPr>
              <w:spacing w:after="40"/>
            </w:pPr>
            <w:r>
              <w:t xml:space="preserve">Vertreten durch: [Geschäftsführer/in]</w:t>
            </w:r>
          </w:p>
          <w:p>
            <w:pPr>
              <w:spacing w:after="40"/>
            </w:pPr>
            <w:r>
              <w:t xml:space="preserve">E-Mail: [datenschutz@shipshield.de] — Telefon: [+49 …]</w:t>
            </w:r>
          </w:p>
          <w:p>
            <w:pPr>
              <w:spacing w:after="40"/>
            </w:pPr>
            <w:r>
              <w:t xml:space="preserve">Datenschutzbeauftragte(r): [Name / extern] — [dsb@shipshield.de]</w:t>
            </w:r>
          </w:p>
        </w:tc>
      </w:tr>
    </w:tbl>
    <w:p>
      <w:pPr>
        <w:pStyle w:val="Heading1"/>
      </w:pPr>
      <w:r>
        <w:t xml:space="preserve">2. Geltungsbereich und Leistungsbeschreibung</w:t>
      </w:r>
    </w:p>
    <w:p>
      <w:pPr>
        <w:spacing w:after="120"/>
      </w:pPr>
      <w:r>
        <w:t xml:space="preserve">ShipShield ist eine Validierungsschicht zur Erkennung von Betrug bei seefrachtbezogenen Rechnungen und Konnossementen (Bills of Lading). Die Software prüft eingehende Rechnungs- und Frachtdokumente, indem sie (a) die E-Mail auf Anzeichen einer Vendor-E-Mail-Kompromittierung (VEC) untersucht, (b) die logistischen Angaben gegen Schiffs- und AIS-Daten abgleicht und (c) die Bankverbindung (IBAN) gegen die für den Lieferanten hinterlegte, bestätigte Kontoverbindung prüft.</w:t>
      </w:r>
    </w:p>
    <w:p>
      <w:pPr>
        <w:spacing w:after="120"/>
      </w:pPr>
      <w:r>
        <w:t xml:space="preserve">Diese Bedingungen regeln das Verhältnis zwischen ShipShield und den nutzenden Unternehmen (B2B) sowie die damit verbundene Verarbeitung personenbezogener Daten.</w:t>
      </w:r>
    </w:p>
    <w:p>
      <w:pPr>
        <w:pStyle w:val="Heading1"/>
      </w:pPr>
      <w:r>
        <w:t xml:space="preserve">3. Verarbeitete Datenkategorien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Kategorie</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Beispiele / Erläuterung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E-Mail-Metadaten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Absender, Antwort-an (Reply-To), Betreff, Datum — zur VEC-Erkennung.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Dokumentinhalte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Rechnungen und Konnossemente sowie deren extrahierte Felder (Rechnungsnummer, Betrag, Datum, Hafen).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Logistische Kennungen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Schiffsname, MMSI, IMO, Reise-/Voyage-Nr., Lade- und Löschhafen, Ladung, Tonnage.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Bankverbindung (IBAN)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Wird ausschließlich als pseudonymer Hash (HMAC-SHA256) gespeichert — keine Speicherung der Klartext-IBAN (siehe Ziffer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Lieferanten-/Firmendaten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Firmenname des Carriers/Lieferanten. In der Regel keine personenbezogenen Daten; bei Einzelunternehmern ggf. personenbezogen.</w:t>
            </w:r>
          </w:p>
        </w:tc>
      </w:tr>
    </w:tbl>
    <w:p>
      <w:pPr>
        <w:spacing w:after="120"/>
      </w:pPr>
      <w:r>
        <w:t xml:space="preserve"/>
      </w:r>
    </w:p>
    <w:p>
      <w:pPr>
        <w:spacing w:after="120"/>
      </w:pPr>
      <w:r>
        <w:t xml:space="preserve">Soweit in Dokumenten oder E-Mails personenbezogene Daten Dritter enthalten sind (z. B. Namen von Sachbearbeitern), werden diese nur im zur Betrugsprüfung erforderlichen Umfang verarbeitet (Grundsatz der Datenminimierung, Art. 5 Abs. 1 lit. c DSGVO).</w:t>
      </w:r>
    </w:p>
    <w:p>
      <w:pPr>
        <w:pStyle w:val="Heading1"/>
      </w:pPr>
      <w:r>
        <w:t xml:space="preserve">4. Zwecke und Rechtsgrundlagen der Verarbeitung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Rechtsgrundlage (Art. 6 DSGVO)</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Zweck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6 Abs. 1 lit. 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Erfüllung des Nutzungsvertrags: Bereitstellung der Prüf- und Validierungsfunktionen.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6 Abs. 1 lit. 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Berechtigtes Interesse an der Betrugsprävention. Erwägungsgrund 47 DSGVO nennt die Verhinderung von Betrug ausdrücklich als berechtigtes Interesse. Eine Interessenabwägung wurde dokumentiert ([Verweis auf LIA]).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6 Abs. 1 lit. 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Einwilligung für die Verarbeitung von E-Mail-Inhalten und Anhängen, soweit diese über das für die Vertragserfüllung Erforderliche hinausgeht (siehe Ziffer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6 Abs. 1 lit. c</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Erfüllung rechtlicher Pflichten, z. B. handels-/steuerrechtliche Aufbewahrung und Pflichten zur Verhinderung von Geldwäsche (GwG).</w:t>
            </w:r>
          </w:p>
        </w:tc>
      </w:tr>
    </w:tbl>
    <w:p>
      <w:pPr>
        <w:pStyle w:val="Heading1"/>
      </w:pPr>
      <w:r>
        <w:t xml:space="preserve">5. Datenminimierung, Pseudonymisierung und Sicherheit (Privacy by Design)</w:t>
      </w:r>
    </w:p>
    <w:p>
      <w:pPr>
        <w:spacing w:after="120"/>
      </w:pPr>
      <w:r>
        <w:t xml:space="preserve">ShipShield ist nach den Grundsätzen „Datenschutz durch Technikgestaltung“ und „durch datenschutzfreundliche Voreinstellungen“ (Art. 25 DSGVO) gestaltet:</w:t>
      </w:r>
    </w:p>
    <w:p>
      <w:pPr>
        <w:pStyle w:val="ListParagraph"/>
        <w:numPr>
          <w:ilvl w:val="0"/>
          <w:numId w:val="2"/>
        </w:numPr>
        <w:spacing w:after="60"/>
      </w:pPr>
      <w:r>
        <w:t xml:space="preserve">IBANs werden niemals im Klartext gespeichert. Gespeichert wird ausschließlich ein mit einem geheimen serverseitigen Schlüssel („Pepper“) gebildeter HMAC-SHA256-Hash. Ohne diesen geheimen Schlüssel ist aus dem Hash kein Rückschluss auf die IBAN möglich; ein Offline-Erraten wird dadurch verhindert.</w:t>
      </w:r>
    </w:p>
    <w:p>
      <w:pPr>
        <w:pStyle w:val="ListParagraph"/>
        <w:numPr>
          <w:ilvl w:val="0"/>
          <w:numId w:val="2"/>
        </w:numPr>
        <w:spacing w:after="60"/>
      </w:pPr>
      <w:r>
        <w:t xml:space="preserve">Für die Anzeige wird die IBAN nur maskiert dargestellt (z. B. „DE89 **** 3000“), berechnet aus dem zum Prüfzeitpunkt vorliegenden Dokument — nicht aus dem Speicher.</w:t>
      </w:r>
    </w:p>
    <w:p>
      <w:pPr>
        <w:pStyle w:val="ListParagraph"/>
        <w:numPr>
          <w:ilvl w:val="0"/>
          <w:numId w:val="2"/>
        </w:numPr>
        <w:spacing w:after="60"/>
      </w:pPr>
      <w:r>
        <w:t xml:space="preserve">Es werden nur die zur Änderungserkennung erforderlichen Angaben gespeichert (Hash, Länderkennung der IBAN, Zeitstempel, Bestätigungsstatus). Keine Kontoinhaber, keine Salden.</w:t>
      </w:r>
    </w:p>
    <w:p>
      <w:pPr>
        <w:pStyle w:val="ListParagraph"/>
        <w:numPr>
          <w:ilvl w:val="0"/>
          <w:numId w:val="2"/>
        </w:numPr>
        <w:spacing w:after="60"/>
      </w:pPr>
      <w:r>
        <w:t xml:space="preserve">Transport- und Speicherverschlüsselung, Zugriffskontrolle nach dem Need-to-know-Prinzip sowie Protokollierung gemäß Art. 32 DSGVO.</w:t>
      </w:r>
    </w:p>
    <w:p>
      <w:pPr>
        <w:pStyle w:val="Heading1"/>
      </w:pPr>
      <w:r>
        <w:t xml:space="preserve">6. Empfänger und Drittlandübermittlung</w:t>
      </w:r>
    </w:p>
    <w:p>
      <w:pPr>
        <w:spacing w:after="120"/>
      </w:pPr>
      <w:r>
        <w:t xml:space="preserve">Zur Erbringung der Leistung können Daten an folgende Auftragsverarbeiter bzw. Dienste übermittelt werden:</w:t>
      </w:r>
    </w:p>
    <w:p>
      <w:pPr>
        <w:pStyle w:val="ListParagraph"/>
        <w:numPr>
          <w:ilvl w:val="0"/>
          <w:numId w:val="2"/>
        </w:numPr>
        <w:spacing w:after="60"/>
      </w:pPr>
      <w:r>
        <w:t xml:space="preserve">AIS-/Schiffsdatenanbieter (z. B. MarineTraffic, AISStream) zur Verifizierung von Hafenanläufen — übermittelt werden Schiffskennungen (MMSI/IMO), keine Bankdaten.</w:t>
      </w:r>
    </w:p>
    <w:p>
      <w:pPr>
        <w:pStyle w:val="ListParagraph"/>
        <w:numPr>
          <w:ilvl w:val="0"/>
          <w:numId w:val="2"/>
        </w:numPr>
        <w:spacing w:after="60"/>
      </w:pPr>
      <w:r>
        <w:t xml:space="preserve">KI-Dienst zur Dokumentenextraktion (LLM, z. B. Groq/LLaMA) — Verarbeitung von Dokumentinhalten zur Feldextraktion.</w:t>
      </w:r>
    </w:p>
    <w:p>
      <w:pPr>
        <w:pStyle w:val="ListParagraph"/>
        <w:numPr>
          <w:ilvl w:val="0"/>
          <w:numId w:val="2"/>
        </w:numPr>
        <w:spacing w:after="60"/>
      </w:pPr>
      <w:r>
        <w:t xml:space="preserve">Hosting-/Cloud-Anbieter [Anbieter, Region].</w:t>
      </w:r>
    </w:p>
    <w:p>
      <w:pPr>
        <w:spacing w:after="120"/>
      </w:pPr>
      <w:r>
        <w:t xml:space="preserve">Mit allen Auftragsverarbeitern werden Verträge nach Art. 28 DSGVO geschlossen. Bei Übermittlungen in Drittländer (außerhalb EU/EWR) erfolgt die Absicherung über einen Angemessenheitsbeschluss oder EU-Standardvertragsklauseln (Art. 44 ff. DSGVO). Eine Auflistung der eingesetzten Dienste und ihrer Standorte findet sich in [Anlage 1 – Verzeichnis der Auftragsverarbeiter].</w:t>
      </w:r>
    </w:p>
    <w:p>
      <w:pPr>
        <w:pStyle w:val="Heading1"/>
      </w:pPr>
      <w:r>
        <w:t xml:space="preserve">7. Speicherdauer</w:t>
      </w:r>
    </w:p>
    <w:p>
      <w:pPr>
        <w:spacing w:after="120"/>
      </w:pPr>
      <w:r>
        <w:t xml:space="preserve">Personenbezogene Daten werden nur so lange gespeichert, wie es für die genannten Zwecke erforderlich ist. E-Mail- und Dokumentinhalte werden nach Abschluss der Prüfung bzw. nach [z. B. 90 Tagen] gelöscht oder anonymisiert. IBAN-Hashes der bestätigten Lieferantenkonten werden für die Dauer der Geschäftsbeziehung vorgehalten. Gesetzliche Aufbewahrungsfristen (z. B. § 257 HGB, § 147 AO: 6–10 Jahre) bleiben unberührt.</w:t>
      </w:r>
    </w:p>
    <w:p>
      <w:pPr>
        <w:pStyle w:val="Heading1"/>
      </w:pPr>
      <w:r>
        <w:t xml:space="preserve">8. Rechte der betroffenen Personen</w:t>
      </w:r>
    </w:p>
    <w:p>
      <w:pPr>
        <w:spacing w:after="120"/>
      </w:pPr>
      <w:r>
        <w:t xml:space="preserve">Betroffene Personen haben nach der DSGVO folgende Rechte:</w:t>
      </w:r>
    </w:p>
    <w:p>
      <w:pPr>
        <w:pStyle w:val="ListParagraph"/>
        <w:numPr>
          <w:ilvl w:val="0"/>
          <w:numId w:val="2"/>
        </w:numPr>
        <w:spacing w:after="60"/>
      </w:pPr>
      <w:r>
        <w:t xml:space="preserve">Auskunft (Art. 15), Berichtigung (Art. 16), Löschung (Art. 17) und Einschränkung der Verarbeitung (Art. 18).</w:t>
      </w:r>
    </w:p>
    <w:p>
      <w:pPr>
        <w:pStyle w:val="ListParagraph"/>
        <w:numPr>
          <w:ilvl w:val="0"/>
          <w:numId w:val="2"/>
        </w:numPr>
        <w:spacing w:after="60"/>
      </w:pPr>
      <w:r>
        <w:t xml:space="preserve">Datenübertragbarkeit (Art. 20).</w:t>
      </w:r>
    </w:p>
    <w:p>
      <w:pPr>
        <w:pStyle w:val="ListParagraph"/>
        <w:numPr>
          <w:ilvl w:val="0"/>
          <w:numId w:val="2"/>
        </w:numPr>
        <w:spacing w:after="60"/>
      </w:pPr>
      <w:r>
        <w:t xml:space="preserve">Widerspruch gegen die Verarbeitung auf Grundlage berechtigter Interessen (Art. 21).</w:t>
      </w:r>
    </w:p>
    <w:p>
      <w:pPr>
        <w:pStyle w:val="ListParagraph"/>
        <w:numPr>
          <w:ilvl w:val="0"/>
          <w:numId w:val="2"/>
        </w:numPr>
        <w:spacing w:after="60"/>
      </w:pPr>
      <w:r>
        <w:t xml:space="preserve">Widerruf einer erteilten Einwilligung mit Wirkung für die Zukunft (Art. 7 Abs. 3).</w:t>
      </w:r>
    </w:p>
    <w:p>
      <w:pPr>
        <w:pStyle w:val="ListParagraph"/>
        <w:numPr>
          <w:ilvl w:val="0"/>
          <w:numId w:val="2"/>
        </w:numPr>
        <w:spacing w:after="60"/>
      </w:pPr>
      <w:r>
        <w:t xml:space="preserve">Beschwerde bei einer Aufsichtsbehörde (Art. 77), z. B. der zuständigen Landesdatenschutzbehörde [Bundesland].</w:t>
      </w:r>
    </w:p>
    <w:p>
      <w:pPr>
        <w:spacing w:after="120"/>
      </w:pPr>
      <w:r>
        <w:t xml:space="preserve">Zur Ausübung genügt eine Mitteilung an [datenschutz@shipshield.de].</w:t>
      </w:r>
    </w:p>
    <w:p>
      <w:pPr>
        <w:pStyle w:val="Heading1"/>
      </w:pPr>
      <w:r>
        <w:t xml:space="preserve">9. Keine ausschließlich automatisierte Entscheidung</w:t>
      </w:r>
    </w:p>
    <w:p>
      <w:pPr>
        <w:spacing w:after="120"/>
      </w:pPr>
      <w:r>
        <w:t xml:space="preserve">Die von ShipShield erzeugte Bewertung (CLEAR / REVIEW / BLOCKED) ist eine Entscheidungsunterstützung. Die endgültige Zahlungsfreigabe trifft stets ein Mensch im nutzenden Unternehmen. Es findet keine ausschließlich automatisierte Entscheidung mit rechtlicher Wirkung im Sinne von Art. 22 DSGVO statt.</w:t>
      </w:r>
    </w:p>
    <w:p>
      <w:pPr>
        <w:pStyle w:val="Heading1"/>
      </w:pPr>
      <w:r>
        <w:t xml:space="preserve">10. Einwilligungserklärung</w:t>
      </w:r>
    </w:p>
    <w:p>
      <w:pPr>
        <w:spacing w:after="120"/>
      </w:pPr>
      <w:r>
        <w:t xml:space="preserve">Durch Ankreuzen des Kästchens und Bestätigen willige ich in die nachfolgend beschriebene Verarbeitung ein:</w:t>
      </w:r>
    </w:p>
    <w:p>
      <w:pPr>
        <w:spacing w:after="120"/>
      </w:pPr>
      <w:r>
        <w:rPr>
          <w:b/>
          <w:bCs/>
        </w:rPr>
        <w:t xml:space="preserve">☐  Ich willige ein, dass ShipShield die Inhalte der von mir bzw. meinem Unternehmen bereitgestellten oder weitergeleiteten E-Mails und Anhänge (Rechnungen, Konnossemente) zum Zweck der Betrugserkennung verarbeitet, einschließlich der Bildung pseudonymer IBAN-Hashes gemäß Ziffer 5.</w:t>
      </w:r>
    </w:p>
    <w:p>
      <w:pPr>
        <w:spacing w:after="120"/>
      </w:pPr>
      <w:r>
        <w:t xml:space="preserve">Die Einwilligung ist freiwillig und kann jederzeit mit Wirkung für die Zukunft widerrufen werden (Art. 7 Abs. 3 DSGVO). Die Rechtmäßigkeit der bis zum Widerruf erfolgten Verarbeitung bleibt unberührt.</w:t>
      </w:r>
    </w:p>
    <w:p>
      <w:pPr>
        <w:spacing w:after="120"/>
      </w:pPr>
      <w:r>
        <w:t xml:space="preserve">Ort, Datum: ____________________     Name/Unterschrift: ____________________</w:t>
      </w:r>
    </w:p>
    <w:p>
      <w:pPr>
        <w:pStyle w:val="Heading1"/>
      </w:pPr>
      <w:r>
        <w:t xml:space="preserve">11. Schlussbestimmungen</w:t>
      </w:r>
    </w:p>
    <w:p>
      <w:pPr>
        <w:spacing w:after="120"/>
      </w:pPr>
      <w:r>
        <w:t xml:space="preserve">Es gilt das Recht der Bundesrepublik Deutschland. Ergänzend zur DSGVO findet das Bundesdatenschutzgesetz (BDSG) Anwendung. Sollten einzelne Bestimmungen unwirksam sein, bleibt die Wirksamkeit der übrigen Bestimmungen unberührt. Stand: [TT.MM.JJJJ], Version [1.0].</w:t>
      </w:r>
    </w:p>
    <w:p>
      <w:r>
        <w:br w:type="page"/>
      </w:r>
    </w:p>
    <w:p>
      <w:pPr>
        <w:spacing w:after="60"/>
        <w:jc w:val="center"/>
      </w:pPr>
      <w:r>
        <w:rPr>
          <w:b/>
          <w:bCs/>
          <w:color w:val="0B4F6C"/>
          <w:sz w:val="28"/>
          <w:szCs w:val="28"/>
        </w:rPr>
        <w:t xml:space="preserve">English Courtesy Translation</w:t>
      </w:r>
    </w:p>
    <w:p>
      <w:pPr>
        <w:spacing w:after="120"/>
      </w:pPr>
      <w:r>
        <w:rPr>
          <w:i/>
          <w:iCs/>
        </w:rPr>
        <w:t xml:space="preserve">The German version above is the legally authoritative text. This English translation is provided for convenience only; in case of conflict, the German version prevails.</w:t>
      </w:r>
    </w:p>
    <w:p>
      <w:pPr>
        <w:spacing w:after="120"/>
      </w:pPr>
      <w:r>
        <w:t xml:space="preserve"/>
      </w:r>
    </w:p>
    <w:p>
      <w:pPr>
        <w:pStyle w:val="Heading2"/>
      </w:pPr>
      <w:r>
        <w:t xml:space="preserve">1. Controller</w:t>
      </w:r>
    </w:p>
    <w:p>
      <w:pPr>
        <w:spacing w:after="120"/>
      </w:pPr>
      <w:r>
        <w:t xml:space="preserve">The controller under Art. 4(7) GDPR is [ShipShield GmbH], [address], Germany, represented by [managing director], email [datenschutz@shipshield.de]. Data Protection Officer: [name], [dsb@shipshield.de].</w:t>
      </w:r>
    </w:p>
    <w:p>
      <w:pPr>
        <w:pStyle w:val="Heading2"/>
      </w:pPr>
      <w:r>
        <w:t xml:space="preserve">2. Scope &amp; service</w:t>
      </w:r>
    </w:p>
    <w:p>
      <w:pPr>
        <w:spacing w:after="120"/>
      </w:pPr>
      <w:r>
        <w:t xml:space="preserve">ShipShield is a validation layer detecting fraud in maritime invoices and Bills of Lading by (a) screening the email for Vendor Email Compromise (VEC) indicators, (b) cross-checking logistics claims against vessel/AIS data, and (c) checking the bank account (IBAN) against the confirmed account on file for the vendor. These terms govern the B2B relationship and the related processing of personal data.</w:t>
      </w:r>
    </w:p>
    <w:p>
      <w:pPr>
        <w:pStyle w:val="Heading2"/>
      </w:pPr>
      <w:r>
        <w:t xml:space="preserve">3. Categories of data</w:t>
      </w:r>
    </w:p>
    <w:p>
      <w:pPr>
        <w:spacing w:after="120"/>
      </w:pPr>
      <w:r>
        <w:t xml:space="preserve">Email metadata (sender, reply-to, subject, date); document contents (invoices, Bills of Lading and extracted fields); logistics identifiers (vessel, MMSI, IMO, voyage, ports, cargo, tonnage); bank account (IBAN) stored only as a pseudonymous HMAC-SHA256 hash; vendor/company names. Personal data of third parties is processed only to the extent necessary (data minimisation, Art. 5(1)(c)).</w:t>
      </w:r>
    </w:p>
    <w:p>
      <w:pPr>
        <w:pStyle w:val="Heading2"/>
      </w:pPr>
      <w:r>
        <w:t xml:space="preserve">4. Purposes &amp; legal bases</w:t>
      </w:r>
    </w:p>
    <w:p>
      <w:pPr>
        <w:spacing w:after="120"/>
      </w:pPr>
      <w:r>
        <w:t xml:space="preserve">Art. 6(1)(b) — performance of the contract (providing the checks). Art. 6(1)(f) — legitimate interest in fraud prevention; Recital 47 GDPR expressly recognises fraud prevention as a legitimate interest (a balancing test is documented). Art. 6(1)(a) — consent for processing email contents/attachments beyond what is strictly necessary. Art. 6(1)(c) — legal obligations (commercial/tax retention, anti-money-laundering).</w:t>
      </w:r>
    </w:p>
    <w:p>
      <w:pPr>
        <w:pStyle w:val="Heading2"/>
      </w:pPr>
      <w:r>
        <w:t xml:space="preserve">5. Minimisation, pseudonymisation &amp; security (Privacy by Design)</w:t>
      </w:r>
    </w:p>
    <w:p>
      <w:pPr>
        <w:spacing w:after="120"/>
      </w:pPr>
      <w:r>
        <w:t xml:space="preserve">Per Art. 25 GDPR: IBANs are never stored in clear text — only a secret-keyed HMAC-SHA256 hash (server-side 'pepper') is stored, which cannot be reversed or brute-forced offline without the key. IBANs are shown only masked (e.g. 'DE89 **** 3000'), computed from the document at processing time, not from storage. Only the data needed for change-detection is kept (hash, IBAN country code, timestamps, confirmation status) — no account holders, no balances. Encryption in transit and at rest, need-to-know access control, and logging per Art. 32.</w:t>
      </w:r>
    </w:p>
    <w:p>
      <w:pPr>
        <w:pStyle w:val="Heading2"/>
      </w:pPr>
      <w:r>
        <w:t xml:space="preserve">6. Recipients &amp; international transfers</w:t>
      </w:r>
    </w:p>
    <w:p>
      <w:pPr>
        <w:spacing w:after="120"/>
      </w:pPr>
      <w:r>
        <w:t xml:space="preserve">Processors/services may include AIS/vessel-data providers (e.g. MarineTraffic, AISStream — only vessel identifiers shared, no bank data), an AI document-extraction service (LLM, e.g. Groq/LLaMA), and a hosting/cloud provider. Art. 28 processing agreements are in place; transfers outside the EU/EEA are safeguarded by an adequacy decision or EU Standard Contractual Clauses (Art. 44 et seq.). See [Annex 1 – list of processors].</w:t>
      </w:r>
    </w:p>
    <w:p>
      <w:pPr>
        <w:pStyle w:val="Heading2"/>
      </w:pPr>
      <w:r>
        <w:t xml:space="preserve">7. Retention</w:t>
      </w:r>
    </w:p>
    <w:p>
      <w:pPr>
        <w:spacing w:after="120"/>
      </w:pPr>
      <w:r>
        <w:t xml:space="preserve">Personal data is kept only as long as necessary. Email/document contents are deleted or anonymised after the check or after [e.g. 90 days]. Confirmed-vendor IBAN hashes are kept for the duration of the business relationship. Statutory retention periods (e.g. §257 HGB, §147 AO: 6–10 years) remain unaffected.</w:t>
      </w:r>
    </w:p>
    <w:p>
      <w:pPr>
        <w:pStyle w:val="Heading2"/>
      </w:pPr>
      <w:r>
        <w:t xml:space="preserve">8. Data-subject rights</w:t>
      </w:r>
    </w:p>
    <w:p>
      <w:pPr>
        <w:spacing w:after="120"/>
      </w:pPr>
      <w:r>
        <w:t xml:space="preserve">Access (Art. 15), rectification (16), erasure (17), restriction (18), portability (20), objection to processing based on legitimate interests (21), withdrawal of consent for the future (Art. 7(3)), and the right to lodge a complaint with a supervisory authority (Art. 77). Requests: [datenschutz@shipshield.de].</w:t>
      </w:r>
    </w:p>
    <w:p>
      <w:pPr>
        <w:pStyle w:val="Heading2"/>
      </w:pPr>
      <w:r>
        <w:t xml:space="preserve">9. No solely automated decision-making</w:t>
      </w:r>
    </w:p>
    <w:p>
      <w:pPr>
        <w:spacing w:after="120"/>
      </w:pPr>
      <w:r>
        <w:t xml:space="preserve">The CLEAR / REVIEW / BLOCKED verdict is decision-support only. A human at the using company always makes the final payment-release decision; there is no solely automated decision producing legal effects within the meaning of Art. 22 GDPR.</w:t>
      </w:r>
    </w:p>
    <w:p>
      <w:pPr>
        <w:pStyle w:val="Heading2"/>
      </w:pPr>
      <w:r>
        <w:t xml:space="preserve">10. Consent statement</w:t>
      </w:r>
    </w:p>
    <w:p>
      <w:pPr>
        <w:spacing w:after="120"/>
      </w:pPr>
      <w:r>
        <w:rPr>
          <w:b/>
          <w:bCs/>
        </w:rPr>
        <w:t xml:space="preserve">☐  I consent to ShipShield processing the contents of the emails and attachments (invoices, Bills of Lading) provided or forwarded by me/my company for the purpose of fraud detection, including the creation of pseudonymous IBAN hashes per section 5. Consent is voluntary and may be withdrawn at any time with future effect (Art. 7(3) GDPR); the lawfulness of processing before withdrawal is unaffected.</w:t>
      </w:r>
    </w:p>
    <w:p>
      <w:pPr>
        <w:pStyle w:val="Heading2"/>
      </w:pPr>
      <w:r>
        <w:t xml:space="preserve">11. Final provisions</w:t>
      </w:r>
    </w:p>
    <w:p>
      <w:pPr>
        <w:spacing w:after="120"/>
      </w:pPr>
      <w:r>
        <w:t xml:space="preserve">German law applies; the Federal Data Protection Act (BDSG) supplements the GDPR. Severability applies. Version [1.0], dated [DD.MM.YYYY]. The German text is authoritative.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color w:val="0B4F6C"/>
      <w:sz w:val="26"/>
      <w:szCs w:val="26"/>
    </w:rPr>
  </w:style>
  <w:style w:type="paragraph" w:styleId="Heading2">
    <w:name w:val="Heading 2"/>
    <w:basedOn w:val="Normal"/>
    <w:next w:val="Normal"/>
    <w:qFormat/>
    <w:pPr>
      <w:spacing w:after="100" w:before="160"/>
      <w:outlineLvl w:val="1"/>
    </w:pPr>
    <w:rPr>
      <w:rFonts w:ascii="Arial" w:cs="Arial" w:eastAsia="Arial" w:hAnsi="Arial"/>
      <w:b/>
      <w:bCs/>
      <w:color w:val="0B4F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2026-06-25T22:13:23.651Z</dcterms:created>
  <dcterms:modified xsi:type="dcterms:W3CDTF">2026-06-25T22:13:23.651Z</dcterms:modified>
</cp:coreProperties>
</file>

<file path=docProps/custom.xml><?xml version="1.0" encoding="utf-8"?>
<Properties xmlns="http://schemas.openxmlformats.org/officeDocument/2006/custom-properties" xmlns:vt="http://schemas.openxmlformats.org/officeDocument/2006/docPropsVTypes"/>
</file>