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1FC7" w14:textId="77777777" w:rsidR="008D2865" w:rsidRDefault="00000000">
      <w:pPr>
        <w:jc w:val="center"/>
      </w:pPr>
      <w:r>
        <w:rPr>
          <w:color w:val="606060"/>
          <w:sz w:val="28"/>
        </w:rPr>
        <w:t>— RAP T</w:t>
      </w:r>
      <w:r>
        <w:rPr>
          <w:smallCaps/>
          <w:color w:val="606060"/>
        </w:rPr>
        <w:t>EMPLATE</w:t>
      </w:r>
      <w:r>
        <w:rPr>
          <w:color w:val="606060"/>
          <w:sz w:val="28"/>
        </w:rPr>
        <w:t xml:space="preserve"> —</w:t>
      </w:r>
      <w:r w:rsidR="00DF7331">
        <w:rPr>
          <w:color w:val="606060"/>
          <w:sz w:val="28"/>
        </w:rPr>
        <w:t xml:space="preserve"> </w:t>
      </w:r>
      <w:r w:rsidR="00DF7331">
        <w:rPr>
          <w:color w:val="606060"/>
          <w:sz w:val="28"/>
        </w:rPr>
        <w:tab/>
      </w:r>
    </w:p>
    <w:p w14:paraId="0209D356" w14:textId="77777777" w:rsidR="008D2865" w:rsidRDefault="00EA23D4">
      <w:pPr>
        <w:spacing w:before="240"/>
      </w:pPr>
      <w:r>
        <w:rPr>
          <w:b/>
          <w:sz w:val="24"/>
        </w:rPr>
        <w:t>Paper Title:</w:t>
      </w:r>
      <w:r w:rsidR="00312FD9">
        <w:rPr>
          <w:b/>
          <w:sz w:val="24"/>
        </w:rPr>
        <w:t xml:space="preserve"> Rewiring the market time clock in Spanish electricity markets</w:t>
      </w:r>
      <w:r w:rsidR="0088471E">
        <w:rPr>
          <w:b/>
          <w:sz w:val="24"/>
        </w:rPr>
        <w:tab/>
      </w:r>
      <w:r w:rsidR="0088471E">
        <w:rPr>
          <w:b/>
          <w:sz w:val="24"/>
        </w:rPr>
        <w:tab/>
        <w:t>Student Name:</w:t>
      </w:r>
      <w:r w:rsidR="00312FD9">
        <w:rPr>
          <w:b/>
          <w:sz w:val="24"/>
        </w:rPr>
        <w:t xml:space="preserve"> Pablo Paramio Pérez</w:t>
      </w:r>
    </w:p>
    <w:p w14:paraId="4DFD4D01" w14:textId="77777777" w:rsidR="008D2865" w:rsidRDefault="00000000">
      <w:pPr>
        <w:spacing w:after="360"/>
      </w:pPr>
      <w:r>
        <w:t>Type 1 sentence in each box below.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12437"/>
      </w:tblGrid>
      <w:tr w:rsidR="008D2865" w14:paraId="43B6F501" w14:textId="77777777" w:rsidTr="00DF7331">
        <w:trPr>
          <w:trHeight w:val="1883"/>
        </w:trPr>
        <w:tc>
          <w:tcPr>
            <w:tcW w:w="496" w:type="dxa"/>
          </w:tcPr>
          <w:p w14:paraId="097FF324" w14:textId="77777777" w:rsidR="008D2865" w:rsidRDefault="00000000">
            <w:pPr>
              <w:jc w:val="right"/>
            </w:pPr>
            <w:r>
              <w:rPr>
                <w:b/>
                <w:color w:val="4F813D"/>
                <w:sz w:val="28"/>
              </w:rPr>
              <w:t>P</w:t>
            </w:r>
          </w:p>
        </w:tc>
        <w:tc>
          <w:tcPr>
            <w:tcW w:w="12437" w:type="dxa"/>
            <w:tcBorders>
              <w:top w:val="single" w:sz="6" w:space="0" w:color="9BBB59"/>
              <w:left w:val="single" w:sz="6" w:space="0" w:color="9BBB59"/>
              <w:bottom w:val="single" w:sz="6" w:space="0" w:color="9BBB59"/>
              <w:right w:val="single" w:sz="6" w:space="0" w:color="9BBB59"/>
            </w:tcBorders>
            <w:shd w:val="clear" w:color="auto" w:fill="DC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555A1" w14:textId="1B1E4102" w:rsidR="008D2865" w:rsidRDefault="008D2865">
            <w:r>
              <w:t>How shorter trading intervals reshape wholesale electricity bidding and prices has been studied for Germany (Märkle-Huß et al., 2017, on the 2014 EPEX 15-minute reform) and for Australia (Csereklyei &amp; Khezr, 2024, on the 2021 five-minute settlement reform), but the recent Spanish move to 15-minute trading has not yet been evaluated — and no study has examined such a reform implemented in the wake of a nationwide blackout and the regulatory response it triggered.</w:t>
            </w:r>
          </w:p>
          <w:p w14:paraId="5B32B783" w14:textId="77777777" w:rsidR="008D2865" w:rsidRDefault="008D2865"/>
        </w:tc>
      </w:tr>
    </w:tbl>
    <w:p w14:paraId="5CE20E17" w14:textId="77777777" w:rsidR="008D2865" w:rsidRDefault="008D2865">
      <w:pPr>
        <w:spacing w:after="120"/>
      </w:pPr>
    </w:p>
    <w:tbl>
      <w:tblPr>
        <w:tblW w:w="0" w:type="auto"/>
        <w:tblInd w:w="820" w:type="dxa"/>
        <w:tblLayout w:type="fixed"/>
        <w:tblLook w:val="04A0" w:firstRow="1" w:lastRow="0" w:firstColumn="1" w:lastColumn="0" w:noHBand="0" w:noVBand="1"/>
      </w:tblPr>
      <w:tblGrid>
        <w:gridCol w:w="3984"/>
        <w:gridCol w:w="3360"/>
        <w:gridCol w:w="3996"/>
      </w:tblGrid>
      <w:tr w:rsidR="008D2865" w14:paraId="77E3E99D" w14:textId="77777777" w:rsidTr="00DF7331">
        <w:tc>
          <w:tcPr>
            <w:tcW w:w="3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6351" w14:textId="77777777" w:rsidR="008D2865" w:rsidRPr="00DF7331" w:rsidRDefault="00000000">
            <w:r w:rsidRPr="00DF7331">
              <w:t>Does P make space for R?</w:t>
            </w:r>
          </w:p>
        </w:tc>
        <w:tc>
          <w:tcPr>
            <w:tcW w:w="3360" w:type="dxa"/>
          </w:tcPr>
          <w:p w14:paraId="1F4607E6" w14:textId="77777777" w:rsidR="008D2865" w:rsidRDefault="00DF7331">
            <w:r>
              <w:t xml:space="preserve"> </w:t>
            </w:r>
          </w:p>
        </w:tc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C47D" w14:textId="77777777" w:rsidR="008D2865" w:rsidRDefault="00000000">
            <w:r w:rsidRPr="00DF7331">
              <w:t>Does P provoke curiosity about A?</w:t>
            </w:r>
          </w:p>
        </w:tc>
      </w:tr>
    </w:tbl>
    <w:p w14:paraId="7D86360D" w14:textId="77777777" w:rsidR="008D2865" w:rsidRDefault="008D2865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4"/>
        <w:gridCol w:w="4953"/>
        <w:gridCol w:w="2476"/>
        <w:gridCol w:w="384"/>
        <w:gridCol w:w="4677"/>
      </w:tblGrid>
      <w:tr w:rsidR="008D2865" w14:paraId="74AF4B95" w14:textId="77777777" w:rsidTr="00DF7331">
        <w:trPr>
          <w:trHeight w:val="3188"/>
        </w:trPr>
        <w:tc>
          <w:tcPr>
            <w:tcW w:w="384" w:type="dxa"/>
          </w:tcPr>
          <w:p w14:paraId="20D480E4" w14:textId="77777777" w:rsidR="008D2865" w:rsidRDefault="00000000">
            <w:pPr>
              <w:jc w:val="right"/>
            </w:pPr>
            <w:r>
              <w:rPr>
                <w:b/>
                <w:color w:val="C00000"/>
                <w:sz w:val="28"/>
              </w:rPr>
              <w:t>R</w:t>
            </w:r>
          </w:p>
        </w:tc>
        <w:tc>
          <w:tcPr>
            <w:tcW w:w="4953" w:type="dxa"/>
            <w:tcBorders>
              <w:top w:val="single" w:sz="6" w:space="0" w:color="C0504D"/>
              <w:left w:val="single" w:sz="6" w:space="0" w:color="C0504D"/>
              <w:bottom w:val="single" w:sz="6" w:space="0" w:color="C0504D"/>
              <w:right w:val="single" w:sz="6" w:space="0" w:color="C0504D"/>
            </w:tcBorders>
            <w:shd w:val="clear" w:color="auto" w:fill="F5DDD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6426D" w14:textId="0E7F3348" w:rsidR="008D2865" w:rsidRDefault="008D2865">
            <w:r>
              <w:t xml:space="preserve">How did Spain's switch from hourly to 15-minute wholesale trading — first in the intraday auctions (March 2025) and then in the day-ahead market (October 2025) — change the way generators bid, what prices clear, and how much electricity is dispatched? And how can the day-ahead reform's effect be separated from the concurrent post-blackout regulatory regime, which since April 2025 has been expanding regulated "redispatch" — orders sent to power plants outside the wholesale market by the system operator, and the channel </w:t>
            </w:r>
            <w:r>
              <w:lastRenderedPageBreak/>
              <w:t>through which dominant Spanish generators collect most of their margin?</w:t>
            </w:r>
          </w:p>
        </w:tc>
        <w:tc>
          <w:tcPr>
            <w:tcW w:w="2476" w:type="dxa"/>
            <w:vAlign w:val="center"/>
          </w:tcPr>
          <w:p w14:paraId="0BCF15CF" w14:textId="77777777" w:rsidR="008D2865" w:rsidRPr="00DF7331" w:rsidRDefault="00000000">
            <w:pPr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ind w:left="288" w:right="288"/>
              <w:jc w:val="center"/>
            </w:pPr>
            <w:r w:rsidRPr="00DF7331">
              <w:lastRenderedPageBreak/>
              <w:t>Does A answer R?</w:t>
            </w:r>
          </w:p>
        </w:tc>
        <w:tc>
          <w:tcPr>
            <w:tcW w:w="384" w:type="dxa"/>
          </w:tcPr>
          <w:p w14:paraId="2284613F" w14:textId="77777777" w:rsidR="008D2865" w:rsidRDefault="00000000">
            <w:pPr>
              <w:jc w:val="right"/>
            </w:pPr>
            <w:r>
              <w:rPr>
                <w:b/>
                <w:color w:val="1F497D"/>
                <w:sz w:val="28"/>
              </w:rPr>
              <w:t>A</w:t>
            </w:r>
          </w:p>
        </w:tc>
        <w:tc>
          <w:tcPr>
            <w:tcW w:w="467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EE7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36675" w14:textId="77777777" w:rsidR="008D2865" w:rsidRDefault="008D2865">
            <w:r>
              <w:t xml:space="preserve">15-minute trading lets generators bid a wider range of prices within each hour, especially in hours where demand swings the most (morning ramp, evening peak). The day-ahead reform raises the volume of electricity that combined-cycle gas plants clear in the auction by about +59 GWh per day, and pumped-hydro storage moves more of its generation into those high-variation hours. Wholesale clearing prices fall sharply in raw terms after the intraday reform but the drop does not survive a conservative </w:t>
            </w:r>
            <w:r>
              <w:lastRenderedPageBreak/>
              <w:t>correction for residual seasonal trend; the day-ahead reform leaves prices unchanged. The interpretive frame — preliminary, to be confirmed — is that strategic margin in Spain already lives in the regulated-redispatch market (very concentrated) rather than in wholesale prices (moderate concentration), so a wholesale-side granularity reform reshapes the volume base that feeds redispatch without compressing wholesale rents.</w:t>
            </w:r>
          </w:p>
          <w:p w14:paraId="70CE75A9" w14:textId="77777777" w:rsidR="008D2865" w:rsidRDefault="008D2865"/>
          <w:p w14:paraId="3B84C876" w14:textId="77777777" w:rsidR="008D2865" w:rsidRDefault="008D2865"/>
          <w:p w14:paraId="700B1847" w14:textId="77777777" w:rsidR="008D2865" w:rsidRDefault="008D2865"/>
        </w:tc>
      </w:tr>
    </w:tbl>
    <w:p w14:paraId="3273751C" w14:textId="7297691A" w:rsidR="00397EB8" w:rsidRPr="00E56B82" w:rsidRDefault="00DF7331" w:rsidP="00E56B82">
      <w:pPr>
        <w:spacing w:before="240"/>
        <w:rPr>
          <w:b/>
          <w:sz w:val="24"/>
        </w:rPr>
      </w:pPr>
      <w:r w:rsidRPr="00DF7331">
        <w:rPr>
          <w:b/>
          <w:sz w:val="24"/>
        </w:rPr>
        <w:lastRenderedPageBreak/>
        <w:t>Findings</w:t>
      </w:r>
      <w:r>
        <w:rPr>
          <w:b/>
          <w:sz w:val="24"/>
        </w:rPr>
        <w:t>:</w:t>
      </w:r>
    </w:p>
    <w:p w14:paraId="1260830C" w14:textId="77777777" w:rsidR="004521F6" w:rsidRDefault="00000000">
      <w:pPr>
        <w:spacing w:before="120" w:after="60"/>
      </w:pPr>
      <w:r>
        <w:t>• Generators bid a wider range of prices within each hour, and combined-cycle gas plants clear more volume in the day-ahead auction.</w:t>
      </w:r>
    </w:p>
    <w:p w14:paraId="1B902EF7" w14:textId="77777777" w:rsidR="004521F6" w:rsidRDefault="00000000">
      <w:pPr>
        <w:spacing w:after="120"/>
        <w:ind w:left="360"/>
      </w:pPr>
      <w:r>
        <w:t>After both the March and October 2025 reforms, combined-cycle gas and hydro generators noticeably widen the spread of their submitted prices within high-demand-variation hours and use more distinct price-quantity steps. Net of a 2024 same-calendar placebo, day-ahead combined-cycle gas cleared energy rises by about +59 GWh per day on the first 40 days after the October reform (95% interval [+43, +75]) — the only "level" effect that survives a conservative joint test against the 2024 placebo window. Wind generators, whose output spans the whole day, show no such widening — a sanity check on the partition.</w:t>
      </w:r>
    </w:p>
    <w:p w14:paraId="056677C6" w14:textId="77777777" w:rsidR="004521F6" w:rsidRDefault="00000000">
      <w:pPr>
        <w:spacing w:before="120" w:after="60"/>
      </w:pPr>
      <w:r>
        <w:t>• Pumped-hydro storage moves more of its day-ahead generation into high-demand-variation hours.</w:t>
      </w:r>
    </w:p>
    <w:p w14:paraId="470DA9B1" w14:textId="77777777" w:rsidR="004521F6" w:rsidRDefault="00000000">
      <w:pPr>
        <w:spacing w:after="120"/>
        <w:ind w:left="360"/>
      </w:pPr>
      <w:r>
        <w:t>Comparing the same calendar months in 2024 and 2025 (October–December) to control for seasonality, average pumped-hydro generation in those hours rises by about +237 MWh per clock-hour — a very strong shift (t = 5.0) — while overnight pumping is essentially unchanged.</w:t>
      </w:r>
    </w:p>
    <w:p w14:paraId="7233BF11" w14:textId="77777777" w:rsidR="004521F6" w:rsidRDefault="00000000">
      <w:pPr>
        <w:spacing w:before="120" w:after="60"/>
      </w:pPr>
      <w:r>
        <w:lastRenderedPageBreak/>
        <w:t>• [Preliminary, to be confirmed.] Wholesale clearing prices fall sharply in raw terms after the intraday reform but the drop does not survive a conservative seasonal correction; the day-ahead reform has no clear price effect.</w:t>
      </w:r>
    </w:p>
    <w:p w14:paraId="4635F23A" w14:textId="77777777" w:rsidR="004521F6" w:rsidRDefault="00000000">
      <w:pPr>
        <w:spacing w:after="120"/>
        <w:ind w:left="360"/>
      </w:pPr>
      <w:r>
        <w:t>A Bayesian counterfactual model — controlling for wind generation, solar generation, and the gas price, mirroring Märkle-Huß et al. (2017) on Germany — gives a raw post-reform intraday price drop of about €38/MWh, reduced to roughly €20–25/MWh once a 2024 same-calendar placebo absorbs residual seasonal trend; the day-ahead reform's price effect is small and not directional. Under a conservative joint test that propagates both the actual model's and the placebo's uncertainty, the placebo-corrected price effects bracket zero on both reforms. Total demand is excluded as a control because it is itself a market outcome; the post-blackout regulated-redispatch volume is excluded because it is partly downstream of generators' wholesale bidding.</w:t>
      </w:r>
    </w:p>
    <w:sectPr w:rsidR="004521F6" w:rsidSect="00DF7331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B9F22" w14:textId="77777777" w:rsidR="00EA0846" w:rsidRDefault="00EA0846">
      <w:pPr>
        <w:spacing w:after="0" w:line="240" w:lineRule="auto"/>
      </w:pPr>
      <w:r>
        <w:separator/>
      </w:r>
    </w:p>
  </w:endnote>
  <w:endnote w:type="continuationSeparator" w:id="0">
    <w:p w14:paraId="25761217" w14:textId="77777777" w:rsidR="00EA0846" w:rsidRDefault="00EA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8F68" w14:textId="77777777" w:rsidR="008D2865" w:rsidRDefault="00000000">
    <w:pPr>
      <w:pStyle w:val="Footer"/>
    </w:pPr>
    <w:r>
      <w:rPr>
        <w:i/>
        <w:color w:val="404040"/>
        <w:sz w:val="20"/>
      </w:rPr>
      <w:t>Research Writing Workshop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A58D" w14:textId="77777777" w:rsidR="00EA0846" w:rsidRDefault="00EA0846">
      <w:pPr>
        <w:spacing w:after="0" w:line="240" w:lineRule="auto"/>
      </w:pPr>
      <w:r>
        <w:separator/>
      </w:r>
    </w:p>
  </w:footnote>
  <w:footnote w:type="continuationSeparator" w:id="0">
    <w:p w14:paraId="389517B2" w14:textId="77777777" w:rsidR="00EA0846" w:rsidRDefault="00EA0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276185">
    <w:abstractNumId w:val="8"/>
  </w:num>
  <w:num w:numId="2" w16cid:durableId="1055474787">
    <w:abstractNumId w:val="6"/>
  </w:num>
  <w:num w:numId="3" w16cid:durableId="135218421">
    <w:abstractNumId w:val="5"/>
  </w:num>
  <w:num w:numId="4" w16cid:durableId="1345090340">
    <w:abstractNumId w:val="4"/>
  </w:num>
  <w:num w:numId="5" w16cid:durableId="488442529">
    <w:abstractNumId w:val="7"/>
  </w:num>
  <w:num w:numId="6" w16cid:durableId="1911580493">
    <w:abstractNumId w:val="3"/>
  </w:num>
  <w:num w:numId="7" w16cid:durableId="864170728">
    <w:abstractNumId w:val="2"/>
  </w:num>
  <w:num w:numId="8" w16cid:durableId="713506871">
    <w:abstractNumId w:val="1"/>
  </w:num>
  <w:num w:numId="9" w16cid:durableId="125135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FD9"/>
    <w:rsid w:val="00326F90"/>
    <w:rsid w:val="00397EB8"/>
    <w:rsid w:val="004521F6"/>
    <w:rsid w:val="005B34B8"/>
    <w:rsid w:val="007E0EDA"/>
    <w:rsid w:val="00812025"/>
    <w:rsid w:val="0088471E"/>
    <w:rsid w:val="008D2865"/>
    <w:rsid w:val="00AA1D8D"/>
    <w:rsid w:val="00B47730"/>
    <w:rsid w:val="00CB0664"/>
    <w:rsid w:val="00DF7331"/>
    <w:rsid w:val="00E52CEA"/>
    <w:rsid w:val="00E56B82"/>
    <w:rsid w:val="00EA0846"/>
    <w:rsid w:val="00EA23D4"/>
    <w:rsid w:val="00F50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519A32"/>
  <w14:defaultImageDpi w14:val="300"/>
  <w15:docId w15:val="{CE492A3B-BA99-466D-8810-D70072F0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Paramio Pérez</cp:lastModifiedBy>
  <cp:revision>4</cp:revision>
  <dcterms:created xsi:type="dcterms:W3CDTF">2026-05-26T07:58:00Z</dcterms:created>
  <dcterms:modified xsi:type="dcterms:W3CDTF">2026-05-28T09:26:00Z</dcterms:modified>
  <cp:category/>
</cp:coreProperties>
</file>