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22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Superciclo de silicio A19 / M5; renovaciones récord (upgraders).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Tracción en educación y empresas impulsada por MacBook Neo.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Récord en Cloud y Pagos; recurrencia de alto margen (&gt;70%).</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como Motor de Volumen y Margen: </w:t>
      </w:r>
      <w:r>
        <w:rPr>
          <w:rFonts w:ascii="Calibri" w:hAnsi="Calibri"/>
          <w:i w:val="0"/>
          <w:color w:val="2D3748"/>
          <w:sz w:val="20"/>
        </w:rPr>
        <w:t>Representa el 49.6% de los ingresos totales. Fuerte preferencia hacia gamas Pro y Pro Max, elevando el precio medio de venta (ASP).</w:t>
      </w:r>
    </w:p>
    <w:p>
      <w:pPr>
        <w:spacing w:before="40" w:after="80" w:line="276" w:lineRule="auto"/>
      </w:pPr>
      <w:r>
        <w:rPr>
          <w:rFonts w:ascii="Calibri" w:hAnsi="Calibri"/>
          <w:b/>
          <w:color w:val="2D3748"/>
          <w:sz w:val="20"/>
        </w:rPr>
        <w:t xml:space="preserve">• Mac y la Tracción de Apple Silicon: </w:t>
      </w:r>
      <w:r>
        <w:rPr>
          <w:rFonts w:ascii="Calibri" w:hAnsi="Calibri"/>
          <w:i w:val="0"/>
          <w:color w:val="2D3748"/>
          <w:sz w:val="20"/>
        </w:rPr>
        <w:t>Crecimiento extraordinario del +28.7% YoY. La arquitectura de silicio propietario sigue ganando cuota corporativa y educativa.</w:t>
      </w:r>
    </w:p>
    <w:p>
      <w:pPr>
        <w:spacing w:before="40" w:after="80" w:line="276" w:lineRule="auto"/>
      </w:pPr>
      <w:r>
        <w:rPr>
          <w:rFonts w:ascii="Calibri" w:hAnsi="Calibri"/>
          <w:b/>
          <w:color w:val="2D3748"/>
          <w:sz w:val="20"/>
        </w:rPr>
        <w:t xml:space="preserve">• Servicios como Estabilizador Antirriesgo: </w:t>
      </w:r>
      <w:r>
        <w:rPr>
          <w:rFonts w:ascii="Calibri" w:hAnsi="Calibri"/>
          <w:i w:val="0"/>
          <w:color w:val="2D3748"/>
          <w:sz w:val="20"/>
        </w:rPr>
        <w:t>Aporta el 28.1% de la facturación pero explica casi el 42% del margen bruto en dólares gracias a su rentabilidad del 75.6%.</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Diversificación Internacional y Viento Cambiario: </w:t>
      </w:r>
      <w:r>
        <w:rPr>
          <w:rFonts w:ascii="Calibri" w:hAnsi="Calibri"/>
          <w:i w:val="0"/>
          <w:color w:val="2D3748"/>
          <w:sz w:val="20"/>
        </w:rPr>
        <w:t>El 58.2% de los ingresos se genera fuera de EE.UU., garantizando diversificación pero exponiendo a la fortaleza del dólar (-2.5 pp en Q4).</w:t>
      </w:r>
    </w:p>
    <w:p>
      <w:pPr>
        <w:spacing w:before="40" w:after="80" w:line="276" w:lineRule="auto"/>
      </w:pPr>
      <w:r>
        <w:rPr>
          <w:rFonts w:ascii="Calibri" w:hAnsi="Calibri"/>
          <w:b/>
          <w:color w:val="2D3748"/>
          <w:sz w:val="20"/>
        </w:rPr>
        <w:t xml:space="preserve">• Eje Estratégico China - India: </w:t>
      </w:r>
      <w:r>
        <w:rPr>
          <w:rFonts w:ascii="Calibri" w:hAnsi="Calibri"/>
          <w:i w:val="0"/>
          <w:color w:val="2D3748"/>
          <w:sz w:val="20"/>
        </w:rPr>
        <w:t>Gran China rebota al +22.4% e India lidera el crecimiento en aperturas de tiendas y ventas corporativas.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($146.7B en LTM) respalda con holgura al beneficio neto contable ($128.9B),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14,693M vs 14,948M (-256M)).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1.30x vs 1.14x (+0.16x)).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35.89%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$146.7B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35.9% vs 30.7% (+5.20%)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$146.7B &gt; NI $128.9B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14,693M vs 14,948M (-256M)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1.30x vs 1.14x (+0.16x)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$146.7B &gt; NI $128.9B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+42.71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52.72% frente a un ROIC contable tradicional de 68.22%.</w:t>
            </w:r>
          </w:p>
          <w:p>
            <w:pPr>
              <w:spacing w:before="40" w:after="40" w:line="276" w:lineRule="auto"/>
            </w:pPr>
            <w:r>
              <w:rPr>
                <w:rFonts w:ascii="Calibri" w:hAnsi="Calibri"/>
                <w:color w:val="2D3748"/>
                <w:sz w:val="19"/>
              </w:rPr>
              <w:t>• Costo Promedio Ponderado de Capital (WACC): 10.01% (Costo del Equity Ke: 10.11%, Deuda Neta Kd: 4.10%).</w:t>
            </w:r>
          </w:p>
          <w:p>
            <w:pPr>
              <w:spacing w:before="40" w:after="40" w:line="276" w:lineRule="auto"/>
            </w:pPr>
            <w:r>
              <w:rPr>
                <w:rFonts w:ascii="Calibri" w:hAnsi="Calibri"/>
                <w:color w:val="2D3748"/>
                <w:sz w:val="19"/>
              </w:rPr>
              <w:t>• Spread Económico Neto: +42.71 p.p. de rendimiento por encima del costo de capital exigido por el mercado.</w:t>
            </w:r>
          </w:p>
          <w:p>
            <w:pPr>
              <w:spacing w:before="40" w:after="40" w:line="276" w:lineRule="auto"/>
            </w:pPr>
            <w:r>
              <w:rPr>
                <w:rFonts w:ascii="Calibri" w:hAnsi="Calibri"/>
                <w:color w:val="2D3748"/>
                <w:sz w:val="19"/>
              </w:rPr>
              <w:t>• Stock de Intangibles Fuera de Balance: $79,597.8M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(52.72%) que supera a su costo de capital (10.01%) por más de 42.71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$339.75</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$5,011,415.1M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4.96%</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1.08</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un modelo extraordinariamente Asset-Light, donde los proveedores financian el circulante (NWC negativo) y la manufactura es subcontratada, rindiendo más de $3.00 de beneficio por dólar instalado.</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$79,597.8M de intangibles fuera de balance. El ROIC Ajustado resultante de 52.72% refleja el verdadero retorno económico sobre el capital total invertido ($267,312.2M).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+31.95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+33.72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+38.14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52.72%</w:t>
            </w:r>
          </w:p>
        </w:tc>
        <w:tc>
          <w:tcPr>
            <w:tcW w:type="dxa" w:w="1399"/>
            <w:tcMar>
              <w:top w:w="60" w:type="dxa"/>
              <w:bottom w:w="60" w:type="dxa"/>
              <w:left w:w="100" w:type="dxa"/>
              <w:right w:w="100" w:type="dxa"/>
            </w:tcMar>
            <w:shd w:fill="F7FAFC"/>
            <w:shd w:fill="E2EFDA"/>
          </w:tcPr>
          <w:p>
            <w:r>
              <w:rPr>
                <w:sz w:val="17"/>
              </w:rPr>
              <w:t>$79,597.8M</w:t>
            </w:r>
          </w:p>
        </w:tc>
        <w:tc>
          <w:tcPr>
            <w:tcW w:type="dxa" w:w="1399"/>
            <w:tcMar>
              <w:top w:w="60" w:type="dxa"/>
              <w:bottom w:w="60" w:type="dxa"/>
              <w:left w:w="100" w:type="dxa"/>
              <w:right w:w="100" w:type="dxa"/>
            </w:tcMar>
            <w:shd w:fill="F7FAFC"/>
            <w:shd w:fill="E2EFDA"/>
          </w:tcPr>
          <w:p>
            <w:r>
              <w:rPr>
                <w:sz w:val="17"/>
              </w:rPr>
              <w:t>$267,312.2M</w:t>
            </w:r>
          </w:p>
        </w:tc>
        <w:tc>
          <w:tcPr>
            <w:tcW w:type="dxa" w:w="1399"/>
            <w:tcMar>
              <w:top w:w="60" w:type="dxa"/>
              <w:bottom w:w="60" w:type="dxa"/>
              <w:left w:w="100" w:type="dxa"/>
              <w:right w:w="100" w:type="dxa"/>
            </w:tcMar>
            <w:shd w:fill="F7FAFC"/>
            <w:shd w:fill="E2EFDA"/>
          </w:tcPr>
          <w:p>
            <w:r>
              <w:rPr>
                <w:b/>
                <w:sz w:val="17"/>
              </w:rPr>
              <w:t>+42.71 p.p.</w:t>
            </w:r>
          </w:p>
        </w:tc>
      </w:tr>
    </w:tbl>
    <w:p>
      <w:pPr>
        <w:spacing w:before="160" w:after="160"/>
      </w:pPr>
      <w:r>
        <w:rPr>
          <w:i/>
          <w:sz w:val="18"/>
        </w:rPr>
        <w:t>Matriz de Sensibilidad de Vida Útil: N-1 (3a) = 55.07% | N Base (4a) = 52.72% | N+1 (5a) = 50.80%.</w:t>
      </w:r>
    </w:p>
    <w:p>
      <w:pPr>
        <w:pStyle w:val="Heading2"/>
      </w:pPr>
      <w:r>
        <w:t>11.4. Creación de Valor Económico (EVA) y Durabilidad del Foso Defensivo</w:t>
      </w:r>
    </w:p>
    <w:p>
      <w:r>
        <w:rPr>
          <w:sz w:val="19"/>
        </w:rPr>
        <w:t>Spread Económico = ROIC Ajustado (52.72%) − WACC (10.01%) = +42.71 p.p.</w:t>
        <w:br/>
        <w:t>Dictamen: 🏰 WIDE MOAT / COMPOUNDING MACHINE. La compañía supera holgadamente su costo de capital, generando más de $42.71 anuales de valor neto por cada $100 invertidos.</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4.96%</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1.08</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10.11%</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4.10%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10.01%</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extremo; supera al sector por ++276.0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mínima gracias a capital de trabajo negativo.</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$79,597.8M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$267,312.2M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52.72%</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+42.71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1 / 6 [RIESGO MUY BAJO / LIBROS LIMPIOS (&lt; 5% PROBABILIDAD DE MANIPULACIÓN)]</w:t>
        <w:br/>
        <w:t>• Dictamen: CALIDAD DE BENEFICIOS EXCEPCIONAL (GRADO INSTITUCIONAL): Conversión de efectivo sobresaliente (Ratio Sloan: -4.79%, CFO &gt; Utilidad Neta), devengos negativos que suprimen riesgo de inflación contable y Montier C-Score de 1/6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$146.7B de CFO frente a $128.9B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La alerta por spread de inventarios (+85.5%) es un falso positivo operativo ocasionado por el acopio estratégico de chips A19/M5 (2nm/3nm) y memoria DRAM para el superciclo de iPhone 17. Con un DIO de apenas 16.9 días, Apple mantiene la rotación más rápida del sector tecnológico global.</w:t>
      </w:r>
    </w:p>
    <w:p>
      <w:pPr>
        <w:pStyle w:val="Heading2"/>
      </w:pPr>
      <w:r>
        <w:rPr>
          <w:rFonts w:ascii="Calibri" w:hAnsi="Calibri"/>
          <w:b/>
          <w:color w:val="1B365D"/>
          <w:sz w:val="23"/>
        </w:rPr>
        <w:t>12.3. Desglose Forense Montier C-Score (1/6 Banderas)</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w:t>
            </w:r>
          </w:p>
        </w:tc>
        <w:tc>
          <w:tcPr>
            <w:tcW w:type="dxa" w:w="2016"/>
            <w:tcMar>
              <w:top w:w="60" w:type="dxa"/>
              <w:bottom w:w="60" w:type="dxa"/>
              <w:left w:w="80" w:type="dxa"/>
              <w:right w:w="80" w:type="dxa"/>
            </w:tcMar>
          </w:tcPr>
          <w:p>
            <w:pPr>
              <w:jc w:val="left"/>
            </w:pPr>
            <w:r>
              <w:rPr>
                <w:rFonts w:ascii="Calibri" w:hAnsi="Calibri"/>
                <w:sz w:val="16"/>
              </w:rPr>
              <w:t>Δ Cuentas por Cobrar % &gt; Δ Ventas %</w:t>
            </w:r>
          </w:p>
        </w:tc>
        <w:tc>
          <w:tcPr>
            <w:tcW w:type="dxa" w:w="1872"/>
            <w:tcMar>
              <w:top w:w="60" w:type="dxa"/>
              <w:bottom w:w="60" w:type="dxa"/>
              <w:left w:w="80" w:type="dxa"/>
              <w:right w:w="80" w:type="dxa"/>
            </w:tcMar>
          </w:tcPr>
          <w:p>
            <w:pPr>
              <w:jc w:val="left"/>
            </w:pPr>
            <w:r>
              <w:rPr>
                <w:rFonts w:ascii="Calibri" w:hAnsi="Calibri"/>
                <w:sz w:val="16"/>
              </w:rPr>
              <w:t>ΔAR: -21.1%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w:t>
            </w:r>
          </w:p>
        </w:tc>
        <w:tc>
          <w:tcPr>
            <w:tcW w:type="dxa" w:w="2016"/>
            <w:tcMar>
              <w:top w:w="60" w:type="dxa"/>
              <w:bottom w:w="60" w:type="dxa"/>
              <w:left w:w="80" w:type="dxa"/>
              <w:right w:w="80" w:type="dxa"/>
            </w:tcMar>
          </w:tcPr>
          <w:p>
            <w:pPr>
              <w:jc w:val="left"/>
            </w:pPr>
            <w:r>
              <w:rPr>
                <w:rFonts w:ascii="Calibri" w:hAnsi="Calibri"/>
                <w:sz w:val="16"/>
              </w:rPr>
              <w:t>Δ Inventarios % &gt; Δ Coste de Ventas %</w:t>
            </w:r>
          </w:p>
        </w:tc>
        <w:tc>
          <w:tcPr>
            <w:tcW w:type="dxa" w:w="1872"/>
            <w:tcMar>
              <w:top w:w="60" w:type="dxa"/>
              <w:bottom w:w="60" w:type="dxa"/>
              <w:left w:w="80" w:type="dxa"/>
              <w:right w:w="80" w:type="dxa"/>
            </w:tcMar>
          </w:tcPr>
          <w:p>
            <w:pPr>
              <w:jc w:val="left"/>
            </w:pPr>
            <w:r>
              <w:rPr>
                <w:rFonts w:ascii="Calibri" w:hAnsi="Calibri"/>
                <w:sz w:val="16"/>
              </w:rPr>
              <w:t>ΔInv: 94.0% vs ΔCOGS: 8.5%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crecen más rápido que los costes de venta.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Deterioro del Margen Bruto</w:t>
            </w:r>
          </w:p>
        </w:tc>
        <w:tc>
          <w:tcPr>
            <w:tcW w:type="dxa" w:w="2016"/>
            <w:tcMar>
              <w:top w:w="60" w:type="dxa"/>
              <w:bottom w:w="60" w:type="dxa"/>
              <w:left w:w="80" w:type="dxa"/>
              <w:right w:w="80" w:type="dxa"/>
            </w:tcMar>
          </w:tcPr>
          <w:p>
            <w:pPr>
              <w:jc w:val="left"/>
            </w:pPr>
            <w:r>
              <w:rPr>
                <w:rFonts w:ascii="Calibri" w:hAnsi="Calibri"/>
                <w:sz w:val="16"/>
              </w:rPr>
              <w:t>Margen Bruto_t &lt; Margen Bruto_t-1</w:t>
            </w:r>
          </w:p>
        </w:tc>
        <w:tc>
          <w:tcPr>
            <w:tcW w:type="dxa" w:w="1872"/>
            <w:tcMar>
              <w:top w:w="60" w:type="dxa"/>
              <w:bottom w:w="60" w:type="dxa"/>
              <w:left w:w="80" w:type="dxa"/>
              <w:right w:w="80" w:type="dxa"/>
            </w:tcMar>
          </w:tcPr>
          <w:p>
            <w:pPr>
              <w:jc w:val="left"/>
            </w:pPr>
            <w:r>
              <w:rPr>
                <w:rFonts w:ascii="Calibri" w:hAnsi="Calibri"/>
                <w:sz w:val="16"/>
              </w:rPr>
              <w:t>Margen Bruto: 48.65% vs 46.91%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deterioro del margen bruto genera incentivos en los ejecutivos para estirar partidas contables inferiores.</w:t>
            </w:r>
          </w:p>
        </w:tc>
      </w:tr>
      <w:tr>
        <w:tc>
          <w:tcPr>
            <w:tcW w:type="dxa" w:w="2160"/>
            <w:tcMar>
              <w:top w:w="60" w:type="dxa"/>
              <w:bottom w:w="60" w:type="dxa"/>
              <w:left w:w="80" w:type="dxa"/>
              <w:right w:w="80" w:type="dxa"/>
            </w:tcMar>
          </w:tcPr>
          <w:p>
            <w:pPr>
              <w:jc w:val="left"/>
            </w:pPr>
            <w:r>
              <w:rPr>
                <w:rFonts w:ascii="Calibri" w:hAnsi="Calibri"/>
                <w:sz w:val="16"/>
              </w:rPr>
              <w:t>5. Incremento de Activos Blandos</w:t>
            </w:r>
          </w:p>
        </w:tc>
        <w:tc>
          <w:tcPr>
            <w:tcW w:type="dxa" w:w="2016"/>
            <w:tcMar>
              <w:top w:w="60" w:type="dxa"/>
              <w:bottom w:w="60" w:type="dxa"/>
              <w:left w:w="80" w:type="dxa"/>
              <w:right w:w="80" w:type="dxa"/>
            </w:tcMar>
          </w:tcPr>
          <w:p>
            <w:pPr>
              <w:jc w:val="left"/>
            </w:pPr>
            <w:r>
              <w:rPr>
                <w:rFonts w:ascii="Calibri" w:hAnsi="Calibri"/>
                <w:sz w:val="16"/>
              </w:rPr>
              <w:t>Ratio Activos Blandos_t &gt; Ratio Activos Blandos_t-1</w:t>
            </w:r>
          </w:p>
        </w:tc>
        <w:tc>
          <w:tcPr>
            <w:tcW w:type="dxa" w:w="1872"/>
            <w:tcMar>
              <w:top w:w="60" w:type="dxa"/>
              <w:bottom w:w="60" w:type="dxa"/>
              <w:left w:w="80" w:type="dxa"/>
              <w:right w:w="80" w:type="dxa"/>
            </w:tcMar>
          </w:tcPr>
          <w:p>
            <w:pPr>
              <w:jc w:val="left"/>
            </w:pPr>
            <w:r>
              <w:rPr>
                <w:rFonts w:ascii="Calibri" w:hAnsi="Calibri"/>
                <w:sz w:val="16"/>
              </w:rPr>
              <w:t>Activos Blandos: 76.3% vs 76.1%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Aumento del peso relativo de partidas del balance que no son activos productivos tangibles ni tesorería.</w:t>
            </w:r>
          </w:p>
        </w:tc>
      </w:tr>
      <w:tr>
        <w:tc>
          <w:tcPr>
            <w:tcW w:type="dxa" w:w="2160"/>
            <w:tcMar>
              <w:top w:w="60" w:type="dxa"/>
              <w:bottom w:w="60" w:type="dxa"/>
              <w:left w:w="80" w:type="dxa"/>
              <w:right w:w="80" w:type="dxa"/>
            </w:tcMar>
          </w:tcPr>
          <w:p>
            <w:pPr>
              <w:jc w:val="left"/>
            </w:pPr>
            <w:r>
              <w:rPr>
                <w:rFonts w:ascii="Calibri" w:hAnsi="Calibri"/>
                <w:sz w:val="16"/>
              </w:rPr>
              <w:t>6.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w:t>
            </w:r>
          </w:p>
        </w:tc>
      </w:tr>
    </w:tbl>
    <w:p>
      <w:pPr>
        <w:spacing w:before="80" w:after="160"/>
      </w:pPr>
      <w:r>
        <w:rPr>
          <w:rFonts w:ascii="Calibri" w:hAnsi="Calibri"/>
          <w:b/>
          <w:color w:val="1B365D"/>
          <w:sz w:val="17"/>
        </w:rPr>
        <w:t>Dictamen Montier: 1 / 6 Banderas — RIESGO MUY BAJO / LIBROS LIMPIOS. Probabilidad empírica de manipulación &lt; 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1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Libros limpios (1/6); probabilidad estadística de fraude &lt; 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(0.25x),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$39,544.0M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$+42,803.0M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0.25x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0.31x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$339.75  |  WACC Auditado: 10.01% (Rf: 4.96%, ERP: 4.75%)</w:t>
        <w:br/>
        <w:t>• Crecimiento Implícito Calculado: 22.8% Anual a 10 Años (vs. 8.5% Histórico y 10.0% Guidance)</w:t>
        <w:br/>
        <w:t>• Veredicto: Descuenta expectativas de 22.8% anual (+12.8 pp sobre guidance). Exigencia de crecimiento ambiciosa; requiere catalizadores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$339.75</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4.96%</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1.08</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4.96%</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4.1%</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10.01%</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18.0%</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9.01% (Bajo / Expansión)</w:t>
            </w:r>
          </w:p>
        </w:tc>
        <w:tc>
          <w:tcPr>
            <w:tcW w:type="dxa" w:w="1224"/>
          </w:tcPr>
          <w:p>
            <w:r>
              <w:rPr>
                <w:sz w:val="16"/>
              </w:rPr>
              <w:t>22.4%</w:t>
            </w:r>
          </w:p>
        </w:tc>
        <w:tc>
          <w:tcPr>
            <w:tcW w:type="dxa" w:w="1224"/>
          </w:tcPr>
          <w:p>
            <w:r>
              <w:rPr>
                <w:sz w:val="16"/>
              </w:rPr>
              <w:t>21.8%</w:t>
            </w:r>
          </w:p>
        </w:tc>
        <w:tc>
          <w:tcPr>
            <w:tcW w:type="dxa" w:w="1224"/>
          </w:tcPr>
          <w:p>
            <w:r>
              <w:rPr>
                <w:sz w:val="16"/>
              </w:rPr>
              <w:t>21.1%</w:t>
            </w:r>
          </w:p>
        </w:tc>
        <w:tc>
          <w:tcPr>
            <w:tcW w:type="dxa" w:w="1224"/>
          </w:tcPr>
          <w:p>
            <w:r>
              <w:rPr>
                <w:b/>
                <w:sz w:val="16"/>
              </w:rPr>
              <w:t>20.3%</w:t>
            </w:r>
          </w:p>
        </w:tc>
        <w:tc>
          <w:tcPr>
            <w:tcW w:type="dxa" w:w="1224"/>
          </w:tcPr>
          <w:p>
            <w:r>
              <w:rPr>
                <w:sz w:val="16"/>
              </w:rPr>
              <w:t>19.5%</w:t>
            </w:r>
          </w:p>
        </w:tc>
        <w:tc>
          <w:tcPr>
            <w:tcW w:type="dxa" w:w="1224"/>
          </w:tcPr>
          <w:p>
            <w:r>
              <w:rPr>
                <w:sz w:val="16"/>
              </w:rPr>
              <w:t>18.6%</w:t>
            </w:r>
          </w:p>
        </w:tc>
        <w:tc>
          <w:tcPr>
            <w:tcW w:type="dxa" w:w="1224"/>
          </w:tcPr>
          <w:p>
            <w:r>
              <w:rPr>
                <w:sz w:val="16"/>
              </w:rPr>
              <w:t>Escenario favorable; exigencia de crecimiento más moderada.</w:t>
            </w:r>
          </w:p>
        </w:tc>
      </w:tr>
      <w:tr>
        <w:tc>
          <w:tcPr>
            <w:tcW w:type="dxa" w:w="1224"/>
            <w:shd w:fill="F7FAFC"/>
          </w:tcPr>
          <w:p>
            <w:r>
              <w:rPr>
                <w:sz w:val="16"/>
              </w:rPr>
              <w:t>9.51% (Favorable)</w:t>
            </w:r>
          </w:p>
        </w:tc>
        <w:tc>
          <w:tcPr>
            <w:tcW w:type="dxa" w:w="1224"/>
            <w:shd w:fill="F7FAFC"/>
          </w:tcPr>
          <w:p>
            <w:r>
              <w:rPr>
                <w:sz w:val="16"/>
              </w:rPr>
              <w:t>23.5%</w:t>
            </w:r>
          </w:p>
        </w:tc>
        <w:tc>
          <w:tcPr>
            <w:tcW w:type="dxa" w:w="1224"/>
            <w:shd w:fill="F7FAFC"/>
          </w:tcPr>
          <w:p>
            <w:r>
              <w:rPr>
                <w:sz w:val="16"/>
              </w:rPr>
              <w:t>22.9%</w:t>
            </w:r>
          </w:p>
        </w:tc>
        <w:tc>
          <w:tcPr>
            <w:tcW w:type="dxa" w:w="1224"/>
            <w:shd w:fill="F7FAFC"/>
          </w:tcPr>
          <w:p>
            <w:r>
              <w:rPr>
                <w:sz w:val="16"/>
              </w:rPr>
              <w:t>22.3%</w:t>
            </w:r>
          </w:p>
        </w:tc>
        <w:tc>
          <w:tcPr>
            <w:tcW w:type="dxa" w:w="1224"/>
            <w:shd w:fill="F7FAFC"/>
          </w:tcPr>
          <w:p>
            <w:r>
              <w:rPr>
                <w:b/>
                <w:sz w:val="16"/>
              </w:rPr>
              <w:t>21.6%</w:t>
            </w:r>
          </w:p>
        </w:tc>
        <w:tc>
          <w:tcPr>
            <w:tcW w:type="dxa" w:w="1224"/>
            <w:shd w:fill="F7FAFC"/>
          </w:tcPr>
          <w:p>
            <w:r>
              <w:rPr>
                <w:sz w:val="16"/>
              </w:rPr>
              <w:t>20.8%</w:t>
            </w:r>
          </w:p>
        </w:tc>
        <w:tc>
          <w:tcPr>
            <w:tcW w:type="dxa" w:w="1224"/>
            <w:shd w:fill="F7FAFC"/>
          </w:tcPr>
          <w:p>
            <w:r>
              <w:rPr>
                <w:sz w:val="16"/>
              </w:rPr>
              <w:t>20.0%</w:t>
            </w:r>
          </w:p>
        </w:tc>
        <w:tc>
          <w:tcPr>
            <w:tcW w:type="dxa" w:w="1224"/>
            <w:shd w:fill="F7FAFC"/>
          </w:tcPr>
          <w:p>
            <w:r>
              <w:rPr>
                <w:sz w:val="16"/>
              </w:rPr>
              <w:t>Escenario de sensibilidad operativa.</w:t>
            </w:r>
          </w:p>
        </w:tc>
      </w:tr>
      <w:tr>
        <w:tc>
          <w:tcPr>
            <w:tcW w:type="dxa" w:w="1224"/>
            <w:shd w:fill="F7FAFC"/>
          </w:tcPr>
          <w:p>
            <w:r>
              <w:rPr>
                <w:sz w:val="16"/>
              </w:rPr>
              <w:t>10.01% (WACC Auditado Base)</w:t>
            </w:r>
          </w:p>
        </w:tc>
        <w:tc>
          <w:tcPr>
            <w:tcW w:type="dxa" w:w="1224"/>
            <w:shd w:fill="F7FAFC"/>
          </w:tcPr>
          <w:p>
            <w:r>
              <w:rPr>
                <w:b/>
                <w:sz w:val="16"/>
              </w:rPr>
              <w:t>24.6%</w:t>
            </w:r>
          </w:p>
        </w:tc>
        <w:tc>
          <w:tcPr>
            <w:tcW w:type="dxa" w:w="1224"/>
            <w:shd w:fill="F7FAFC"/>
          </w:tcPr>
          <w:p>
            <w:r>
              <w:rPr>
                <w:b/>
                <w:sz w:val="16"/>
              </w:rPr>
              <w:t>24.0%</w:t>
            </w:r>
          </w:p>
        </w:tc>
        <w:tc>
          <w:tcPr>
            <w:tcW w:type="dxa" w:w="1224"/>
            <w:shd w:fill="F7FAFC"/>
          </w:tcPr>
          <w:p>
            <w:r>
              <w:rPr>
                <w:b/>
                <w:sz w:val="16"/>
              </w:rPr>
              <w:t>23.4%</w:t>
            </w:r>
          </w:p>
        </w:tc>
        <w:tc>
          <w:tcPr>
            <w:tcW w:type="dxa" w:w="1224"/>
            <w:shd w:fill="FFF2CC"/>
          </w:tcPr>
          <w:p>
            <w:r>
              <w:rPr>
                <w:b/>
                <w:sz w:val="16"/>
              </w:rPr>
              <w:t>22.8%</w:t>
            </w:r>
          </w:p>
        </w:tc>
        <w:tc>
          <w:tcPr>
            <w:tcW w:type="dxa" w:w="1224"/>
            <w:shd w:fill="F7FAFC"/>
          </w:tcPr>
          <w:p>
            <w:r>
              <w:rPr>
                <w:b/>
                <w:sz w:val="16"/>
              </w:rPr>
              <w:t>22.1%</w:t>
            </w:r>
          </w:p>
        </w:tc>
        <w:tc>
          <w:tcPr>
            <w:tcW w:type="dxa" w:w="1224"/>
            <w:shd w:fill="F7FAFC"/>
          </w:tcPr>
          <w:p>
            <w:r>
              <w:rPr>
                <w:b/>
                <w:sz w:val="16"/>
              </w:rPr>
              <w:t>21.3%</w:t>
            </w:r>
          </w:p>
        </w:tc>
        <w:tc>
          <w:tcPr>
            <w:tcW w:type="dxa" w:w="1224"/>
            <w:shd w:fill="F7FAFC"/>
          </w:tcPr>
          <w:p>
            <w:r>
              <w:rPr>
                <w:sz w:val="16"/>
              </w:rPr>
              <w:t>ESCENARIO CENTRAL: Crecimiento implícito real de mercado.</w:t>
            </w:r>
          </w:p>
        </w:tc>
      </w:tr>
      <w:tr>
        <w:tc>
          <w:tcPr>
            <w:tcW w:type="dxa" w:w="1224"/>
            <w:shd w:fill="F7FAFC"/>
          </w:tcPr>
          <w:p>
            <w:r>
              <w:rPr>
                <w:sz w:val="16"/>
              </w:rPr>
              <w:t>10.51% (Exigente)</w:t>
            </w:r>
          </w:p>
        </w:tc>
        <w:tc>
          <w:tcPr>
            <w:tcW w:type="dxa" w:w="1224"/>
            <w:shd w:fill="F7FAFC"/>
          </w:tcPr>
          <w:p>
            <w:r>
              <w:rPr>
                <w:sz w:val="16"/>
              </w:rPr>
              <w:t>25.7%</w:t>
            </w:r>
          </w:p>
        </w:tc>
        <w:tc>
          <w:tcPr>
            <w:tcW w:type="dxa" w:w="1224"/>
            <w:shd w:fill="F7FAFC"/>
          </w:tcPr>
          <w:p>
            <w:r>
              <w:rPr>
                <w:sz w:val="16"/>
              </w:rPr>
              <w:t>25.1%</w:t>
            </w:r>
          </w:p>
        </w:tc>
        <w:tc>
          <w:tcPr>
            <w:tcW w:type="dxa" w:w="1224"/>
            <w:shd w:fill="F7FAFC"/>
          </w:tcPr>
          <w:p>
            <w:r>
              <w:rPr>
                <w:sz w:val="16"/>
              </w:rPr>
              <w:t>24.6%</w:t>
            </w:r>
          </w:p>
        </w:tc>
        <w:tc>
          <w:tcPr>
            <w:tcW w:type="dxa" w:w="1224"/>
            <w:shd w:fill="F7FAFC"/>
          </w:tcPr>
          <w:p>
            <w:r>
              <w:rPr>
                <w:b/>
                <w:sz w:val="16"/>
              </w:rPr>
              <w:t>23.9%</w:t>
            </w:r>
          </w:p>
        </w:tc>
        <w:tc>
          <w:tcPr>
            <w:tcW w:type="dxa" w:w="1224"/>
            <w:shd w:fill="F7FAFC"/>
          </w:tcPr>
          <w:p>
            <w:r>
              <w:rPr>
                <w:sz w:val="16"/>
              </w:rPr>
              <w:t>23.3%</w:t>
            </w:r>
          </w:p>
        </w:tc>
        <w:tc>
          <w:tcPr>
            <w:tcW w:type="dxa" w:w="1224"/>
            <w:shd w:fill="F7FAFC"/>
          </w:tcPr>
          <w:p>
            <w:r>
              <w:rPr>
                <w:sz w:val="16"/>
              </w:rPr>
              <w:t>22.6%</w:t>
            </w:r>
          </w:p>
        </w:tc>
        <w:tc>
          <w:tcPr>
            <w:tcW w:type="dxa" w:w="1224"/>
            <w:shd w:fill="F7FAFC"/>
          </w:tcPr>
          <w:p>
            <w:r>
              <w:rPr>
                <w:sz w:val="16"/>
              </w:rPr>
              <w:t>Escenario de sensibilidad operativa.</w:t>
            </w:r>
          </w:p>
        </w:tc>
      </w:tr>
      <w:tr>
        <w:tc>
          <w:tcPr>
            <w:tcW w:type="dxa" w:w="1224"/>
          </w:tcPr>
          <w:p>
            <w:r>
              <w:rPr>
                <w:sz w:val="16"/>
              </w:rPr>
              <w:t>11.01% (Estrés / Tipos Altos)</w:t>
            </w:r>
          </w:p>
        </w:tc>
        <w:tc>
          <w:tcPr>
            <w:tcW w:type="dxa" w:w="1224"/>
          </w:tcPr>
          <w:p>
            <w:r>
              <w:rPr>
                <w:sz w:val="16"/>
              </w:rPr>
              <w:t>26.7%</w:t>
            </w:r>
          </w:p>
        </w:tc>
        <w:tc>
          <w:tcPr>
            <w:tcW w:type="dxa" w:w="1224"/>
          </w:tcPr>
          <w:p>
            <w:r>
              <w:rPr>
                <w:sz w:val="16"/>
              </w:rPr>
              <w:t>26.2%</w:t>
            </w:r>
          </w:p>
        </w:tc>
        <w:tc>
          <w:tcPr>
            <w:tcW w:type="dxa" w:w="1224"/>
          </w:tcPr>
          <w:p>
            <w:r>
              <w:rPr>
                <w:sz w:val="16"/>
              </w:rPr>
              <w:t>25.7%</w:t>
            </w:r>
          </w:p>
        </w:tc>
        <w:tc>
          <w:tcPr>
            <w:tcW w:type="dxa" w:w="1224"/>
          </w:tcPr>
          <w:p>
            <w:r>
              <w:rPr>
                <w:b/>
                <w:sz w:val="16"/>
              </w:rPr>
              <w:t>25.1%</w:t>
            </w:r>
          </w:p>
        </w:tc>
        <w:tc>
          <w:tcPr>
            <w:tcW w:type="dxa" w:w="1224"/>
          </w:tcPr>
          <w:p>
            <w:r>
              <w:rPr>
                <w:sz w:val="16"/>
              </w:rPr>
              <w:t>24.5%</w:t>
            </w:r>
          </w:p>
        </w:tc>
        <w:tc>
          <w:tcPr>
            <w:tcW w:type="dxa" w:w="1224"/>
          </w:tcPr>
          <w:p>
            <w:r>
              <w:rPr>
                <w:sz w:val="16"/>
              </w:rPr>
              <w:t>23.8%</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1/6</w:t>
            </w:r>
          </w:p>
        </w:tc>
        <w:tc>
          <w:tcPr>
            <w:tcW w:type="dxa" w:w="2448"/>
            <w:shd w:fill="F7FAFC"/>
          </w:tcPr>
          <w:p>
            <w:r>
              <w:rPr>
                <w:b/>
                <w:sz w:val="17"/>
              </w:rPr>
              <w:t>MÁXIMA CALIDAD</w:t>
            </w:r>
          </w:p>
        </w:tc>
        <w:tc>
          <w:tcPr>
            <w:tcW w:type="dxa" w:w="2448"/>
            <w:shd w:fill="F7FAFC"/>
          </w:tcPr>
          <w:p>
            <w:r>
              <w:rPr>
                <w:sz w:val="17"/>
              </w:rPr>
              <w:t>Ganancias 100%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$39.5B.</w:t>
            </w:r>
          </w:p>
        </w:tc>
      </w:tr>
      <w:tr>
        <w:tc>
          <w:tcPr>
            <w:tcW w:type="dxa" w:w="2448"/>
            <w:shd w:fill="F7FAFC"/>
          </w:tcPr>
          <w:p>
            <w:r>
              <w:rPr>
                <w:b/>
                <w:sz w:val="17"/>
              </w:rPr>
              <w:t>Productividad del Capital</w:t>
            </w:r>
          </w:p>
        </w:tc>
        <w:tc>
          <w:tcPr>
            <w:tcW w:type="dxa" w:w="2448"/>
            <w:shd w:fill="F7FAFC"/>
          </w:tcPr>
          <w:p>
            <w:r>
              <w:rPr>
                <w:sz w:val="17"/>
              </w:rPr>
              <w:t>ROC Greenblatt: 305.9% / ROIC Adj: 52.7%</w:t>
            </w:r>
          </w:p>
        </w:tc>
        <w:tc>
          <w:tcPr>
            <w:tcW w:type="dxa" w:w="2448"/>
            <w:shd w:fill="F7FAFC"/>
          </w:tcPr>
          <w:p>
            <w:r>
              <w:rPr>
                <w:b/>
                <w:sz w:val="17"/>
              </w:rPr>
              <w:t>COMPOUNDING MACHINE</w:t>
            </w:r>
          </w:p>
        </w:tc>
        <w:tc>
          <w:tcPr>
            <w:tcW w:type="dxa" w:w="2448"/>
            <w:shd w:fill="F7FAFC"/>
          </w:tcPr>
          <w:p>
            <w:r>
              <w:rPr>
                <w:sz w:val="17"/>
              </w:rPr>
              <w:t>Spread económico de +42.7 pp sobre WACC (Creación de valor de élite).</w:t>
            </w:r>
          </w:p>
        </w:tc>
      </w:tr>
      <w:tr>
        <w:tc>
          <w:tcPr>
            <w:tcW w:type="dxa" w:w="2448"/>
          </w:tcPr>
          <w:p>
            <w:r>
              <w:rPr>
                <w:b/>
                <w:sz w:val="17"/>
              </w:rPr>
              <w:t>Valoración de Mercado</w:t>
            </w:r>
          </w:p>
        </w:tc>
        <w:tc>
          <w:tcPr>
            <w:tcW w:type="dxa" w:w="2448"/>
          </w:tcPr>
          <w:p>
            <w:r>
              <w:rPr>
                <w:sz w:val="17"/>
              </w:rPr>
              <w:t>Crecimiento Implícito: 22.8% - 20.5%</w:t>
            </w:r>
          </w:p>
        </w:tc>
        <w:tc>
          <w:tcPr>
            <w:tcW w:type="dxa" w:w="2448"/>
          </w:tcPr>
          <w:p>
            <w:r>
              <w:rPr>
                <w:b/>
                <w:sz w:val="17"/>
              </w:rPr>
              <w:t>PRICED FOR PERFECTION</w:t>
            </w:r>
          </w:p>
        </w:tc>
        <w:tc>
          <w:tcPr>
            <w:tcW w:type="dxa" w:w="2448"/>
          </w:tcPr>
          <w:p>
            <w:r>
              <w:rPr>
                <w:sz w:val="17"/>
              </w:rPr>
              <w:t>Exigencia de crecimiento ambiciosa; requiere catalizadores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