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22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Superciclo en running técnico (Clifton, Bondi, Skyward); aceleración DTC.</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$2,778.6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Desestacionalización exitosa (Tasman, Tazz); venta a precio completo.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$147.6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estructural y tracción en canales clave.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Wholesale (Canal)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$3,250.0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estructural y tracción en canales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Direct-to-Consumer (Canal)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$2,388.2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$2,264.2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50.0% Consolidado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estructural y tracción en canales clave.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como Motor de Crecimiento Global: </w:t>
      </w:r>
      <w:r>
        <w:rPr>
          <w:rFonts w:ascii="Calibri" w:hAnsi="Calibri"/>
          <w:i w:val="0"/>
          <w:color w:val="2D3748"/>
          <w:sz w:val="20"/>
        </w:rPr>
        <w:t>HOKA aporta más de $2.23B en ventas anuales (+28% YoY), consolidándose como la marca técnica de running de más rápida adopción mundial.</w:t>
      </w:r>
    </w:p>
    <w:p>
      <w:pPr>
        <w:spacing w:before="40" w:after="80" w:line="276" w:lineRule="auto"/>
      </w:pPr>
      <w:r>
        <w:rPr>
          <w:rFonts w:ascii="Calibri" w:hAnsi="Calibri"/>
          <w:b/>
          <w:color w:val="2D3748"/>
          <w:sz w:val="20"/>
        </w:rPr>
        <w:t xml:space="preserve">• UGG como Pilar de Rentabilidad y Moda: </w:t>
      </w:r>
      <w:r>
        <w:rPr>
          <w:rFonts w:ascii="Calibri" w:hAnsi="Calibri"/>
          <w:i w:val="0"/>
          <w:color w:val="2D3748"/>
          <w:sz w:val="20"/>
        </w:rPr>
        <w:t>UGG aporta más de $2.44B con una exitosa desestacionalización que sostiene ventas durante los 12 meses del año sin recurrir a descuentos.</w:t>
      </w:r>
    </w:p>
    <w:p>
      <w:pPr>
        <w:spacing w:before="40" w:after="80" w:line="276" w:lineRule="auto"/>
      </w:pPr>
      <w:r>
        <w:rPr>
          <w:rFonts w:ascii="Calibri" w:hAnsi="Calibri"/>
          <w:b/>
          <w:color w:val="2D3748"/>
          <w:sz w:val="20"/>
        </w:rPr>
        <w:t xml:space="preserve">• Sinergia Omnicanal de Alto Margen: </w:t>
      </w:r>
      <w:r>
        <w:rPr>
          <w:rFonts w:ascii="Calibri" w:hAnsi="Calibri"/>
          <w:i w:val="0"/>
          <w:color w:val="2D3748"/>
          <w:sz w:val="20"/>
        </w:rPr>
        <w:t>La combinación de mayorista y DTC permite una sinergia perfecta: el mayorista descubre clientes y el DTC fideliza con margen superior.</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 (EE.UU.)</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$3,238.5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57.4%</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 (Global)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$2,399.7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clave; sólida demanda y disciplina de precios.</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Aceleración Internacional de HOKA: </w:t>
      </w:r>
      <w:r>
        <w:rPr>
          <w:rFonts w:ascii="Calibri" w:hAnsi="Calibri"/>
          <w:i w:val="0"/>
          <w:color w:val="2D3748"/>
          <w:sz w:val="20"/>
        </w:rPr>
        <w:t>Aproximadamente el 33% de los ingresos proviene de mercados internacionales, con crecimientos superiores al 40% en Europa y Japón.</w:t>
      </w:r>
    </w:p>
    <w:p>
      <w:pPr>
        <w:spacing w:before="40" w:after="80" w:line="276" w:lineRule="auto"/>
      </w:pPr>
      <w:r>
        <w:rPr>
          <w:rFonts w:ascii="Calibri" w:hAnsi="Calibri"/>
          <w:b/>
          <w:color w:val="2D3748"/>
          <w:sz w:val="20"/>
        </w:rPr>
        <w:t xml:space="preserve">• Mitigación de Riesgo de Tipo de Cambio (FX): </w:t>
      </w:r>
      <w:r>
        <w:rPr>
          <w:rFonts w:ascii="Calibri" w:hAnsi="Calibri"/>
          <w:i w:val="0"/>
          <w:color w:val="2D3748"/>
          <w:sz w:val="20"/>
        </w:rPr>
        <w:t>La compañía gestiona el riesgo cambiario mediante contratos de cobertura y fijación dinámica de precios en monedas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(5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138M vs 145M (-7M)).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1.50x vs 1.53x (-0.03x)).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27.52%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$1.2B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27.5% vs 28.7% (-1.16%)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$1.2B &gt; NI $1.0B</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138M vs 145M (-7M)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1.50x vs 1.53x (-0.03x)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$1.2B &gt; NI $1.0B</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(Q1 FY27 Móvil)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137.80%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+43.28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53.58% frente a un ROIC contable tradicional de 90.86%.</w:t>
            </w:r>
          </w:p>
          <w:p>
            <w:pPr>
              <w:spacing w:before="40" w:after="40" w:line="276" w:lineRule="auto"/>
            </w:pPr>
            <w:r>
              <w:rPr>
                <w:rFonts w:ascii="Calibri" w:hAnsi="Calibri"/>
                <w:color w:val="2D3748"/>
                <w:sz w:val="19"/>
              </w:rPr>
              <w:t>• Costo Promedio Ponderado de Capital (WACC): 10.31% (Costo del Equity Ke: 10.31%, Deuda Neta Kd: 0.00%).</w:t>
            </w:r>
          </w:p>
          <w:p>
            <w:pPr>
              <w:spacing w:before="40" w:after="40" w:line="276" w:lineRule="auto"/>
            </w:pPr>
            <w:r>
              <w:rPr>
                <w:rFonts w:ascii="Calibri" w:hAnsi="Calibri"/>
                <w:color w:val="2D3748"/>
                <w:sz w:val="19"/>
              </w:rPr>
              <w:t>• Spread Económico Neto: +43.28 p.p. de rendimiento por encima del costo de capital exigido por el mercado.</w:t>
            </w:r>
          </w:p>
          <w:p>
            <w:pPr>
              <w:spacing w:before="40" w:after="40" w:line="276" w:lineRule="auto"/>
            </w:pPr>
            <w:r>
              <w:rPr>
                <w:rFonts w:ascii="Calibri" w:hAnsi="Calibri"/>
                <w:color w:val="2D3748"/>
                <w:sz w:val="19"/>
              </w:rPr>
              <w:t>• Stock de Intangibles Fuera de Balance: $947.5M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(53.58%) que supera a su costo de capital (10.31%) por más de 43.28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$80.23</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$11,116.6M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4.94%</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1.13</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un modelo extraordinariamente Asset-Light, donde los proveedores financian el circulante (NWC negativo) y la manufactura es subcontratada, rindiendo más de $3.00 de beneficio por dólar instalado.</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$947.5M de intangibles fuera de balance. El ROIC Ajustado resultante de 53.58% refleja el verdadero retorno económico sobre el capital total invertido ($2,036.9M).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+30.21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+26.63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+40.36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+51.48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+49.02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53.58%</w:t>
            </w:r>
          </w:p>
        </w:tc>
        <w:tc>
          <w:tcPr>
            <w:tcW w:type="dxa" w:w="1399"/>
            <w:tcMar>
              <w:top w:w="60" w:type="dxa"/>
              <w:bottom w:w="60" w:type="dxa"/>
              <w:left w:w="100" w:type="dxa"/>
              <w:right w:w="100" w:type="dxa"/>
            </w:tcMar>
            <w:shd w:fill="F7FAFC"/>
            <w:shd w:fill="E2EFDA"/>
          </w:tcPr>
          <w:p>
            <w:r>
              <w:rPr>
                <w:sz w:val="17"/>
              </w:rPr>
              <w:t>$947.5M</w:t>
            </w:r>
          </w:p>
        </w:tc>
        <w:tc>
          <w:tcPr>
            <w:tcW w:type="dxa" w:w="1399"/>
            <w:tcMar>
              <w:top w:w="60" w:type="dxa"/>
              <w:bottom w:w="60" w:type="dxa"/>
              <w:left w:w="100" w:type="dxa"/>
              <w:right w:w="100" w:type="dxa"/>
            </w:tcMar>
            <w:shd w:fill="F7FAFC"/>
            <w:shd w:fill="E2EFDA"/>
          </w:tcPr>
          <w:p>
            <w:r>
              <w:rPr>
                <w:sz w:val="17"/>
              </w:rPr>
              <w:t>$2,036.9M</w:t>
            </w:r>
          </w:p>
        </w:tc>
        <w:tc>
          <w:tcPr>
            <w:tcW w:type="dxa" w:w="1399"/>
            <w:tcMar>
              <w:top w:w="60" w:type="dxa"/>
              <w:bottom w:w="60" w:type="dxa"/>
              <w:left w:w="100" w:type="dxa"/>
              <w:right w:w="100" w:type="dxa"/>
            </w:tcMar>
            <w:shd w:fill="F7FAFC"/>
            <w:shd w:fill="E2EFDA"/>
          </w:tcPr>
          <w:p>
            <w:r>
              <w:rPr>
                <w:b/>
                <w:sz w:val="17"/>
              </w:rPr>
              <w:t>+43.28 p.p.</w:t>
            </w:r>
          </w:p>
        </w:tc>
      </w:tr>
    </w:tbl>
    <w:p>
      <w:pPr>
        <w:spacing w:before="160" w:after="160"/>
      </w:pPr>
      <w:r>
        <w:rPr>
          <w:i/>
          <w:sz w:val="18"/>
        </w:rPr>
        <w:t>Matriz de Sensibilidad de Vida Útil: N-1 (2a) = 54.08% | N Base (3a) = 53.58% | N+1 (4a) = 53.14%.</w:t>
      </w:r>
    </w:p>
    <w:p>
      <w:pPr>
        <w:pStyle w:val="Heading2"/>
      </w:pPr>
      <w:r>
        <w:t>11.4. Creación de Valor Económico (EVA) y Durabilidad del Foso Defensivo</w:t>
      </w:r>
    </w:p>
    <w:p>
      <w:r>
        <w:rPr>
          <w:sz w:val="19"/>
        </w:rPr>
        <w:t>Spread Económico = ROIC Ajustado (53.58%) − WACC (10.31%) = +43.28 p.p.</w:t>
        <w:br/>
        <w:t>Dictamen: 🏰 WIDE MOAT / COMPOUNDING MACHINE. La compañía supera holgadamente su costo de capital, generando más de $43.28 anuales de valor neto por cada $100 invertidos.</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4.94%</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1.13</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10.31%</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10.31%</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extremo; supera al sector por ++204.2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mínima gracias a capital de trabajo negativo.</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$947.5M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$2,036.9M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53.58%</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+43.28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-4.73% [ALTA CONVERSIÓN DE CAJA (CFO &gt; NI)]</w:t>
        <w:br/>
        <w:t>• Montier C-Score: 3 / 6 [RIESGO MODERADO / ALERTA PREVENTIVA (&lt; 5% PROBABILIDAD DE MANIPULACIÓN)]</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$1.2B de CFO frente a $1.0B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(3/6 Banderas)</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w:t>
            </w:r>
          </w:p>
        </w:tc>
        <w:tc>
          <w:tcPr>
            <w:tcW w:type="dxa" w:w="2016"/>
            <w:tcMar>
              <w:top w:w="60" w:type="dxa"/>
              <w:bottom w:w="60" w:type="dxa"/>
              <w:left w:w="80" w:type="dxa"/>
              <w:right w:w="80" w:type="dxa"/>
            </w:tcMar>
          </w:tcPr>
          <w:p>
            <w:pPr>
              <w:jc w:val="left"/>
            </w:pPr>
            <w:r>
              <w:rPr>
                <w:rFonts w:ascii="Calibri" w:hAnsi="Calibri"/>
                <w:sz w:val="16"/>
              </w:rPr>
              <w:t>Δ Cuentas por Cobrar % &gt; Δ Ventas %</w:t>
            </w:r>
          </w:p>
        </w:tc>
        <w:tc>
          <w:tcPr>
            <w:tcW w:type="dxa" w:w="1872"/>
            <w:tcMar>
              <w:top w:w="60" w:type="dxa"/>
              <w:bottom w:w="60" w:type="dxa"/>
              <w:left w:w="80" w:type="dxa"/>
              <w:right w:w="80" w:type="dxa"/>
            </w:tcMar>
          </w:tcPr>
          <w:p>
            <w:pPr>
              <w:jc w:val="left"/>
            </w:pPr>
            <w:r>
              <w:rPr>
                <w:rFonts w:ascii="Calibri" w:hAnsi="Calibri"/>
                <w:sz w:val="16"/>
              </w:rPr>
              <w:t>ΔAR: 18.6% vs ΔVentas: 1.0%</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w:t>
            </w:r>
          </w:p>
        </w:tc>
        <w:tc>
          <w:tcPr>
            <w:tcW w:type="dxa" w:w="2016"/>
            <w:tcMar>
              <w:top w:w="60" w:type="dxa"/>
              <w:bottom w:w="60" w:type="dxa"/>
              <w:left w:w="80" w:type="dxa"/>
              <w:right w:w="80" w:type="dxa"/>
            </w:tcMar>
          </w:tcPr>
          <w:p>
            <w:pPr>
              <w:jc w:val="left"/>
            </w:pPr>
            <w:r>
              <w:rPr>
                <w:rFonts w:ascii="Calibri" w:hAnsi="Calibri"/>
                <w:sz w:val="16"/>
              </w:rPr>
              <w:t>Δ Inventarios % &gt; Δ Coste de Ventas %</w:t>
            </w:r>
          </w:p>
        </w:tc>
        <w:tc>
          <w:tcPr>
            <w:tcW w:type="dxa" w:w="1872"/>
            <w:tcMar>
              <w:top w:w="60" w:type="dxa"/>
              <w:bottom w:w="60" w:type="dxa"/>
              <w:left w:w="80" w:type="dxa"/>
              <w:right w:w="80" w:type="dxa"/>
            </w:tcMar>
          </w:tcPr>
          <w:p>
            <w:pPr>
              <w:jc w:val="left"/>
            </w:pPr>
            <w:r>
              <w:rPr>
                <w:rFonts w:ascii="Calibri" w:hAnsi="Calibri"/>
                <w:sz w:val="16"/>
              </w:rPr>
              <w:t>ΔInv: 65.8% vs ΔCOGS: 0.8%</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crecen más rápido que los costes de venta.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Deterioro del Margen Bruto</w:t>
            </w:r>
          </w:p>
        </w:tc>
        <w:tc>
          <w:tcPr>
            <w:tcW w:type="dxa" w:w="2016"/>
            <w:tcMar>
              <w:top w:w="60" w:type="dxa"/>
              <w:bottom w:w="60" w:type="dxa"/>
              <w:left w:w="80" w:type="dxa"/>
              <w:right w:w="80" w:type="dxa"/>
            </w:tcMar>
          </w:tcPr>
          <w:p>
            <w:pPr>
              <w:jc w:val="left"/>
            </w:pPr>
            <w:r>
              <w:rPr>
                <w:rFonts w:ascii="Calibri" w:hAnsi="Calibri"/>
                <w:sz w:val="16"/>
              </w:rPr>
              <w:t>Margen Bruto_t &lt; Margen Bruto_t-1</w:t>
            </w:r>
          </w:p>
        </w:tc>
        <w:tc>
          <w:tcPr>
            <w:tcW w:type="dxa" w:w="1872"/>
            <w:tcMar>
              <w:top w:w="60" w:type="dxa"/>
              <w:bottom w:w="60" w:type="dxa"/>
              <w:left w:w="80" w:type="dxa"/>
              <w:right w:w="80" w:type="dxa"/>
            </w:tcMar>
          </w:tcPr>
          <w:p>
            <w:pPr>
              <w:jc w:val="left"/>
            </w:pPr>
            <w:r>
              <w:rPr>
                <w:rFonts w:ascii="Calibri" w:hAnsi="Calibri"/>
                <w:sz w:val="16"/>
              </w:rPr>
              <w:t>Margen Bruto: 57.8% vs 57.7%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deterioro del margen bruto genera incentivos en los ejecutivos para estirar partidas contables inferiores.</w:t>
            </w:r>
          </w:p>
        </w:tc>
      </w:tr>
      <w:tr>
        <w:tc>
          <w:tcPr>
            <w:tcW w:type="dxa" w:w="2160"/>
            <w:tcMar>
              <w:top w:w="60" w:type="dxa"/>
              <w:bottom w:w="60" w:type="dxa"/>
              <w:left w:w="80" w:type="dxa"/>
              <w:right w:w="80" w:type="dxa"/>
            </w:tcMar>
          </w:tcPr>
          <w:p>
            <w:pPr>
              <w:jc w:val="left"/>
            </w:pPr>
            <w:r>
              <w:rPr>
                <w:rFonts w:ascii="Calibri" w:hAnsi="Calibri"/>
                <w:sz w:val="16"/>
              </w:rPr>
              <w:t>5. Incremento de Activos Blandos</w:t>
            </w:r>
          </w:p>
        </w:tc>
        <w:tc>
          <w:tcPr>
            <w:tcW w:type="dxa" w:w="2016"/>
            <w:tcMar>
              <w:top w:w="60" w:type="dxa"/>
              <w:bottom w:w="60" w:type="dxa"/>
              <w:left w:w="80" w:type="dxa"/>
              <w:right w:w="80" w:type="dxa"/>
            </w:tcMar>
          </w:tcPr>
          <w:p>
            <w:pPr>
              <w:jc w:val="left"/>
            </w:pPr>
            <w:r>
              <w:rPr>
                <w:rFonts w:ascii="Calibri" w:hAnsi="Calibri"/>
                <w:sz w:val="16"/>
              </w:rPr>
              <w:t>Ratio Activos Blandos_t &gt; Ratio Activos Blandos_t-1</w:t>
            </w:r>
          </w:p>
        </w:tc>
        <w:tc>
          <w:tcPr>
            <w:tcW w:type="dxa" w:w="1872"/>
            <w:tcMar>
              <w:top w:w="60" w:type="dxa"/>
              <w:bottom w:w="60" w:type="dxa"/>
              <w:left w:w="80" w:type="dxa"/>
              <w:right w:w="80" w:type="dxa"/>
            </w:tcMar>
          </w:tcPr>
          <w:p>
            <w:pPr>
              <w:jc w:val="left"/>
            </w:pPr>
            <w:r>
              <w:rPr>
                <w:rFonts w:ascii="Calibri" w:hAnsi="Calibri"/>
                <w:sz w:val="16"/>
              </w:rPr>
              <w:t>Activos Blandos: 49.8% vs 39.1%</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Aumento del peso relativo de partidas del balance que no son activos productivos tangibles ni tesorería.</w:t>
            </w:r>
          </w:p>
        </w:tc>
      </w:tr>
      <w:tr>
        <w:tc>
          <w:tcPr>
            <w:tcW w:type="dxa" w:w="2160"/>
            <w:tcMar>
              <w:top w:w="60" w:type="dxa"/>
              <w:bottom w:w="60" w:type="dxa"/>
              <w:left w:w="80" w:type="dxa"/>
              <w:right w:w="80" w:type="dxa"/>
            </w:tcMar>
          </w:tcPr>
          <w:p>
            <w:pPr>
              <w:jc w:val="left"/>
            </w:pPr>
            <w:r>
              <w:rPr>
                <w:rFonts w:ascii="Calibri" w:hAnsi="Calibri"/>
                <w:sz w:val="16"/>
              </w:rPr>
              <w:t>6.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w:t>
            </w:r>
          </w:p>
        </w:tc>
      </w:tr>
    </w:tbl>
    <w:p>
      <w:pPr>
        <w:spacing w:before="80" w:after="160"/>
      </w:pPr>
      <w:r>
        <w:rPr>
          <w:rFonts w:ascii="Calibri" w:hAnsi="Calibri"/>
          <w:b/>
          <w:color w:val="1B365D"/>
          <w:sz w:val="17"/>
        </w:rPr>
        <w:t>Dictamen Montier: 3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(3/6); banderas operativas no constitutivas de fraude.</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$3.8M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$80.23  |  WACC Auditado: 10.31% (Rf: 4.94%, ERP: 4.75%)</w:t>
        <w:br/>
        <w:t>• Crecimiento Implícito Calculado: -3.7% Anual a 10 Años (vs. 8.5% Histórico y 10.0% Guidance)</w:t>
        <w:br/>
        <w:t>• Veredicto: Descuenta expectativas de -3.7% anual (-13.7 pp sobre guidance).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$80.23</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4.94%</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1.13</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3.5%</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5.0%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10.31%</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9.31% (Bajo / Expansión)</w:t>
            </w:r>
          </w:p>
        </w:tc>
        <w:tc>
          <w:tcPr>
            <w:tcW w:type="dxa" w:w="1224"/>
          </w:tcPr>
          <w:p>
            <w:r>
              <w:rPr>
                <w:sz w:val="16"/>
              </w:rPr>
              <w:t>-4.1%</w:t>
            </w:r>
          </w:p>
        </w:tc>
        <w:tc>
          <w:tcPr>
            <w:tcW w:type="dxa" w:w="1224"/>
          </w:tcPr>
          <w:p>
            <w:r>
              <w:rPr>
                <w:sz w:val="16"/>
              </w:rPr>
              <w:t>-4.5%</w:t>
            </w:r>
          </w:p>
        </w:tc>
        <w:tc>
          <w:tcPr>
            <w:tcW w:type="dxa" w:w="1224"/>
          </w:tcPr>
          <w:p>
            <w:r>
              <w:rPr>
                <w:sz w:val="16"/>
              </w:rPr>
              <w:t>-4.9%</w:t>
            </w:r>
          </w:p>
        </w:tc>
        <w:tc>
          <w:tcPr>
            <w:tcW w:type="dxa" w:w="1224"/>
          </w:tcPr>
          <w:p>
            <w:r>
              <w:rPr>
                <w:b/>
                <w:sz w:val="16"/>
              </w:rPr>
              <w:t>-5.3%</w:t>
            </w:r>
          </w:p>
        </w:tc>
        <w:tc>
          <w:tcPr>
            <w:tcW w:type="dxa" w:w="1224"/>
          </w:tcPr>
          <w:p>
            <w:r>
              <w:rPr>
                <w:sz w:val="16"/>
              </w:rPr>
              <w:t>-5.8%</w:t>
            </w:r>
          </w:p>
        </w:tc>
        <w:tc>
          <w:tcPr>
            <w:tcW w:type="dxa" w:w="1224"/>
          </w:tcPr>
          <w:p>
            <w:r>
              <w:rPr>
                <w:sz w:val="16"/>
              </w:rPr>
              <w:t>-6.3%</w:t>
            </w:r>
          </w:p>
        </w:tc>
        <w:tc>
          <w:tcPr>
            <w:tcW w:type="dxa" w:w="1224"/>
          </w:tcPr>
          <w:p>
            <w:r>
              <w:rPr>
                <w:sz w:val="16"/>
              </w:rPr>
              <w:t>Escenario favorable; exigencia de crecimiento más moderada.</w:t>
            </w:r>
          </w:p>
        </w:tc>
      </w:tr>
      <w:tr>
        <w:tc>
          <w:tcPr>
            <w:tcW w:type="dxa" w:w="1224"/>
            <w:shd w:fill="F7FAFC"/>
          </w:tcPr>
          <w:p>
            <w:r>
              <w:rPr>
                <w:sz w:val="16"/>
              </w:rPr>
              <w:t>9.81% (Favorable)</w:t>
            </w:r>
          </w:p>
        </w:tc>
        <w:tc>
          <w:tcPr>
            <w:tcW w:type="dxa" w:w="1224"/>
            <w:shd w:fill="F7FAFC"/>
          </w:tcPr>
          <w:p>
            <w:r>
              <w:rPr>
                <w:sz w:val="16"/>
              </w:rPr>
              <w:t>-3.3%</w:t>
            </w:r>
          </w:p>
        </w:tc>
        <w:tc>
          <w:tcPr>
            <w:tcW w:type="dxa" w:w="1224"/>
            <w:shd w:fill="F7FAFC"/>
          </w:tcPr>
          <w:p>
            <w:r>
              <w:rPr>
                <w:sz w:val="16"/>
              </w:rPr>
              <w:t>-3.7%</w:t>
            </w:r>
          </w:p>
        </w:tc>
        <w:tc>
          <w:tcPr>
            <w:tcW w:type="dxa" w:w="1224"/>
            <w:shd w:fill="F7FAFC"/>
          </w:tcPr>
          <w:p>
            <w:r>
              <w:rPr>
                <w:sz w:val="16"/>
              </w:rPr>
              <w:t>-4.1%</w:t>
            </w:r>
          </w:p>
        </w:tc>
        <w:tc>
          <w:tcPr>
            <w:tcW w:type="dxa" w:w="1224"/>
            <w:shd w:fill="F7FAFC"/>
          </w:tcPr>
          <w:p>
            <w:r>
              <w:rPr>
                <w:b/>
                <w:sz w:val="16"/>
              </w:rPr>
              <w:t>-4.5%</w:t>
            </w:r>
          </w:p>
        </w:tc>
        <w:tc>
          <w:tcPr>
            <w:tcW w:type="dxa" w:w="1224"/>
            <w:shd w:fill="F7FAFC"/>
          </w:tcPr>
          <w:p>
            <w:r>
              <w:rPr>
                <w:sz w:val="16"/>
              </w:rPr>
              <w:t>-4.9%</w:t>
            </w:r>
          </w:p>
        </w:tc>
        <w:tc>
          <w:tcPr>
            <w:tcW w:type="dxa" w:w="1224"/>
            <w:shd w:fill="F7FAFC"/>
          </w:tcPr>
          <w:p>
            <w:r>
              <w:rPr>
                <w:sz w:val="16"/>
              </w:rPr>
              <w:t>-5.4%</w:t>
            </w:r>
          </w:p>
        </w:tc>
        <w:tc>
          <w:tcPr>
            <w:tcW w:type="dxa" w:w="1224"/>
            <w:shd w:fill="F7FAFC"/>
          </w:tcPr>
          <w:p>
            <w:r>
              <w:rPr>
                <w:sz w:val="16"/>
              </w:rPr>
              <w:t>Escenario de sensibilidad operativa.</w:t>
            </w:r>
          </w:p>
        </w:tc>
      </w:tr>
      <w:tr>
        <w:tc>
          <w:tcPr>
            <w:tcW w:type="dxa" w:w="1224"/>
            <w:shd w:fill="F7FAFC"/>
          </w:tcPr>
          <w:p>
            <w:r>
              <w:rPr>
                <w:sz w:val="16"/>
              </w:rPr>
              <w:t>10.31% (WACC Auditado Base)</w:t>
            </w:r>
          </w:p>
        </w:tc>
        <w:tc>
          <w:tcPr>
            <w:tcW w:type="dxa" w:w="1224"/>
            <w:shd w:fill="F7FAFC"/>
          </w:tcPr>
          <w:p>
            <w:r>
              <w:rPr>
                <w:b/>
                <w:sz w:val="16"/>
              </w:rPr>
              <w:t>-2.6%</w:t>
            </w:r>
          </w:p>
        </w:tc>
        <w:tc>
          <w:tcPr>
            <w:tcW w:type="dxa" w:w="1224"/>
            <w:shd w:fill="F7FAFC"/>
          </w:tcPr>
          <w:p>
            <w:r>
              <w:rPr>
                <w:b/>
                <w:sz w:val="16"/>
              </w:rPr>
              <w:t>-2.9%</w:t>
            </w:r>
          </w:p>
        </w:tc>
        <w:tc>
          <w:tcPr>
            <w:tcW w:type="dxa" w:w="1224"/>
            <w:shd w:fill="F7FAFC"/>
          </w:tcPr>
          <w:p>
            <w:r>
              <w:rPr>
                <w:b/>
                <w:sz w:val="16"/>
              </w:rPr>
              <w:t>-3.3%</w:t>
            </w:r>
          </w:p>
        </w:tc>
        <w:tc>
          <w:tcPr>
            <w:tcW w:type="dxa" w:w="1224"/>
            <w:shd w:fill="FFF2CC"/>
          </w:tcPr>
          <w:p>
            <w:r>
              <w:rPr>
                <w:b/>
                <w:sz w:val="16"/>
              </w:rPr>
              <w:t>-3.6%</w:t>
            </w:r>
          </w:p>
        </w:tc>
        <w:tc>
          <w:tcPr>
            <w:tcW w:type="dxa" w:w="1224"/>
            <w:shd w:fill="F7FAFC"/>
          </w:tcPr>
          <w:p>
            <w:r>
              <w:rPr>
                <w:b/>
                <w:sz w:val="16"/>
              </w:rPr>
              <w:t>-4.1%</w:t>
            </w:r>
          </w:p>
        </w:tc>
        <w:tc>
          <w:tcPr>
            <w:tcW w:type="dxa" w:w="1224"/>
            <w:shd w:fill="F7FAFC"/>
          </w:tcPr>
          <w:p>
            <w:r>
              <w:rPr>
                <w:b/>
                <w:sz w:val="16"/>
              </w:rPr>
              <w:t>-4.5%</w:t>
            </w:r>
          </w:p>
        </w:tc>
        <w:tc>
          <w:tcPr>
            <w:tcW w:type="dxa" w:w="1224"/>
            <w:shd w:fill="F7FAFC"/>
          </w:tcPr>
          <w:p>
            <w:r>
              <w:rPr>
                <w:sz w:val="16"/>
              </w:rPr>
              <w:t>ESCENARIO CENTRAL: Crecimiento implícito real de mercado.</w:t>
            </w:r>
          </w:p>
        </w:tc>
      </w:tr>
      <w:tr>
        <w:tc>
          <w:tcPr>
            <w:tcW w:type="dxa" w:w="1224"/>
            <w:shd w:fill="F7FAFC"/>
          </w:tcPr>
          <w:p>
            <w:r>
              <w:rPr>
                <w:sz w:val="16"/>
              </w:rPr>
              <w:t>10.81% (Exigente)</w:t>
            </w:r>
          </w:p>
        </w:tc>
        <w:tc>
          <w:tcPr>
            <w:tcW w:type="dxa" w:w="1224"/>
            <w:shd w:fill="F7FAFC"/>
          </w:tcPr>
          <w:p>
            <w:r>
              <w:rPr>
                <w:sz w:val="16"/>
              </w:rPr>
              <w:t>-1.8%</w:t>
            </w:r>
          </w:p>
        </w:tc>
        <w:tc>
          <w:tcPr>
            <w:tcW w:type="dxa" w:w="1224"/>
            <w:shd w:fill="F7FAFC"/>
          </w:tcPr>
          <w:p>
            <w:r>
              <w:rPr>
                <w:sz w:val="16"/>
              </w:rPr>
              <w:t>-2.2%</w:t>
            </w:r>
          </w:p>
        </w:tc>
        <w:tc>
          <w:tcPr>
            <w:tcW w:type="dxa" w:w="1224"/>
            <w:shd w:fill="F7FAFC"/>
          </w:tcPr>
          <w:p>
            <w:r>
              <w:rPr>
                <w:sz w:val="16"/>
              </w:rPr>
              <w:t>-2.5%</w:t>
            </w:r>
          </w:p>
        </w:tc>
        <w:tc>
          <w:tcPr>
            <w:tcW w:type="dxa" w:w="1224"/>
            <w:shd w:fill="F7FAFC"/>
          </w:tcPr>
          <w:p>
            <w:r>
              <w:rPr>
                <w:b/>
                <w:sz w:val="16"/>
              </w:rPr>
              <w:t>-2.9%</w:t>
            </w:r>
          </w:p>
        </w:tc>
        <w:tc>
          <w:tcPr>
            <w:tcW w:type="dxa" w:w="1224"/>
            <w:shd w:fill="F7FAFC"/>
          </w:tcPr>
          <w:p>
            <w:r>
              <w:rPr>
                <w:sz w:val="16"/>
              </w:rPr>
              <w:t>-3.2%</w:t>
            </w:r>
          </w:p>
        </w:tc>
        <w:tc>
          <w:tcPr>
            <w:tcW w:type="dxa" w:w="1224"/>
            <w:shd w:fill="F7FAFC"/>
          </w:tcPr>
          <w:p>
            <w:r>
              <w:rPr>
                <w:sz w:val="16"/>
              </w:rPr>
              <w:t>-3.7%</w:t>
            </w:r>
          </w:p>
        </w:tc>
        <w:tc>
          <w:tcPr>
            <w:tcW w:type="dxa" w:w="1224"/>
            <w:shd w:fill="F7FAFC"/>
          </w:tcPr>
          <w:p>
            <w:r>
              <w:rPr>
                <w:sz w:val="16"/>
              </w:rPr>
              <w:t>Escenario de sensibilidad operativa.</w:t>
            </w:r>
          </w:p>
        </w:tc>
      </w:tr>
      <w:tr>
        <w:tc>
          <w:tcPr>
            <w:tcW w:type="dxa" w:w="1224"/>
          </w:tcPr>
          <w:p>
            <w:r>
              <w:rPr>
                <w:sz w:val="16"/>
              </w:rPr>
              <w:t>11.31% (Estrés / Tipos Altos)</w:t>
            </w:r>
          </w:p>
        </w:tc>
        <w:tc>
          <w:tcPr>
            <w:tcW w:type="dxa" w:w="1224"/>
          </w:tcPr>
          <w:p>
            <w:r>
              <w:rPr>
                <w:sz w:val="16"/>
              </w:rPr>
              <w:t>-1.1%</w:t>
            </w:r>
          </w:p>
        </w:tc>
        <w:tc>
          <w:tcPr>
            <w:tcW w:type="dxa" w:w="1224"/>
          </w:tcPr>
          <w:p>
            <w:r>
              <w:rPr>
                <w:sz w:val="16"/>
              </w:rPr>
              <w:t>-1.4%</w:t>
            </w:r>
          </w:p>
        </w:tc>
        <w:tc>
          <w:tcPr>
            <w:tcW w:type="dxa" w:w="1224"/>
          </w:tcPr>
          <w:p>
            <w:r>
              <w:rPr>
                <w:sz w:val="16"/>
              </w:rPr>
              <w:t>-1.7%</w:t>
            </w:r>
          </w:p>
        </w:tc>
        <w:tc>
          <w:tcPr>
            <w:tcW w:type="dxa" w:w="1224"/>
          </w:tcPr>
          <w:p>
            <w:r>
              <w:rPr>
                <w:b/>
                <w:sz w:val="16"/>
              </w:rPr>
              <w:t>-2.1%</w:t>
            </w:r>
          </w:p>
        </w:tc>
        <w:tc>
          <w:tcPr>
            <w:tcW w:type="dxa" w:w="1224"/>
          </w:tcPr>
          <w:p>
            <w:r>
              <w:rPr>
                <w:sz w:val="16"/>
              </w:rPr>
              <w:t>-2.4%</w:t>
            </w:r>
          </w:p>
        </w:tc>
        <w:tc>
          <w:tcPr>
            <w:tcW w:type="dxa" w:w="1224"/>
          </w:tcPr>
          <w:p>
            <w:r>
              <w:rPr>
                <w:sz w:val="16"/>
              </w:rPr>
              <w:t>-2.8%</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3/6</w:t>
            </w:r>
          </w:p>
        </w:tc>
        <w:tc>
          <w:tcPr>
            <w:tcW w:type="dxa" w:w="2448"/>
            <w:shd w:fill="F7FAFC"/>
          </w:tcPr>
          <w:p>
            <w:r>
              <w:rPr>
                <w:b/>
                <w:sz w:val="17"/>
              </w:rPr>
              <w:t>CALIDAD SÓLIDA / BAJO RIESGO</w:t>
            </w:r>
          </w:p>
        </w:tc>
        <w:tc>
          <w:tcPr>
            <w:tcW w:type="dxa" w:w="2448"/>
            <w:shd w:fill="F7FAFC"/>
          </w:tcPr>
          <w:p>
            <w:r>
              <w:rPr>
                <w:sz w:val="17"/>
              </w:rPr>
              <w:t>Ganancias 100%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53.6%</w:t>
            </w:r>
          </w:p>
        </w:tc>
        <w:tc>
          <w:tcPr>
            <w:tcW w:type="dxa" w:w="2448"/>
            <w:shd w:fill="F7FAFC"/>
          </w:tcPr>
          <w:p>
            <w:r>
              <w:rPr>
                <w:b/>
                <w:sz w:val="17"/>
              </w:rPr>
              <w:t>COMPOUNDING MACHINE</w:t>
            </w:r>
          </w:p>
        </w:tc>
        <w:tc>
          <w:tcPr>
            <w:tcW w:type="dxa" w:w="2448"/>
            <w:shd w:fill="F7FAFC"/>
          </w:tcPr>
          <w:p>
            <w:r>
              <w:rPr>
                <w:sz w:val="17"/>
              </w:rPr>
              <w:t>Spread económico de +43.3 pp sobre WACC (Creación de valor de élite).</w:t>
            </w:r>
          </w:p>
        </w:tc>
      </w:tr>
      <w:tr>
        <w:tc>
          <w:tcPr>
            <w:tcW w:type="dxa" w:w="2448"/>
          </w:tcPr>
          <w:p>
            <w:r>
              <w:rPr>
                <w:b/>
                <w:sz w:val="17"/>
              </w:rPr>
              <w:t>Valoración de Mercado</w:t>
            </w:r>
          </w:p>
        </w:tc>
        <w:tc>
          <w:tcPr>
            <w:tcW w:type="dxa" w:w="2448"/>
          </w:tcPr>
          <w:p>
            <w:r>
              <w:rPr>
                <w:sz w:val="17"/>
              </w:rPr>
              <w:t>Crecimiento Implícito: -3.7% - -5.5%</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