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Récord en Cloud y Pagos; recurrencia de alto margen (&gt;70%).</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($13.9B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0.82x vs 1.15x (-0.32x)).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4.37%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$13.9B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4.4% vs 7.9% (-3.56%)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$13.9B &gt; NI $1.9B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0.82x vs 1.15x (-0.32x)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$13.9B &gt; NI $1.9B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0.12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4.59%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15.0%</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si existe)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-11.60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0.142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40.84%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47.75%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49.79%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0.820x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37.59%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+6.07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0.767x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68.71%</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84.59%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61.38%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1.12x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+14.25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RENDIMIENTO COMPETITIVO ESTÁNDAR (SPREAD +2.05 p.p.)</w:t>
              <w:br/>
            </w:r>
          </w:p>
          <w:p>
            <w:pPr>
              <w:spacing w:before="40" w:after="40" w:line="276" w:lineRule="auto"/>
            </w:pPr>
            <w:r>
              <w:rPr>
                <w:rFonts w:ascii="Calibri" w:hAnsi="Calibri"/>
                <w:color w:val="2D3748"/>
                <w:sz w:val="19"/>
              </w:rPr>
              <w:t>• ROC Greenblatt Tangible (LTM): 87.60% (Productividad operativa pura pre-tax sobre capital de trabajo y PP&amp;E físico instalado).</w:t>
            </w:r>
          </w:p>
          <w:p>
            <w:pPr>
              <w:spacing w:before="40" w:after="40" w:line="276" w:lineRule="auto"/>
            </w:pPr>
            <w:r>
              <w:rPr>
                <w:rFonts w:ascii="Calibri" w:hAnsi="Calibri"/>
                <w:color w:val="2D3748"/>
                <w:sz w:val="19"/>
              </w:rPr>
              <w:t>• ROIC Ajustado por Intangibles (LTM): 12.45% frente a un ROIC contable tradicional de 17.42%.</w:t>
            </w:r>
          </w:p>
          <w:p>
            <w:pPr>
              <w:spacing w:before="40" w:after="40" w:line="276" w:lineRule="auto"/>
            </w:pPr>
            <w:r>
              <w:rPr>
                <w:rFonts w:ascii="Calibri" w:hAnsi="Calibri"/>
                <w:color w:val="2D3748"/>
                <w:sz w:val="19"/>
              </w:rPr>
              <w:t>• Costo Promedio Ponderado de Capital (WACC): 10.40% (Costo del Equity Ke: 11.16%, Deuda Neta Kd: 3.74%).</w:t>
            </w:r>
          </w:p>
          <w:p>
            <w:pPr>
              <w:spacing w:before="40" w:after="40" w:line="276" w:lineRule="auto"/>
            </w:pPr>
            <w:r>
              <w:rPr>
                <w:rFonts w:ascii="Calibri" w:hAnsi="Calibri"/>
                <w:color w:val="2D3748"/>
                <w:sz w:val="19"/>
              </w:rPr>
              <w:t>• Spread Económico Neto: +2.05 p.p. de rendimiento por encima del costo de capital exigido por el mercado.</w:t>
            </w:r>
          </w:p>
          <w:p>
            <w:pPr>
              <w:spacing w:before="40" w:after="40" w:line="276" w:lineRule="auto"/>
            </w:pPr>
            <w:r>
              <w:rPr>
                <w:rFonts w:ascii="Calibri" w:hAnsi="Calibri"/>
                <w:color w:val="2D3748"/>
                <w:sz w:val="19"/>
              </w:rPr>
              <w:t>• Stock de Intangibles Fuera de Balance: $7,451.2M capitalizados en innovación y amortizados económicamente a 3 años.</w:t>
            </w:r>
          </w:p>
          <w:p>
            <w:pPr>
              <w:spacing w:before="40" w:after="40" w:line="276" w:lineRule="auto"/>
            </w:pPr>
            <w:r>
              <w:rPr>
                <w:rFonts w:ascii="Calibri" w:hAnsi="Calibri"/>
                <w:color w:val="2D3748"/>
                <w:sz w:val="19"/>
              </w:rPr>
              <w:t>• Tesis de Foso Defensivo: El retorno (12.45%) apenas cubre el costo de financiamiento (10.40%), dejando un excedente marginal de +2.05 p.p. Opera en un entorno de alta competencia sin poder de fijación de precios.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$1826.58</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$92,602.7M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4.96%</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1.31</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87.60% refleja un modelo extraordinariamente Asset-Light, donde los proveedores financian el circulante (NWC negativo) y la manufactura es subcontratada, rindiendo más de $3.00 de beneficio por dólar instalado.</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$2,303.0M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$3,064.0M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$3,318.5M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87.60%</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(17.42%) sobrestima el retorno al mandar el I+D a gasto inmediato. La metodología Damodaran capitaliza la innovación a 3 años, reconociendo $7,451.2M de intangibles fuera de balance. El ROIC Ajustado resultante de 12.45% refleja el verdadero retorno económico sobre el capital total invertido ($18,300.7M).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73.51%</w:t>
            </w:r>
          </w:p>
        </w:tc>
        <w:tc>
          <w:tcPr>
            <w:tcW w:type="dxa" w:w="1399"/>
            <w:tcMar>
              <w:top w:w="60" w:type="dxa"/>
              <w:bottom w:w="60" w:type="dxa"/>
              <w:left w:w="100" w:type="dxa"/>
              <w:right w:w="100" w:type="dxa"/>
            </w:tcMar>
          </w:tcPr>
          <w:p>
            <w:r>
              <w:rPr>
                <w:b/>
                <w:sz w:val="17"/>
              </w:rPr>
              <w:t>21.11%</w:t>
            </w:r>
          </w:p>
        </w:tc>
        <w:tc>
          <w:tcPr>
            <w:tcW w:type="dxa" w:w="1399"/>
            <w:tcMar>
              <w:top w:w="60" w:type="dxa"/>
              <w:bottom w:w="60" w:type="dxa"/>
              <w:left w:w="100" w:type="dxa"/>
              <w:right w:w="100" w:type="dxa"/>
            </w:tcMar>
          </w:tcPr>
          <w:p>
            <w:r>
              <w:rPr>
                <w:b/>
                <w:sz w:val="17"/>
              </w:rPr>
              <w:t>25.19%</w:t>
            </w:r>
          </w:p>
        </w:tc>
        <w:tc>
          <w:tcPr>
            <w:tcW w:type="dxa" w:w="1399"/>
            <w:tcMar>
              <w:top w:w="60" w:type="dxa"/>
              <w:bottom w:w="60" w:type="dxa"/>
              <w:left w:w="100" w:type="dxa"/>
              <w:right w:w="100" w:type="dxa"/>
            </w:tcMar>
          </w:tcPr>
          <w:p>
            <w:r>
              <w:rPr>
                <w:sz w:val="17"/>
              </w:rPr>
              <w:t>$1,738.7M</w:t>
            </w:r>
          </w:p>
        </w:tc>
        <w:tc>
          <w:tcPr>
            <w:tcW w:type="dxa" w:w="1399"/>
            <w:tcMar>
              <w:top w:w="60" w:type="dxa"/>
              <w:bottom w:w="60" w:type="dxa"/>
              <w:left w:w="100" w:type="dxa"/>
              <w:right w:w="100" w:type="dxa"/>
            </w:tcMar>
          </w:tcPr>
          <w:p>
            <w:r>
              <w:rPr>
                <w:sz w:val="17"/>
              </w:rPr>
              <w:t>$2,777.7M</w:t>
            </w:r>
          </w:p>
        </w:tc>
        <w:tc>
          <w:tcPr>
            <w:tcW w:type="dxa" w:w="1399"/>
            <w:tcMar>
              <w:top w:w="60" w:type="dxa"/>
              <w:bottom w:w="60" w:type="dxa"/>
              <w:left w:w="100" w:type="dxa"/>
              <w:right w:w="100" w:type="dxa"/>
            </w:tcMar>
          </w:tcPr>
          <w:p>
            <w:r>
              <w:rPr>
                <w:b/>
                <w:sz w:val="17"/>
              </w:rPr>
              <w:t>+14.79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90.65%</w:t>
            </w:r>
          </w:p>
        </w:tc>
        <w:tc>
          <w:tcPr>
            <w:tcW w:type="dxa" w:w="1399"/>
            <w:tcMar>
              <w:top w:w="60" w:type="dxa"/>
              <w:bottom w:w="60" w:type="dxa"/>
              <w:left w:w="100" w:type="dxa"/>
              <w:right w:w="100" w:type="dxa"/>
            </w:tcMar>
            <w:shd w:fill="F7FAFC"/>
          </w:tcPr>
          <w:p>
            <w:r>
              <w:rPr>
                <w:b/>
                <w:sz w:val="17"/>
              </w:rPr>
              <w:t>27.19%</w:t>
            </w:r>
          </w:p>
        </w:tc>
        <w:tc>
          <w:tcPr>
            <w:tcW w:type="dxa" w:w="1399"/>
            <w:tcMar>
              <w:top w:w="60" w:type="dxa"/>
              <w:bottom w:w="60" w:type="dxa"/>
              <w:left w:w="100" w:type="dxa"/>
              <w:right w:w="100" w:type="dxa"/>
            </w:tcMar>
            <w:shd w:fill="F7FAFC"/>
          </w:tcPr>
          <w:p>
            <w:r>
              <w:rPr>
                <w:b/>
                <w:sz w:val="17"/>
              </w:rPr>
              <w:t>30.44%</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$4,822.7M</w:t>
            </w:r>
          </w:p>
        </w:tc>
        <w:tc>
          <w:tcPr>
            <w:tcW w:type="dxa" w:w="1399"/>
            <w:tcMar>
              <w:top w:w="60" w:type="dxa"/>
              <w:bottom w:w="60" w:type="dxa"/>
              <w:left w:w="100" w:type="dxa"/>
              <w:right w:w="100" w:type="dxa"/>
            </w:tcMar>
            <w:shd w:fill="F7FAFC"/>
          </w:tcPr>
          <w:p>
            <w:r>
              <w:rPr>
                <w:b/>
                <w:sz w:val="17"/>
              </w:rPr>
              <w:t>+20.04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115.20%</w:t>
            </w:r>
          </w:p>
        </w:tc>
        <w:tc>
          <w:tcPr>
            <w:tcW w:type="dxa" w:w="1399"/>
            <w:tcMar>
              <w:top w:w="60" w:type="dxa"/>
              <w:bottom w:w="60" w:type="dxa"/>
              <w:left w:w="100" w:type="dxa"/>
              <w:right w:w="100" w:type="dxa"/>
            </w:tcMar>
          </w:tcPr>
          <w:p>
            <w:r>
              <w:rPr>
                <w:b/>
                <w:sz w:val="17"/>
              </w:rPr>
              <w:t>33.58%</w:t>
            </w:r>
          </w:p>
        </w:tc>
        <w:tc>
          <w:tcPr>
            <w:tcW w:type="dxa" w:w="1399"/>
            <w:tcMar>
              <w:top w:w="60" w:type="dxa"/>
              <w:bottom w:w="60" w:type="dxa"/>
              <w:left w:w="100" w:type="dxa"/>
              <w:right w:w="100" w:type="dxa"/>
            </w:tcMar>
          </w:tcPr>
          <w:p>
            <w:r>
              <w:rPr>
                <w:b/>
                <w:sz w:val="17"/>
              </w:rPr>
              <w:t>30.92%</w:t>
            </w:r>
          </w:p>
        </w:tc>
        <w:tc>
          <w:tcPr>
            <w:tcW w:type="dxa" w:w="1399"/>
            <w:tcMar>
              <w:top w:w="60" w:type="dxa"/>
              <w:bottom w:w="60" w:type="dxa"/>
              <w:left w:w="100" w:type="dxa"/>
              <w:right w:w="100" w:type="dxa"/>
            </w:tcMar>
          </w:tcPr>
          <w:p>
            <w:r>
              <w:rPr>
                <w:sz w:val="17"/>
              </w:rPr>
              <w:t>$4,622.3M</w:t>
            </w:r>
          </w:p>
        </w:tc>
        <w:tc>
          <w:tcPr>
            <w:tcW w:type="dxa" w:w="1399"/>
            <w:tcMar>
              <w:top w:w="60" w:type="dxa"/>
              <w:bottom w:w="60" w:type="dxa"/>
              <w:left w:w="100" w:type="dxa"/>
              <w:right w:w="100" w:type="dxa"/>
            </w:tcMar>
          </w:tcPr>
          <w:p>
            <w:r>
              <w:rPr>
                <w:sz w:val="17"/>
              </w:rPr>
              <w:t>$7,321.1M</w:t>
            </w:r>
          </w:p>
        </w:tc>
        <w:tc>
          <w:tcPr>
            <w:tcW w:type="dxa" w:w="1399"/>
            <w:tcMar>
              <w:top w:w="60" w:type="dxa"/>
              <w:bottom w:w="60" w:type="dxa"/>
              <w:left w:w="100" w:type="dxa"/>
              <w:right w:w="100" w:type="dxa"/>
            </w:tcMar>
          </w:tcPr>
          <w:p>
            <w:r>
              <w:rPr>
                <w:b/>
                <w:sz w:val="17"/>
              </w:rPr>
              <w:t>+20.52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42.40%</w:t>
            </w:r>
          </w:p>
        </w:tc>
        <w:tc>
          <w:tcPr>
            <w:tcW w:type="dxa" w:w="1399"/>
            <w:tcMar>
              <w:top w:w="60" w:type="dxa"/>
              <w:bottom w:w="60" w:type="dxa"/>
              <w:left w:w="100" w:type="dxa"/>
              <w:right w:w="100" w:type="dxa"/>
            </w:tcMar>
            <w:shd w:fill="F7FAFC"/>
          </w:tcPr>
          <w:p>
            <w:r>
              <w:rPr>
                <w:b/>
                <w:sz w:val="17"/>
              </w:rPr>
              <w:t>30.49%</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+20.09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27.56%</w:t>
            </w:r>
          </w:p>
        </w:tc>
        <w:tc>
          <w:tcPr>
            <w:tcW w:type="dxa" w:w="1399"/>
            <w:tcMar>
              <w:top w:w="60" w:type="dxa"/>
              <w:bottom w:w="60" w:type="dxa"/>
              <w:left w:w="100" w:type="dxa"/>
              <w:right w:w="100" w:type="dxa"/>
            </w:tcMar>
          </w:tcPr>
          <w:p>
            <w:r>
              <w:rPr>
                <w:b/>
                <w:sz w:val="17"/>
              </w:rPr>
              <w:t>22.34%</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+11.94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87.60%</w:t>
            </w:r>
          </w:p>
        </w:tc>
        <w:tc>
          <w:tcPr>
            <w:tcW w:type="dxa" w:w="1399"/>
            <w:tcMar>
              <w:top w:w="60" w:type="dxa"/>
              <w:bottom w:w="60" w:type="dxa"/>
              <w:left w:w="100" w:type="dxa"/>
              <w:right w:w="100" w:type="dxa"/>
            </w:tcMar>
            <w:shd w:fill="F7FAFC"/>
            <w:shd w:fill="E2EFDA"/>
          </w:tcPr>
          <w:p>
            <w:r>
              <w:rPr>
                <w:b/>
                <w:sz w:val="17"/>
              </w:rPr>
              <w:t>17.42%</w:t>
            </w:r>
          </w:p>
        </w:tc>
        <w:tc>
          <w:tcPr>
            <w:tcW w:type="dxa" w:w="1399"/>
            <w:tcMar>
              <w:top w:w="60" w:type="dxa"/>
              <w:bottom w:w="60" w:type="dxa"/>
              <w:left w:w="100" w:type="dxa"/>
              <w:right w:w="100" w:type="dxa"/>
            </w:tcMar>
            <w:shd w:fill="F7FAFC"/>
            <w:shd w:fill="E2EFDA"/>
          </w:tcPr>
          <w:p>
            <w:r>
              <w:rPr>
                <w:b/>
                <w:sz w:val="17"/>
              </w:rPr>
              <w:t>12.45%</w:t>
            </w:r>
          </w:p>
        </w:tc>
        <w:tc>
          <w:tcPr>
            <w:tcW w:type="dxa" w:w="1399"/>
            <w:tcMar>
              <w:top w:w="60" w:type="dxa"/>
              <w:bottom w:w="60" w:type="dxa"/>
              <w:left w:w="100" w:type="dxa"/>
              <w:right w:w="100" w:type="dxa"/>
            </w:tcMar>
            <w:shd w:fill="F7FAFC"/>
            <w:shd w:fill="E2EFDA"/>
          </w:tcPr>
          <w:p>
            <w:r>
              <w:rPr>
                <w:sz w:val="17"/>
              </w:rPr>
              <w:t>$7,451.2M</w:t>
            </w:r>
          </w:p>
        </w:tc>
        <w:tc>
          <w:tcPr>
            <w:tcW w:type="dxa" w:w="1399"/>
            <w:tcMar>
              <w:top w:w="60" w:type="dxa"/>
              <w:bottom w:w="60" w:type="dxa"/>
              <w:left w:w="100" w:type="dxa"/>
              <w:right w:w="100" w:type="dxa"/>
            </w:tcMar>
            <w:shd w:fill="F7FAFC"/>
            <w:shd w:fill="E2EFDA"/>
          </w:tcPr>
          <w:p>
            <w:r>
              <w:rPr>
                <w:sz w:val="17"/>
              </w:rPr>
              <w:t>$18,300.7M</w:t>
            </w:r>
          </w:p>
        </w:tc>
        <w:tc>
          <w:tcPr>
            <w:tcW w:type="dxa" w:w="1399"/>
            <w:tcMar>
              <w:top w:w="60" w:type="dxa"/>
              <w:bottom w:w="60" w:type="dxa"/>
              <w:left w:w="100" w:type="dxa"/>
              <w:right w:w="100" w:type="dxa"/>
            </w:tcMar>
            <w:shd w:fill="F7FAFC"/>
            <w:shd w:fill="E2EFDA"/>
          </w:tcPr>
          <w:p>
            <w:r>
              <w:rPr>
                <w:b/>
                <w:sz w:val="17"/>
              </w:rPr>
              <w:t>+2.05 p.p.</w:t>
            </w:r>
          </w:p>
        </w:tc>
      </w:tr>
    </w:tbl>
    <w:p>
      <w:pPr>
        <w:spacing w:before="160" w:after="160"/>
      </w:pPr>
      <w:r>
        <w:rPr>
          <w:i/>
          <w:sz w:val="18"/>
        </w:rPr>
        <w:t>Matriz de Sensibilidad de Vida Útil: N-1 (2a) = 12.14% | N Base (3a) = 12.45% | N+1 (4a) = 12.85%.</w:t>
      </w:r>
    </w:p>
    <w:p>
      <w:pPr>
        <w:pStyle w:val="Heading2"/>
      </w:pPr>
      <w:r>
        <w:t>11.4. Creación de Valor Económico (EVA) y Durabilidad del Foso Defensivo</w:t>
      </w:r>
    </w:p>
    <w:p>
      <w:r>
        <w:rPr>
          <w:sz w:val="19"/>
        </w:rPr>
        <w:t>Spread Económico = ROIC Ajustado (12.45%) − WACC (10.40%) = +2.05 p.p.</w:t>
        <w:br/>
        <w:t>Dictamen: ⚖️ RENDIMIENTO COMPETITIVO ESTÁNDAR. La compañía supera holgadamente su costo de capital, generando más de $2.05 anuales de valor neto por cada $100 invertidos.</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4.96%</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1.31</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11.16%</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3.74%</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35.0%.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10.40%</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87.60%</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extremo; supera al sector por ++57.7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$3,318.5M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mínima gracias a capital de trabajo negativo.</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17.42%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$7,451.2M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$18,300.7M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12.45%</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+2.05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RENDIMIENTO COMPETITIVO ESTÁNDAR</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MODERADO / ALERTA PREVENTIVA (&lt; 5% PROBABILIDAD DE MANIPULACIÓN)]</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$21,421.0M</w:t>
            </w:r>
          </w:p>
        </w:tc>
        <w:tc>
          <w:tcPr>
            <w:tcW w:type="dxa" w:w="1094"/>
            <w:tcMar>
              <w:top w:w="60" w:type="dxa"/>
              <w:bottom w:w="60" w:type="dxa"/>
              <w:left w:w="60" w:type="dxa"/>
              <w:right w:w="60" w:type="dxa"/>
            </w:tcMar>
          </w:tcPr>
          <w:p>
            <w:pPr>
              <w:jc w:val="right"/>
            </w:pPr>
            <w:r>
              <w:rPr>
                <w:rFonts w:ascii="Calibri" w:hAnsi="Calibri"/>
                <w:b w:val="0"/>
                <w:sz w:val="17"/>
              </w:rPr>
              <w:t>$15,691.0M</w:t>
            </w:r>
          </w:p>
        </w:tc>
        <w:tc>
          <w:tcPr>
            <w:tcW w:type="dxa" w:w="1094"/>
            <w:tcMar>
              <w:top w:w="60" w:type="dxa"/>
              <w:bottom w:w="60" w:type="dxa"/>
              <w:left w:w="60" w:type="dxa"/>
              <w:right w:w="60" w:type="dxa"/>
            </w:tcMar>
          </w:tcPr>
          <w:p>
            <w:pPr>
              <w:jc w:val="right"/>
            </w:pPr>
            <w:r>
              <w:rPr>
                <w:rFonts w:ascii="Calibri" w:hAnsi="Calibri"/>
                <w:b w:val="0"/>
                <w:sz w:val="17"/>
              </w:rPr>
              <w:t>$11,918.6M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-28.04%</w:t>
            </w:r>
          </w:p>
        </w:tc>
        <w:tc>
          <w:tcPr>
            <w:tcW w:type="dxa" w:w="1094"/>
            <w:tcMar>
              <w:top w:w="60" w:type="dxa"/>
              <w:bottom w:w="60" w:type="dxa"/>
              <w:left w:w="60" w:type="dxa"/>
              <w:right w:w="60" w:type="dxa"/>
            </w:tcMar>
          </w:tcPr>
          <w:p>
            <w:pPr>
              <w:jc w:val="right"/>
            </w:pPr>
            <w:r>
              <w:rPr>
                <w:rFonts w:ascii="Calibri" w:hAnsi="Calibri"/>
                <w:b/>
                <w:sz w:val="17"/>
              </w:rPr>
              <w:t>-26.47%</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$13.9B de CFO frente a $1.9B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+70.0%</w:t>
            </w:r>
          </w:p>
        </w:tc>
        <w:tc>
          <w:tcPr>
            <w:tcW w:type="dxa" w:w="1440"/>
            <w:tcMar>
              <w:top w:w="60" w:type="dxa"/>
              <w:bottom w:w="60" w:type="dxa"/>
              <w:left w:w="80" w:type="dxa"/>
              <w:right w:w="80" w:type="dxa"/>
            </w:tcMar>
          </w:tcPr>
          <w:p>
            <w:pPr>
              <w:jc w:val="center"/>
            </w:pPr>
            <w:r>
              <w:rPr>
                <w:rFonts w:ascii="Calibri" w:hAnsi="Calibri"/>
                <w:sz w:val="17"/>
              </w:rPr>
              <w:t>DIO: 25.2d (+12.2d)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88.4%</w:t>
            </w:r>
          </w:p>
        </w:tc>
        <w:tc>
          <w:tcPr>
            <w:tcW w:type="dxa" w:w="1440"/>
            <w:tcMar>
              <w:top w:w="60" w:type="dxa"/>
              <w:bottom w:w="60" w:type="dxa"/>
              <w:left w:w="80" w:type="dxa"/>
              <w:right w:w="80" w:type="dxa"/>
            </w:tcMar>
          </w:tcPr>
          <w:p>
            <w:pPr>
              <w:jc w:val="center"/>
            </w:pPr>
            <w:r>
              <w:rPr>
                <w:rFonts w:ascii="Calibri" w:hAnsi="Calibri"/>
                <w:sz w:val="17"/>
              </w:rPr>
              <w:t>Δ: +2.4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(MELI): Las existencias crecen 70.0% por encima del coste de ventas, elevando el inventario en +12.2 días (DIO: 25.2d). Evaluar si responde a preparación estacional de lanzamientos o acumulación no vendida.</w:t>
      </w:r>
    </w:p>
    <w:p>
      <w:pPr>
        <w:pStyle w:val="Heading2"/>
      </w:pPr>
      <w:r>
        <w:rPr>
          <w:rFonts w:ascii="Calibri" w:hAnsi="Calibri"/>
          <w:b/>
          <w:color w:val="1B365D"/>
          <w:sz w:val="23"/>
        </w:rPr>
        <w:t>12.3. Desglose Forense Montier C-Score (3/6 Banderas)</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w:t>
            </w:r>
          </w:p>
        </w:tc>
        <w:tc>
          <w:tcPr>
            <w:tcW w:type="dxa" w:w="2016"/>
            <w:tcMar>
              <w:top w:w="60" w:type="dxa"/>
              <w:bottom w:w="60" w:type="dxa"/>
              <w:left w:w="80" w:type="dxa"/>
              <w:right w:w="80" w:type="dxa"/>
            </w:tcMar>
          </w:tcPr>
          <w:p>
            <w:pPr>
              <w:jc w:val="left"/>
            </w:pPr>
            <w:r>
              <w:rPr>
                <w:rFonts w:ascii="Calibri" w:hAnsi="Calibri"/>
                <w:sz w:val="16"/>
              </w:rPr>
              <w:t>Δ Cuentas por Cobrar % &gt; Δ Ventas %</w:t>
            </w:r>
          </w:p>
        </w:tc>
        <w:tc>
          <w:tcPr>
            <w:tcW w:type="dxa" w:w="1872"/>
            <w:tcMar>
              <w:top w:w="60" w:type="dxa"/>
              <w:bottom w:w="60" w:type="dxa"/>
              <w:left w:w="80" w:type="dxa"/>
              <w:right w:w="80" w:type="dxa"/>
            </w:tcMar>
          </w:tcPr>
          <w:p>
            <w:pPr>
              <w:jc w:val="left"/>
            </w:pPr>
            <w:r>
              <w:rPr>
                <w:rFonts w:ascii="Calibri" w:hAnsi="Calibri"/>
                <w:sz w:val="16"/>
              </w:rPr>
              <w:t>ΔAR: 13.3%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w:t>
            </w:r>
          </w:p>
        </w:tc>
        <w:tc>
          <w:tcPr>
            <w:tcW w:type="dxa" w:w="2016"/>
            <w:tcMar>
              <w:top w:w="60" w:type="dxa"/>
              <w:bottom w:w="60" w:type="dxa"/>
              <w:left w:w="80" w:type="dxa"/>
              <w:right w:w="80" w:type="dxa"/>
            </w:tcMar>
          </w:tcPr>
          <w:p>
            <w:pPr>
              <w:jc w:val="left"/>
            </w:pPr>
            <w:r>
              <w:rPr>
                <w:rFonts w:ascii="Calibri" w:hAnsi="Calibri"/>
                <w:sz w:val="16"/>
              </w:rPr>
              <w:t>Δ Inventarios % &gt; Δ Coste de Ventas %</w:t>
            </w:r>
          </w:p>
        </w:tc>
        <w:tc>
          <w:tcPr>
            <w:tcW w:type="dxa" w:w="1872"/>
            <w:tcMar>
              <w:top w:w="60" w:type="dxa"/>
              <w:bottom w:w="60" w:type="dxa"/>
              <w:left w:w="80" w:type="dxa"/>
              <w:right w:w="80" w:type="dxa"/>
            </w:tcMar>
          </w:tcPr>
          <w:p>
            <w:pPr>
              <w:jc w:val="left"/>
            </w:pPr>
            <w:r>
              <w:rPr>
                <w:rFonts w:ascii="Calibri" w:hAnsi="Calibri"/>
                <w:sz w:val="16"/>
              </w:rPr>
              <w:t>ΔInv: 44.2% vs ΔCOGS: -25.8%</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crecen más rápido que los costes de venta.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Deterioro del Margen Bruto</w:t>
            </w:r>
          </w:p>
        </w:tc>
        <w:tc>
          <w:tcPr>
            <w:tcW w:type="dxa" w:w="2016"/>
            <w:tcMar>
              <w:top w:w="60" w:type="dxa"/>
              <w:bottom w:w="60" w:type="dxa"/>
              <w:left w:w="80" w:type="dxa"/>
              <w:right w:w="80" w:type="dxa"/>
            </w:tcMar>
          </w:tcPr>
          <w:p>
            <w:pPr>
              <w:jc w:val="left"/>
            </w:pPr>
            <w:r>
              <w:rPr>
                <w:rFonts w:ascii="Calibri" w:hAnsi="Calibri"/>
                <w:sz w:val="16"/>
              </w:rPr>
              <w:t>Margen Bruto_t &lt; Margen Bruto_t-1</w:t>
            </w:r>
          </w:p>
        </w:tc>
        <w:tc>
          <w:tcPr>
            <w:tcW w:type="dxa" w:w="1872"/>
            <w:tcMar>
              <w:top w:w="60" w:type="dxa"/>
              <w:bottom w:w="60" w:type="dxa"/>
              <w:left w:w="80" w:type="dxa"/>
              <w:right w:w="80" w:type="dxa"/>
            </w:tcMar>
          </w:tcPr>
          <w:p>
            <w:pPr>
              <w:jc w:val="left"/>
            </w:pPr>
            <w:r>
              <w:rPr>
                <w:rFonts w:ascii="Calibri" w:hAnsi="Calibri"/>
                <w:sz w:val="16"/>
              </w:rPr>
              <w:t>Margen Bruto: 42.68% vs 44.5%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deterioro del margen bruto genera incentivos en los ejecutivos para estirar partidas contables inferiores.</w:t>
            </w:r>
          </w:p>
        </w:tc>
      </w:tr>
      <w:tr>
        <w:tc>
          <w:tcPr>
            <w:tcW w:type="dxa" w:w="2160"/>
            <w:tcMar>
              <w:top w:w="60" w:type="dxa"/>
              <w:bottom w:w="60" w:type="dxa"/>
              <w:left w:w="80" w:type="dxa"/>
              <w:right w:w="80" w:type="dxa"/>
            </w:tcMar>
          </w:tcPr>
          <w:p>
            <w:pPr>
              <w:jc w:val="left"/>
            </w:pPr>
            <w:r>
              <w:rPr>
                <w:rFonts w:ascii="Calibri" w:hAnsi="Calibri"/>
                <w:sz w:val="16"/>
              </w:rPr>
              <w:t>5. Incremento de Activos Blandos</w:t>
            </w:r>
          </w:p>
        </w:tc>
        <w:tc>
          <w:tcPr>
            <w:tcW w:type="dxa" w:w="2016"/>
            <w:tcMar>
              <w:top w:w="60" w:type="dxa"/>
              <w:bottom w:w="60" w:type="dxa"/>
              <w:left w:w="80" w:type="dxa"/>
              <w:right w:w="80" w:type="dxa"/>
            </w:tcMar>
          </w:tcPr>
          <w:p>
            <w:pPr>
              <w:jc w:val="left"/>
            </w:pPr>
            <w:r>
              <w:rPr>
                <w:rFonts w:ascii="Calibri" w:hAnsi="Calibri"/>
                <w:sz w:val="16"/>
              </w:rPr>
              <w:t>Ratio Activos Blandos_t &gt; Ratio Activos Blandos_t-1</w:t>
            </w:r>
          </w:p>
        </w:tc>
        <w:tc>
          <w:tcPr>
            <w:tcW w:type="dxa" w:w="1872"/>
            <w:tcMar>
              <w:top w:w="60" w:type="dxa"/>
              <w:bottom w:w="60" w:type="dxa"/>
              <w:left w:w="80" w:type="dxa"/>
              <w:right w:w="80" w:type="dxa"/>
            </w:tcMar>
          </w:tcPr>
          <w:p>
            <w:pPr>
              <w:jc w:val="left"/>
            </w:pPr>
            <w:r>
              <w:rPr>
                <w:rFonts w:ascii="Calibri" w:hAnsi="Calibri"/>
                <w:sz w:val="16"/>
              </w:rPr>
              <w:t>Activos Blandos: 88.4% vs 86.0%</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Aumento del peso relativo de partidas del balance que no son activos productivos tangibles ni tesorería.</w:t>
            </w:r>
          </w:p>
        </w:tc>
      </w:tr>
      <w:tr>
        <w:tc>
          <w:tcPr>
            <w:tcW w:type="dxa" w:w="2160"/>
            <w:tcMar>
              <w:top w:w="60" w:type="dxa"/>
              <w:bottom w:w="60" w:type="dxa"/>
              <w:left w:w="80" w:type="dxa"/>
              <w:right w:w="80" w:type="dxa"/>
            </w:tcMar>
          </w:tcPr>
          <w:p>
            <w:pPr>
              <w:jc w:val="left"/>
            </w:pPr>
            <w:r>
              <w:rPr>
                <w:rFonts w:ascii="Calibri" w:hAnsi="Calibri"/>
                <w:sz w:val="16"/>
              </w:rPr>
              <w:t>6.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26.21% vs 26.21%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w:t>
            </w:r>
          </w:p>
        </w:tc>
      </w:tr>
    </w:tbl>
    <w:p>
      <w:pPr>
        <w:spacing w:before="80" w:after="160"/>
      </w:pPr>
      <w:r>
        <w:rPr>
          <w:rFonts w:ascii="Calibri" w:hAnsi="Calibri"/>
          <w:b/>
          <w:color w:val="1B365D"/>
          <w:sz w:val="17"/>
        </w:rPr>
        <w:t>Dictamen Montier: 3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25.2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(25.2d);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+2.4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Alerta (+2.4 pp): Aumento en activos no físicos; auditar intangibles.</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(3/6); banderas operativas no constitutivas de fraude.</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 (SOLVENCIA BUENA (A / A2)) | Altman Z''-Score: 1.56 [ZONA GRIS]</w:t>
              <w:br/>
              <w:br/>
              <w:t>SOLVENCIA EQUILIBRADA BAJO MONITOREO: Apalancamiento controlado (1.87x), cobertura de 4.8x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$3,649.0M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$+6,977.0M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1.87x</w:t>
            </w:r>
          </w:p>
        </w:tc>
        <w:tc>
          <w:tcPr>
            <w:tcW w:type="dxa" w:w="2448"/>
            <w:shd w:fill="F7FAFC"/>
          </w:tcPr>
          <w:p>
            <w:r>
              <w:rPr>
                <w:sz w:val="17"/>
              </w:rPr>
              <w:t>APALANCAMIENTO MODERADO (1.5x - 3.0x)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0.56x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$611.0M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4.8x</w:t>
            </w:r>
          </w:p>
        </w:tc>
        <w:tc>
          <w:tcPr>
            <w:tcW w:type="dxa" w:w="2448"/>
          </w:tcPr>
          <w:p>
            <w:r>
              <w:rPr>
                <w:sz w:val="17"/>
              </w:rPr>
              <w:t>VULNERABILIDAD A CICLOS (2.5x - 5.0x)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4.39%</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w:t>
            </w:r>
          </w:p>
        </w:tc>
        <w:tc>
          <w:tcPr>
            <w:tcW w:type="dxa" w:w="2448"/>
            <w:shd w:fill="F7FAFC"/>
          </w:tcPr>
          <w:p>
            <w:r>
              <w:rPr>
                <w:sz w:val="17"/>
              </w:rPr>
              <w:t>SOLVENCIA BUENA (A / A2)</w:t>
            </w:r>
          </w:p>
        </w:tc>
        <w:tc>
          <w:tcPr>
            <w:tcW w:type="dxa" w:w="2448"/>
            <w:shd w:fill="F7FAFC"/>
          </w:tcPr>
          <w:p>
            <w:r>
              <w:rPr>
                <w:sz w:val="17"/>
              </w:rPr>
              <w:t>Spread Teórico: +1.30%</w:t>
            </w:r>
          </w:p>
        </w:tc>
      </w:tr>
      <w:tr>
        <w:tc>
          <w:tcPr>
            <w:tcW w:type="dxa" w:w="2448"/>
          </w:tcPr>
          <w:p>
            <w:r>
              <w:rPr>
                <w:b/>
                <w:sz w:val="17"/>
              </w:rPr>
              <w:t>Probabilidad de Default a 10 Años</w:t>
            </w:r>
          </w:p>
        </w:tc>
        <w:tc>
          <w:tcPr>
            <w:tcW w:type="dxa" w:w="2448"/>
          </w:tcPr>
          <w:p>
            <w:r>
              <w:rPr>
                <w:b/>
                <w:sz w:val="17"/>
              </w:rPr>
              <w:t>0.7%</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$1826.58  |  WACC Auditado: 10.4% (Rf: 4.96%, ERP: 4.75%)</w:t>
        <w:br/>
        <w:t>• Crecimiento Implícito Calculado: 21.4% Anual a 10 Años (vs. 8.5% Histórico y 10.0% Guidance)</w:t>
        <w:br/>
        <w:t>• Veredicto: Descuenta expectativas de 21.4% anual (+11.4 pp sobre guidance). Exigencia moderada (+14% a +16%); absorbible por el crecimiento orgánico de e-commerce y fintech (+30% YoY).</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$1826.58</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4.96%</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1.31</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3.74%</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35.0%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10.4%</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8.0%</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9.40% (Bajo / Expansión)</w:t>
            </w:r>
          </w:p>
        </w:tc>
        <w:tc>
          <w:tcPr>
            <w:tcW w:type="dxa" w:w="1224"/>
          </w:tcPr>
          <w:p>
            <w:r>
              <w:rPr>
                <w:sz w:val="16"/>
              </w:rPr>
              <w:t>20.9%</w:t>
            </w:r>
          </w:p>
        </w:tc>
        <w:tc>
          <w:tcPr>
            <w:tcW w:type="dxa" w:w="1224"/>
          </w:tcPr>
          <w:p>
            <w:r>
              <w:rPr>
                <w:sz w:val="16"/>
              </w:rPr>
              <w:t>20.3%</w:t>
            </w:r>
          </w:p>
        </w:tc>
        <w:tc>
          <w:tcPr>
            <w:tcW w:type="dxa" w:w="1224"/>
          </w:tcPr>
          <w:p>
            <w:r>
              <w:rPr>
                <w:sz w:val="16"/>
              </w:rPr>
              <w:t>19.7%</w:t>
            </w:r>
          </w:p>
        </w:tc>
        <w:tc>
          <w:tcPr>
            <w:tcW w:type="dxa" w:w="1224"/>
          </w:tcPr>
          <w:p>
            <w:r>
              <w:rPr>
                <w:b/>
                <w:sz w:val="16"/>
              </w:rPr>
              <w:t>19.0%</w:t>
            </w:r>
          </w:p>
        </w:tc>
        <w:tc>
          <w:tcPr>
            <w:tcW w:type="dxa" w:w="1224"/>
          </w:tcPr>
          <w:p>
            <w:r>
              <w:rPr>
                <w:sz w:val="16"/>
              </w:rPr>
              <w:t>18.3%</w:t>
            </w:r>
          </w:p>
        </w:tc>
        <w:tc>
          <w:tcPr>
            <w:tcW w:type="dxa" w:w="1224"/>
          </w:tcPr>
          <w:p>
            <w:r>
              <w:rPr>
                <w:sz w:val="16"/>
              </w:rPr>
              <w:t>17.5%</w:t>
            </w:r>
          </w:p>
        </w:tc>
        <w:tc>
          <w:tcPr>
            <w:tcW w:type="dxa" w:w="1224"/>
          </w:tcPr>
          <w:p>
            <w:r>
              <w:rPr>
                <w:sz w:val="16"/>
              </w:rPr>
              <w:t>Escenario favorable; exigencia de crecimiento más moderada.</w:t>
            </w:r>
          </w:p>
        </w:tc>
      </w:tr>
      <w:tr>
        <w:tc>
          <w:tcPr>
            <w:tcW w:type="dxa" w:w="1224"/>
            <w:shd w:fill="F7FAFC"/>
          </w:tcPr>
          <w:p>
            <w:r>
              <w:rPr>
                <w:sz w:val="16"/>
              </w:rPr>
              <w:t>9.90% (Favorable)</w:t>
            </w:r>
          </w:p>
        </w:tc>
        <w:tc>
          <w:tcPr>
            <w:tcW w:type="dxa" w:w="1224"/>
            <w:shd w:fill="F7FAFC"/>
          </w:tcPr>
          <w:p>
            <w:r>
              <w:rPr>
                <w:sz w:val="16"/>
              </w:rPr>
              <w:t>22.0%</w:t>
            </w:r>
          </w:p>
        </w:tc>
        <w:tc>
          <w:tcPr>
            <w:tcW w:type="dxa" w:w="1224"/>
            <w:shd w:fill="F7FAFC"/>
          </w:tcPr>
          <w:p>
            <w:r>
              <w:rPr>
                <w:sz w:val="16"/>
              </w:rPr>
              <w:t>21.5%</w:t>
            </w:r>
          </w:p>
        </w:tc>
        <w:tc>
          <w:tcPr>
            <w:tcW w:type="dxa" w:w="1224"/>
            <w:shd w:fill="F7FAFC"/>
          </w:tcPr>
          <w:p>
            <w:r>
              <w:rPr>
                <w:sz w:val="16"/>
              </w:rPr>
              <w:t>20.9%</w:t>
            </w:r>
          </w:p>
        </w:tc>
        <w:tc>
          <w:tcPr>
            <w:tcW w:type="dxa" w:w="1224"/>
            <w:shd w:fill="F7FAFC"/>
          </w:tcPr>
          <w:p>
            <w:r>
              <w:rPr>
                <w:b/>
                <w:sz w:val="16"/>
              </w:rPr>
              <w:t>20.2%</w:t>
            </w:r>
          </w:p>
        </w:tc>
        <w:tc>
          <w:tcPr>
            <w:tcW w:type="dxa" w:w="1224"/>
            <w:shd w:fill="F7FAFC"/>
          </w:tcPr>
          <w:p>
            <w:r>
              <w:rPr>
                <w:sz w:val="16"/>
              </w:rPr>
              <w:t>19.5%</w:t>
            </w:r>
          </w:p>
        </w:tc>
        <w:tc>
          <w:tcPr>
            <w:tcW w:type="dxa" w:w="1224"/>
            <w:shd w:fill="F7FAFC"/>
          </w:tcPr>
          <w:p>
            <w:r>
              <w:rPr>
                <w:sz w:val="16"/>
              </w:rPr>
              <w:t>18.8%</w:t>
            </w:r>
          </w:p>
        </w:tc>
        <w:tc>
          <w:tcPr>
            <w:tcW w:type="dxa" w:w="1224"/>
            <w:shd w:fill="F7FAFC"/>
          </w:tcPr>
          <w:p>
            <w:r>
              <w:rPr>
                <w:sz w:val="16"/>
              </w:rPr>
              <w:t>Escenario de sensibilidad operativa.</w:t>
            </w:r>
          </w:p>
        </w:tc>
      </w:tr>
      <w:tr>
        <w:tc>
          <w:tcPr>
            <w:tcW w:type="dxa" w:w="1224"/>
            <w:shd w:fill="F7FAFC"/>
          </w:tcPr>
          <w:p>
            <w:r>
              <w:rPr>
                <w:sz w:val="16"/>
              </w:rPr>
              <w:t>10.40% (WACC Auditado Base)</w:t>
            </w:r>
          </w:p>
        </w:tc>
        <w:tc>
          <w:tcPr>
            <w:tcW w:type="dxa" w:w="1224"/>
            <w:shd w:fill="F7FAFC"/>
          </w:tcPr>
          <w:p>
            <w:r>
              <w:rPr>
                <w:b/>
                <w:sz w:val="16"/>
              </w:rPr>
              <w:t>23.1%</w:t>
            </w:r>
          </w:p>
        </w:tc>
        <w:tc>
          <w:tcPr>
            <w:tcW w:type="dxa" w:w="1224"/>
            <w:shd w:fill="F7FAFC"/>
          </w:tcPr>
          <w:p>
            <w:r>
              <w:rPr>
                <w:b/>
                <w:sz w:val="16"/>
              </w:rPr>
              <w:t>22.5%</w:t>
            </w:r>
          </w:p>
        </w:tc>
        <w:tc>
          <w:tcPr>
            <w:tcW w:type="dxa" w:w="1224"/>
            <w:shd w:fill="F7FAFC"/>
          </w:tcPr>
          <w:p>
            <w:r>
              <w:rPr>
                <w:b/>
                <w:sz w:val="16"/>
              </w:rPr>
              <w:t>22.0%</w:t>
            </w:r>
          </w:p>
        </w:tc>
        <w:tc>
          <w:tcPr>
            <w:tcW w:type="dxa" w:w="1224"/>
            <w:shd w:fill="FFF2CC"/>
          </w:tcPr>
          <w:p>
            <w:r>
              <w:rPr>
                <w:b/>
                <w:sz w:val="16"/>
              </w:rPr>
              <w:t>21.4%</w:t>
            </w:r>
          </w:p>
        </w:tc>
        <w:tc>
          <w:tcPr>
            <w:tcW w:type="dxa" w:w="1224"/>
            <w:shd w:fill="F7FAFC"/>
          </w:tcPr>
          <w:p>
            <w:r>
              <w:rPr>
                <w:b/>
                <w:sz w:val="16"/>
              </w:rPr>
              <w:t>20.7%</w:t>
            </w:r>
          </w:p>
        </w:tc>
        <w:tc>
          <w:tcPr>
            <w:tcW w:type="dxa" w:w="1224"/>
            <w:shd w:fill="F7FAFC"/>
          </w:tcPr>
          <w:p>
            <w:r>
              <w:rPr>
                <w:b/>
                <w:sz w:val="16"/>
              </w:rPr>
              <w:t>20.0%</w:t>
            </w:r>
          </w:p>
        </w:tc>
        <w:tc>
          <w:tcPr>
            <w:tcW w:type="dxa" w:w="1224"/>
            <w:shd w:fill="F7FAFC"/>
          </w:tcPr>
          <w:p>
            <w:r>
              <w:rPr>
                <w:sz w:val="16"/>
              </w:rPr>
              <w:t>ESCENARIO CENTRAL: Crecimiento implícito real de mercado.</w:t>
            </w:r>
          </w:p>
        </w:tc>
      </w:tr>
      <w:tr>
        <w:tc>
          <w:tcPr>
            <w:tcW w:type="dxa" w:w="1224"/>
            <w:shd w:fill="F7FAFC"/>
          </w:tcPr>
          <w:p>
            <w:r>
              <w:rPr>
                <w:sz w:val="16"/>
              </w:rPr>
              <w:t>10.90% (Exigente)</w:t>
            </w:r>
          </w:p>
        </w:tc>
        <w:tc>
          <w:tcPr>
            <w:tcW w:type="dxa" w:w="1224"/>
            <w:shd w:fill="F7FAFC"/>
          </w:tcPr>
          <w:p>
            <w:r>
              <w:rPr>
                <w:sz w:val="16"/>
              </w:rPr>
              <w:t>24.1%</w:t>
            </w:r>
          </w:p>
        </w:tc>
        <w:tc>
          <w:tcPr>
            <w:tcW w:type="dxa" w:w="1224"/>
            <w:shd w:fill="F7FAFC"/>
          </w:tcPr>
          <w:p>
            <w:r>
              <w:rPr>
                <w:sz w:val="16"/>
              </w:rPr>
              <w:t>23.6%</w:t>
            </w:r>
          </w:p>
        </w:tc>
        <w:tc>
          <w:tcPr>
            <w:tcW w:type="dxa" w:w="1224"/>
            <w:shd w:fill="F7FAFC"/>
          </w:tcPr>
          <w:p>
            <w:r>
              <w:rPr>
                <w:sz w:val="16"/>
              </w:rPr>
              <w:t>23.0%</w:t>
            </w:r>
          </w:p>
        </w:tc>
        <w:tc>
          <w:tcPr>
            <w:tcW w:type="dxa" w:w="1224"/>
            <w:shd w:fill="F7FAFC"/>
          </w:tcPr>
          <w:p>
            <w:r>
              <w:rPr>
                <w:b/>
                <w:sz w:val="16"/>
              </w:rPr>
              <w:t>22.5%</w:t>
            </w:r>
          </w:p>
        </w:tc>
        <w:tc>
          <w:tcPr>
            <w:tcW w:type="dxa" w:w="1224"/>
            <w:shd w:fill="F7FAFC"/>
          </w:tcPr>
          <w:p>
            <w:r>
              <w:rPr>
                <w:sz w:val="16"/>
              </w:rPr>
              <w:t>21.9%</w:t>
            </w:r>
          </w:p>
        </w:tc>
        <w:tc>
          <w:tcPr>
            <w:tcW w:type="dxa" w:w="1224"/>
            <w:shd w:fill="F7FAFC"/>
          </w:tcPr>
          <w:p>
            <w:r>
              <w:rPr>
                <w:sz w:val="16"/>
              </w:rPr>
              <w:t>21.2%</w:t>
            </w:r>
          </w:p>
        </w:tc>
        <w:tc>
          <w:tcPr>
            <w:tcW w:type="dxa" w:w="1224"/>
            <w:shd w:fill="F7FAFC"/>
          </w:tcPr>
          <w:p>
            <w:r>
              <w:rPr>
                <w:sz w:val="16"/>
              </w:rPr>
              <w:t>Escenario de sensibilidad operativa.</w:t>
            </w:r>
          </w:p>
        </w:tc>
      </w:tr>
      <w:tr>
        <w:tc>
          <w:tcPr>
            <w:tcW w:type="dxa" w:w="1224"/>
          </w:tcPr>
          <w:p>
            <w:r>
              <w:rPr>
                <w:sz w:val="16"/>
              </w:rPr>
              <w:t>11.40% (Estrés / Tipos Altos)</w:t>
            </w:r>
          </w:p>
        </w:tc>
        <w:tc>
          <w:tcPr>
            <w:tcW w:type="dxa" w:w="1224"/>
          </w:tcPr>
          <w:p>
            <w:r>
              <w:rPr>
                <w:sz w:val="16"/>
              </w:rPr>
              <w:t>25.1%</w:t>
            </w:r>
          </w:p>
        </w:tc>
        <w:tc>
          <w:tcPr>
            <w:tcW w:type="dxa" w:w="1224"/>
          </w:tcPr>
          <w:p>
            <w:r>
              <w:rPr>
                <w:sz w:val="16"/>
              </w:rPr>
              <w:t>24.6%</w:t>
            </w:r>
          </w:p>
        </w:tc>
        <w:tc>
          <w:tcPr>
            <w:tcW w:type="dxa" w:w="1224"/>
          </w:tcPr>
          <w:p>
            <w:r>
              <w:rPr>
                <w:sz w:val="16"/>
              </w:rPr>
              <w:t>24.1%</w:t>
            </w:r>
          </w:p>
        </w:tc>
        <w:tc>
          <w:tcPr>
            <w:tcW w:type="dxa" w:w="1224"/>
          </w:tcPr>
          <w:p>
            <w:r>
              <w:rPr>
                <w:b/>
                <w:sz w:val="16"/>
              </w:rPr>
              <w:t>23.5%</w:t>
            </w:r>
          </w:p>
        </w:tc>
        <w:tc>
          <w:tcPr>
            <w:tcW w:type="dxa" w:w="1224"/>
          </w:tcPr>
          <w:p>
            <w:r>
              <w:rPr>
                <w:sz w:val="16"/>
              </w:rPr>
              <w:t>23.0%</w:t>
            </w:r>
          </w:p>
        </w:tc>
        <w:tc>
          <w:tcPr>
            <w:tcW w:type="dxa" w:w="1224"/>
          </w:tcPr>
          <w:p>
            <w:r>
              <w:rPr>
                <w:sz w:val="16"/>
              </w:rPr>
              <w:t>22.4%</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(11.9%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100% avaladas por caja real ($2.17 CFO por dólar de NI).</w:t>
            </w:r>
          </w:p>
        </w:tc>
      </w:tr>
      <w:tr>
        <w:tc>
          <w:tcPr>
            <w:tcW w:type="dxa" w:w="2448"/>
          </w:tcPr>
          <w:p>
            <w:r>
              <w:rPr>
                <w:b/>
                <w:sz w:val="17"/>
              </w:rPr>
              <w:t>Solvencia y Estructura</w:t>
            </w:r>
          </w:p>
        </w:tc>
        <w:tc>
          <w:tcPr>
            <w:tcW w:type="dxa" w:w="2448"/>
          </w:tcPr>
          <w:p>
            <w:r>
              <w:rPr>
                <w:sz w:val="17"/>
              </w:rPr>
              <w:t>Cobertura EBIT: 4.8x / Altman Z'': 1.56</w:t>
            </w:r>
          </w:p>
        </w:tc>
        <w:tc>
          <w:tcPr>
            <w:tcW w:type="dxa" w:w="2448"/>
          </w:tcPr>
          <w:p>
            <w:r>
              <w:rPr>
                <w:b/>
                <w:sz w:val="17"/>
              </w:rPr>
              <w:t>SINTÉTICO A</w:t>
            </w:r>
          </w:p>
        </w:tc>
        <w:tc>
          <w:tcPr>
            <w:tcW w:type="dxa" w:w="2448"/>
          </w:tcPr>
          <w:p>
            <w:r>
              <w:rPr>
                <w:sz w:val="17"/>
              </w:rPr>
              <w:t>Cero estrés financiero; colchón de $3.6B.</w:t>
            </w:r>
          </w:p>
        </w:tc>
      </w:tr>
      <w:tr>
        <w:tc>
          <w:tcPr>
            <w:tcW w:type="dxa" w:w="2448"/>
            <w:shd w:fill="F7FAFC"/>
          </w:tcPr>
          <w:p>
            <w:r>
              <w:rPr>
                <w:b/>
                <w:sz w:val="17"/>
              </w:rPr>
              <w:t>Productividad del Capital</w:t>
            </w:r>
          </w:p>
        </w:tc>
        <w:tc>
          <w:tcPr>
            <w:tcW w:type="dxa" w:w="2448"/>
            <w:shd w:fill="F7FAFC"/>
          </w:tcPr>
          <w:p>
            <w:r>
              <w:rPr>
                <w:sz w:val="17"/>
              </w:rPr>
              <w:t>ROC Greenblatt: 87.6% / ROIC Adj: 12.5%</w:t>
            </w:r>
          </w:p>
        </w:tc>
        <w:tc>
          <w:tcPr>
            <w:tcW w:type="dxa" w:w="2448"/>
            <w:shd w:fill="F7FAFC"/>
          </w:tcPr>
          <w:p>
            <w:r>
              <w:rPr>
                <w:b/>
                <w:sz w:val="17"/>
              </w:rPr>
              <w:t>CREADOR DE VALOR</w:t>
            </w:r>
          </w:p>
        </w:tc>
        <w:tc>
          <w:tcPr>
            <w:tcW w:type="dxa" w:w="2448"/>
            <w:shd w:fill="F7FAFC"/>
          </w:tcPr>
          <w:p>
            <w:r>
              <w:rPr>
                <w:sz w:val="17"/>
              </w:rPr>
              <w:t>Spread económico de +2.1 pp sobre WACC (Creación de valor de élite).</w:t>
            </w:r>
          </w:p>
        </w:tc>
      </w:tr>
      <w:tr>
        <w:tc>
          <w:tcPr>
            <w:tcW w:type="dxa" w:w="2448"/>
          </w:tcPr>
          <w:p>
            <w:r>
              <w:rPr>
                <w:b/>
                <w:sz w:val="17"/>
              </w:rPr>
              <w:t>Valoración de Mercado</w:t>
            </w:r>
          </w:p>
        </w:tc>
        <w:tc>
          <w:tcPr>
            <w:tcW w:type="dxa" w:w="2448"/>
          </w:tcPr>
          <w:p>
            <w:r>
              <w:rPr>
                <w:sz w:val="17"/>
              </w:rPr>
              <w:t>Crecimiento Implícito: 21.4% - 6.9%</w:t>
            </w:r>
          </w:p>
        </w:tc>
        <w:tc>
          <w:tcPr>
            <w:tcW w:type="dxa" w:w="2448"/>
          </w:tcPr>
          <w:p>
            <w:r>
              <w:rPr>
                <w:b/>
                <w:sz w:val="17"/>
              </w:rPr>
              <w:t>PRICED FOR PERFECTION</w:t>
            </w:r>
          </w:p>
        </w:tc>
        <w:tc>
          <w:tcPr>
            <w:tcW w:type="dxa" w:w="2448"/>
          </w:tcPr>
          <w:p>
            <w:r>
              <w:rPr>
                <w:sz w:val="17"/>
              </w:rPr>
              <w:t>Exigencia moderada (+14% a +16%); absorbible por el crecimiento orgánico de e-commerce y fintech (+30% YoY).</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