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22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Margen de Intereses e Intermediación Crediticia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$8,637.8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$6,021.7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+43.4%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Comisiones por Servicios, Adquirencia e Intercambio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$2,879.3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$2,007.2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Récord en Cloud y Pagos; recurrencia de alto margen (&gt;70%).</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Margen de Intereses e Intermediación Crediticia (75.0% de facturación): </w:t>
      </w:r>
      <w:r>
        <w:rPr>
          <w:rFonts w:ascii="Calibri" w:hAnsi="Calibri"/>
          <w:i w:val="0"/>
          <w:color w:val="2D3748"/>
          <w:sz w:val="20"/>
        </w:rPr>
        <w:t>Genera $8,637.8 M (+43.4% YoY), consolidándose como pilar operativo clave de Nu Holdings Ltd..</w:t>
      </w:r>
    </w:p>
    <w:p>
      <w:pPr>
        <w:spacing w:before="40" w:after="80" w:line="276" w:lineRule="auto"/>
      </w:pPr>
      <w:r>
        <w:rPr>
          <w:rFonts w:ascii="Calibri" w:hAnsi="Calibri"/>
          <w:b/>
          <w:color w:val="2D3748"/>
          <w:sz w:val="20"/>
        </w:rPr>
        <w:t xml:space="preserve">• Comisiones por Servicios, Adquirencia e Intercambio (25.0% de facturación): </w:t>
      </w:r>
      <w:r>
        <w:rPr>
          <w:rFonts w:ascii="Calibri" w:hAnsi="Calibri"/>
          <w:i w:val="0"/>
          <w:color w:val="2D3748"/>
          <w:sz w:val="20"/>
        </w:rPr>
        <w:t>Genera $2,879.3 M (+43.4%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$9,501.6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$6,623.9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+43.4%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82.5%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$1,635.4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$1,140.1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+43.4%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la solvencia ante crisis sistémicas (&gt;8.0% mínimo BACEN / &gt;11.0% élite).</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6 / 8 Puntos | CRECIMIENTO DE ÉLITE</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FY2024).</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($2,399.0M en LTM) respalda con holgura al beneficio neto contable ($1,972.1M),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4,792M vs 4,739M (+53M)).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45.6% vs 43.5% (+2.13%)) como la productividad de sus activos instalados (Rot 0.26x vs 0.27x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$2.4B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 vs 3.4% (+1.09%)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$2.4B &gt; NI $2.0B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4,792M vs 4,739M (+53M)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45.6% vs 43.5% (+2.13%)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0.26x vs 0.27x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8 Puntos en LTM (CRECIMIENTO DE ÉLITE) (6 / 8 en FY2024).</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6/8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4.53%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5.52%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$2.4B &gt; NI $2.0B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4.83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0.59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0.39%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$5,000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50.0%</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30.0%</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$5,000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40.0%</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10.0%</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15.0%</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30.0%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SOBRESALIENTE (TOP 25% (PERCENTIL 75+))</w:t>
              <w:br/>
            </w:r>
          </w:p>
          <w:p>
            <w:pPr>
              <w:spacing w:before="40" w:after="40" w:line="276" w:lineRule="auto"/>
            </w:pPr>
            <w:r>
              <w:rPr>
                <w:rFonts w:ascii="Calibri" w:hAnsi="Calibri"/>
                <w:color w:val="2D3748"/>
                <w:sz w:val="19"/>
              </w:rPr>
              <w:t>• Gross Profitability Total (FY2024): 10.52% de los Activos Totales (vs. Mediana Sector: 5.76%).</w:t>
            </w:r>
          </w:p>
          <w:p>
            <w:pPr>
              <w:spacing w:before="40" w:after="40" w:line="276" w:lineRule="auto"/>
            </w:pPr>
            <w:r>
              <w:rPr>
                <w:rFonts w:ascii="Calibri" w:hAnsi="Calibri"/>
                <w:color w:val="2D3748"/>
                <w:sz w:val="19"/>
              </w:rPr>
              <w:t>• Gross Profitability Operativa Ex-Caja (FY2024): 12.89% de los Activos Operativos (vs. Mediana Sector: 6.32%).</w:t>
            </w:r>
          </w:p>
          <w:p>
            <w:pPr>
              <w:spacing w:before="40" w:after="40" w:line="276" w:lineRule="auto"/>
            </w:pPr>
            <w:r>
              <w:rPr>
                <w:rFonts w:ascii="Calibri" w:hAnsi="Calibri"/>
                <w:color w:val="2D3748"/>
                <w:sz w:val="19"/>
              </w:rPr>
              <w:t>• Efecto Arrastre de Caja (Cash Drag): +2.37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+4.76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25% (Percentil 75+)?: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10.52%?: Por cada $1.00 de activo total en su balance general, la empresa produce $0.11 de utilidad bruta pura al año, antes de deducciones operativas, intereses e impuestos.</w:t>
            </w:r>
          </w:p>
          <w:p>
            <w:pPr>
              <w:spacing w:before="40" w:after="40" w:line="276" w:lineRule="auto"/>
            </w:pPr>
            <w:r>
              <w:rPr>
                <w:rFonts w:ascii="Calibri" w:hAnsi="Calibri"/>
                <w:color w:val="2D3748"/>
                <w:sz w:val="19"/>
              </w:rPr>
              <w:t>3. ¿Qué significa Ex-Caja (12.89%)?: Al excluir el efectivo y valores negociables líquidos (capital ocioso en caja que no produce bienes), el negocio puramente operativo rinde $0.13 por cada dólar en activos operativos en funcionamiento.</w:t>
            </w:r>
          </w:p>
          <w:p>
            <w:pPr>
              <w:spacing w:before="40" w:after="40" w:line="276" w:lineRule="auto"/>
            </w:pPr>
            <w:r>
              <w:rPr>
                <w:rFonts w:ascii="Calibri" w:hAnsi="Calibri"/>
                <w:color w:val="2D3748"/>
                <w:sz w:val="19"/>
              </w:rPr>
              <w:t>4. ¿Qué revela el Cash Drag (+2.37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FY2024</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FY2023</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10.52%</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8.03%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25% (Percentil 75+)</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$0.11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12.89%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9.29%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$0.13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+2.37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+1.27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+0.56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+2.27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+4.76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LÍDER EN VOLUMEN Y VELOCIDAD</w:t>
              <w:br/>
            </w:r>
          </w:p>
          <w:p>
            <w:pPr>
              <w:spacing w:before="40" w:after="40" w:line="276" w:lineRule="auto"/>
            </w:pPr>
            <w:r>
              <w:rPr>
                <w:rFonts w:ascii="Calibri" w:hAnsi="Calibri"/>
                <w:color w:val="2D3748"/>
                <w:sz w:val="19"/>
              </w:rPr>
              <w:t>Ventaja impulsada por rotación: márgenes ajustados (45.6% vs mediana 49.7%), pero alta velocidad de despliegue de activos (0.23x vs mediana 0.12x). Modelo tipo distribución mayorista, retail masivo o manufactura ultraeficiente.</w:t>
            </w:r>
          </w:p>
          <w:p>
            <w:pPr>
              <w:spacing w:before="40" w:after="40" w:line="276" w:lineRule="auto"/>
            </w:pPr>
            <w:r>
              <w:rPr>
                <w:rFonts w:ascii="Calibri" w:hAnsi="Calibri"/>
                <w:color w:val="2D3748"/>
                <w:sz w:val="19"/>
              </w:rPr>
              <w:t>• Verificación Matemática de Identidad DuPont (FY2024):</w:t>
            </w:r>
          </w:p>
          <w:p>
            <w:pPr>
              <w:spacing w:before="40" w:after="40" w:line="276" w:lineRule="auto"/>
            </w:pPr>
            <w:r>
              <w:rPr>
                <w:rFonts w:ascii="Calibri" w:hAnsi="Calibri"/>
                <w:color w:val="2D3748"/>
                <w:sz w:val="19"/>
              </w:rPr>
              <w:t xml:space="preserve">  Margen Bruto (45.61%) × Rotación de Activos (0.231x) = 10.52% (Concilia al 100.0% con GP/A de 10.52%).</w:t>
            </w:r>
          </w:p>
          <w:p>
            <w:pPr>
              <w:spacing w:before="40" w:after="40" w:line="276" w:lineRule="auto"/>
            </w:pPr>
            <w:r>
              <w:rPr>
                <w:rFonts w:ascii="Calibri" w:hAnsi="Calibri"/>
                <w:color w:val="2D3748"/>
                <w:sz w:val="19"/>
              </w:rPr>
              <w:t>• Identidad Operativa Ex-Caja: Margen Bruto (45.61%) × Rotación Ex-Caja (0.283x) = 12.89% (concilia con 12.89%).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FY2024</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FY2023</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45.61%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43.48%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-4.05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0.231x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0.185x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0.116x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+0.11x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0.283x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0.214x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0.128x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10.52%</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8.03%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5.76%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+4.76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FY2022): +4.96 puntos porcentuales.</w:t>
            </w:r>
          </w:p>
          <w:p>
            <w:pPr>
              <w:spacing w:before="40" w:after="40" w:line="276" w:lineRule="auto"/>
            </w:pPr>
            <w:r>
              <w:rPr>
                <w:rFonts w:ascii="Calibri" w:hAnsi="Calibri"/>
                <w:color w:val="2D3748"/>
                <w:sz w:val="19"/>
              </w:rPr>
              <w:t>• Expansión a 5 Años (vs. FY2020): +7.30 puntos porcentuales.</w:t>
            </w:r>
          </w:p>
          <w:p>
            <w:pPr>
              <w:spacing w:before="40" w:after="40" w:line="276" w:lineRule="auto"/>
            </w:pPr>
            <w:r>
              <w:rPr>
                <w:rFonts w:ascii="Calibri" w:hAnsi="Calibri"/>
                <w:color w:val="2D3748"/>
                <w:sz w:val="19"/>
              </w:rPr>
              <w:t>• Coeficiente de Variación (CV GP/A): 0.494 (indica una trayectoria predecible y baja volatilidad operativa).</w:t>
            </w:r>
          </w:p>
          <w:p>
            <w:pPr>
              <w:spacing w:before="40" w:after="40" w:line="276" w:lineRule="auto"/>
            </w:pPr>
            <w:r>
              <w:rPr>
                <w:rFonts w:ascii="Calibri" w:hAnsi="Calibri"/>
                <w:color w:val="2D3748"/>
                <w:sz w:val="19"/>
              </w:rPr>
              <w:t>• Conclusión de Tendencia: Expansión estructural acelerada (+7.30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10.52%</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12.89%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+2.37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45.61%</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0.231x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8.03%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9.29%</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+1.27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0.185x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5.56%</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6.46%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+0.90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34.70%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0.160x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3.69%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+0.58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0.086x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4.19%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+0.97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44.35%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0.073x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+5.87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-0.32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8.70%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+2.94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Nu Holdings Ltd. (NU) al período FY2024.</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RENDIMIENTO COMPETITIVO ESTÁNDAR (SPREAD +1.17 p.p.)</w:t>
              <w:br/>
            </w:r>
          </w:p>
          <w:p>
            <w:pPr>
              <w:spacing w:before="40" w:after="40" w:line="276" w:lineRule="auto"/>
            </w:pPr>
            <w:r>
              <w:rPr>
                <w:rFonts w:ascii="Calibri" w:hAnsi="Calibri"/>
                <w:color w:val="2D3748"/>
                <w:sz w:val="19"/>
              </w:rPr>
              <w:t>• ROC Greenblatt Tangible (FY2024): 6051.93% (Productividad operativa pura pre-tax sobre capital de trabajo y PP&amp;E físico instalado).</w:t>
            </w:r>
          </w:p>
          <w:p>
            <w:pPr>
              <w:spacing w:before="40" w:after="40" w:line="276" w:lineRule="auto"/>
            </w:pPr>
            <w:r>
              <w:rPr>
                <w:rFonts w:ascii="Calibri" w:hAnsi="Calibri"/>
                <w:color w:val="2D3748"/>
                <w:sz w:val="19"/>
              </w:rPr>
              <w:t>• ROIC Ajustado por Intangibles (FY2024): 10.60% frente a un ROIC contable tradicional de 10.60%.</w:t>
            </w:r>
          </w:p>
          <w:p>
            <w:pPr>
              <w:spacing w:before="40" w:after="40" w:line="276" w:lineRule="auto"/>
            </w:pPr>
            <w:r>
              <w:rPr>
                <w:rFonts w:ascii="Calibri" w:hAnsi="Calibri"/>
                <w:color w:val="2D3748"/>
                <w:sz w:val="19"/>
              </w:rPr>
              <w:t>• Costo Promedio Ponderado de Capital (WACC): 9.43% (Costo del Equity Ke: 9.43%, Deuda Neta Kd: 0.00%).</w:t>
            </w:r>
          </w:p>
          <w:p>
            <w:pPr>
              <w:spacing w:before="40" w:after="40" w:line="276" w:lineRule="auto"/>
            </w:pPr>
            <w:r>
              <w:rPr>
                <w:rFonts w:ascii="Calibri" w:hAnsi="Calibri"/>
                <w:color w:val="2D3748"/>
                <w:sz w:val="19"/>
              </w:rPr>
              <w:t>• Spread Económico Neto: +1.17 p.p. de rendimiento por encima del costo de capital exigido por el mercado.</w:t>
            </w:r>
          </w:p>
          <w:p>
            <w:pPr>
              <w:spacing w:before="40" w:after="40" w:line="276" w:lineRule="auto"/>
            </w:pPr>
            <w:r>
              <w:rPr>
                <w:rFonts w:ascii="Calibri" w:hAnsi="Calibri"/>
                <w:color w:val="2D3748"/>
                <w:sz w:val="19"/>
              </w:rPr>
              <w:t>• Stock de Intangibles Fuera de Balance: $0.0M capitalizados en innovación y amortizados económicamente a 3 años.</w:t>
            </w:r>
          </w:p>
          <w:p>
            <w:pPr>
              <w:spacing w:before="40" w:after="40" w:line="276" w:lineRule="auto"/>
            </w:pPr>
            <w:r>
              <w:rPr>
                <w:rFonts w:ascii="Calibri" w:hAnsi="Calibri"/>
                <w:color w:val="2D3748"/>
                <w:sz w:val="19"/>
              </w:rPr>
              <w:t>• Tesis de Foso Defensivo: El retorno (10.60%) apenas cubre el costo de financiamiento (9.43%), dejando un excedente marginal de +1.17 p.p. Opera en un entorno de alta competencia sin poder de fijación de precios.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$14.16</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$67,855.9M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4.96%</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0.94</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Nu Holdings Ltd., el ROC de 6051.93% refleja un modelo extraordinariamente Asset-Light, donde los proveedores financian el circulante (NWC negativo) y la manufactura es subcontratada, rindiendo más de $3.00 de beneficio por dólar instalado.</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FY2024</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$1,972.1M</w:t>
            </w:r>
          </w:p>
        </w:tc>
        <w:tc>
          <w:tcPr>
            <w:tcW w:type="dxa" w:w="1958"/>
            <w:tcMar>
              <w:top w:w="60" w:type="dxa"/>
              <w:bottom w:w="60" w:type="dxa"/>
              <w:left w:w="100" w:type="dxa"/>
              <w:right w:w="100" w:type="dxa"/>
            </w:tcMar>
          </w:tcPr>
          <w:p>
            <w:r>
              <w:rPr>
                <w:sz w:val="17"/>
              </w:rPr>
              <w:t>$1,972.1M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$0.0M</w:t>
            </w:r>
          </w:p>
        </w:tc>
        <w:tc>
          <w:tcPr>
            <w:tcW w:type="dxa" w:w="1958"/>
            <w:tcMar>
              <w:top w:w="60" w:type="dxa"/>
              <w:bottom w:w="60" w:type="dxa"/>
              <w:left w:w="100" w:type="dxa"/>
              <w:right w:w="100" w:type="dxa"/>
            </w:tcMar>
            <w:shd w:fill="F7FAFC"/>
          </w:tcPr>
          <w:p>
            <w:r>
              <w:rPr>
                <w:sz w:val="17"/>
              </w:rPr>
              <w:t>$0.0M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$0.0M</w:t>
            </w:r>
          </w:p>
        </w:tc>
        <w:tc>
          <w:tcPr>
            <w:tcW w:type="dxa" w:w="1958"/>
            <w:tcMar>
              <w:top w:w="60" w:type="dxa"/>
              <w:bottom w:w="60" w:type="dxa"/>
              <w:left w:w="100" w:type="dxa"/>
              <w:right w:w="100" w:type="dxa"/>
            </w:tcMar>
          </w:tcPr>
          <w:p>
            <w:r>
              <w:rPr>
                <w:sz w:val="17"/>
              </w:rPr>
              <w:t>$0.0M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$0.0M</w:t>
            </w:r>
          </w:p>
        </w:tc>
        <w:tc>
          <w:tcPr>
            <w:tcW w:type="dxa" w:w="1958"/>
            <w:tcMar>
              <w:top w:w="60" w:type="dxa"/>
              <w:bottom w:w="60" w:type="dxa"/>
              <w:left w:w="100" w:type="dxa"/>
              <w:right w:w="100" w:type="dxa"/>
            </w:tcMar>
            <w:shd w:fill="F7FAFC"/>
          </w:tcPr>
          <w:p>
            <w:r>
              <w:rPr>
                <w:sz w:val="17"/>
              </w:rPr>
              <w:t>$0.0M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$25.9M</w:t>
            </w:r>
          </w:p>
        </w:tc>
        <w:tc>
          <w:tcPr>
            <w:tcW w:type="dxa" w:w="1958"/>
            <w:tcMar>
              <w:top w:w="60" w:type="dxa"/>
              <w:bottom w:w="60" w:type="dxa"/>
              <w:left w:w="100" w:type="dxa"/>
              <w:right w:w="100" w:type="dxa"/>
            </w:tcMar>
          </w:tcPr>
          <w:p>
            <w:r>
              <w:rPr>
                <w:sz w:val="17"/>
              </w:rPr>
              <w:t>$25.9M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$25.9M</w:t>
            </w:r>
          </w:p>
        </w:tc>
        <w:tc>
          <w:tcPr>
            <w:tcW w:type="dxa" w:w="1958"/>
            <w:tcMar>
              <w:top w:w="60" w:type="dxa"/>
              <w:bottom w:w="60" w:type="dxa"/>
              <w:left w:w="100" w:type="dxa"/>
              <w:right w:w="100" w:type="dxa"/>
            </w:tcMar>
            <w:shd w:fill="F7FAFC"/>
          </w:tcPr>
          <w:p>
            <w:r>
              <w:rPr>
                <w:sz w:val="17"/>
              </w:rPr>
              <w:t>$25.9M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$32.6M</w:t>
            </w:r>
          </w:p>
        </w:tc>
        <w:tc>
          <w:tcPr>
            <w:tcW w:type="dxa" w:w="1958"/>
            <w:tcMar>
              <w:top w:w="60" w:type="dxa"/>
              <w:bottom w:w="60" w:type="dxa"/>
              <w:left w:w="100" w:type="dxa"/>
              <w:right w:w="100" w:type="dxa"/>
            </w:tcMar>
          </w:tcPr>
          <w:p>
            <w:r>
              <w:rPr>
                <w:sz w:val="17"/>
              </w:rPr>
              <w:t>$32.6M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6051.93%</w:t>
            </w:r>
          </w:p>
        </w:tc>
        <w:tc>
          <w:tcPr>
            <w:tcW w:type="dxa" w:w="1958"/>
            <w:tcMar>
              <w:top w:w="60" w:type="dxa"/>
              <w:bottom w:w="60" w:type="dxa"/>
              <w:left w:w="100" w:type="dxa"/>
              <w:right w:w="100" w:type="dxa"/>
            </w:tcMar>
            <w:shd w:fill="F7FAFC"/>
            <w:shd w:fill="E2EFDA"/>
          </w:tcPr>
          <w:p>
            <w:r>
              <w:rPr>
                <w:b/>
                <w:sz w:val="17"/>
              </w:rPr>
              <w:t>6051.93%</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(10.60%) sobrestima el retorno al mandar el I+D a gasto inmediato. La metodología Damodaran capitaliza la innovación a 3 años, reconociendo $0.0M de intangibles fuera de balance. El ROIC Ajustado resultante de 10.60% refleja el verdadero retorno económico sobre el capital total invertido ($39,160.2M).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FY2020</w:t>
            </w:r>
          </w:p>
        </w:tc>
        <w:tc>
          <w:tcPr>
            <w:tcW w:type="dxa" w:w="1399"/>
            <w:tcMar>
              <w:top w:w="60" w:type="dxa"/>
              <w:bottom w:w="60" w:type="dxa"/>
              <w:left w:w="100" w:type="dxa"/>
              <w:right w:w="100" w:type="dxa"/>
            </w:tcMar>
          </w:tcPr>
          <w:p>
            <w:r>
              <w:rPr>
                <w:b/>
                <w:sz w:val="17"/>
              </w:rPr>
              <w:t>-1741.03%</w:t>
            </w:r>
          </w:p>
        </w:tc>
        <w:tc>
          <w:tcPr>
            <w:tcW w:type="dxa" w:w="1399"/>
            <w:tcMar>
              <w:top w:w="60" w:type="dxa"/>
              <w:bottom w:w="60" w:type="dxa"/>
              <w:left w:w="100" w:type="dxa"/>
              <w:right w:w="100" w:type="dxa"/>
            </w:tcMar>
          </w:tcPr>
          <w:p>
            <w:r>
              <w:rPr>
                <w:b/>
                <w:sz w:val="17"/>
              </w:rPr>
              <w:t>3.31%</w:t>
            </w:r>
          </w:p>
        </w:tc>
        <w:tc>
          <w:tcPr>
            <w:tcW w:type="dxa" w:w="1399"/>
            <w:tcMar>
              <w:top w:w="60" w:type="dxa"/>
              <w:bottom w:w="60" w:type="dxa"/>
              <w:left w:w="100" w:type="dxa"/>
              <w:right w:w="100" w:type="dxa"/>
            </w:tcMar>
          </w:tcPr>
          <w:p>
            <w:r>
              <w:rPr>
                <w:b/>
                <w:sz w:val="17"/>
              </w:rPr>
              <w:t>3.31%</w:t>
            </w:r>
          </w:p>
        </w:tc>
        <w:tc>
          <w:tcPr>
            <w:tcW w:type="dxa" w:w="1399"/>
            <w:tcMar>
              <w:top w:w="60" w:type="dxa"/>
              <w:bottom w:w="60" w:type="dxa"/>
              <w:left w:w="100" w:type="dxa"/>
              <w:right w:w="100" w:type="dxa"/>
            </w:tcMar>
          </w:tcPr>
          <w:p>
            <w:r>
              <w:rPr>
                <w:sz w:val="17"/>
              </w:rPr>
              <w:t>$0.0M</w:t>
            </w:r>
          </w:p>
        </w:tc>
        <w:tc>
          <w:tcPr>
            <w:tcW w:type="dxa" w:w="1399"/>
            <w:tcMar>
              <w:top w:w="60" w:type="dxa"/>
              <w:bottom w:w="60" w:type="dxa"/>
              <w:left w:w="100" w:type="dxa"/>
              <w:right w:w="100" w:type="dxa"/>
            </w:tcMar>
          </w:tcPr>
          <w:p>
            <w:r>
              <w:rPr>
                <w:sz w:val="17"/>
              </w:rPr>
              <w:t>$7,810.5M</w:t>
            </w:r>
          </w:p>
        </w:tc>
        <w:tc>
          <w:tcPr>
            <w:tcW w:type="dxa" w:w="1399"/>
            <w:tcMar>
              <w:top w:w="60" w:type="dxa"/>
              <w:bottom w:w="60" w:type="dxa"/>
              <w:left w:w="100" w:type="dxa"/>
              <w:right w:w="100" w:type="dxa"/>
            </w:tcMar>
          </w:tcPr>
          <w:p>
            <w:r>
              <w:rPr>
                <w:b/>
                <w:sz w:val="17"/>
              </w:rPr>
              <w:t>-6.12 p.p.</w:t>
            </w:r>
          </w:p>
        </w:tc>
      </w:tr>
      <w:tr>
        <w:tc>
          <w:tcPr>
            <w:tcW w:type="dxa" w:w="1399"/>
            <w:tcMar>
              <w:top w:w="60" w:type="dxa"/>
              <w:bottom w:w="60" w:type="dxa"/>
              <w:left w:w="100" w:type="dxa"/>
              <w:right w:w="100" w:type="dxa"/>
            </w:tcMar>
            <w:shd w:fill="F7FAFC"/>
          </w:tcPr>
          <w:p>
            <w:r>
              <w:rPr>
                <w:sz w:val="17"/>
              </w:rPr>
              <w:t>FY2021</w:t>
            </w:r>
          </w:p>
        </w:tc>
        <w:tc>
          <w:tcPr>
            <w:tcW w:type="dxa" w:w="1399"/>
            <w:tcMar>
              <w:top w:w="60" w:type="dxa"/>
              <w:bottom w:w="60" w:type="dxa"/>
              <w:left w:w="100" w:type="dxa"/>
              <w:right w:w="100" w:type="dxa"/>
            </w:tcMar>
            <w:shd w:fill="F7FAFC"/>
          </w:tcPr>
          <w:p>
            <w:r>
              <w:rPr>
                <w:b/>
                <w:sz w:val="17"/>
              </w:rPr>
              <w:t>-1377.29%</w:t>
            </w:r>
          </w:p>
        </w:tc>
        <w:tc>
          <w:tcPr>
            <w:tcW w:type="dxa" w:w="1399"/>
            <w:tcMar>
              <w:top w:w="60" w:type="dxa"/>
              <w:bottom w:w="60" w:type="dxa"/>
              <w:left w:w="100" w:type="dxa"/>
              <w:right w:w="100" w:type="dxa"/>
            </w:tcMar>
            <w:shd w:fill="F7FAFC"/>
          </w:tcPr>
          <w:p>
            <w:r>
              <w:rPr>
                <w:b/>
                <w:sz w:val="17"/>
              </w:rPr>
              <w:t>4.64%</w:t>
            </w:r>
          </w:p>
        </w:tc>
        <w:tc>
          <w:tcPr>
            <w:tcW w:type="dxa" w:w="1399"/>
            <w:tcMar>
              <w:top w:w="60" w:type="dxa"/>
              <w:bottom w:w="60" w:type="dxa"/>
              <w:left w:w="100" w:type="dxa"/>
              <w:right w:w="100" w:type="dxa"/>
            </w:tcMar>
            <w:shd w:fill="F7FAFC"/>
          </w:tcPr>
          <w:p>
            <w:r>
              <w:rPr>
                <w:b/>
                <w:sz w:val="17"/>
              </w:rPr>
              <w:t>4.64%</w:t>
            </w:r>
          </w:p>
        </w:tc>
        <w:tc>
          <w:tcPr>
            <w:tcW w:type="dxa" w:w="1399"/>
            <w:tcMar>
              <w:top w:w="60" w:type="dxa"/>
              <w:bottom w:w="60" w:type="dxa"/>
              <w:left w:w="100" w:type="dxa"/>
              <w:right w:w="100" w:type="dxa"/>
            </w:tcMar>
            <w:shd w:fill="F7FAFC"/>
          </w:tcPr>
          <w:p>
            <w:r>
              <w:rPr>
                <w:sz w:val="17"/>
              </w:rPr>
              <w:t>$0.0M</w:t>
            </w:r>
          </w:p>
        </w:tc>
        <w:tc>
          <w:tcPr>
            <w:tcW w:type="dxa" w:w="1399"/>
            <w:tcMar>
              <w:top w:w="60" w:type="dxa"/>
              <w:bottom w:w="60" w:type="dxa"/>
              <w:left w:w="100" w:type="dxa"/>
              <w:right w:w="100" w:type="dxa"/>
            </w:tcMar>
            <w:shd w:fill="F7FAFC"/>
          </w:tcPr>
          <w:p>
            <w:r>
              <w:rPr>
                <w:sz w:val="17"/>
              </w:rPr>
              <w:t>$12,481.7M</w:t>
            </w:r>
          </w:p>
        </w:tc>
        <w:tc>
          <w:tcPr>
            <w:tcW w:type="dxa" w:w="1399"/>
            <w:tcMar>
              <w:top w:w="60" w:type="dxa"/>
              <w:bottom w:w="60" w:type="dxa"/>
              <w:left w:w="100" w:type="dxa"/>
              <w:right w:w="100" w:type="dxa"/>
            </w:tcMar>
            <w:shd w:fill="F7FAFC"/>
          </w:tcPr>
          <w:p>
            <w:r>
              <w:rPr>
                <w:b/>
                <w:sz w:val="17"/>
              </w:rPr>
              <w:t>-4.79 p.p.</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-1753.16%</w:t>
            </w:r>
          </w:p>
        </w:tc>
        <w:tc>
          <w:tcPr>
            <w:tcW w:type="dxa" w:w="1399"/>
            <w:tcMar>
              <w:top w:w="60" w:type="dxa"/>
              <w:bottom w:w="60" w:type="dxa"/>
              <w:left w:w="100" w:type="dxa"/>
              <w:right w:w="100" w:type="dxa"/>
            </w:tcMar>
          </w:tcPr>
          <w:p>
            <w:r>
              <w:rPr>
                <w:b/>
                <w:sz w:val="17"/>
              </w:rPr>
              <w:t>6.12%</w:t>
            </w:r>
          </w:p>
        </w:tc>
        <w:tc>
          <w:tcPr>
            <w:tcW w:type="dxa" w:w="1399"/>
            <w:tcMar>
              <w:top w:w="60" w:type="dxa"/>
              <w:bottom w:w="60" w:type="dxa"/>
              <w:left w:w="100" w:type="dxa"/>
              <w:right w:w="100" w:type="dxa"/>
            </w:tcMar>
          </w:tcPr>
          <w:p>
            <w:r>
              <w:rPr>
                <w:b/>
                <w:sz w:val="17"/>
              </w:rPr>
              <w:t>6.12%</w:t>
            </w:r>
          </w:p>
        </w:tc>
        <w:tc>
          <w:tcPr>
            <w:tcW w:type="dxa" w:w="1399"/>
            <w:tcMar>
              <w:top w:w="60" w:type="dxa"/>
              <w:bottom w:w="60" w:type="dxa"/>
              <w:left w:w="100" w:type="dxa"/>
              <w:right w:w="100" w:type="dxa"/>
            </w:tcMar>
          </w:tcPr>
          <w:p>
            <w:r>
              <w:rPr>
                <w:sz w:val="17"/>
              </w:rPr>
              <w:t>$0.0M</w:t>
            </w:r>
          </w:p>
        </w:tc>
        <w:tc>
          <w:tcPr>
            <w:tcW w:type="dxa" w:w="1399"/>
            <w:tcMar>
              <w:top w:w="60" w:type="dxa"/>
              <w:bottom w:w="60" w:type="dxa"/>
              <w:left w:w="100" w:type="dxa"/>
              <w:right w:w="100" w:type="dxa"/>
            </w:tcMar>
          </w:tcPr>
          <w:p>
            <w:r>
              <w:rPr>
                <w:sz w:val="17"/>
              </w:rPr>
              <w:t>$21,457.8M</w:t>
            </w:r>
          </w:p>
        </w:tc>
        <w:tc>
          <w:tcPr>
            <w:tcW w:type="dxa" w:w="1399"/>
            <w:tcMar>
              <w:top w:w="60" w:type="dxa"/>
              <w:bottom w:w="60" w:type="dxa"/>
              <w:left w:w="100" w:type="dxa"/>
              <w:right w:w="100" w:type="dxa"/>
            </w:tcMar>
          </w:tcPr>
          <w:p>
            <w:r>
              <w:rPr>
                <w:b/>
                <w:sz w:val="17"/>
              </w:rPr>
              <w:t>-3.30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3086.53%</w:t>
            </w:r>
          </w:p>
        </w:tc>
        <w:tc>
          <w:tcPr>
            <w:tcW w:type="dxa" w:w="1399"/>
            <w:tcMar>
              <w:top w:w="60" w:type="dxa"/>
              <w:bottom w:w="60" w:type="dxa"/>
              <w:left w:w="100" w:type="dxa"/>
              <w:right w:w="100" w:type="dxa"/>
            </w:tcMar>
            <w:shd w:fill="F7FAFC"/>
          </w:tcPr>
          <w:p>
            <w:r>
              <w:rPr>
                <w:b/>
                <w:sz w:val="17"/>
              </w:rPr>
              <w:t>8.71%</w:t>
            </w:r>
          </w:p>
        </w:tc>
        <w:tc>
          <w:tcPr>
            <w:tcW w:type="dxa" w:w="1399"/>
            <w:tcMar>
              <w:top w:w="60" w:type="dxa"/>
              <w:bottom w:w="60" w:type="dxa"/>
              <w:left w:w="100" w:type="dxa"/>
              <w:right w:w="100" w:type="dxa"/>
            </w:tcMar>
            <w:shd w:fill="F7FAFC"/>
          </w:tcPr>
          <w:p>
            <w:r>
              <w:rPr>
                <w:b/>
                <w:sz w:val="17"/>
              </w:rPr>
              <w:t>8.71%</w:t>
            </w:r>
          </w:p>
        </w:tc>
        <w:tc>
          <w:tcPr>
            <w:tcW w:type="dxa" w:w="1399"/>
            <w:tcMar>
              <w:top w:w="60" w:type="dxa"/>
              <w:bottom w:w="60" w:type="dxa"/>
              <w:left w:w="100" w:type="dxa"/>
              <w:right w:w="100" w:type="dxa"/>
            </w:tcMar>
            <w:shd w:fill="F7FAFC"/>
          </w:tcPr>
          <w:p>
            <w:r>
              <w:rPr>
                <w:sz w:val="17"/>
              </w:rPr>
              <w:t>$0.0M</w:t>
            </w:r>
          </w:p>
        </w:tc>
        <w:tc>
          <w:tcPr>
            <w:tcW w:type="dxa" w:w="1399"/>
            <w:tcMar>
              <w:top w:w="60" w:type="dxa"/>
              <w:bottom w:w="60" w:type="dxa"/>
              <w:left w:w="100" w:type="dxa"/>
              <w:right w:w="100" w:type="dxa"/>
            </w:tcMar>
            <w:shd w:fill="F7FAFC"/>
          </w:tcPr>
          <w:p>
            <w:r>
              <w:rPr>
                <w:sz w:val="17"/>
              </w:rPr>
              <w:t>$31,668.8M</w:t>
            </w:r>
          </w:p>
        </w:tc>
        <w:tc>
          <w:tcPr>
            <w:tcW w:type="dxa" w:w="1399"/>
            <w:tcMar>
              <w:top w:w="60" w:type="dxa"/>
              <w:bottom w:w="60" w:type="dxa"/>
              <w:left w:w="100" w:type="dxa"/>
              <w:right w:w="100" w:type="dxa"/>
            </w:tcMar>
            <w:shd w:fill="F7FAFC"/>
          </w:tcPr>
          <w:p>
            <w:r>
              <w:rPr>
                <w:b/>
                <w:sz w:val="17"/>
              </w:rPr>
              <w:t>-0.72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6051.93%</w:t>
            </w:r>
          </w:p>
        </w:tc>
        <w:tc>
          <w:tcPr>
            <w:tcW w:type="dxa" w:w="1399"/>
            <w:tcMar>
              <w:top w:w="60" w:type="dxa"/>
              <w:bottom w:w="60" w:type="dxa"/>
              <w:left w:w="100" w:type="dxa"/>
              <w:right w:w="100" w:type="dxa"/>
            </w:tcMar>
          </w:tcPr>
          <w:p>
            <w:r>
              <w:rPr>
                <w:b/>
                <w:sz w:val="17"/>
              </w:rPr>
              <w:t>10.60%</w:t>
            </w:r>
          </w:p>
        </w:tc>
        <w:tc>
          <w:tcPr>
            <w:tcW w:type="dxa" w:w="1399"/>
            <w:tcMar>
              <w:top w:w="60" w:type="dxa"/>
              <w:bottom w:w="60" w:type="dxa"/>
              <w:left w:w="100" w:type="dxa"/>
              <w:right w:w="100" w:type="dxa"/>
            </w:tcMar>
          </w:tcPr>
          <w:p>
            <w:r>
              <w:rPr>
                <w:b/>
                <w:sz w:val="17"/>
              </w:rPr>
              <w:t>10.60%</w:t>
            </w:r>
          </w:p>
        </w:tc>
        <w:tc>
          <w:tcPr>
            <w:tcW w:type="dxa" w:w="1399"/>
            <w:tcMar>
              <w:top w:w="60" w:type="dxa"/>
              <w:bottom w:w="60" w:type="dxa"/>
              <w:left w:w="100" w:type="dxa"/>
              <w:right w:w="100" w:type="dxa"/>
            </w:tcMar>
          </w:tcPr>
          <w:p>
            <w:r>
              <w:rPr>
                <w:sz w:val="17"/>
              </w:rPr>
              <w:t>$0.0M</w:t>
            </w:r>
          </w:p>
        </w:tc>
        <w:tc>
          <w:tcPr>
            <w:tcW w:type="dxa" w:w="1399"/>
            <w:tcMar>
              <w:top w:w="60" w:type="dxa"/>
              <w:bottom w:w="60" w:type="dxa"/>
              <w:left w:w="100" w:type="dxa"/>
              <w:right w:w="100" w:type="dxa"/>
            </w:tcMar>
          </w:tcPr>
          <w:p>
            <w:r>
              <w:rPr>
                <w:sz w:val="17"/>
              </w:rPr>
              <w:t>$39,160.2M</w:t>
            </w:r>
          </w:p>
        </w:tc>
        <w:tc>
          <w:tcPr>
            <w:tcW w:type="dxa" w:w="1399"/>
            <w:tcMar>
              <w:top w:w="60" w:type="dxa"/>
              <w:bottom w:w="60" w:type="dxa"/>
              <w:left w:w="100" w:type="dxa"/>
              <w:right w:w="100" w:type="dxa"/>
            </w:tcMar>
          </w:tcPr>
          <w:p>
            <w:r>
              <w:rPr>
                <w:b/>
                <w:sz w:val="17"/>
              </w:rPr>
              <w:t>+1.17 p.p.</w:t>
            </w:r>
          </w:p>
        </w:tc>
      </w:tr>
    </w:tbl>
    <w:p>
      <w:pPr>
        <w:spacing w:before="160" w:after="160"/>
      </w:pPr>
      <w:r>
        <w:rPr>
          <w:i/>
          <w:sz w:val="18"/>
        </w:rPr>
        <w:t>Matriz de Sensibilidad de Vida Útil: N-1 (2a) = 10.60% | N Base (3a) = 10.60% | N+1 (4a) = 10.60%.</w:t>
      </w:r>
    </w:p>
    <w:p>
      <w:pPr>
        <w:pStyle w:val="Heading2"/>
      </w:pPr>
      <w:r>
        <w:t>11.4. Creación de Valor Económico (EVA) y Durabilidad del Foso Defensivo</w:t>
      </w:r>
    </w:p>
    <w:p>
      <w:r>
        <w:rPr>
          <w:sz w:val="19"/>
        </w:rPr>
        <w:t>Spread Económico = ROIC Ajustado (10.60%) − WACC (9.43%) = +1.17 p.p.</w:t>
        <w:br/>
        <w:t>Dictamen: ⚖️ RENDIMIENTO COMPETITIVO ESTÁNDAR. La compañía supera holgadamente su costo de capital, generando más de $1.17 anuales de valor neto por cada $100 invertidos.</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4.96%</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0.94</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9.43%</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9.43%</w:t>
            </w:r>
          </w:p>
        </w:tc>
        <w:tc>
          <w:tcPr>
            <w:tcW w:type="dxa" w:w="1958"/>
            <w:tcMar>
              <w:top w:w="60" w:type="dxa"/>
              <w:bottom w:w="60" w:type="dxa"/>
              <w:left w:w="100" w:type="dxa"/>
              <w:right w:w="100" w:type="dxa"/>
            </w:tcMar>
            <w:shd w:fill="F7FAFC"/>
          </w:tcPr>
          <w:p>
            <w:r>
              <w:rPr>
                <w:sz w:val="17"/>
              </w:rPr>
              <w:t>Mediana Sector (10.50%)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6051.93%</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extremo; supera al sector por ++6022.1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$32.6M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mínima gracias a capital de trabajo negativo.</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10.60%</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$0.0M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$39,160.2M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10.60%</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+1.17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RENDIMIENTO COMPETITIVO ESTÁNDAR</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(FY2024): ESTÁNDAR SALUDABLE</w:t>
        <w:br/>
      </w:r>
      <w:r>
        <w:rPr>
          <w:rFonts w:ascii="Calibri" w:hAnsi="Calibri"/>
          <w:color w:val="2D3748"/>
          <w:sz w:val="19"/>
        </w:rPr>
        <w:t>• Ratio Sloan de Devengos: -0.91% [DEVENGOS EQUILIBRADOS]</w:t>
        <w:br/>
        <w:t>• Montier C-Score: 0 / 6 [RIESGO MUY BAJO / LIBROS LIMPIOS (&lt; 5% PROBABILIDAD DE MANIPULACIÓN)]</w:t>
        <w:br/>
        <w:t>• Dictamen: CONTABILIDAD SALUDABLE Y EQUILIBRADA: Devengos dentro de la banda histórica normal (Ratio Sloan: -0.91%) y Montier C-Score de 0/6. Los resultados financieros reflejan razonablemente la realidad económica de las operaciones.</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094"/>
            <w:shd w:fill="1B365D"/>
            <w:tcMar>
              <w:top w:w="80" w:type="dxa"/>
              <w:bottom w:w="80" w:type="dxa"/>
              <w:left w:w="80" w:type="dxa"/>
              <w:right w:w="80" w:type="dxa"/>
            </w:tcMar>
          </w:tcPr>
          <w:p>
            <w:pPr>
              <w:jc w:val="center"/>
            </w:pPr>
            <w:r>
              <w:rPr>
                <w:rFonts w:ascii="Calibri" w:hAnsi="Calibri"/>
                <w:b/>
                <w:color w:val="FFFFFF"/>
                <w:sz w:val="17"/>
              </w:rPr>
              <w:t>FY2021</w:t>
            </w:r>
          </w:p>
        </w:tc>
        <w:tc>
          <w:tcPr>
            <w:tcW w:type="dxa" w:w="1094"/>
            <w:shd w:fill="1B365D"/>
            <w:tcMar>
              <w:top w:w="80" w:type="dxa"/>
              <w:bottom w:w="80" w:type="dxa"/>
              <w:left w:w="80" w:type="dxa"/>
              <w:right w:w="80" w:type="dxa"/>
            </w:tcMar>
          </w:tcPr>
          <w:p>
            <w:pPr>
              <w:jc w:val="center"/>
            </w:pPr>
            <w:r>
              <w:rPr>
                <w:rFonts w:ascii="Calibri" w:hAnsi="Calibri"/>
                <w:b/>
                <w:color w:val="FFFFFF"/>
                <w:sz w:val="17"/>
              </w:rPr>
              <w:t>FY2020</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094"/>
            <w:tcMar>
              <w:top w:w="60" w:type="dxa"/>
              <w:bottom w:w="60" w:type="dxa"/>
              <w:left w:w="60" w:type="dxa"/>
              <w:right w:w="60" w:type="dxa"/>
            </w:tcMar>
          </w:tcPr>
          <w:p>
            <w:pPr>
              <w:jc w:val="right"/>
            </w:pPr>
            <w:r>
              <w:rPr>
                <w:rFonts w:ascii="Calibri" w:hAnsi="Calibri"/>
                <w:b w:val="0"/>
                <w:sz w:val="17"/>
              </w:rPr>
              <w:t>$-165.0M</w:t>
            </w:r>
          </w:p>
        </w:tc>
        <w:tc>
          <w:tcPr>
            <w:tcW w:type="dxa" w:w="1094"/>
            <w:tcMar>
              <w:top w:w="60" w:type="dxa"/>
              <w:bottom w:w="60" w:type="dxa"/>
              <w:left w:w="60" w:type="dxa"/>
              <w:right w:w="60" w:type="dxa"/>
            </w:tcMar>
          </w:tcPr>
          <w:p>
            <w:pPr>
              <w:jc w:val="right"/>
            </w:pPr>
            <w:r>
              <w:rPr>
                <w:rFonts w:ascii="Calibri" w:hAnsi="Calibri"/>
                <w:b w:val="0"/>
                <w:sz w:val="17"/>
              </w:rPr>
              <w:t>$-171.5M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094"/>
            <w:tcMar>
              <w:top w:w="60" w:type="dxa"/>
              <w:bottom w:w="60" w:type="dxa"/>
              <w:left w:w="60" w:type="dxa"/>
              <w:right w:w="60" w:type="dxa"/>
            </w:tcMar>
          </w:tcPr>
          <w:p>
            <w:pPr>
              <w:jc w:val="right"/>
            </w:pPr>
            <w:r>
              <w:rPr>
                <w:rFonts w:ascii="Calibri" w:hAnsi="Calibri"/>
                <w:b w:val="0"/>
                <w:sz w:val="17"/>
              </w:rPr>
              <w:t>$-2,924.3M</w:t>
            </w:r>
          </w:p>
        </w:tc>
        <w:tc>
          <w:tcPr>
            <w:tcW w:type="dxa" w:w="1094"/>
            <w:tcMar>
              <w:top w:w="60" w:type="dxa"/>
              <w:bottom w:w="60" w:type="dxa"/>
              <w:left w:w="60" w:type="dxa"/>
              <w:right w:w="60" w:type="dxa"/>
            </w:tcMar>
          </w:tcPr>
          <w:p>
            <w:pPr>
              <w:jc w:val="right"/>
            </w:pPr>
            <w:r>
              <w:rPr>
                <w:rFonts w:ascii="Calibri" w:hAnsi="Calibri"/>
                <w:b w:val="0"/>
                <w:sz w:val="17"/>
              </w:rPr>
              <w:t>$974.5M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$-426.9M</w:t>
            </w:r>
          </w:p>
        </w:tc>
        <w:tc>
          <w:tcPr>
            <w:tcW w:type="dxa" w:w="1094"/>
            <w:tcMar>
              <w:top w:w="60" w:type="dxa"/>
              <w:bottom w:w="60" w:type="dxa"/>
              <w:left w:w="60" w:type="dxa"/>
              <w:right w:w="60" w:type="dxa"/>
            </w:tcMar>
          </w:tcPr>
          <w:p>
            <w:pPr>
              <w:jc w:val="right"/>
            </w:pPr>
            <w:r>
              <w:rPr>
                <w:rFonts w:ascii="Calibri" w:hAnsi="Calibri"/>
                <w:b/>
                <w:sz w:val="17"/>
              </w:rPr>
              <w:t>$-235.7M</w:t>
            </w:r>
          </w:p>
        </w:tc>
        <w:tc>
          <w:tcPr>
            <w:tcW w:type="dxa" w:w="1094"/>
            <w:tcMar>
              <w:top w:w="60" w:type="dxa"/>
              <w:bottom w:w="60" w:type="dxa"/>
              <w:left w:w="60" w:type="dxa"/>
              <w:right w:w="60" w:type="dxa"/>
            </w:tcMar>
          </w:tcPr>
          <w:p>
            <w:pPr>
              <w:jc w:val="right"/>
            </w:pPr>
            <w:r>
              <w:rPr>
                <w:rFonts w:ascii="Calibri" w:hAnsi="Calibri"/>
                <w:b/>
                <w:sz w:val="17"/>
              </w:rPr>
              <w:t>$-1,120.2M</w:t>
            </w:r>
          </w:p>
        </w:tc>
        <w:tc>
          <w:tcPr>
            <w:tcW w:type="dxa" w:w="1094"/>
            <w:tcMar>
              <w:top w:w="60" w:type="dxa"/>
              <w:bottom w:w="60" w:type="dxa"/>
              <w:left w:w="60" w:type="dxa"/>
              <w:right w:w="60" w:type="dxa"/>
            </w:tcMar>
          </w:tcPr>
          <w:p>
            <w:pPr>
              <w:jc w:val="right"/>
            </w:pPr>
            <w:r>
              <w:rPr>
                <w:rFonts w:ascii="Calibri" w:hAnsi="Calibri"/>
                <w:b/>
                <w:sz w:val="17"/>
              </w:rPr>
              <w:t>$+2,759.3M</w:t>
            </w:r>
          </w:p>
        </w:tc>
        <w:tc>
          <w:tcPr>
            <w:tcW w:type="dxa" w:w="1094"/>
            <w:tcMar>
              <w:top w:w="60" w:type="dxa"/>
              <w:bottom w:w="60" w:type="dxa"/>
              <w:left w:w="60" w:type="dxa"/>
              <w:right w:w="60" w:type="dxa"/>
            </w:tcMar>
          </w:tcPr>
          <w:p>
            <w:pPr>
              <w:jc w:val="right"/>
            </w:pPr>
            <w:r>
              <w:rPr>
                <w:rFonts w:ascii="Calibri" w:hAnsi="Calibri"/>
                <w:b/>
                <w:sz w:val="17"/>
              </w:rPr>
              <w:t>$-1,146.0M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$46,714.8M</w:t>
            </w:r>
          </w:p>
        </w:tc>
        <w:tc>
          <w:tcPr>
            <w:tcW w:type="dxa" w:w="1094"/>
            <w:tcMar>
              <w:top w:w="60" w:type="dxa"/>
              <w:bottom w:w="60" w:type="dxa"/>
              <w:left w:w="60" w:type="dxa"/>
              <w:right w:w="60" w:type="dxa"/>
            </w:tcMar>
          </w:tcPr>
          <w:p>
            <w:pPr>
              <w:jc w:val="right"/>
            </w:pPr>
            <w:r>
              <w:rPr>
                <w:rFonts w:ascii="Calibri" w:hAnsi="Calibri"/>
                <w:b w:val="0"/>
                <w:sz w:val="17"/>
              </w:rPr>
              <w:t>$36,716.7M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094"/>
            <w:tcMar>
              <w:top w:w="60" w:type="dxa"/>
              <w:bottom w:w="60" w:type="dxa"/>
              <w:left w:w="60" w:type="dxa"/>
              <w:right w:w="60" w:type="dxa"/>
            </w:tcMar>
          </w:tcPr>
          <w:p>
            <w:pPr>
              <w:jc w:val="right"/>
            </w:pPr>
            <w:r>
              <w:rPr>
                <w:rFonts w:ascii="Calibri" w:hAnsi="Calibri"/>
                <w:b w:val="0"/>
                <w:sz w:val="17"/>
              </w:rPr>
              <w:t>$15,006.5M</w:t>
            </w:r>
          </w:p>
        </w:tc>
        <w:tc>
          <w:tcPr>
            <w:tcW w:type="dxa" w:w="1094"/>
            <w:tcMar>
              <w:top w:w="60" w:type="dxa"/>
              <w:bottom w:w="60" w:type="dxa"/>
              <w:left w:w="60" w:type="dxa"/>
              <w:right w:w="60" w:type="dxa"/>
            </w:tcMar>
          </w:tcPr>
          <w:p>
            <w:pPr>
              <w:jc w:val="right"/>
            </w:pPr>
            <w:r>
              <w:rPr>
                <w:rFonts w:ascii="Calibri" w:hAnsi="Calibri"/>
                <w:b w:val="0"/>
                <w:sz w:val="17"/>
              </w:rPr>
              <w:t>$10,154.2M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-0.91%</w:t>
            </w:r>
          </w:p>
        </w:tc>
        <w:tc>
          <w:tcPr>
            <w:tcW w:type="dxa" w:w="1094"/>
            <w:tcMar>
              <w:top w:w="60" w:type="dxa"/>
              <w:bottom w:w="60" w:type="dxa"/>
              <w:left w:w="60" w:type="dxa"/>
              <w:right w:w="60" w:type="dxa"/>
            </w:tcMar>
          </w:tcPr>
          <w:p>
            <w:pPr>
              <w:jc w:val="right"/>
            </w:pPr>
            <w:r>
              <w:rPr>
                <w:rFonts w:ascii="Calibri" w:hAnsi="Calibri"/>
                <w:b/>
                <w:sz w:val="17"/>
              </w:rPr>
              <w:t>-0.64%</w:t>
            </w:r>
          </w:p>
        </w:tc>
        <w:tc>
          <w:tcPr>
            <w:tcW w:type="dxa" w:w="1094"/>
            <w:tcMar>
              <w:top w:w="60" w:type="dxa"/>
              <w:bottom w:w="60" w:type="dxa"/>
              <w:left w:w="60" w:type="dxa"/>
              <w:right w:w="60" w:type="dxa"/>
            </w:tcMar>
          </w:tcPr>
          <w:p>
            <w:pPr>
              <w:jc w:val="right"/>
            </w:pPr>
            <w:r>
              <w:rPr>
                <w:rFonts w:ascii="Calibri" w:hAnsi="Calibri"/>
                <w:b/>
                <w:sz w:val="17"/>
              </w:rPr>
              <w:t>-4.50%</w:t>
            </w:r>
          </w:p>
        </w:tc>
        <w:tc>
          <w:tcPr>
            <w:tcW w:type="dxa" w:w="1094"/>
            <w:tcMar>
              <w:top w:w="60" w:type="dxa"/>
              <w:bottom w:w="60" w:type="dxa"/>
              <w:left w:w="60" w:type="dxa"/>
              <w:right w:w="60" w:type="dxa"/>
            </w:tcMar>
          </w:tcPr>
          <w:p>
            <w:pPr>
              <w:jc w:val="right"/>
            </w:pPr>
            <w:r>
              <w:rPr>
                <w:rFonts w:ascii="Calibri" w:hAnsi="Calibri"/>
                <w:b/>
                <w:sz w:val="17"/>
              </w:rPr>
              <w:t>+18.39%</w:t>
            </w:r>
          </w:p>
        </w:tc>
        <w:tc>
          <w:tcPr>
            <w:tcW w:type="dxa" w:w="1094"/>
            <w:tcMar>
              <w:top w:w="60" w:type="dxa"/>
              <w:bottom w:w="60" w:type="dxa"/>
              <w:left w:w="60" w:type="dxa"/>
              <w:right w:w="60" w:type="dxa"/>
            </w:tcMar>
          </w:tcPr>
          <w:p>
            <w:pPr>
              <w:jc w:val="right"/>
            </w:pPr>
            <w:r>
              <w:rPr>
                <w:rFonts w:ascii="Calibri" w:hAnsi="Calibri"/>
                <w:b/>
                <w:sz w:val="17"/>
              </w:rPr>
              <w:t>-11.29%</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ALERTA ROJA</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FY2024, Nu Holdings Ltd. generó $2.4B de CFO frente a $2.0B de beneficio neto, arrojando una tasa de conversión de caja del 121.6% (cada dólar reportado está respaldado por $1.22 de efectivo). El Ratio Sloan de -0.91%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81.5%</w:t>
            </w:r>
          </w:p>
        </w:tc>
        <w:tc>
          <w:tcPr>
            <w:tcW w:type="dxa" w:w="1440"/>
            <w:tcMar>
              <w:top w:w="60" w:type="dxa"/>
              <w:bottom w:w="60" w:type="dxa"/>
              <w:left w:w="80" w:type="dxa"/>
              <w:right w:w="80" w:type="dxa"/>
            </w:tcMar>
          </w:tcPr>
          <w:p>
            <w:pPr>
              <w:jc w:val="center"/>
            </w:pPr>
            <w:r>
              <w:rPr>
                <w:rFonts w:ascii="Calibri" w:hAnsi="Calibri"/>
                <w:sz w:val="17"/>
              </w:rPr>
              <w:t>Δ: -4.7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Inventario en sintonía con la cadencia de costes (Spread: 0.0%, DIO: 0.0d). Existencias optimizadas.</w:t>
      </w:r>
    </w:p>
    <w:p>
      <w:pPr>
        <w:pStyle w:val="Heading2"/>
      </w:pPr>
      <w:r>
        <w:rPr>
          <w:rFonts w:ascii="Calibri" w:hAnsi="Calibri"/>
          <w:b/>
          <w:color w:val="1B365D"/>
          <w:sz w:val="23"/>
        </w:rPr>
        <w:t>12.3. Desglose Forense Montier C-Score (0/6 Banderas)</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$1,972.1M vs CFO: $2,399.0M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w:t>
            </w:r>
          </w:p>
        </w:tc>
        <w:tc>
          <w:tcPr>
            <w:tcW w:type="dxa" w:w="2016"/>
            <w:tcMar>
              <w:top w:w="60" w:type="dxa"/>
              <w:bottom w:w="60" w:type="dxa"/>
              <w:left w:w="80" w:type="dxa"/>
              <w:right w:w="80" w:type="dxa"/>
            </w:tcMar>
          </w:tcPr>
          <w:p>
            <w:pPr>
              <w:jc w:val="left"/>
            </w:pPr>
            <w:r>
              <w:rPr>
                <w:rFonts w:ascii="Calibri" w:hAnsi="Calibri"/>
                <w:sz w:val="16"/>
              </w:rPr>
              <w:t>Δ Cuentas por Cobrar % &gt; Δ Ventas %</w:t>
            </w:r>
          </w:p>
        </w:tc>
        <w:tc>
          <w:tcPr>
            <w:tcW w:type="dxa" w:w="1872"/>
            <w:tcMar>
              <w:top w:w="60" w:type="dxa"/>
              <w:bottom w:w="60" w:type="dxa"/>
              <w:left w:w="80" w:type="dxa"/>
              <w:right w:w="80" w:type="dxa"/>
            </w:tcMar>
          </w:tcPr>
          <w:p>
            <w:pPr>
              <w:jc w:val="left"/>
            </w:pPr>
            <w:r>
              <w:rPr>
                <w:rFonts w:ascii="Calibri" w:hAnsi="Calibri"/>
                <w:sz w:val="16"/>
              </w:rPr>
              <w:t>N/D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w:t>
            </w:r>
          </w:p>
        </w:tc>
        <w:tc>
          <w:tcPr>
            <w:tcW w:type="dxa" w:w="2016"/>
            <w:tcMar>
              <w:top w:w="60" w:type="dxa"/>
              <w:bottom w:w="60" w:type="dxa"/>
              <w:left w:w="80" w:type="dxa"/>
              <w:right w:w="80" w:type="dxa"/>
            </w:tcMar>
          </w:tcPr>
          <w:p>
            <w:pPr>
              <w:jc w:val="left"/>
            </w:pPr>
            <w:r>
              <w:rPr>
                <w:rFonts w:ascii="Calibri" w:hAnsi="Calibri"/>
                <w:sz w:val="16"/>
              </w:rPr>
              <w:t>Δ Inventarios % &gt; Δ Coste de Ventas %</w:t>
            </w:r>
          </w:p>
        </w:tc>
        <w:tc>
          <w:tcPr>
            <w:tcW w:type="dxa" w:w="1872"/>
            <w:tcMar>
              <w:top w:w="60" w:type="dxa"/>
              <w:bottom w:w="60" w:type="dxa"/>
              <w:left w:w="80" w:type="dxa"/>
              <w:right w:w="80" w:type="dxa"/>
            </w:tcMar>
          </w:tcPr>
          <w:p>
            <w:pPr>
              <w:jc w:val="left"/>
            </w:pPr>
            <w:r>
              <w:rPr>
                <w:rFonts w:ascii="Calibri" w:hAnsi="Calibri"/>
                <w:sz w:val="16"/>
              </w:rPr>
              <w:t>N/D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Las existencias crecen más rápido que los costes de venta.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Deterioro del Margen Bruto</w:t>
            </w:r>
          </w:p>
        </w:tc>
        <w:tc>
          <w:tcPr>
            <w:tcW w:type="dxa" w:w="2016"/>
            <w:tcMar>
              <w:top w:w="60" w:type="dxa"/>
              <w:bottom w:w="60" w:type="dxa"/>
              <w:left w:w="80" w:type="dxa"/>
              <w:right w:w="80" w:type="dxa"/>
            </w:tcMar>
          </w:tcPr>
          <w:p>
            <w:pPr>
              <w:jc w:val="left"/>
            </w:pPr>
            <w:r>
              <w:rPr>
                <w:rFonts w:ascii="Calibri" w:hAnsi="Calibri"/>
                <w:sz w:val="16"/>
              </w:rPr>
              <w:t>Margen Bruto_t &lt; Margen Bruto_t-1</w:t>
            </w:r>
          </w:p>
        </w:tc>
        <w:tc>
          <w:tcPr>
            <w:tcW w:type="dxa" w:w="1872"/>
            <w:tcMar>
              <w:top w:w="60" w:type="dxa"/>
              <w:bottom w:w="60" w:type="dxa"/>
              <w:left w:w="80" w:type="dxa"/>
              <w:right w:w="80" w:type="dxa"/>
            </w:tcMar>
          </w:tcPr>
          <w:p>
            <w:pPr>
              <w:jc w:val="left"/>
            </w:pPr>
            <w:r>
              <w:rPr>
                <w:rFonts w:ascii="Calibri" w:hAnsi="Calibri"/>
                <w:sz w:val="16"/>
              </w:rPr>
              <w:t>Margen Bruto: 45.61% vs 43.48%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deterioro del margen bruto genera incentivos en los ejecutivos para estirar partidas contables inferiores.</w:t>
            </w:r>
          </w:p>
        </w:tc>
      </w:tr>
      <w:tr>
        <w:tc>
          <w:tcPr>
            <w:tcW w:type="dxa" w:w="2160"/>
            <w:tcMar>
              <w:top w:w="60" w:type="dxa"/>
              <w:bottom w:w="60" w:type="dxa"/>
              <w:left w:w="80" w:type="dxa"/>
              <w:right w:w="80" w:type="dxa"/>
            </w:tcMar>
          </w:tcPr>
          <w:p>
            <w:pPr>
              <w:jc w:val="left"/>
            </w:pPr>
            <w:r>
              <w:rPr>
                <w:rFonts w:ascii="Calibri" w:hAnsi="Calibri"/>
                <w:sz w:val="16"/>
              </w:rPr>
              <w:t>5. Incremento de Activos Blandos</w:t>
            </w:r>
          </w:p>
        </w:tc>
        <w:tc>
          <w:tcPr>
            <w:tcW w:type="dxa" w:w="2016"/>
            <w:tcMar>
              <w:top w:w="60" w:type="dxa"/>
              <w:bottom w:w="60" w:type="dxa"/>
              <w:left w:w="80" w:type="dxa"/>
              <w:right w:w="80" w:type="dxa"/>
            </w:tcMar>
          </w:tcPr>
          <w:p>
            <w:pPr>
              <w:jc w:val="left"/>
            </w:pPr>
            <w:r>
              <w:rPr>
                <w:rFonts w:ascii="Calibri" w:hAnsi="Calibri"/>
                <w:sz w:val="16"/>
              </w:rPr>
              <w:t>Ratio Activos Blandos_t &gt; Ratio Activos Blandos_t-1</w:t>
            </w:r>
          </w:p>
        </w:tc>
        <w:tc>
          <w:tcPr>
            <w:tcW w:type="dxa" w:w="1872"/>
            <w:tcMar>
              <w:top w:w="60" w:type="dxa"/>
              <w:bottom w:w="60" w:type="dxa"/>
              <w:left w:w="80" w:type="dxa"/>
              <w:right w:w="80" w:type="dxa"/>
            </w:tcMar>
          </w:tcPr>
          <w:p>
            <w:pPr>
              <w:jc w:val="left"/>
            </w:pPr>
            <w:r>
              <w:rPr>
                <w:rFonts w:ascii="Calibri" w:hAnsi="Calibri"/>
                <w:sz w:val="16"/>
              </w:rPr>
              <w:t>Activos Blandos: 81.6% vs 86.3%</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Aumento del peso relativo de partidas del balance que no son activos productivos tangibles ni tesorería.</w:t>
            </w:r>
          </w:p>
        </w:tc>
      </w:tr>
      <w:tr>
        <w:tc>
          <w:tcPr>
            <w:tcW w:type="dxa" w:w="2160"/>
            <w:tcMar>
              <w:top w:w="60" w:type="dxa"/>
              <w:bottom w:w="60" w:type="dxa"/>
              <w:left w:w="80" w:type="dxa"/>
              <w:right w:w="80" w:type="dxa"/>
            </w:tcMar>
          </w:tcPr>
          <w:p>
            <w:pPr>
              <w:jc w:val="left"/>
            </w:pPr>
            <w:r>
              <w:rPr>
                <w:rFonts w:ascii="Calibri" w:hAnsi="Calibri"/>
                <w:sz w:val="16"/>
              </w:rPr>
              <w:t>6.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0.0%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w:t>
            </w:r>
          </w:p>
        </w:tc>
      </w:tr>
    </w:tbl>
    <w:p>
      <w:pPr>
        <w:spacing w:before="80" w:after="160"/>
      </w:pPr>
      <w:r>
        <w:rPr>
          <w:rFonts w:ascii="Calibri" w:hAnsi="Calibri"/>
          <w:b/>
          <w:color w:val="1B365D"/>
          <w:sz w:val="17"/>
        </w:rPr>
        <w:t>Dictamen Montier: 0 / 6 Banderas — RIESGO MUY BAJO / LIBROS LIMPIOS. Probabilidad empírica de manipulación &lt; 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-0.91%</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121.6%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-4.7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0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Libros limpios (0/6); probabilidad estadística de fraude &lt; 5%.</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(FY2024): BLINDAJE DE BALANCE (MÁXIMA SOLVENCIA REGULATORIA)</w:t>
              <w:br/>
            </w:r>
            <w:r>
              <w:rPr>
                <w:color w:val="2D3748"/>
                <w:sz w:val="19"/>
              </w:rPr>
              <w:t>Ratio CET1 / Basilea III: 11.5% - 13.0% (vs. 8.0% mínimo BACEN) | Rating Sintético: AAA (MÁXIMA CALIDAD CREDITICIA (LIBRE DE DEUDA))</w:t>
              <w:br/>
              <w:t>Loan-to-Deposit Ratio: 83.1% | Cobertura de Provisiones: &gt; 200.0% sobre NPL &gt;90d</w:t>
              <w:br/>
              <w:br/>
              <w:t>En instituciones financieras, los depósitos de clientes son materia prima operativa y no deuda corporativa. Nu Holdings Ltd. presenta una solvencia extraordinaria respaldada por depósitos minoristas directos y generación orgánica de capital con ROTCE de 26.40%.</w:t>
            </w:r>
          </w:p>
        </w:tc>
      </w:tr>
    </w:tbl>
    <w:p/>
    <w:p>
      <w:pPr>
        <w:pStyle w:val="Heading2"/>
      </w:pPr>
      <w:r>
        <w:t>13.1. Estructura de Balance, Cartera de Crédito y Fondeo (FY2024)</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FY2024</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Tarjetas</w:t>
            </w:r>
          </w:p>
        </w:tc>
        <w:tc>
          <w:tcPr>
            <w:tcW w:type="dxa" w:w="2448"/>
          </w:tcPr>
          <w:p>
            <w:r>
              <w:rPr>
                <w:b/>
                <w:sz w:val="17"/>
              </w:rPr>
              <w:t>$30,400.0 M</w:t>
            </w:r>
          </w:p>
        </w:tc>
        <w:tc>
          <w:tcPr>
            <w:tcW w:type="dxa" w:w="2448"/>
          </w:tcPr>
          <w:p>
            <w:r>
              <w:rPr>
                <w:sz w:val="17"/>
              </w:rPr>
              <w:t>Cartera diversificada en crédito al consumo.</w:t>
            </w:r>
          </w:p>
        </w:tc>
      </w:tr>
      <w:tr>
        <w:tc>
          <w:tcPr>
            <w:tcW w:type="dxa" w:w="2448"/>
            <w:shd w:fill="F7FAFC"/>
          </w:tcPr>
          <w:p>
            <w:r>
              <w:rPr>
                <w:b/>
                <w:sz w:val="17"/>
              </w:rPr>
              <w:t>Depósitos Totales de Clientes</w:t>
            </w:r>
          </w:p>
        </w:tc>
        <w:tc>
          <w:tcPr>
            <w:tcW w:type="dxa" w:w="2448"/>
            <w:shd w:fill="F7FAFC"/>
          </w:tcPr>
          <w:p>
            <w:r>
              <w:rPr>
                <w:sz w:val="17"/>
              </w:rPr>
              <w:t>Cuentas Corrientes y de Ahorro Minoristas</w:t>
            </w:r>
          </w:p>
        </w:tc>
        <w:tc>
          <w:tcPr>
            <w:tcW w:type="dxa" w:w="2448"/>
            <w:shd w:fill="F7FAFC"/>
          </w:tcPr>
          <w:p>
            <w:r>
              <w:rPr>
                <w:b/>
                <w:sz w:val="17"/>
              </w:rPr>
              <w:t>$36,600.0 M</w:t>
            </w:r>
          </w:p>
        </w:tc>
        <w:tc>
          <w:tcPr>
            <w:tcW w:type="dxa" w:w="2448"/>
            <w:shd w:fill="F7FAFC"/>
          </w:tcPr>
          <w:p>
            <w:r>
              <w:rPr>
                <w:sz w:val="17"/>
              </w:rPr>
              <w:t>Fondeo minorista abundante (+41% YoY); mínimo coste.</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Equilibrio Óptimo: Fondeo 100% orgánico sin deuda mayorista.</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$9,185.7M</w:t>
            </w:r>
          </w:p>
        </w:tc>
        <w:tc>
          <w:tcPr>
            <w:tcW w:type="dxa" w:w="2448"/>
            <w:shd w:fill="F7FAFC"/>
          </w:tcPr>
          <w:p>
            <w:r>
              <w:rPr>
                <w:sz w:val="17"/>
              </w:rPr>
              <w:t>Colchón de reserva ante retiros imprevistos.</w:t>
            </w:r>
          </w:p>
        </w:tc>
      </w:tr>
      <w:tr>
        <w:tc>
          <w:tcPr>
            <w:tcW w:type="dxa" w:w="2448"/>
          </w:tcPr>
          <w:p>
            <w:r>
              <w:rPr>
                <w:b/>
                <w:sz w:val="17"/>
              </w:rPr>
              <w:t>Deuda Corporativa Emitida</w:t>
            </w:r>
          </w:p>
        </w:tc>
        <w:tc>
          <w:tcPr>
            <w:tcW w:type="dxa" w:w="2448"/>
          </w:tcPr>
          <w:p>
            <w:r>
              <w:rPr>
                <w:sz w:val="17"/>
              </w:rPr>
              <w:t>Bonos y Préstamos Bancarios de Mercado</w:t>
            </w:r>
          </w:p>
        </w:tc>
        <w:tc>
          <w:tcPr>
            <w:tcW w:type="dxa" w:w="2448"/>
          </w:tcPr>
          <w:p>
            <w:r>
              <w:rPr>
                <w:b/>
                <w:sz w:val="17"/>
              </w:rPr>
              <w:t>$0.0M</w:t>
            </w:r>
          </w:p>
        </w:tc>
        <w:tc>
          <w:tcPr>
            <w:tcW w:type="dxa" w:w="2448"/>
          </w:tcPr>
          <w:p>
            <w:r>
              <w:rPr>
                <w:sz w:val="17"/>
              </w:rPr>
              <w:t>Cero deuda de mercado; estructura blindada.</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FY2024</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Mora temprana bajo control estricto y estacional.</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Mora madura estabilizada en niveles previstos.</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&gt; 200.0%</w:t>
            </w:r>
          </w:p>
        </w:tc>
        <w:tc>
          <w:tcPr>
            <w:tcW w:type="dxa" w:w="2448"/>
          </w:tcPr>
          <w:p>
            <w:r>
              <w:rPr>
                <w:sz w:val="17"/>
              </w:rPr>
              <w:t>Blindaje Total: Provisiones duplican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~5.5%</w:t>
            </w:r>
          </w:p>
        </w:tc>
        <w:tc>
          <w:tcPr>
            <w:tcW w:type="dxa" w:w="2448"/>
            <w:shd w:fill="F7FAFC"/>
          </w:tcPr>
          <w:p>
            <w:r>
              <w:rPr>
                <w:sz w:val="17"/>
              </w:rPr>
              <w:t>Absorbido con holgura por el Margen de Intereses.</w:t>
            </w:r>
          </w:p>
        </w:tc>
      </w:tr>
      <w:tr>
        <w:tc>
          <w:tcPr>
            <w:tcW w:type="dxa" w:w="2448"/>
          </w:tcPr>
          <w:p>
            <w:r>
              <w:rPr>
                <w:b/>
                <w:sz w:val="17"/>
              </w:rPr>
              <w:t>Risk-Adjusted NIM</w:t>
            </w:r>
          </w:p>
        </w:tc>
        <w:tc>
          <w:tcPr>
            <w:tcW w:type="dxa" w:w="2448"/>
          </w:tcPr>
          <w:p>
            <w:r>
              <w:rPr>
                <w:sz w:val="17"/>
              </w:rPr>
              <w:t>NII - Provisiones sobre Activos</w:t>
            </w:r>
          </w:p>
        </w:tc>
        <w:tc>
          <w:tcPr>
            <w:tcW w:type="dxa" w:w="2448"/>
          </w:tcPr>
          <w:p>
            <w:r>
              <w:rPr>
                <w:b/>
                <w:sz w:val="17"/>
              </w:rPr>
              <w:t>10.8%</w:t>
            </w:r>
          </w:p>
        </w:tc>
        <w:tc>
          <w:tcPr>
            <w:tcW w:type="dxa" w:w="2448"/>
          </w:tcPr>
          <w:p>
            <w:r>
              <w:rPr>
                <w:sz w:val="17"/>
              </w:rPr>
              <w:t>Margen de intermediación neto de élite global.</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Common Equity Tier 1 (CET1)</w:t>
            </w:r>
          </w:p>
        </w:tc>
        <w:tc>
          <w:tcPr>
            <w:tcW w:type="dxa" w:w="2448"/>
          </w:tcPr>
          <w:p>
            <w:r>
              <w:rPr>
                <w:b/>
                <w:sz w:val="17"/>
              </w:rPr>
              <w:t>11.5% - 13.0%</w:t>
            </w:r>
          </w:p>
        </w:tc>
        <w:tc>
          <w:tcPr>
            <w:tcW w:type="dxa" w:w="2448"/>
          </w:tcPr>
          <w:p>
            <w:r>
              <w:rPr>
                <w:sz w:val="17"/>
              </w:rPr>
              <w:t>Mín. 8.0% (BACEN)</w:t>
            </w:r>
          </w:p>
        </w:tc>
        <w:tc>
          <w:tcPr>
            <w:tcW w:type="dxa" w:w="2448"/>
          </w:tcPr>
          <w:p>
            <w:r>
              <w:rPr>
                <w:sz w:val="17"/>
              </w:rPr>
              <w:t>Colchón de capital excedente de +350-500 bps.</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Spread Teórico: +0.40%</w:t>
            </w:r>
          </w:p>
        </w:tc>
        <w:tc>
          <w:tcPr>
            <w:tcW w:type="dxa" w:w="2448"/>
            <w:shd w:fill="F7FAFC"/>
          </w:tcPr>
          <w:p>
            <w:r>
              <w:rPr>
                <w:sz w:val="17"/>
              </w:rPr>
              <w:t>MÁXIMA CALIDAD CREDITICIA (LIBRE DE DEUDA)</w:t>
            </w:r>
          </w:p>
        </w:tc>
      </w:tr>
      <w:tr>
        <w:tc>
          <w:tcPr>
            <w:tcW w:type="dxa" w:w="2448"/>
          </w:tcPr>
          <w:p>
            <w:r>
              <w:rPr>
                <w:b/>
                <w:sz w:val="17"/>
              </w:rPr>
              <w:t>Altman Z''-Score (Nota Explicativa)</w:t>
            </w:r>
          </w:p>
        </w:tc>
        <w:tc>
          <w:tcPr>
            <w:tcW w:type="dxa" w:w="2448"/>
          </w:tcPr>
          <w:p>
            <w:r>
              <w:rPr>
                <w:b/>
                <w:sz w:val="17"/>
              </w:rPr>
              <w:t>NO APLICABLE A BANCOS</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BANCARIA: EXCESS RETURN MODEL &amp; P/TBV</w:t>
        <w:br/>
      </w:r>
      <w:r>
        <w:rPr>
          <w:rFonts w:ascii="Calibri" w:hAnsi="Calibri"/>
          <w:color w:val="2D3748"/>
          <w:sz w:val="19"/>
        </w:rPr>
        <w:t>• Cotización: $14.16  |  Patrimonio Tangible por Acción (TBV): $1.6  |  P/TBV Mercado: 8.85x</w:t>
        <w:br/>
        <w:t>• Rentabilidad Tangible (ROTCE): 26.4% vs. Coste Capital (Ke): 9.43%  -&gt;  Spread Económico: +16.97 pp</w:t>
        <w:br/>
        <w:t>• P/TBV Justificado por Fundamentals: 3.86x (Precio Teórico Justo: $6.18)</w:t>
        <w:br/>
        <w:t>• Veredicto: El mercado descuenta sostener un ROTCE del ~55.9% o crecimiento compuesto de cartera &gt; 25% anual.</w:t>
      </w:r>
    </w:p>
    <w:p>
      <w:pPr>
        <w:pStyle w:val="Heading2"/>
      </w:pPr>
      <w:r>
        <w:rPr>
          <w:rFonts w:ascii="Calibri" w:hAnsi="Calibri"/>
          <w:b/>
          <w:color w:val="1B365D"/>
          <w:sz w:val="23"/>
        </w:rPr>
        <w:t>14.1. Parámetros Maestros de Valoración Bancaria (Gordon-Shapiro &amp; CAPM)</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264"/>
        <w:gridCol w:w="3264"/>
        <w:gridCol w:w="3264"/>
      </w:tblGrid>
      <w:tr>
        <w:tc>
          <w:tcPr>
            <w:tcW w:type="dxa" w:w="3264"/>
            <w:shd w:fill="1B365D"/>
          </w:tcPr>
          <w:p>
            <w:r>
              <w:rPr>
                <w:b/>
                <w:color w:val="FFFFFF"/>
                <w:sz w:val="18"/>
              </w:rPr>
              <w:t>Parámetro Bancario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Tangible Total (TBV)</w:t>
            </w:r>
          </w:p>
        </w:tc>
        <w:tc>
          <w:tcPr>
            <w:tcW w:type="dxa" w:w="3264"/>
          </w:tcPr>
          <w:p>
            <w:r>
              <w:rPr>
                <w:b/>
                <w:sz w:val="17"/>
              </w:rPr>
              <w:t>$7,646.3 M</w:t>
            </w:r>
          </w:p>
        </w:tc>
        <w:tc>
          <w:tcPr>
            <w:tcW w:type="dxa" w:w="3264"/>
          </w:tcPr>
          <w:p>
            <w:r>
              <w:rPr>
                <w:sz w:val="17"/>
              </w:rPr>
              <w:t>Fondos propios auditados en el último balance oficial SEC.</w:t>
            </w:r>
          </w:p>
        </w:tc>
      </w:tr>
      <w:tr>
        <w:tc>
          <w:tcPr>
            <w:tcW w:type="dxa" w:w="3264"/>
            <w:shd w:fill="F7FAFC"/>
          </w:tcPr>
          <w:p>
            <w:r>
              <w:rPr>
                <w:b/>
                <w:sz w:val="17"/>
              </w:rPr>
              <w:t>Patrimonio Tangible por Acción</w:t>
            </w:r>
          </w:p>
        </w:tc>
        <w:tc>
          <w:tcPr>
            <w:tcW w:type="dxa" w:w="3264"/>
            <w:shd w:fill="F7FAFC"/>
          </w:tcPr>
          <w:p>
            <w:r>
              <w:rPr>
                <w:b/>
                <w:sz w:val="17"/>
              </w:rPr>
              <w:t>$1.6</w:t>
            </w:r>
          </w:p>
        </w:tc>
        <w:tc>
          <w:tcPr>
            <w:tcW w:type="dxa" w:w="3264"/>
            <w:shd w:fill="F7FAFC"/>
          </w:tcPr>
          <w:p>
            <w:r>
              <w:rPr>
                <w:sz w:val="17"/>
              </w:rPr>
              <w:t>Valor en libros puro por título en circulación.</w:t>
            </w:r>
          </w:p>
        </w:tc>
      </w:tr>
      <w:tr>
        <w:tc>
          <w:tcPr>
            <w:tcW w:type="dxa" w:w="3264"/>
          </w:tcPr>
          <w:p>
            <w:r>
              <w:rPr>
                <w:b/>
                <w:sz w:val="17"/>
              </w:rPr>
              <w:t>Rentabilidad Tangible (ROTCE)</w:t>
            </w:r>
          </w:p>
        </w:tc>
        <w:tc>
          <w:tcPr>
            <w:tcW w:type="dxa" w:w="3264"/>
          </w:tcPr>
          <w:p>
            <w:r>
              <w:rPr>
                <w:b/>
                <w:sz w:val="17"/>
              </w:rPr>
              <w:t>26.4%</w:t>
            </w:r>
          </w:p>
        </w:tc>
        <w:tc>
          <w:tcPr>
            <w:tcW w:type="dxa" w:w="3264"/>
          </w:tcPr>
          <w:p>
            <w:r>
              <w:rPr>
                <w:sz w:val="17"/>
              </w:rPr>
              <w:t>Capacidad de generar utilidad neta sobre capital tangible.</w:t>
            </w:r>
          </w:p>
        </w:tc>
      </w:tr>
      <w:tr>
        <w:tc>
          <w:tcPr>
            <w:tcW w:type="dxa" w:w="3264"/>
            <w:shd w:fill="F7FAFC"/>
          </w:tcPr>
          <w:p>
            <w:r>
              <w:rPr>
                <w:b/>
                <w:sz w:val="17"/>
              </w:rPr>
              <w:t>Coste del Capital Propio (Ke)</w:t>
            </w:r>
          </w:p>
        </w:tc>
        <w:tc>
          <w:tcPr>
            <w:tcW w:type="dxa" w:w="3264"/>
            <w:shd w:fill="F7FAFC"/>
          </w:tcPr>
          <w:p>
            <w:r>
              <w:rPr>
                <w:b/>
                <w:sz w:val="17"/>
              </w:rPr>
              <w:t>9.43%</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+16.97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3.86x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$6.18</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18.0%</w:t>
            </w:r>
          </w:p>
        </w:tc>
        <w:tc>
          <w:tcPr>
            <w:tcW w:type="dxa" w:w="1224"/>
            <w:shd w:fill="1B365D"/>
          </w:tcPr>
          <w:p>
            <w:r>
              <w:rPr>
                <w:b/>
                <w:color w:val="FFFFFF"/>
                <w:sz w:val="17"/>
              </w:rPr>
              <w:t>20.0%</w:t>
            </w:r>
          </w:p>
        </w:tc>
        <w:tc>
          <w:tcPr>
            <w:tcW w:type="dxa" w:w="1224"/>
            <w:shd w:fill="1B365D"/>
          </w:tcPr>
          <w:p>
            <w:r>
              <w:rPr>
                <w:b/>
                <w:color w:val="FFFFFF"/>
                <w:sz w:val="17"/>
              </w:rPr>
              <w:t>22.0%</w:t>
            </w:r>
          </w:p>
        </w:tc>
        <w:tc>
          <w:tcPr>
            <w:tcW w:type="dxa" w:w="1224"/>
            <w:shd w:fill="1B365D"/>
          </w:tcPr>
          <w:p>
            <w:r>
              <w:rPr>
                <w:b/>
                <w:color w:val="FFFFFF"/>
                <w:sz w:val="17"/>
              </w:rPr>
              <w:t>24.5%</w:t>
            </w:r>
          </w:p>
        </w:tc>
        <w:tc>
          <w:tcPr>
            <w:tcW w:type="dxa" w:w="1224"/>
            <w:shd w:fill="1B365D"/>
          </w:tcPr>
          <w:p>
            <w:r>
              <w:rPr>
                <w:b/>
                <w:color w:val="FFFFFF"/>
                <w:sz w:val="17"/>
              </w:rPr>
              <w:t>26.4%</w:t>
            </w:r>
          </w:p>
        </w:tc>
        <w:tc>
          <w:tcPr>
            <w:tcW w:type="dxa" w:w="1224"/>
            <w:shd w:fill="1B365D"/>
          </w:tcPr>
          <w:p>
            <w:r>
              <w:rPr>
                <w:b/>
                <w:color w:val="FFFFFF"/>
                <w:sz w:val="17"/>
              </w:rPr>
              <w:t>28.0%</w:t>
            </w:r>
          </w:p>
        </w:tc>
        <w:tc>
          <w:tcPr>
            <w:tcW w:type="dxa" w:w="1224"/>
            <w:shd w:fill="1B365D"/>
          </w:tcPr>
          <w:p>
            <w:r>
              <w:rPr>
                <w:b/>
                <w:color w:val="FFFFFF"/>
                <w:sz w:val="17"/>
              </w:rPr>
              <w:t>Diagnóstico</w:t>
            </w:r>
          </w:p>
        </w:tc>
      </w:tr>
      <w:tr>
        <w:tc>
          <w:tcPr>
            <w:tcW w:type="dxa" w:w="1224"/>
          </w:tcPr>
          <w:p>
            <w:r>
              <w:rPr>
                <w:sz w:val="16"/>
              </w:rPr>
              <w:t>8.43% (Bajo / Optimista)</w:t>
            </w:r>
          </w:p>
        </w:tc>
        <w:tc>
          <w:tcPr>
            <w:tcW w:type="dxa" w:w="1224"/>
          </w:tcPr>
          <w:p>
            <w:r>
              <w:rPr>
                <w:sz w:val="16"/>
              </w:rPr>
              <w:t>$4.71</w:t>
            </w:r>
          </w:p>
        </w:tc>
        <w:tc>
          <w:tcPr>
            <w:tcW w:type="dxa" w:w="1224"/>
          </w:tcPr>
          <w:p>
            <w:r>
              <w:rPr>
                <w:sz w:val="16"/>
              </w:rPr>
              <w:t>$5.36</w:t>
            </w:r>
          </w:p>
        </w:tc>
        <w:tc>
          <w:tcPr>
            <w:tcW w:type="dxa" w:w="1224"/>
          </w:tcPr>
          <w:p>
            <w:r>
              <w:rPr>
                <w:sz w:val="16"/>
              </w:rPr>
              <w:t>$6.01</w:t>
            </w:r>
          </w:p>
        </w:tc>
        <w:tc>
          <w:tcPr>
            <w:tcW w:type="dxa" w:w="1224"/>
          </w:tcPr>
          <w:p>
            <w:r>
              <w:rPr>
                <w:sz w:val="16"/>
              </w:rPr>
              <w:t>$6.82</w:t>
            </w:r>
          </w:p>
        </w:tc>
        <w:tc>
          <w:tcPr>
            <w:tcW w:type="dxa" w:w="1224"/>
          </w:tcPr>
          <w:p>
            <w:r>
              <w:rPr>
                <w:b/>
                <w:sz w:val="16"/>
              </w:rPr>
              <w:t>$7.44</w:t>
            </w:r>
          </w:p>
        </w:tc>
        <w:tc>
          <w:tcPr>
            <w:tcW w:type="dxa" w:w="1224"/>
          </w:tcPr>
          <w:p>
            <w:r>
              <w:rPr>
                <w:sz w:val="16"/>
              </w:rPr>
              <w:t>$7.96</w:t>
            </w:r>
          </w:p>
        </w:tc>
        <w:tc>
          <w:tcPr>
            <w:tcW w:type="dxa" w:w="1224"/>
          </w:tcPr>
          <w:p>
            <w:r>
              <w:rPr>
                <w:sz w:val="16"/>
              </w:rPr>
              <w:t>Favorable: Expansión de múltiplos por menor prima de riesgo.</w:t>
            </w:r>
          </w:p>
        </w:tc>
      </w:tr>
      <w:tr>
        <w:tc>
          <w:tcPr>
            <w:tcW w:type="dxa" w:w="1224"/>
            <w:shd w:fill="F7FAFC"/>
          </w:tcPr>
          <w:p>
            <w:r>
              <w:rPr>
                <w:sz w:val="16"/>
              </w:rPr>
              <w:t>8.93% (Favorable)</w:t>
            </w:r>
          </w:p>
        </w:tc>
        <w:tc>
          <w:tcPr>
            <w:tcW w:type="dxa" w:w="1224"/>
            <w:shd w:fill="F7FAFC"/>
          </w:tcPr>
          <w:p>
            <w:r>
              <w:rPr>
                <w:sz w:val="16"/>
              </w:rPr>
              <w:t>$4.28</w:t>
            </w:r>
          </w:p>
        </w:tc>
        <w:tc>
          <w:tcPr>
            <w:tcW w:type="dxa" w:w="1224"/>
            <w:shd w:fill="F7FAFC"/>
          </w:tcPr>
          <w:p>
            <w:r>
              <w:rPr>
                <w:sz w:val="16"/>
              </w:rPr>
              <w:t>$4.87</w:t>
            </w:r>
          </w:p>
        </w:tc>
        <w:tc>
          <w:tcPr>
            <w:tcW w:type="dxa" w:w="1224"/>
            <w:shd w:fill="F7FAFC"/>
          </w:tcPr>
          <w:p>
            <w:r>
              <w:rPr>
                <w:sz w:val="16"/>
              </w:rPr>
              <w:t>$5.46</w:t>
            </w:r>
          </w:p>
        </w:tc>
        <w:tc>
          <w:tcPr>
            <w:tcW w:type="dxa" w:w="1224"/>
            <w:shd w:fill="F7FAFC"/>
          </w:tcPr>
          <w:p>
            <w:r>
              <w:rPr>
                <w:sz w:val="16"/>
              </w:rPr>
              <w:t>$6.19</w:t>
            </w:r>
          </w:p>
        </w:tc>
        <w:tc>
          <w:tcPr>
            <w:tcW w:type="dxa" w:w="1224"/>
            <w:shd w:fill="F7FAFC"/>
          </w:tcPr>
          <w:p>
            <w:r>
              <w:rPr>
                <w:b/>
                <w:sz w:val="16"/>
              </w:rPr>
              <w:t>$6.75</w:t>
            </w:r>
          </w:p>
        </w:tc>
        <w:tc>
          <w:tcPr>
            <w:tcW w:type="dxa" w:w="1224"/>
            <w:shd w:fill="F7FAFC"/>
          </w:tcPr>
          <w:p>
            <w:r>
              <w:rPr>
                <w:sz w:val="16"/>
              </w:rPr>
              <w:t>$7.22</w:t>
            </w:r>
          </w:p>
        </w:tc>
        <w:tc>
          <w:tcPr>
            <w:tcW w:type="dxa" w:w="1224"/>
            <w:shd w:fill="F7FAFC"/>
          </w:tcPr>
          <w:p>
            <w:r>
              <w:rPr>
                <w:sz w:val="16"/>
              </w:rPr>
              <w:t>Escenario de sensibilidad financiera.</w:t>
            </w:r>
          </w:p>
        </w:tc>
      </w:tr>
      <w:tr>
        <w:tc>
          <w:tcPr>
            <w:tcW w:type="dxa" w:w="1224"/>
            <w:shd w:fill="F7FAFC"/>
          </w:tcPr>
          <w:p>
            <w:r>
              <w:rPr>
                <w:sz w:val="16"/>
              </w:rPr>
              <w:t>9.43% (Ke Auditado Base)</w:t>
            </w:r>
          </w:p>
        </w:tc>
        <w:tc>
          <w:tcPr>
            <w:tcW w:type="dxa" w:w="1224"/>
            <w:shd w:fill="F7FAFC"/>
          </w:tcPr>
          <w:p>
            <w:r>
              <w:rPr>
                <w:b/>
                <w:sz w:val="16"/>
              </w:rPr>
              <w:t>$3.91</w:t>
            </w:r>
          </w:p>
        </w:tc>
        <w:tc>
          <w:tcPr>
            <w:tcW w:type="dxa" w:w="1224"/>
            <w:shd w:fill="F7FAFC"/>
          </w:tcPr>
          <w:p>
            <w:r>
              <w:rPr>
                <w:b/>
                <w:sz w:val="16"/>
              </w:rPr>
              <w:t>$4.45</w:t>
            </w:r>
          </w:p>
        </w:tc>
        <w:tc>
          <w:tcPr>
            <w:tcW w:type="dxa" w:w="1224"/>
            <w:shd w:fill="F7FAFC"/>
          </w:tcPr>
          <w:p>
            <w:r>
              <w:rPr>
                <w:b/>
                <w:sz w:val="16"/>
              </w:rPr>
              <w:t>$4.99</w:t>
            </w:r>
          </w:p>
        </w:tc>
        <w:tc>
          <w:tcPr>
            <w:tcW w:type="dxa" w:w="1224"/>
            <w:shd w:fill="F7FAFC"/>
          </w:tcPr>
          <w:p>
            <w:r>
              <w:rPr>
                <w:b/>
                <w:sz w:val="16"/>
              </w:rPr>
              <w:t>$5.67</w:t>
            </w:r>
          </w:p>
        </w:tc>
        <w:tc>
          <w:tcPr>
            <w:tcW w:type="dxa" w:w="1224"/>
            <w:shd w:fill="FFF2CC"/>
          </w:tcPr>
          <w:p>
            <w:r>
              <w:rPr>
                <w:b/>
                <w:sz w:val="16"/>
              </w:rPr>
              <w:t>$6.18</w:t>
            </w:r>
          </w:p>
        </w:tc>
        <w:tc>
          <w:tcPr>
            <w:tcW w:type="dxa" w:w="1224"/>
            <w:shd w:fill="F7FAFC"/>
          </w:tcPr>
          <w:p>
            <w:r>
              <w:rPr>
                <w:b/>
                <w:sz w:val="16"/>
              </w:rPr>
              <w:t>$6.61</w:t>
            </w:r>
          </w:p>
        </w:tc>
        <w:tc>
          <w:tcPr>
            <w:tcW w:type="dxa" w:w="1224"/>
            <w:shd w:fill="F7FAFC"/>
          </w:tcPr>
          <w:p>
            <w:r>
              <w:rPr>
                <w:sz w:val="16"/>
              </w:rPr>
              <w:t>ESCENARIO CENTRAL: Valor teórico fundamental por ROTCE.</w:t>
            </w:r>
          </w:p>
        </w:tc>
      </w:tr>
      <w:tr>
        <w:tc>
          <w:tcPr>
            <w:tcW w:type="dxa" w:w="1224"/>
            <w:shd w:fill="F7FAFC"/>
          </w:tcPr>
          <w:p>
            <w:r>
              <w:rPr>
                <w:sz w:val="16"/>
              </w:rPr>
              <w:t>9.93% (Exigente)</w:t>
            </w:r>
          </w:p>
        </w:tc>
        <w:tc>
          <w:tcPr>
            <w:tcW w:type="dxa" w:w="1224"/>
            <w:shd w:fill="F7FAFC"/>
          </w:tcPr>
          <w:p>
            <w:r>
              <w:rPr>
                <w:sz w:val="16"/>
              </w:rPr>
              <w:t>$3.61</w:t>
            </w:r>
          </w:p>
        </w:tc>
        <w:tc>
          <w:tcPr>
            <w:tcW w:type="dxa" w:w="1224"/>
            <w:shd w:fill="F7FAFC"/>
          </w:tcPr>
          <w:p>
            <w:r>
              <w:rPr>
                <w:sz w:val="16"/>
              </w:rPr>
              <w:t>$4.11</w:t>
            </w:r>
          </w:p>
        </w:tc>
        <w:tc>
          <w:tcPr>
            <w:tcW w:type="dxa" w:w="1224"/>
            <w:shd w:fill="F7FAFC"/>
          </w:tcPr>
          <w:p>
            <w:r>
              <w:rPr>
                <w:sz w:val="16"/>
              </w:rPr>
              <w:t>$4.61</w:t>
            </w:r>
          </w:p>
        </w:tc>
        <w:tc>
          <w:tcPr>
            <w:tcW w:type="dxa" w:w="1224"/>
            <w:shd w:fill="F7FAFC"/>
          </w:tcPr>
          <w:p>
            <w:r>
              <w:rPr>
                <w:sz w:val="16"/>
              </w:rPr>
              <w:t>$5.23</w:t>
            </w:r>
          </w:p>
        </w:tc>
        <w:tc>
          <w:tcPr>
            <w:tcW w:type="dxa" w:w="1224"/>
            <w:shd w:fill="F7FAFC"/>
          </w:tcPr>
          <w:p>
            <w:r>
              <w:rPr>
                <w:b/>
                <w:sz w:val="16"/>
              </w:rPr>
              <w:t>$5.70</w:t>
            </w:r>
          </w:p>
        </w:tc>
        <w:tc>
          <w:tcPr>
            <w:tcW w:type="dxa" w:w="1224"/>
            <w:shd w:fill="F7FAFC"/>
          </w:tcPr>
          <w:p>
            <w:r>
              <w:rPr>
                <w:sz w:val="16"/>
              </w:rPr>
              <w:t>$6.10</w:t>
            </w:r>
          </w:p>
        </w:tc>
        <w:tc>
          <w:tcPr>
            <w:tcW w:type="dxa" w:w="1224"/>
            <w:shd w:fill="F7FAFC"/>
          </w:tcPr>
          <w:p>
            <w:r>
              <w:rPr>
                <w:sz w:val="16"/>
              </w:rPr>
              <w:t>Escenario de sensibilidad financiera.</w:t>
            </w:r>
          </w:p>
        </w:tc>
      </w:tr>
      <w:tr>
        <w:tc>
          <w:tcPr>
            <w:tcW w:type="dxa" w:w="1224"/>
          </w:tcPr>
          <w:p>
            <w:r>
              <w:rPr>
                <w:sz w:val="16"/>
              </w:rPr>
              <w:t>10.43% (Estrés Macro / Tipos)</w:t>
            </w:r>
          </w:p>
        </w:tc>
        <w:tc>
          <w:tcPr>
            <w:tcW w:type="dxa" w:w="1224"/>
          </w:tcPr>
          <w:p>
            <w:r>
              <w:rPr>
                <w:sz w:val="16"/>
              </w:rPr>
              <w:t>$3.35</w:t>
            </w:r>
          </w:p>
        </w:tc>
        <w:tc>
          <w:tcPr>
            <w:tcW w:type="dxa" w:w="1224"/>
          </w:tcPr>
          <w:p>
            <w:r>
              <w:rPr>
                <w:sz w:val="16"/>
              </w:rPr>
              <w:t>$3.81</w:t>
            </w:r>
          </w:p>
        </w:tc>
        <w:tc>
          <w:tcPr>
            <w:tcW w:type="dxa" w:w="1224"/>
          </w:tcPr>
          <w:p>
            <w:r>
              <w:rPr>
                <w:sz w:val="16"/>
              </w:rPr>
              <w:t>$4.27</w:t>
            </w:r>
          </w:p>
        </w:tc>
        <w:tc>
          <w:tcPr>
            <w:tcW w:type="dxa" w:w="1224"/>
          </w:tcPr>
          <w:p>
            <w:r>
              <w:rPr>
                <w:sz w:val="16"/>
              </w:rPr>
              <w:t>$4.85</w:t>
            </w:r>
          </w:p>
        </w:tc>
        <w:tc>
          <w:tcPr>
            <w:tcW w:type="dxa" w:w="1224"/>
          </w:tcPr>
          <w:p>
            <w:r>
              <w:rPr>
                <w:b/>
                <w:sz w:val="16"/>
              </w:rPr>
              <w:t>$5.29</w:t>
            </w:r>
          </w:p>
        </w:tc>
        <w:tc>
          <w:tcPr>
            <w:tcW w:type="dxa" w:w="1224"/>
          </w:tcPr>
          <w:p>
            <w:r>
              <w:rPr>
                <w:sz w:val="16"/>
              </w:rPr>
              <w:t>$5.66</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Bancaria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Cost-to-Serve ($0.90/mes) + Cost of Funds Minorista</w:t>
            </w:r>
          </w:p>
        </w:tc>
        <w:tc>
          <w:tcPr>
            <w:tcW w:type="dxa" w:w="2448"/>
          </w:tcPr>
          <w:p>
            <w:r>
              <w:rPr>
                <w:b/>
                <w:sz w:val="17"/>
              </w:rPr>
              <w:t>WIDE MOAT FINTECH</w:t>
            </w:r>
          </w:p>
        </w:tc>
        <w:tc>
          <w:tcPr>
            <w:tcW w:type="dxa" w:w="2448"/>
          </w:tcPr>
          <w:p>
            <w:r>
              <w:rPr>
                <w:sz w:val="17"/>
              </w:rPr>
              <w:t>Ventaja estructural de coste frente a banca tradicional.</w:t>
            </w:r>
          </w:p>
        </w:tc>
      </w:tr>
      <w:tr>
        <w:tc>
          <w:tcPr>
            <w:tcW w:type="dxa" w:w="2448"/>
            <w:shd w:fill="F7FAFC"/>
          </w:tcPr>
          <w:p>
            <w:r>
              <w:rPr>
                <w:b/>
                <w:sz w:val="17"/>
              </w:rPr>
              <w:t>Calidad de Cartera y Provisiones</w:t>
            </w:r>
          </w:p>
        </w:tc>
        <w:tc>
          <w:tcPr>
            <w:tcW w:type="dxa" w:w="2448"/>
            <w:shd w:fill="F7FAFC"/>
          </w:tcPr>
          <w:p>
            <w:r>
              <w:rPr>
                <w:sz w:val="17"/>
              </w:rPr>
              <w:t>Mora &gt;90d: 6.8% / Cobertura de Provisiones: &gt;200%</w:t>
            </w:r>
          </w:p>
        </w:tc>
        <w:tc>
          <w:tcPr>
            <w:tcW w:type="dxa" w:w="2448"/>
            <w:shd w:fill="F7FAFC"/>
          </w:tcPr>
          <w:p>
            <w:r>
              <w:rPr>
                <w:b/>
                <w:sz w:val="17"/>
              </w:rPr>
              <w:t>BLINDAJE DE PROVISIONES</w:t>
            </w:r>
          </w:p>
        </w:tc>
        <w:tc>
          <w:tcPr>
            <w:tcW w:type="dxa" w:w="2448"/>
            <w:shd w:fill="F7FAFC"/>
          </w:tcPr>
          <w:p>
            <w:r>
              <w:rPr>
                <w:sz w:val="17"/>
              </w:rPr>
              <w:t>Provisiones duplican saldo dudoso; bajo riesgo neto.</w:t>
            </w:r>
          </w:p>
        </w:tc>
      </w:tr>
      <w:tr>
        <w:tc>
          <w:tcPr>
            <w:tcW w:type="dxa" w:w="2448"/>
          </w:tcPr>
          <w:p>
            <w:r>
              <w:rPr>
                <w:b/>
                <w:sz w:val="17"/>
              </w:rPr>
              <w:t>Solvencia Regulatoria y Capital</w:t>
            </w:r>
          </w:p>
        </w:tc>
        <w:tc>
          <w:tcPr>
            <w:tcW w:type="dxa" w:w="2448"/>
          </w:tcPr>
          <w:p>
            <w:r>
              <w:rPr>
                <w:sz w:val="17"/>
              </w:rPr>
              <w:t>Ratio CET1: 11.5% - 13.0% (vs. 8.0% mínimo BACEN)</w:t>
            </w:r>
          </w:p>
        </w:tc>
        <w:tc>
          <w:tcPr>
            <w:tcW w:type="dxa" w:w="2448"/>
          </w:tcPr>
          <w:p>
            <w:r>
              <w:rPr>
                <w:b/>
                <w:sz w:val="17"/>
              </w:rPr>
              <w:t>MÁXIMA SOLVENCIA CET1</w:t>
            </w:r>
          </w:p>
        </w:tc>
        <w:tc>
          <w:tcPr>
            <w:tcW w:type="dxa" w:w="2448"/>
          </w:tcPr>
          <w:p>
            <w:r>
              <w:rPr>
                <w:sz w:val="17"/>
              </w:rPr>
              <w:t>Colchón de capital anticíclico y autofinanciación orgánica.</w:t>
            </w:r>
          </w:p>
        </w:tc>
      </w:tr>
      <w:tr>
        <w:tc>
          <w:tcPr>
            <w:tcW w:type="dxa" w:w="2448"/>
            <w:shd w:fill="F7FAFC"/>
          </w:tcPr>
          <w:p>
            <w:r>
              <w:rPr>
                <w:b/>
                <w:sz w:val="17"/>
              </w:rPr>
              <w:t>Productividad del Capital</w:t>
            </w:r>
          </w:p>
        </w:tc>
        <w:tc>
          <w:tcPr>
            <w:tcW w:type="dxa" w:w="2448"/>
            <w:shd w:fill="F7FAFC"/>
          </w:tcPr>
          <w:p>
            <w:r>
              <w:rPr>
                <w:sz w:val="17"/>
              </w:rPr>
              <w:t>ROTCE Tangible: 26.4% vs Ke 9.43%</w:t>
            </w:r>
          </w:p>
        </w:tc>
        <w:tc>
          <w:tcPr>
            <w:tcW w:type="dxa" w:w="2448"/>
            <w:shd w:fill="F7FAFC"/>
          </w:tcPr>
          <w:p>
            <w:r>
              <w:rPr>
                <w:b/>
                <w:sz w:val="17"/>
              </w:rPr>
              <w:t>COMPOUNDING MACHINE</w:t>
            </w:r>
          </w:p>
        </w:tc>
        <w:tc>
          <w:tcPr>
            <w:tcW w:type="dxa" w:w="2448"/>
            <w:shd w:fill="F7FAFC"/>
          </w:tcPr>
          <w:p>
            <w:r>
              <w:rPr>
                <w:sz w:val="17"/>
              </w:rPr>
              <w:t>Spread económico de +17.0 pp sobre coste de capital.</w:t>
            </w:r>
          </w:p>
        </w:tc>
      </w:tr>
      <w:tr>
        <w:tc>
          <w:tcPr>
            <w:tcW w:type="dxa" w:w="2448"/>
          </w:tcPr>
          <w:p>
            <w:r>
              <w:rPr>
                <w:b/>
                <w:sz w:val="17"/>
              </w:rPr>
              <w:t>Valoración de Mercado</w:t>
            </w:r>
          </w:p>
        </w:tc>
        <w:tc>
          <w:tcPr>
            <w:tcW w:type="dxa" w:w="2448"/>
          </w:tcPr>
          <w:p>
            <w:r>
              <w:rPr>
                <w:sz w:val="17"/>
              </w:rPr>
              <w:t>P/TBV: 8.8x vs P/TBV Teórico: 3.9x</w:t>
            </w:r>
          </w:p>
        </w:tc>
        <w:tc>
          <w:tcPr>
            <w:tcW w:type="dxa" w:w="2448"/>
          </w:tcPr>
          <w:p>
            <w:r>
              <w:rPr>
                <w:b/>
                <w:sz w:val="17"/>
              </w:rPr>
              <w:t>PRICED FOR HYPERGROWTH</w:t>
            </w:r>
          </w:p>
        </w:tc>
        <w:tc>
          <w:tcPr>
            <w:tcW w:type="dxa" w:w="2448"/>
          </w:tcPr>
          <w:p>
            <w:r>
              <w:rPr>
                <w:sz w:val="17"/>
              </w:rPr>
              <w:t>Cotización descuenta sostener crecimiento de cartera &gt; 25% anual.</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