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MERCADOLIBRE, INC. (NASDAQ: MELI)</w:t>
              <w:br/>
              <w:t>Resultados Trimestrales Q2 2026, Earnings Call &amp; Análisis de Gobernanza</w:t>
            </w:r>
          </w:p>
          <w:p>
            <w:pPr>
              <w:spacing w:before="0" w:after="0"/>
            </w:pPr>
            <w:r>
              <w:rPr>
                <w:rFonts w:ascii="Calibri" w:hAnsi="Calibri"/>
                <w:i/>
                <w:color w:val="D1DFF5"/>
                <w:sz w:val="17"/>
              </w:rPr>
              <w:t>Fecha de Análisis: 20 de Septiembre de 2026 | Período Contable: 30 de Junio de 2026</w:t>
              <w:br/>
              <w:t>Fuente Oficial: Formulario 10-Q, Formularios 8-K, Form 4, Form 144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ECOSISTEMA SINÉRGICO</w:t>
            </w:r>
          </w:p>
          <w:p>
            <w:pPr>
              <w:spacing w:before="40" w:after="40" w:line="276" w:lineRule="auto"/>
            </w:pPr>
            <w:r>
              <w:rPr>
                <w:rFonts w:ascii="Calibri" w:hAnsi="Calibri"/>
                <w:color w:val="2D3748"/>
                <w:sz w:val="19"/>
              </w:rPr>
              <w:t>MercadoLibre, Inc. es el líder indiscutido de comercio electrónico y servicios financieros digitales en América Latina, operando el ecosistema tecnológico integrado más grande y sinérgico de la región a través de 18 países.</w:t>
            </w:r>
          </w:p>
          <w:p>
            <w:pPr>
              <w:spacing w:before="40" w:after="40" w:line="276" w:lineRule="auto"/>
            </w:pPr>
            <w:r>
              <w:rPr>
                <w:rFonts w:ascii="Calibri" w:hAnsi="Calibri"/>
                <w:color w:val="2D3748"/>
                <w:sz w:val="19"/>
              </w:rPr>
              <w:t>El negocio se estructura en dos motores interconectados que retroalimentan un potente círculo virtuoso (Flywheel): (1) Mercado Libre Commerce, que agrupa el marketplace líder (3P y 1P), la red logística integral de almacenamiento y última milla Mercado Envíos, y la plataforma de publicidad digital Mercado Ads; y (2) Mercado Pago FinTech, una plataforma integral de pagos digitales, adquirencia para comercios (POS y online), cuentas remuneradas de ahorro y créditos de consumo y capital de trabajo a través de Mercado Crédito.</w:t>
            </w:r>
          </w:p>
        </w:tc>
      </w:tr>
    </w:tbl>
    <w:p>
      <w:pPr>
        <w:spacing w:after="80"/>
      </w:pPr>
    </w:p>
    <w:p>
      <w:pPr>
        <w:keepNext/>
        <w:spacing w:before="200" w:after="80"/>
      </w:pPr>
      <w:r>
        <w:rPr>
          <w:rFonts w:ascii="Calibri" w:hAnsi="Calibri"/>
          <w:b/>
          <w:color w:val="4A5568"/>
          <w:sz w:val="22"/>
        </w:rPr>
        <w:t>Estructura de Canales y Segmentos de Comercialización (Go-To-Market):</w:t>
      </w:r>
    </w:p>
    <w:p>
      <w:pPr>
        <w:spacing w:before="40" w:after="80" w:line="276" w:lineRule="auto"/>
      </w:pPr>
      <w:r>
        <w:rPr>
          <w:rFonts w:ascii="Calibri" w:hAnsi="Calibri"/>
          <w:i w:val="0"/>
          <w:color w:val="2D3748"/>
          <w:sz w:val="20"/>
        </w:rPr>
        <w:t>De acuerdo con la información oficial auditada del Formulario 10-K y 10-Q ante la SEC, MercadoLibre monetiza su ecosistema a través de flujos de ingresos diversificados:</w:t>
      </w:r>
    </w:p>
    <w:p>
      <w:pPr>
        <w:spacing w:before="40" w:after="80" w:line="276" w:lineRule="auto"/>
      </w:pPr>
      <w:r>
        <w:rPr>
          <w:rFonts w:ascii="Calibri" w:hAnsi="Calibri"/>
          <w:b/>
          <w:color w:val="2D3748"/>
          <w:sz w:val="20"/>
        </w:rPr>
        <w:t xml:space="preserve">• Segmento Comercio Electrónico - Commerce (~55% de los ingresos netos): </w:t>
      </w:r>
      <w:r>
        <w:rPr>
          <w:rFonts w:ascii="Calibri" w:hAnsi="Calibri"/>
          <w:i w:val="0"/>
          <w:color w:val="2D3748"/>
          <w:sz w:val="20"/>
        </w:rPr>
        <w:t>Comisiones por transacción cobradas a vendedores (Marketplace take rate), ingresos de venta directa de productos propios (1P retail), tarifas de fulfillment y logística express a través de Mercado Envíos, e ingresos publicitarios de alta rentabilidad mediante Mercado Ads.</w:t>
      </w:r>
    </w:p>
    <w:p>
      <w:pPr>
        <w:spacing w:before="40" w:after="80" w:line="276" w:lineRule="auto"/>
      </w:pPr>
      <w:r>
        <w:rPr>
          <w:rFonts w:ascii="Calibri" w:hAnsi="Calibri"/>
          <w:b/>
          <w:color w:val="2D3748"/>
          <w:sz w:val="20"/>
        </w:rPr>
        <w:t xml:space="preserve">• Segmento FinTech y Servicios Financieros - Mercado Pago (~45% de los ingresos netos): </w:t>
      </w:r>
      <w:r>
        <w:rPr>
          <w:rFonts w:ascii="Calibri" w:hAnsi="Calibri"/>
          <w:i w:val="0"/>
          <w:color w:val="2D3748"/>
          <w:sz w:val="20"/>
        </w:rPr>
        <w:t>Comisiones por procesamiento de pagos dentro y fuera de la plataforma (TPV off-platform), tarifas de liquidación de dispositivos POS (Point), margen financiero bruto (NII) e intereses devengados sobre la cartera de préstamos y tarjetas de crédito de Mercado Crédito.</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MercadoLibre,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Segmento Comercio Electrónico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$19,350.1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$15,891.2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55.0%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Segmento FinTech y Servicios Financieros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$15,831.9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$13,001.9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45.0%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Aceleración comercial de alta tracción (+21.8% YoY); ganancia de cuota y dinamismo.</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Segmento Comercio Electrónico (55.0% de facturación): </w:t>
      </w:r>
      <w:r>
        <w:rPr>
          <w:rFonts w:ascii="Calibri" w:hAnsi="Calibri"/>
          <w:i w:val="0"/>
          <w:color w:val="2D3748"/>
          <w:sz w:val="20"/>
        </w:rPr>
        <w:t>Genera $19,350.1 M (+21.8% YoY), consolidándose como pilar operativo clave de MercadoLibre, Inc..</w:t>
      </w:r>
    </w:p>
    <w:p>
      <w:pPr>
        <w:spacing w:before="40" w:after="80" w:line="276" w:lineRule="auto"/>
      </w:pPr>
      <w:r>
        <w:rPr>
          <w:rFonts w:ascii="Calibri" w:hAnsi="Calibri"/>
          <w:b/>
          <w:color w:val="2D3748"/>
          <w:sz w:val="20"/>
        </w:rPr>
        <w:t xml:space="preserve">• Segmento FinTech y Servicios Financieros (45.0% de facturación): </w:t>
      </w:r>
      <w:r>
        <w:rPr>
          <w:rFonts w:ascii="Calibri" w:hAnsi="Calibri"/>
          <w:i w:val="0"/>
          <w:color w:val="2D3748"/>
          <w:sz w:val="20"/>
        </w:rPr>
        <w:t>Genera $15,831.9 M (+21.8% YoY), consolidándose como pilar operativo clave de MercadoLibre,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MercadoLibre,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$18,822.4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$15,457.8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53.5%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$8,514.0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$6,992.1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24.2%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Argentina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$6,367.9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$5,229.6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18.1%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Otros Mercados Internacionales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$1,477.6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$1,213.5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fuerte expansión (+21.8% YoY); tracción de demanda local.</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Motor Central (53.5% de los ingresos): </w:t>
      </w:r>
      <w:r>
        <w:rPr>
          <w:rFonts w:ascii="Calibri" w:hAnsi="Calibri"/>
          <w:i w:val="0"/>
          <w:color w:val="2D3748"/>
          <w:sz w:val="20"/>
        </w:rPr>
        <w:t>Los ingresos crecieron más de un 50% interanual con un salto del +19% en ítems comprados por usuario tras la estrategia de reducción del umbral de envío gratis.</w:t>
      </w:r>
    </w:p>
    <w:p>
      <w:pPr>
        <w:spacing w:before="40" w:after="80" w:line="276" w:lineRule="auto"/>
      </w:pPr>
      <w:r>
        <w:rPr>
          <w:rFonts w:ascii="Calibri" w:hAnsi="Calibri"/>
          <w:b/>
          <w:color w:val="2D3748"/>
          <w:sz w:val="20"/>
        </w:rPr>
        <w:t xml:space="preserve">• México en Fase de Aceleración (24.2% de los ingresos): </w:t>
      </w:r>
      <w:r>
        <w:rPr>
          <w:rFonts w:ascii="Calibri" w:hAnsi="Calibri"/>
          <w:i w:val="0"/>
          <w:color w:val="2D3748"/>
          <w:sz w:val="20"/>
        </w:rPr>
        <w:t>Consolidación de la cuota de mercado con rápido crecimiento en la penetración de Mercado Pago y tarjetas de crédito.</w:t>
      </w:r>
    </w:p>
    <w:p>
      <w:pPr>
        <w:spacing w:before="40" w:after="80" w:line="276" w:lineRule="auto"/>
      </w:pPr>
      <w:r>
        <w:rPr>
          <w:rFonts w:ascii="Calibri" w:hAnsi="Calibri"/>
          <w:b/>
          <w:color w:val="2D3748"/>
          <w:sz w:val="20"/>
        </w:rPr>
        <w:t xml:space="preserve">• Argentina y Resiliencia Macroeconómica (18.1% de los ingresos): </w:t>
      </w:r>
      <w:r>
        <w:rPr>
          <w:rFonts w:ascii="Calibri" w:hAnsi="Calibri"/>
          <w:i w:val="0"/>
          <w:color w:val="2D3748"/>
          <w:sz w:val="20"/>
        </w:rPr>
        <w:t>Sólida capacidad de fijación de precios y adaptación operativa a las fluctuaciones cambiarias e inflacionarias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MercadoLibre, Inc. ha reportado un desempeño financiero extraordinario en el segundo trimestre de 2026 (Q2 2026, cerrado el 30 de junio de 2026) y en los últimos 12 meses (LTM), superando por primera vez en su historia los $10,000M en ingresos netos trimestrales (+50% YoY) y alcanzando una cartera de créditos de $16,400M (+75% YoY):</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$24,461.0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$20,335.0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$15,137.0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estelar de +49-50% YoY impulsado por Brasil y México.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$15,014.0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$12,858.0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$9,577.0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Expansión en volumen compensa inversiones agresivas en envíos gratis.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61.38%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elevado sostenido por ingresos publicitarios y comisiones.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$1,643.0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$1,265.0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EBIT trimestral de $683M (6.7% margen) priorizando escala de largo plazo.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$1,820.0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$1,050.0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Rentabilidad neta récord con alta conversión de ingresos a beneficios.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$3,950.0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$2,850.0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Potente generación operativa que autofinancia la expansión regional.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de Créditos (Mercado Crédito)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$16,400.0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$11,200.0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+75% YoY con NIMAL en expansión hasta el 21%.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Morosidad (NPL 15-90 días)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Calidad crediticia controlada bajo algoritmos de IA y foco en tarjetas.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el 5 de agosto de 2026), el equipo directivo de MercadoLibre—liderado por Ariel Szarfsztejn (CEO), Martín de los Santos (CFO) y Osvaldo Giménez (Presidente de FinTech)—presentó un desempeño operativo excepcional. Los ingresos netos superaron por primera vez la cota histórica de los $10,000 millones (+50% YoY), con un margen operativo del 6.7% ($683M en EBIT). La directiva ratificó su decisión deliberada de priorizar el hipercrecimiento, la retención de compradores y la escala de Mercado Crédito ($16.4B en cartera, +75% YoY) sobre la maximización de márgenes de corto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y Escala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Continuidad de hipercrecimiento a ritmos de ~45-50%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El efecto red de envíos gratis en Brasil y la penetración en México garantizan ganancias de cuota de mercado continuas.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 (EBIT)</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Estabilidad en el rango de ~6.5% a 7.0%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Compresión calculada de ~550 bps frente a 2025 para absorber inversiones logísticas y subsidios de envío gratis en Brasil.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Expansión de Mercado Crédito</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Crecimiento disciplinado de cartera con foco en tarjetas de bajo riesgo</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 morosidad temprana (15-90d) se mantiene controlada en 7.0% y el margen tras pérdidas (NIMAL) sube al 21%.</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Generación de Flujo de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positiva de FCF ajustado ($214M en Q2)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Capacidad probada de autofinanciar la expansión de almacenes y la originación de crédito sin recurrir a deuda costosa.</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Superación del Récord de $10B en Ingresos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"Por primera vez en nuestra historia superamos los $10,000 millones de ingresos netos en un solo trimestre, creciendo al 50% interanual..." — Martín de los Santos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que MercadoLibre opera en una categoría propia de hipercrecimiento con escala de gigante tecnológico global.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Consolidación de Envíos Gratis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"Un año después de reducir el umbral de envío gratis en Brasil, los ítems por comprador crecieron un 19% interanual..." — Ariel Szarfsztejn (CEO).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Valida la tesis de que la inversión en subsidios logísticos amplía el foso defensivo y bloquea a competidores extranjeros.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Margen en Crédito (NIMAL)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interés neto ajustado por pérdidas (NIMAL) mejoró del 18% en Q1 al 21% en Q2 en nuestros 3 mercados principales..." — Osvaldo Giménez.</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la cartera de crédito es altamente rentable y que los modelos de inteligencia artificial controlan el riesgo.</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Compresión de Margen EBIT a Corto Plazo</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margen operativo del 6.7% cayó 550 bps YoY como resultado de nuestra decisión deliberada de invertir en engagement y escala."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Impacto transitorio en márgenes porcentuales pero maximización de dólares brutos de beneficio.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Apalancamiento operativo futuro a medida que los nuevos compradores maduren en frecuencia de compra.</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Competencia en Adquirencia en México</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"Vimos cierta compresión de márgenes en adquirencia (POS), principalmente en México..."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competitiva localizada en terminales de cobro físico.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Compensada con creces por la venta cruzada de tarjetas de crédito y créditos de capital de trabajo.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Riesgo de Crédito en Cartera Rápida</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 cartera creció un 75% YoY alcanzando $16.4B; mantenemos una vigilancia extrema en mora..."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Riesgo inherente de impagos en carteras de consumo en América Latina.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Scoring diario de usuarios con IA y cobertura prudente de provisiones sobre préstamos impagos.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Morgan Stanley — Andrew Ruben</w:t>
      </w:r>
    </w:p>
    <w:p>
      <w:pPr>
        <w:spacing w:before="40" w:after="80" w:line="276" w:lineRule="auto"/>
      </w:pPr>
      <w:r>
        <w:rPr>
          <w:rFonts w:ascii="Calibri" w:hAnsi="Calibri"/>
          <w:b/>
          <w:color w:val="2D3748"/>
          <w:sz w:val="20"/>
        </w:rPr>
        <w:t xml:space="preserve">• Pregunta 1 (Márgenes de E-Commerce frente a Envíos Gratis en Brasil): </w:t>
      </w:r>
      <w:r>
        <w:rPr>
          <w:rFonts w:ascii="Calibri" w:hAnsi="Calibri"/>
          <w:i w:val="0"/>
          <w:color w:val="2D3748"/>
          <w:sz w:val="20"/>
        </w:rPr>
        <w:t>¿Podrían detallar cómo evalúan la compensación entre el margen EBIT del 6.7% y el crecimiento de volumen en Brasil un año después del recorte de tarifas de envío?</w:t>
      </w:r>
    </w:p>
    <w:p>
      <w:pPr>
        <w:spacing w:before="40" w:after="80" w:line="276" w:lineRule="auto"/>
      </w:pPr>
      <w:r>
        <w:rPr>
          <w:rFonts w:ascii="Calibri" w:hAnsi="Calibri"/>
          <w:b/>
          <w:color w:val="2D3748"/>
          <w:sz w:val="20"/>
        </w:rPr>
        <w:t xml:space="preserve">• Respuesta (Martín de los Santos - CFO): </w:t>
      </w:r>
      <w:r>
        <w:rPr>
          <w:rFonts w:ascii="Calibri" w:hAnsi="Calibri"/>
          <w:i w:val="0"/>
          <w:color w:val="2D3748"/>
          <w:sz w:val="20"/>
        </w:rPr>
        <w:t>La respuesta de los usuarios en Brasil ha superado todas nuestras expectativas. El crecimiento del 19% en ítems por comprador confirma que el engagement se traduce en mayor LTV (Lifetime Value). Preferimos capturar participación de mercado estructural hoy antes que optimizar 200 puntos básicos de margen contable inmediato.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Estrategia de escala agresiva; el foso defensivo logístico bloquea eficazmente a competidores transfronterizos.</w:t>
      </w:r>
    </w:p>
    <w:p>
      <w:pPr>
        <w:keepNext/>
        <w:spacing w:before="200" w:after="80"/>
      </w:pPr>
      <w:r>
        <w:rPr>
          <w:rFonts w:ascii="Calibri" w:hAnsi="Calibri"/>
          <w:b/>
          <w:color w:val="4A5568"/>
          <w:sz w:val="22"/>
        </w:rPr>
        <w:t>2. JPMorgan — Marcelo Santos</w:t>
      </w:r>
    </w:p>
    <w:p>
      <w:pPr>
        <w:spacing w:before="40" w:after="80" w:line="276" w:lineRule="auto"/>
      </w:pPr>
      <w:r>
        <w:rPr>
          <w:rFonts w:ascii="Calibri" w:hAnsi="Calibri"/>
          <w:b/>
          <w:color w:val="2D3748"/>
          <w:sz w:val="20"/>
        </w:rPr>
        <w:t xml:space="preserve">• Pregunta 1 (Expansión de Cartera de Crédito y NIMAL al 21%): </w:t>
      </w:r>
      <w:r>
        <w:rPr>
          <w:rFonts w:ascii="Calibri" w:hAnsi="Calibri"/>
          <w:i w:val="0"/>
          <w:color w:val="2D3748"/>
          <w:sz w:val="20"/>
        </w:rPr>
        <w:t>Sobre la cartera de crédito de $16.4B y la mejora de NIMAL al 21%: ¿hasta qué punto se sienten cómodos acelerando la emisión de tarjetas en México y Brasil?</w:t>
      </w:r>
    </w:p>
    <w:p>
      <w:pPr>
        <w:spacing w:before="40" w:after="80" w:line="276" w:lineRule="auto"/>
      </w:pPr>
      <w:r>
        <w:rPr>
          <w:rFonts w:ascii="Calibri" w:hAnsi="Calibri"/>
          <w:b/>
          <w:color w:val="2D3748"/>
          <w:sz w:val="20"/>
        </w:rPr>
        <w:t xml:space="preserve">• Respuesta (Osvaldo Giménez - Presidente de FinTech): </w:t>
      </w:r>
      <w:r>
        <w:rPr>
          <w:rFonts w:ascii="Calibri" w:hAnsi="Calibri"/>
          <w:i w:val="0"/>
          <w:color w:val="2D3748"/>
          <w:sz w:val="20"/>
        </w:rPr>
        <w:t>Nos sentimos sumamente cómodos porque más del 80% de las nuevas emisiones van dirigidas a usuarios con historial previo dentro de nuestro marketplace. Sabemos exactamente cuánto venden o compran, lo que nos da una ventaja predictiva muy superior a la de cualquier banco tradicional.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Sinergia única entre Marketplace y Fintech; el historial de compras reduce radicalmente la asimetría de información crediticia.</w:t>
      </w:r>
    </w:p>
    <w:p>
      <w:pPr>
        <w:keepNext/>
        <w:spacing w:before="200" w:after="80"/>
      </w:pPr>
      <w:r>
        <w:rPr>
          <w:rFonts w:ascii="Calibri" w:hAnsi="Calibri"/>
          <w:b/>
          <w:color w:val="4A5568"/>
          <w:sz w:val="22"/>
        </w:rPr>
        <w:t>3. Goldman Sachs — Irma Sgarz</w:t>
      </w:r>
    </w:p>
    <w:p>
      <w:pPr>
        <w:spacing w:before="40" w:after="80" w:line="276" w:lineRule="auto"/>
      </w:pPr>
      <w:r>
        <w:rPr>
          <w:rFonts w:ascii="Calibri" w:hAnsi="Calibri"/>
          <w:b/>
          <w:color w:val="2D3748"/>
          <w:sz w:val="20"/>
        </w:rPr>
        <w:t xml:space="preserve">• Pregunta 1 (Monetización de Publicidad Digital Mercado Ads): </w:t>
      </w:r>
      <w:r>
        <w:rPr>
          <w:rFonts w:ascii="Calibri" w:hAnsi="Calibri"/>
          <w:i w:val="0"/>
          <w:color w:val="2D3748"/>
          <w:sz w:val="20"/>
        </w:rPr>
        <w:t>¿Qué rol está jugando Mercado Ads en la rentabilidad consolidada frente a las inversiones en envíos?</w:t>
      </w:r>
    </w:p>
    <w:p>
      <w:pPr>
        <w:spacing w:before="40" w:after="80" w:line="276" w:lineRule="auto"/>
      </w:pPr>
      <w:r>
        <w:rPr>
          <w:rFonts w:ascii="Calibri" w:hAnsi="Calibri"/>
          <w:b/>
          <w:color w:val="2D3748"/>
          <w:sz w:val="20"/>
        </w:rPr>
        <w:t xml:space="preserve">• Respuesta (Ariel Szarfsztejn - CEO): </w:t>
      </w:r>
      <w:r>
        <w:rPr>
          <w:rFonts w:ascii="Calibri" w:hAnsi="Calibri"/>
          <w:i w:val="0"/>
          <w:color w:val="2D3748"/>
          <w:sz w:val="20"/>
        </w:rPr>
        <w:t>Mercado Ads es nuestro flujo de más alto margen. A medida que el tráfico del marketplace crece al 50%, la demanda de los vendedores por visibilidad se dispara, convirtiendo la publicidad en el mayor amortiguador natural del costo logístico.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Flujo de ingresos con márgenes brutos superiores al 80% que financia el foso de envíos rápidos.</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de la dirección de MercadoLibre a lo largo de los últimos 5 trimestres consecutivos (Q2 2025 a Q2 2026), auditando el cumplimiento de metas (Say-Do Ratio), la mutación de los factores de riesgo y la credibilidad directiva: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Lanzamiento de reducción de umbral de envío gratis en Brasil y programa de afiliados.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Temor de Wall Street a una caída destructiva de márgenes por absorción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crecieron al +42% y el volumen aceleró inmediatamente en Brasil.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(Apuesta validada)</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volatilidad electoral en Argentina y sostener el ritmo de TPV.</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Incertidumbre cambiaria y desaceleración del consumo en el cono sur.</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Crecimiento resiliente con expansión de cuota de mercado en pagos digitales.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(Resiliencia macro)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Cierre de año con aceleración en comercio e inversión masiva en modelos de 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logística en Black Friday y picos estacionales de fin de año.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+45% YoY con GMV en Brasil creciendo al 35% y piezas al 45%.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anual)</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Arranque de año priorizando volumen (+49% YoY) y expansión de tarjetas de crédito.</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Compresión de margen EBIT por absorción de costos anuales de envío gratis.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EBIT de $611M (6.9% margen) y emisión de 2.7M de nuevas tarjetas de crédito.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(Guía confirmada)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$10B en ingresos trimestrales y mejorar el retorno crediticio (NIMAL).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Competencia en adquirencia física en México y costos de financiamiento.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$10.0B+ (+50% YoY), cartera en $16.4B y NIMAL sube al 21%.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(Hito histórico)</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Absorción Logística por Envíos Gratis en Brasil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Excelente evolución: La masa crítica de volumen abarató el coste por paquete y fidelizó compradores.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Inestabilidad Macroeconómica e Inflación en Argentina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óptima: Mercado Libre demostró pricing power y Mercado Pago absorbió el ahorro de los usuarios.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Competencia de Plataformas Transfronterizas (Shopee, Shein, Temu)</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entrega en 24h y los centros locales neutralizaron la amenaza de envíos lentos de Asia.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Deterioro Potencial de Calidad Crediticia por Rápida Expansión</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Riesgo controlado: Los modelos de IA mantuvieron la mora 15-90d en niveles predecibles de ~7%.</w:t>
            </w:r>
          </w:p>
        </w:tc>
      </w:tr>
      <w:tr>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Q2 2026</w:t>
            </w:r>
          </w:p>
        </w:tc>
        <w:tc>
          <w:tcPr>
            <w:tcW w:type="dxa" w:w="3168"/>
            <w:shd w:fill="E2E8F0"/>
            <w:tcMar>
              <w:top w:w="80" w:type="dxa"/>
              <w:bottom w:w="80" w:type="dxa"/>
              <w:left w:w="120" w:type="dxa"/>
              <w:right w:w="120" w:type="dxa"/>
            </w:tcMar>
          </w:tcPr>
          <w:p>
            <w:pPr>
              <w:spacing w:before="0" w:after="0"/>
              <w:jc w:val="left"/>
            </w:pPr>
            <w:r>
              <w:rPr>
                <w:rFonts w:ascii="Calibri" w:hAnsi="Calibri"/>
                <w:b/>
                <w:color w:val="2D3748"/>
                <w:sz w:val="18"/>
              </w:rPr>
              <w:t>Compresión de Margen Operativo frente a Exigencias de Wall Street</w:t>
            </w:r>
          </w:p>
        </w:tc>
        <w:tc>
          <w:tcPr>
            <w:tcW w:type="dxa" w:w="1728"/>
            <w:shd w:fill="E2E8F0"/>
            <w:tcMar>
              <w:top w:w="80" w:type="dxa"/>
              <w:bottom w:w="80" w:type="dxa"/>
              <w:left w:w="120" w:type="dxa"/>
              <w:right w:w="120" w:type="dxa"/>
            </w:tcMar>
          </w:tcPr>
          <w:p>
            <w:pPr>
              <w:spacing w:before="0" w:after="0"/>
              <w:jc w:val="center"/>
            </w:pPr>
            <w:r>
              <w:rPr>
                <w:rFonts w:ascii="Calibri" w:hAnsi="Calibri"/>
                <w:b/>
                <w:color w:val="2D3748"/>
                <w:sz w:val="18"/>
              </w:rPr>
              <w:t>Alerta Media</w:t>
            </w:r>
          </w:p>
        </w:tc>
        <w:tc>
          <w:tcPr>
            <w:tcW w:type="dxa" w:w="3456"/>
            <w:shd w:fill="E2E8F0"/>
            <w:tcMar>
              <w:top w:w="80" w:type="dxa"/>
              <w:bottom w:w="80" w:type="dxa"/>
              <w:left w:w="120" w:type="dxa"/>
              <w:right w:w="120" w:type="dxa"/>
            </w:tcMar>
          </w:tcPr>
          <w:p>
            <w:pPr>
              <w:spacing w:before="0" w:after="0"/>
              <w:jc w:val="left"/>
            </w:pPr>
            <w:r>
              <w:rPr>
                <w:rFonts w:ascii="Calibri" w:hAnsi="Calibri"/>
                <w:b/>
                <w:color w:val="2D3748"/>
                <w:sz w:val="18"/>
              </w:rPr>
              <w:t>Estrategia deliberada: El management comunicó con total claridad que antepone la captura de mercado.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defensa de márgenes a la captura agresiva de cuota de mercado: </w:t>
      </w:r>
      <w:r>
        <w:rPr>
          <w:rFonts w:ascii="Calibri" w:hAnsi="Calibri"/>
          <w:i w:val="0"/>
          <w:color w:val="2D3748"/>
          <w:sz w:val="20"/>
        </w:rPr>
        <w:t>MercadoLibre ha demostrado que su foso defensivo se ensancha cuando reinvierte sus márgenes en precios y velocidad logística, haciendo imposible la entrada rentable a competidores globales.</w:t>
      </w:r>
    </w:p>
    <w:p>
      <w:pPr>
        <w:spacing w:before="40" w:after="80" w:line="276" w:lineRule="auto"/>
      </w:pPr>
      <w:r>
        <w:rPr>
          <w:rFonts w:ascii="Calibri" w:hAnsi="Calibri"/>
          <w:b/>
          <w:color w:val="2D3748"/>
          <w:sz w:val="20"/>
        </w:rPr>
        <w:t xml:space="preserve">• El crédito como palanca de aceleración controlada: </w:t>
      </w:r>
      <w:r>
        <w:rPr>
          <w:rFonts w:ascii="Calibri" w:hAnsi="Calibri"/>
          <w:i w:val="0"/>
          <w:color w:val="2D3748"/>
          <w:sz w:val="20"/>
        </w:rPr>
        <w:t>A diferencia de 2022 donde la inflación forzó una pausa crediticia, en 2025-2026 la compañía domina la originación mediante IA, manteniendo un spread NIMAL del 21% sobre una cartera de $16.4B.</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Transparencia y Consistencia Estratégica: El equipo directivo ha cumplido rigurosamente lo prometido en 5 de los últimos 5 trimestres, explicando con anticipación cualquier compresión de márgenes como una inversión deliberada en crecimiento.</w:t>
            </w:r>
          </w:p>
          <w:p>
            <w:pPr>
              <w:spacing w:before="40" w:after="40" w:line="276" w:lineRule="auto"/>
            </w:pPr>
            <w:r>
              <w:rPr>
                <w:rFonts w:ascii="Calibri" w:hAnsi="Calibri"/>
                <w:color w:val="2D3748"/>
                <w:sz w:val="19"/>
              </w:rPr>
              <w:t>• Capacidad de Ejecución Sobresaliente: Superar los $10B en un trimestre con un crecimiento del 50% confirma una de las mejores ejecuciones operativas de la historia corporativa latinoamericana.</w:t>
            </w:r>
          </w:p>
          <w:p>
            <w:pPr>
              <w:spacing w:before="40" w:after="40" w:line="276" w:lineRule="auto"/>
            </w:pPr>
            <w:r>
              <w:rPr>
                <w:rFonts w:ascii="Calibri" w:hAnsi="Calibri"/>
                <w:color w:val="2D3748"/>
                <w:sz w:val="19"/>
              </w:rPr>
              <w:t>• Resiliencia del Ecosistema: La capacidad de equilibrar retail, logística propia y fintech bajo un mismo techo operativo demuestra un liderazgo visionario y disciplinado.</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MercadoLibre combina un balance comercial con alta liquidez y una estructura de financiamiento crediticio prudente y diversificada: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$4,100.0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$3,750.0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+9.3%</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Elevada liquidez para respaldo operativo y de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Neta de Préstamos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$15,100.0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$10,350.0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respaldado por provisiones robustas.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$5,400.0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$5,100.0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+5.9%</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Compuesta principalmente por notas convertibles y líneas sindicadas.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(Stockholders' Equity)</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$4,850.0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$3,680.0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+31.8%</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Rápida capitalización orgánica impulsada por beneficios retenidos.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MercadoLibre financia su cartera de créditos mediante una combinación de fondos propios, depósitos en billeteras digitales y securitizaciones (fideicomisos financieros), limitando la exposición del balance central.</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La compañía reinvierte prácticamente el 100% de sus beneficios operativos en el crecimiento del ecosistema, manteniendo una política conservadora de retorno de capital sin pago de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Reinversión Orgánica (CapEx + Crédito)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Expansión logística y de créditos</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Tasa de reinversión de alto rendimiento que sostiene el foso defensivo.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Preservación de capital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Prioridad absoluta en compounder growth de dos dígitos.</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Eficiencia fiscal óptima para inversores de crecimiento.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compensación basada en acciones (SBC) se mantiene controlada en torno al 2.5% de los ingresos netos, alineando los incentivos de la dirección con la creación de valor por acción a largo plazo.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Red de Centros de Fulfillment</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~$980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Apertura de nuevos mega-hubs en Brasil, México y Colombia para blindar la promesa de entrega en 24 horas.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Crecimiento de Cartera Mercado Crédito</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Asignación de Capital Crediticio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$16,400 M en cartera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Despliegue selectivo de préstamos con foco en tarjetas de crédito de bajo riesgo y expansión de NIMAL al 21%.</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Desarrollo e Inversión en Inteligencia Artificial</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Gasto I+D y Software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~$1,850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Optimización de rutas de reparto, modelos de riesgo crediticio automatizado y personalización publicitaria en Mercado Ads.</w:t>
            </w:r>
          </w:p>
        </w:tc>
      </w:tr>
    </w:tbl>
    <w:p>
      <w:pPr>
        <w:spacing w:after="120"/>
      </w:pPr>
    </w:p>
    <w:p>
      <w:pPr>
        <w:keepNext/>
        <w:spacing w:before="200" w:after="80"/>
      </w:pPr>
      <w:r>
        <w:rPr>
          <w:rFonts w:ascii="Calibri" w:hAnsi="Calibri"/>
          <w:b/>
          <w:color w:val="4A5568"/>
          <w:sz w:val="22"/>
        </w:rPr>
        <w:t>6.4. Política de Inversión, Eficiencia Logística y Flujo de Caja Libre</w:t>
      </w:r>
    </w:p>
    <w:p>
      <w:pPr>
        <w:spacing w:before="40" w:after="80" w:line="276" w:lineRule="auto"/>
      </w:pPr>
      <w:r>
        <w:rPr>
          <w:rFonts w:ascii="Calibri" w:hAnsi="Calibri"/>
          <w:i w:val="0"/>
          <w:color w:val="2D3748"/>
          <w:sz w:val="20"/>
        </w:rPr>
        <w:t>MercadoLibre reinvierte activamente su flujo operativo en infraestructura logística y desarrollo de software, priorizando la expansión de escala y el afianzamiento de sus fosos sobre la rentabilidad a corto plazo:</w:t>
      </w:r>
    </w:p>
    <w:p>
      <w:pPr>
        <w:spacing w:before="40" w:after="80" w:line="276" w:lineRule="auto"/>
      </w:pPr>
      <w:r>
        <w:rPr>
          <w:rFonts w:ascii="Calibri" w:hAnsi="Calibri"/>
          <w:b/>
          <w:color w:val="2D3748"/>
          <w:sz w:val="20"/>
        </w:rPr>
        <w:t xml:space="preserve">• CapEx Logístico de Alto Retorno: </w:t>
      </w:r>
      <w:r>
        <w:rPr>
          <w:rFonts w:ascii="Calibri" w:hAnsi="Calibri"/>
          <w:i w:val="0"/>
          <w:color w:val="2D3748"/>
          <w:sz w:val="20"/>
        </w:rPr>
        <w:t>La inversión en flota y almacenes automatizados reduce el coste unitario por entrega y consolida la ventaja de entrega en el mismo día.</w:t>
      </w:r>
    </w:p>
    <w:p>
      <w:pPr>
        <w:spacing w:before="40" w:after="80" w:line="276" w:lineRule="auto"/>
      </w:pPr>
      <w:r>
        <w:rPr>
          <w:rFonts w:ascii="Calibri" w:hAnsi="Calibri"/>
          <w:b/>
          <w:color w:val="2D3748"/>
          <w:sz w:val="20"/>
        </w:rPr>
        <w:t xml:space="preserve">• FCF Ajustado Sólido: </w:t>
      </w:r>
      <w:r>
        <w:rPr>
          <w:rFonts w:ascii="Calibri" w:hAnsi="Calibri"/>
          <w:i w:val="0"/>
          <w:color w:val="2D3748"/>
          <w:sz w:val="20"/>
        </w:rPr>
        <w:t>A pesar del hipercrecimiento y del fondeo de la cartera de crédito, la compañía generó $214M en FCF ajustado en el último trimestre, respaldando más de $4,100M en liquidez total.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posición de dominio de MercadoLibre en América Latina está protegida por un Foso Defensivo Amplio (Wide Moat / Dorsey Framework), blindado por efectos de red bilaterales masivos, infraestructura logística propia irreplicable y altos costes de cambio en su ecosistema financiero:</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 de Red Bilateral (Two-Sided Network)</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 60 millones de compradores activos y millones de vendedores en la misma plataforma; más oferta atrae más demanda y viceversa de forma orgánica.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insalvable para nuevos competidores regionales; el Marketplace de referencia obligatorio en Brasil, México y Argentina.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Infraestructura Logística Propia (Mercado Envíos)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Red masiva de centros de fulfillment y despacho que entrega más del 50% de los paquetes el mismo día o al día siguiente en las principales metrópolis.</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Ventaja de coste de escala inalcanzable; la reducción del umbral de envío gratis en Brasil dispara el volumen y ahoga a rivales locales.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y Ecosistema Mercado Pago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Comerciantes y usuarios retienen saldos en la cuenta remunerada, cobran con lectores Point y financian sus compras mediante Mercado Crédito en un solo clic.</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Retención superior y fidelidad transaccional; el usuario migra naturalmente de consumidor de e-commerce a cliente bancarizado.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Datos y Scoring Crediticio Propietario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Algoritmos de inteligencia artificial entrenados con miles de millones de transacciones de compraventa para estimar el riesgo crediticio en tiempo real.</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 otorgar crédito con mejor selección de riesgo (NIMAL del 21%) frente a bancos tradicionales que carecen de visibilidad operativa.</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Círculo Virtuoso (Flywheel) entre Comercio y Fintech</w:t>
      </w:r>
    </w:p>
    <w:p>
      <w:pPr>
        <w:spacing w:before="40" w:after="80" w:line="276" w:lineRule="auto"/>
      </w:pPr>
      <w:r>
        <w:rPr>
          <w:rFonts w:ascii="Calibri" w:hAnsi="Calibri"/>
          <w:b/>
          <w:color w:val="2D3748"/>
          <w:sz w:val="20"/>
        </w:rPr>
        <w:t xml:space="preserve">• Comercio alimenta FinTech: </w:t>
      </w:r>
      <w:r>
        <w:rPr>
          <w:rFonts w:ascii="Calibri" w:hAnsi="Calibri"/>
          <w:i w:val="0"/>
          <w:color w:val="2D3748"/>
          <w:sz w:val="20"/>
        </w:rPr>
        <w:t>El volumen transaccional del marketplace genera liquidez cautiva inmediata en las billeteras digitales de Mercado Pago sin coste de adquisición de clientes.</w:t>
      </w:r>
    </w:p>
    <w:p>
      <w:pPr>
        <w:spacing w:before="40" w:after="80" w:line="276" w:lineRule="auto"/>
      </w:pPr>
      <w:r>
        <w:rPr>
          <w:rFonts w:ascii="Calibri" w:hAnsi="Calibri"/>
          <w:b/>
          <w:color w:val="2D3748"/>
          <w:sz w:val="20"/>
        </w:rPr>
        <w:t xml:space="preserve">• FinTech potencia el Comercio: </w:t>
      </w:r>
      <w:r>
        <w:rPr>
          <w:rFonts w:ascii="Calibri" w:hAnsi="Calibri"/>
          <w:i w:val="0"/>
          <w:color w:val="2D3748"/>
          <w:sz w:val="20"/>
        </w:rPr>
        <w:t>Las líneas de crédito personal y la tarjeta de crédito propia de Mercado Crédito elevan el poder de compra del usuario e incrementan los ítems comprados por usuario en un +19% YoY.</w:t>
      </w:r>
    </w:p>
    <w:p>
      <w:pPr>
        <w:keepNext/>
        <w:spacing w:before="200" w:after="80"/>
      </w:pPr>
      <w:r>
        <w:rPr>
          <w:rFonts w:ascii="Calibri" w:hAnsi="Calibri"/>
          <w:b/>
          <w:color w:val="4A5568"/>
          <w:sz w:val="22"/>
        </w:rPr>
        <w:t>7.3. Densidad Logística como Escudo frente a Gigantes Globales (Amazon / Shopee)</w:t>
      </w:r>
    </w:p>
    <w:p>
      <w:pPr>
        <w:spacing w:before="40" w:after="80" w:line="276" w:lineRule="auto"/>
      </w:pPr>
      <w:r>
        <w:rPr>
          <w:rFonts w:ascii="Calibri" w:hAnsi="Calibri"/>
          <w:b/>
          <w:color w:val="2D3748"/>
          <w:sz w:val="20"/>
        </w:rPr>
        <w:t xml:space="preserve">• Eficiencia por Milla Recorrida: </w:t>
      </w:r>
      <w:r>
        <w:rPr>
          <w:rFonts w:ascii="Calibri" w:hAnsi="Calibri"/>
          <w:i w:val="0"/>
          <w:color w:val="2D3748"/>
          <w:sz w:val="20"/>
        </w:rPr>
        <w:t>La escala logística de MELI en Brasil y México reduce el costo unitario por paquete con cada incremento de volumen, convirtiendo el gasto logístico en un arma competitiva.</w:t>
      </w:r>
    </w:p>
    <w:p>
      <w:pPr>
        <w:spacing w:before="40" w:after="80" w:line="276" w:lineRule="auto"/>
      </w:pPr>
      <w:r>
        <w:rPr>
          <w:rFonts w:ascii="Calibri" w:hAnsi="Calibri"/>
          <w:b/>
          <w:color w:val="2D3748"/>
          <w:sz w:val="20"/>
        </w:rPr>
        <w:t xml:space="preserve">• Cobertura Geográfica Extrema: </w:t>
      </w:r>
      <w:r>
        <w:rPr>
          <w:rFonts w:ascii="Calibri" w:hAnsi="Calibri"/>
          <w:i w:val="0"/>
          <w:color w:val="2D3748"/>
          <w:sz w:val="20"/>
        </w:rPr>
        <w:t>Capacidad de entrega en regiones remotas de América Latina donde competidores transfronterizos tardan semanas o no tienen presencia.</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Superación de $10B en ingresos trimestrales (+50%) y expansión de cartera a $16.4B.</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baten las proyecciones de consenso.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2026-05-07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Ingresos de $4.3B (+49% YoY) y emisión de 2.7M de nuevas tarjetas de crédito.</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2026-04-15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5.07</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Junta General Anual de Accionistas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Reelección del Consejo de Administración y aprobación de auditores independientes.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GOBERNANZA: Respaldo institucional masivo a la gestión estratégica.</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Marcos Galperin</w:t>
              <w:br/>
              <w:t>(Chairman &amp; Founder)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Retención Patrimonial Central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Compromiso estratégico y control accionario de largo plazo.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Ariel Szarfsztejn</w:t>
              <w:br/>
              <w:t>(Chief Executive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+25,000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ejecutiva completa en su liderazgo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Martín de los Santos</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Planes Programados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Operaciones rutinarias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Ventas programadas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Diversificación planificada sin impacto en la convicción interna.</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3 / 8 Puntos | CRECIMIENTO FRÁGIL</w:t>
            </w:r>
          </w:p>
          <w:p>
            <w:pPr>
              <w:spacing w:before="40" w:after="40" w:line="276" w:lineRule="auto"/>
            </w:pPr>
            <w:r>
              <w:rPr>
                <w:rFonts w:ascii="Calibri" w:hAnsi="Calibri"/>
                <w:color w:val="2D3748"/>
                <w:sz w:val="19"/>
              </w:rPr>
              <w:t>Tesis Cuantitativa: MercadoLibre,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MercadoLibre,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($13,905.0M en LTM) respalda con holgura al beneficio neto contable ($1,863.0M),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20.7% vs 21.5% (-0.86%)).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51M vs 51M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42.7% vs 44.5% (-1.83%)) como la productividad de sus activos instalados (Rot 0.75x vs 0.85x (-0.10x)).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3.96%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$13,905.0M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4.0% vs 5.9% (-1.92%)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20.7% vs 21.5% (-0.86%)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1.12x vs 1.17x (-0.05x)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51M vs 51M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42.7% vs 44.5% (-1.83%)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0.75x vs 0.85x (-0.10x)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3 / 8 Puntos en LTM (CRECIMIENTO FRÁGIL) (5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3/8 consolida a MercadoLibre,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4.37% vs Med 8.04%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32.59% vs Med 18.08%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0.57 &lt; 0.38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0.16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6.04% vs Med 9.77%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Reinversión en infraestructura de capital físico (CapEx)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CapEx 3.51% vs Med 4.49%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+21.8% vs SG&amp;A +25.4%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MELI</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MercadoLibre,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29.24% de los Activos Totales (vs. Mediana Sector: 54.46%).</w:t>
            </w:r>
          </w:p>
          <w:p>
            <w:pPr>
              <w:spacing w:before="40" w:after="40" w:line="276" w:lineRule="auto"/>
            </w:pPr>
            <w:r>
              <w:rPr>
                <w:rFonts w:ascii="Calibri" w:hAnsi="Calibri"/>
                <w:color w:val="2D3748"/>
                <w:sz w:val="19"/>
              </w:rPr>
              <w:t>• Gross Profitability Operativa Ex-Caja (LTM): 31.47% de los Activos Operativos (vs. Mediana Sector: 71.88%).</w:t>
            </w:r>
          </w:p>
          <w:p>
            <w:pPr>
              <w:spacing w:before="40" w:after="40" w:line="276" w:lineRule="auto"/>
            </w:pPr>
            <w:r>
              <w:rPr>
                <w:rFonts w:ascii="Calibri" w:hAnsi="Calibri"/>
                <w:color w:val="2D3748"/>
                <w:sz w:val="19"/>
              </w:rPr>
              <w:t>• Efecto Arrastre de Caja (Cash Drag): +2.24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+-25.23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MELI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29.24%?: Por cada $1.00 de activo total en su balance general, la empresa produce $0.29 de utilidad bruta pura al año, antes de deducciones operativas, intereses e impuestos.</w:t>
            </w:r>
          </w:p>
          <w:p>
            <w:pPr>
              <w:spacing w:before="40" w:after="40" w:line="276" w:lineRule="auto"/>
            </w:pPr>
            <w:r>
              <w:rPr>
                <w:rFonts w:ascii="Calibri" w:hAnsi="Calibri"/>
                <w:color w:val="2D3748"/>
                <w:sz w:val="19"/>
              </w:rPr>
              <w:t>3. ¿Qué significa Ex-Caja (31.47%)?: Al excluir el efectivo y valores negociables líquidos (capital ocioso en caja que no produce bienes), el negocio puramente operativo rinde $0.31 por cada dólar en activos operativos en funcionamiento.</w:t>
            </w:r>
          </w:p>
          <w:p>
            <w:pPr>
              <w:spacing w:before="40" w:after="40" w:line="276" w:lineRule="auto"/>
            </w:pPr>
            <w:r>
              <w:rPr>
                <w:rFonts w:ascii="Calibri" w:hAnsi="Calibri"/>
                <w:color w:val="2D3748"/>
                <w:sz w:val="19"/>
              </w:rPr>
              <w:t>4. ¿Qué revela el Cash Drag (+2.24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$0.29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$0.31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+17.41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+-25.23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+-24.33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+-25.23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BAJA PRODUCTIVIDAD DE CAPITAL</w:t>
              <w:br/>
            </w:r>
          </w:p>
          <w:p>
            <w:pPr>
              <w:spacing w:before="40" w:after="40" w:line="276" w:lineRule="auto"/>
            </w:pPr>
            <w:r>
              <w:rPr>
                <w:rFonts w:ascii="Calibri" w:hAnsi="Calibri"/>
                <w:color w:val="2D3748"/>
                <w:sz w:val="19"/>
              </w:rPr>
              <w:t>Alerta de eficiencia: tanto el margen bruto (42.7%) como la rotación (0.69x) se sitúan por debajo de las medianas de la industria. El capital instalado no genera suficiente valor económico por unidad de costo.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(42.68%) × Rotación de Activos (0.685x) = 29.24% (Concilia al 100.0% con GP/A de 29.24%).</w:t>
            </w:r>
          </w:p>
          <w:p>
            <w:pPr>
              <w:spacing w:before="40" w:after="40" w:line="276" w:lineRule="auto"/>
            </w:pPr>
            <w:r>
              <w:rPr>
                <w:rFonts w:ascii="Calibri" w:hAnsi="Calibri"/>
                <w:color w:val="2D3748"/>
                <w:sz w:val="19"/>
              </w:rPr>
              <w:t>• Identidad Operativa Ex-Caja: Margen Bruto (42.68%) × Rotación Ex-Caja (0.737x) = 31.47% (concilia con 31.47%).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-6.51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0.677x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1.119x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-0.43x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0.737x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0.741x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1.231x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+-25.23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-13.86 puntos porcentuales.</w:t>
            </w:r>
          </w:p>
          <w:p>
            <w:pPr>
              <w:spacing w:before="40" w:after="40" w:line="276" w:lineRule="auto"/>
            </w:pPr>
            <w:r>
              <w:rPr>
                <w:rFonts w:ascii="Calibri" w:hAnsi="Calibri"/>
                <w:color w:val="2D3748"/>
                <w:sz w:val="19"/>
              </w:rPr>
              <w:t>• Expansión a 5 Años (vs. FY2021): -0.51 puntos porcentuales.</w:t>
            </w:r>
          </w:p>
          <w:p>
            <w:pPr>
              <w:spacing w:before="40" w:after="40" w:line="276" w:lineRule="auto"/>
            </w:pPr>
            <w:r>
              <w:rPr>
                <w:rFonts w:ascii="Calibri" w:hAnsi="Calibri"/>
                <w:color w:val="2D3748"/>
                <w:sz w:val="19"/>
              </w:rPr>
              <w:t>• Coeficiente de Variación (CV GP/A): 0.160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(-0.51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+2.24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30.14%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0.677x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38.01%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46.09%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0.825x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43.10%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50.41%</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+7.32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50.24%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0.858x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37.84%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43.95%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+6.11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48.22%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0.785x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29.75%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39.98%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+10.23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42.51%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0.700x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26.19%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36.60%</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+10.41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23.05%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32.44%</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0.480x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AMZN</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Amazon.com,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64.62%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Sea Limited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43.67%</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1.23x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-0.56 pp</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MELI</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MERCADOLIBRE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0.69x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-25.23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61.59%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+7.12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MELI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MercadoLibre, Inc. (MELI)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NARROW MOAT / CREACIÓN DE VALOR SOSTENIBLE (SPREAD +7.07 p.p.)</w:t>
              <w:br/>
            </w:r>
          </w:p>
          <w:p>
            <w:pPr>
              <w:spacing w:before="40" w:after="40" w:line="276" w:lineRule="auto"/>
            </w:pPr>
            <w:r>
              <w:rPr>
                <w:rFonts w:ascii="Calibri" w:hAnsi="Calibri"/>
                <w:color w:val="2D3748"/>
                <w:sz w:val="19"/>
              </w:rPr>
              <w:t>• ROC Greenblatt Tangible (LTM): 82.36% (Productividad operativa pura pre-tax sobre capital de trabajo y PP&amp;E físico instalado).</w:t>
            </w:r>
          </w:p>
          <w:p>
            <w:pPr>
              <w:spacing w:before="40" w:after="40" w:line="276" w:lineRule="auto"/>
            </w:pPr>
            <w:r>
              <w:rPr>
                <w:rFonts w:ascii="Calibri" w:hAnsi="Calibri"/>
                <w:color w:val="2D3748"/>
                <w:sz w:val="19"/>
              </w:rPr>
              <w:t>• ROIC Ajustado por Intangibles (LTM): 18.10% frente a un ROIC contable tradicional de 25.45%.</w:t>
            </w:r>
          </w:p>
          <w:p>
            <w:pPr>
              <w:spacing w:before="40" w:after="40" w:line="276" w:lineRule="auto"/>
            </w:pPr>
            <w:r>
              <w:rPr>
                <w:rFonts w:ascii="Calibri" w:hAnsi="Calibri"/>
                <w:color w:val="2D3748"/>
                <w:sz w:val="19"/>
              </w:rPr>
              <w:t>• Costo Promedio Ponderado de Capital (WACC): 11.03% (Costo del Equity Ke: 11.67%, Deuda Neta Kd: 5.50%).</w:t>
            </w:r>
          </w:p>
          <w:p>
            <w:pPr>
              <w:spacing w:before="40" w:after="40" w:line="276" w:lineRule="auto"/>
            </w:pPr>
            <w:r>
              <w:rPr>
                <w:rFonts w:ascii="Calibri" w:hAnsi="Calibri"/>
                <w:color w:val="2D3748"/>
                <w:sz w:val="19"/>
              </w:rPr>
              <w:t>• Spread Económico Neto: +7.07 p.p. de rendimiento por encima del costo de capital exigido por el mercado.</w:t>
            </w:r>
          </w:p>
          <w:p>
            <w:pPr>
              <w:spacing w:before="40" w:after="40" w:line="276" w:lineRule="auto"/>
            </w:pPr>
            <w:r>
              <w:rPr>
                <w:rFonts w:ascii="Calibri" w:hAnsi="Calibri"/>
                <w:color w:val="2D3748"/>
                <w:sz w:val="19"/>
              </w:rPr>
              <w:t>• Stock de Intangibles Fuera de Balance: $7,912.4M capitalizados en innovación y amortizados económicamente a 3 años.</w:t>
            </w:r>
          </w:p>
          <w:p>
            <w:pPr>
              <w:spacing w:before="40" w:after="40" w:line="276" w:lineRule="auto"/>
            </w:pPr>
            <w:r>
              <w:rPr>
                <w:rFonts w:ascii="Calibri" w:hAnsi="Calibri"/>
                <w:color w:val="2D3748"/>
                <w:sz w:val="19"/>
              </w:rPr>
              <w:t>• Tesis de Foso Defensivo: El negocio genera un Spread positivo de +7.07 p.p. sobre el WACC (11.03%), demostrando capacidad de generar valor económico superior a la media de forma constante frente a sus competidores.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$1821.81</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$92,360.8M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1.36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MercadoLibre, Inc., el ROC de 82.36%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$2,907.0M</w:t>
            </w:r>
          </w:p>
        </w:tc>
        <w:tc>
          <w:tcPr>
            <w:tcW w:type="dxa" w:w="1958"/>
            <w:tcMar>
              <w:top w:w="60" w:type="dxa"/>
              <w:bottom w:w="60" w:type="dxa"/>
              <w:left w:w="100" w:type="dxa"/>
              <w:right w:w="100" w:type="dxa"/>
            </w:tcMar>
          </w:tcPr>
          <w:p>
            <w:r>
              <w:rPr>
                <w:sz w:val="17"/>
              </w:rPr>
              <w:t>$3,201.0M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$37,133.0M</w:t>
            </w:r>
          </w:p>
        </w:tc>
        <w:tc>
          <w:tcPr>
            <w:tcW w:type="dxa" w:w="1958"/>
            <w:tcMar>
              <w:top w:w="60" w:type="dxa"/>
              <w:bottom w:w="60" w:type="dxa"/>
              <w:left w:w="100" w:type="dxa"/>
              <w:right w:w="100" w:type="dxa"/>
            </w:tcMar>
            <w:shd w:fill="F7FAFC"/>
          </w:tcPr>
          <w:p>
            <w:r>
              <w:rPr>
                <w:sz w:val="17"/>
              </w:rPr>
              <w:t>$29,903.0M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$36,372.0M</w:t>
            </w:r>
          </w:p>
        </w:tc>
        <w:tc>
          <w:tcPr>
            <w:tcW w:type="dxa" w:w="1958"/>
            <w:tcMar>
              <w:top w:w="60" w:type="dxa"/>
              <w:bottom w:w="60" w:type="dxa"/>
              <w:left w:w="100" w:type="dxa"/>
              <w:right w:w="100" w:type="dxa"/>
            </w:tcMar>
          </w:tcPr>
          <w:p>
            <w:r>
              <w:rPr>
                <w:sz w:val="17"/>
              </w:rPr>
              <w:t>$28,633.0M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$761.0M</w:t>
            </w:r>
          </w:p>
        </w:tc>
        <w:tc>
          <w:tcPr>
            <w:tcW w:type="dxa" w:w="1958"/>
            <w:tcMar>
              <w:top w:w="60" w:type="dxa"/>
              <w:bottom w:w="60" w:type="dxa"/>
              <w:left w:w="100" w:type="dxa"/>
              <w:right w:w="100" w:type="dxa"/>
            </w:tcMar>
            <w:shd w:fill="F7FAFC"/>
          </w:tcPr>
          <w:p>
            <w:r>
              <w:rPr>
                <w:sz w:val="17"/>
              </w:rPr>
              <w:t>$1,270.0M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$2,725.0M</w:t>
            </w:r>
          </w:p>
        </w:tc>
        <w:tc>
          <w:tcPr>
            <w:tcW w:type="dxa" w:w="1958"/>
            <w:tcMar>
              <w:top w:w="60" w:type="dxa"/>
              <w:bottom w:w="60" w:type="dxa"/>
              <w:left w:w="100" w:type="dxa"/>
              <w:right w:w="100" w:type="dxa"/>
            </w:tcMar>
          </w:tcPr>
          <w:p>
            <w:r>
              <w:rPr>
                <w:sz w:val="17"/>
              </w:rPr>
              <w:t>$2,303.0M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$3,486.0M</w:t>
            </w:r>
          </w:p>
        </w:tc>
        <w:tc>
          <w:tcPr>
            <w:tcW w:type="dxa" w:w="1958"/>
            <w:tcMar>
              <w:top w:w="60" w:type="dxa"/>
              <w:bottom w:w="60" w:type="dxa"/>
              <w:left w:w="100" w:type="dxa"/>
              <w:right w:w="100" w:type="dxa"/>
            </w:tcMar>
            <w:shd w:fill="F7FAFC"/>
          </w:tcPr>
          <w:p>
            <w:r>
              <w:rPr>
                <w:sz w:val="17"/>
              </w:rPr>
              <w:t>$3,573.0M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$3,529.5M</w:t>
            </w:r>
          </w:p>
        </w:tc>
        <w:tc>
          <w:tcPr>
            <w:tcW w:type="dxa" w:w="1958"/>
            <w:tcMar>
              <w:top w:w="60" w:type="dxa"/>
              <w:bottom w:w="60" w:type="dxa"/>
              <w:left w:w="100" w:type="dxa"/>
              <w:right w:w="100" w:type="dxa"/>
            </w:tcMar>
          </w:tcPr>
          <w:p>
            <w:r>
              <w:rPr>
                <w:sz w:val="17"/>
              </w:rPr>
              <w:t>$2,928.5M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82.36%</w:t>
            </w:r>
          </w:p>
        </w:tc>
        <w:tc>
          <w:tcPr>
            <w:tcW w:type="dxa" w:w="1958"/>
            <w:tcMar>
              <w:top w:w="60" w:type="dxa"/>
              <w:bottom w:w="60" w:type="dxa"/>
              <w:left w:w="100" w:type="dxa"/>
              <w:right w:w="100" w:type="dxa"/>
            </w:tcMar>
            <w:shd w:fill="F7FAFC"/>
            <w:shd w:fill="E2EFDA"/>
          </w:tcPr>
          <w:p>
            <w:r>
              <w:rPr>
                <w:b/>
                <w:sz w:val="17"/>
              </w:rPr>
              <w:t>109.31%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(25.45%) sobrestima el retorno al mandar el I+D a gasto inmediato. La metodología Damodaran capitaliza la innovación a 3 años, reconociendo $7,912.4M de intangibles fuera de balance. El ROIC Ajustado resultante de 18.10% refleja el verdadero retorno económico sobre el capital total invertido ($18,531.3M).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73.58%</w:t>
            </w:r>
          </w:p>
        </w:tc>
        <w:tc>
          <w:tcPr>
            <w:tcW w:type="dxa" w:w="1399"/>
            <w:tcMar>
              <w:top w:w="60" w:type="dxa"/>
              <w:bottom w:w="60" w:type="dxa"/>
              <w:left w:w="100" w:type="dxa"/>
              <w:right w:w="100" w:type="dxa"/>
            </w:tcMar>
          </w:tcPr>
          <w:p>
            <w:r>
              <w:rPr>
                <w:b/>
                <w:sz w:val="17"/>
              </w:rPr>
              <w:t>30.88%</w:t>
            </w:r>
          </w:p>
        </w:tc>
        <w:tc>
          <w:tcPr>
            <w:tcW w:type="dxa" w:w="1399"/>
            <w:tcMar>
              <w:top w:w="60" w:type="dxa"/>
              <w:bottom w:w="60" w:type="dxa"/>
              <w:left w:w="100" w:type="dxa"/>
              <w:right w:w="100" w:type="dxa"/>
            </w:tcMar>
          </w:tcPr>
          <w:p>
            <w:r>
              <w:rPr>
                <w:b/>
                <w:sz w:val="17"/>
              </w:rPr>
              <w:t>36.82%</w:t>
            </w:r>
          </w:p>
        </w:tc>
        <w:tc>
          <w:tcPr>
            <w:tcW w:type="dxa" w:w="1399"/>
            <w:tcMar>
              <w:top w:w="60" w:type="dxa"/>
              <w:bottom w:w="60" w:type="dxa"/>
              <w:left w:w="100" w:type="dxa"/>
              <w:right w:w="100" w:type="dxa"/>
            </w:tcMar>
          </w:tcPr>
          <w:p>
            <w:r>
              <w:rPr>
                <w:sz w:val="17"/>
              </w:rPr>
              <w:t>$1,738.6M</w:t>
            </w:r>
          </w:p>
        </w:tc>
        <w:tc>
          <w:tcPr>
            <w:tcW w:type="dxa" w:w="1399"/>
            <w:tcMar>
              <w:top w:w="60" w:type="dxa"/>
              <w:bottom w:w="60" w:type="dxa"/>
              <w:left w:w="100" w:type="dxa"/>
              <w:right w:w="100" w:type="dxa"/>
            </w:tcMar>
          </w:tcPr>
          <w:p>
            <w:r>
              <w:rPr>
                <w:sz w:val="17"/>
              </w:rPr>
              <w:t>$2,777.4M</w:t>
            </w:r>
          </w:p>
        </w:tc>
        <w:tc>
          <w:tcPr>
            <w:tcW w:type="dxa" w:w="1399"/>
            <w:tcMar>
              <w:top w:w="60" w:type="dxa"/>
              <w:bottom w:w="60" w:type="dxa"/>
              <w:left w:w="100" w:type="dxa"/>
              <w:right w:w="100" w:type="dxa"/>
            </w:tcMar>
          </w:tcPr>
          <w:p>
            <w:r>
              <w:rPr>
                <w:b/>
                <w:sz w:val="17"/>
              </w:rPr>
              <w:t>+25.79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93.73%</w:t>
            </w:r>
          </w:p>
        </w:tc>
        <w:tc>
          <w:tcPr>
            <w:tcW w:type="dxa" w:w="1399"/>
            <w:tcMar>
              <w:top w:w="60" w:type="dxa"/>
              <w:bottom w:w="60" w:type="dxa"/>
              <w:left w:w="100" w:type="dxa"/>
              <w:right w:w="100" w:type="dxa"/>
            </w:tcMar>
            <w:shd w:fill="F7FAFC"/>
          </w:tcPr>
          <w:p>
            <w:r>
              <w:rPr>
                <w:b/>
                <w:sz w:val="17"/>
              </w:rPr>
              <w:t>41.09%</w:t>
            </w:r>
          </w:p>
        </w:tc>
        <w:tc>
          <w:tcPr>
            <w:tcW w:type="dxa" w:w="1399"/>
            <w:tcMar>
              <w:top w:w="60" w:type="dxa"/>
              <w:bottom w:w="60" w:type="dxa"/>
              <w:left w:w="100" w:type="dxa"/>
              <w:right w:w="100" w:type="dxa"/>
            </w:tcMar>
            <w:shd w:fill="F7FAFC"/>
          </w:tcPr>
          <w:p>
            <w:r>
              <w:rPr>
                <w:b/>
                <w:sz w:val="17"/>
              </w:rPr>
              <w:t>45.18%</w:t>
            </w:r>
          </w:p>
        </w:tc>
        <w:tc>
          <w:tcPr>
            <w:tcW w:type="dxa" w:w="1399"/>
            <w:tcMar>
              <w:top w:w="60" w:type="dxa"/>
              <w:bottom w:w="60" w:type="dxa"/>
              <w:left w:w="100" w:type="dxa"/>
              <w:right w:w="100" w:type="dxa"/>
            </w:tcMar>
            <w:shd w:fill="F7FAFC"/>
          </w:tcPr>
          <w:p>
            <w:r>
              <w:rPr>
                <w:sz w:val="17"/>
              </w:rPr>
              <w:t>$2,962.8M</w:t>
            </w:r>
          </w:p>
        </w:tc>
        <w:tc>
          <w:tcPr>
            <w:tcW w:type="dxa" w:w="1399"/>
            <w:tcMar>
              <w:top w:w="60" w:type="dxa"/>
              <w:bottom w:w="60" w:type="dxa"/>
              <w:left w:w="100" w:type="dxa"/>
              <w:right w:w="100" w:type="dxa"/>
            </w:tcMar>
            <w:shd w:fill="F7FAFC"/>
          </w:tcPr>
          <w:p>
            <w:r>
              <w:rPr>
                <w:sz w:val="17"/>
              </w:rPr>
              <w:t>$4,822.2M</w:t>
            </w:r>
          </w:p>
        </w:tc>
        <w:tc>
          <w:tcPr>
            <w:tcW w:type="dxa" w:w="1399"/>
            <w:tcMar>
              <w:top w:w="60" w:type="dxa"/>
              <w:bottom w:w="60" w:type="dxa"/>
              <w:left w:w="100" w:type="dxa"/>
              <w:right w:w="100" w:type="dxa"/>
            </w:tcMar>
            <w:shd w:fill="F7FAFC"/>
          </w:tcPr>
          <w:p>
            <w:r>
              <w:rPr>
                <w:b/>
                <w:sz w:val="17"/>
              </w:rPr>
              <w:t>+34.15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139.46%</w:t>
            </w:r>
          </w:p>
        </w:tc>
        <w:tc>
          <w:tcPr>
            <w:tcW w:type="dxa" w:w="1399"/>
            <w:tcMar>
              <w:top w:w="60" w:type="dxa"/>
              <w:bottom w:w="60" w:type="dxa"/>
              <w:left w:w="100" w:type="dxa"/>
              <w:right w:w="100" w:type="dxa"/>
            </w:tcMar>
          </w:tcPr>
          <w:p>
            <w:r>
              <w:rPr>
                <w:b/>
                <w:sz w:val="17"/>
              </w:rPr>
              <w:t>59.42%</w:t>
            </w:r>
          </w:p>
        </w:tc>
        <w:tc>
          <w:tcPr>
            <w:tcW w:type="dxa" w:w="1399"/>
            <w:tcMar>
              <w:top w:w="60" w:type="dxa"/>
              <w:bottom w:w="60" w:type="dxa"/>
              <w:left w:w="100" w:type="dxa"/>
              <w:right w:w="100" w:type="dxa"/>
            </w:tcMar>
          </w:tcPr>
          <w:p>
            <w:r>
              <w:rPr>
                <w:b/>
                <w:sz w:val="17"/>
              </w:rPr>
              <w:t>50.17%</w:t>
            </w:r>
          </w:p>
        </w:tc>
        <w:tc>
          <w:tcPr>
            <w:tcW w:type="dxa" w:w="1399"/>
            <w:tcMar>
              <w:top w:w="60" w:type="dxa"/>
              <w:bottom w:w="60" w:type="dxa"/>
              <w:left w:w="100" w:type="dxa"/>
              <w:right w:w="100" w:type="dxa"/>
            </w:tcMar>
          </w:tcPr>
          <w:p>
            <w:r>
              <w:rPr>
                <w:sz w:val="17"/>
              </w:rPr>
              <w:t>$4,622.2M</w:t>
            </w:r>
          </w:p>
        </w:tc>
        <w:tc>
          <w:tcPr>
            <w:tcW w:type="dxa" w:w="1399"/>
            <w:tcMar>
              <w:top w:w="60" w:type="dxa"/>
              <w:bottom w:w="60" w:type="dxa"/>
              <w:left w:w="100" w:type="dxa"/>
              <w:right w:w="100" w:type="dxa"/>
            </w:tcMar>
          </w:tcPr>
          <w:p>
            <w:r>
              <w:rPr>
                <w:sz w:val="17"/>
              </w:rPr>
              <w:t>$7,321.0M</w:t>
            </w:r>
          </w:p>
        </w:tc>
        <w:tc>
          <w:tcPr>
            <w:tcW w:type="dxa" w:w="1399"/>
            <w:tcMar>
              <w:top w:w="60" w:type="dxa"/>
              <w:bottom w:w="60" w:type="dxa"/>
              <w:left w:w="100" w:type="dxa"/>
              <w:right w:w="100" w:type="dxa"/>
            </w:tcMar>
          </w:tcPr>
          <w:p>
            <w:r>
              <w:rPr>
                <w:b/>
                <w:sz w:val="17"/>
              </w:rPr>
              <w:t>+39.14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132.38%</w:t>
            </w:r>
          </w:p>
        </w:tc>
        <w:tc>
          <w:tcPr>
            <w:tcW w:type="dxa" w:w="1399"/>
            <w:tcMar>
              <w:top w:w="60" w:type="dxa"/>
              <w:bottom w:w="60" w:type="dxa"/>
              <w:left w:w="100" w:type="dxa"/>
              <w:right w:w="100" w:type="dxa"/>
            </w:tcMar>
            <w:shd w:fill="F7FAFC"/>
          </w:tcPr>
          <w:p>
            <w:r>
              <w:rPr>
                <w:b/>
                <w:sz w:val="17"/>
              </w:rPr>
              <w:t>51.27%</w:t>
            </w:r>
          </w:p>
        </w:tc>
        <w:tc>
          <w:tcPr>
            <w:tcW w:type="dxa" w:w="1399"/>
            <w:tcMar>
              <w:top w:w="60" w:type="dxa"/>
              <w:bottom w:w="60" w:type="dxa"/>
              <w:left w:w="100" w:type="dxa"/>
              <w:right w:w="100" w:type="dxa"/>
            </w:tcMar>
            <w:shd w:fill="F7FAFC"/>
          </w:tcPr>
          <w:p>
            <w:r>
              <w:rPr>
                <w:b/>
                <w:sz w:val="17"/>
              </w:rPr>
              <w:t>36.86%</w:t>
            </w:r>
          </w:p>
        </w:tc>
        <w:tc>
          <w:tcPr>
            <w:tcW w:type="dxa" w:w="1399"/>
            <w:tcMar>
              <w:top w:w="60" w:type="dxa"/>
              <w:bottom w:w="60" w:type="dxa"/>
              <w:left w:w="100" w:type="dxa"/>
              <w:right w:w="100" w:type="dxa"/>
            </w:tcMar>
            <w:shd w:fill="F7FAFC"/>
          </w:tcPr>
          <w:p>
            <w:r>
              <w:rPr>
                <w:sz w:val="17"/>
              </w:rPr>
              <w:t>$5,930.4M</w:t>
            </w:r>
          </w:p>
        </w:tc>
        <w:tc>
          <w:tcPr>
            <w:tcW w:type="dxa" w:w="1399"/>
            <w:tcMar>
              <w:top w:w="60" w:type="dxa"/>
              <w:bottom w:w="60" w:type="dxa"/>
              <w:left w:w="100" w:type="dxa"/>
              <w:right w:w="100" w:type="dxa"/>
            </w:tcMar>
            <w:shd w:fill="F7FAFC"/>
          </w:tcPr>
          <w:p>
            <w:r>
              <w:rPr>
                <w:sz w:val="17"/>
              </w:rPr>
              <w:t>$10,151.8M</w:t>
            </w:r>
          </w:p>
        </w:tc>
        <w:tc>
          <w:tcPr>
            <w:tcW w:type="dxa" w:w="1399"/>
            <w:tcMar>
              <w:top w:w="60" w:type="dxa"/>
              <w:bottom w:w="60" w:type="dxa"/>
              <w:left w:w="100" w:type="dxa"/>
              <w:right w:w="100" w:type="dxa"/>
            </w:tcMar>
            <w:shd w:fill="F7FAFC"/>
          </w:tcPr>
          <w:p>
            <w:r>
              <w:rPr>
                <w:b/>
                <w:sz w:val="17"/>
              </w:rPr>
              <w:t>+25.83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109.31%</w:t>
            </w:r>
          </w:p>
        </w:tc>
        <w:tc>
          <w:tcPr>
            <w:tcW w:type="dxa" w:w="1399"/>
            <w:tcMar>
              <w:top w:w="60" w:type="dxa"/>
              <w:bottom w:w="60" w:type="dxa"/>
              <w:left w:w="100" w:type="dxa"/>
              <w:right w:w="100" w:type="dxa"/>
            </w:tcMar>
          </w:tcPr>
          <w:p>
            <w:r>
              <w:rPr>
                <w:b/>
                <w:sz w:val="17"/>
              </w:rPr>
              <w:t>37.26%</w:t>
            </w:r>
          </w:p>
        </w:tc>
        <w:tc>
          <w:tcPr>
            <w:tcW w:type="dxa" w:w="1399"/>
            <w:tcMar>
              <w:top w:w="60" w:type="dxa"/>
              <w:bottom w:w="60" w:type="dxa"/>
              <w:left w:w="100" w:type="dxa"/>
              <w:right w:w="100" w:type="dxa"/>
            </w:tcMar>
          </w:tcPr>
          <w:p>
            <w:r>
              <w:rPr>
                <w:b/>
                <w:sz w:val="17"/>
              </w:rPr>
              <w:t>30.20%</w:t>
            </w:r>
          </w:p>
        </w:tc>
        <w:tc>
          <w:tcPr>
            <w:tcW w:type="dxa" w:w="1399"/>
            <w:tcMar>
              <w:top w:w="60" w:type="dxa"/>
              <w:bottom w:w="60" w:type="dxa"/>
              <w:left w:w="100" w:type="dxa"/>
              <w:right w:w="100" w:type="dxa"/>
            </w:tcMar>
          </w:tcPr>
          <w:p>
            <w:r>
              <w:rPr>
                <w:sz w:val="17"/>
              </w:rPr>
              <w:t>$7,451.2M</w:t>
            </w:r>
          </w:p>
        </w:tc>
        <w:tc>
          <w:tcPr>
            <w:tcW w:type="dxa" w:w="1399"/>
            <w:tcMar>
              <w:top w:w="60" w:type="dxa"/>
              <w:bottom w:w="60" w:type="dxa"/>
              <w:left w:w="100" w:type="dxa"/>
              <w:right w:w="100" w:type="dxa"/>
            </w:tcMar>
          </w:tcPr>
          <w:p>
            <w:r>
              <w:rPr>
                <w:sz w:val="17"/>
              </w:rPr>
              <w:t>$14,851.8M</w:t>
            </w:r>
          </w:p>
        </w:tc>
        <w:tc>
          <w:tcPr>
            <w:tcW w:type="dxa" w:w="1399"/>
            <w:tcMar>
              <w:top w:w="60" w:type="dxa"/>
              <w:bottom w:w="60" w:type="dxa"/>
              <w:left w:w="100" w:type="dxa"/>
              <w:right w:w="100" w:type="dxa"/>
            </w:tcMar>
          </w:tcPr>
          <w:p>
            <w:r>
              <w:rPr>
                <w:b/>
                <w:sz w:val="17"/>
              </w:rPr>
              <w:t>+19.17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82.36%</w:t>
            </w:r>
          </w:p>
        </w:tc>
        <w:tc>
          <w:tcPr>
            <w:tcW w:type="dxa" w:w="1399"/>
            <w:tcMar>
              <w:top w:w="60" w:type="dxa"/>
              <w:bottom w:w="60" w:type="dxa"/>
              <w:left w:w="100" w:type="dxa"/>
              <w:right w:w="100" w:type="dxa"/>
            </w:tcMar>
            <w:shd w:fill="F7FAFC"/>
            <w:shd w:fill="E2EFDA"/>
          </w:tcPr>
          <w:p>
            <w:r>
              <w:rPr>
                <w:b/>
                <w:sz w:val="17"/>
              </w:rPr>
              <w:t>25.45%</w:t>
            </w:r>
          </w:p>
        </w:tc>
        <w:tc>
          <w:tcPr>
            <w:tcW w:type="dxa" w:w="1399"/>
            <w:tcMar>
              <w:top w:w="60" w:type="dxa"/>
              <w:bottom w:w="60" w:type="dxa"/>
              <w:left w:w="100" w:type="dxa"/>
              <w:right w:w="100" w:type="dxa"/>
            </w:tcMar>
            <w:shd w:fill="F7FAFC"/>
            <w:shd w:fill="E2EFDA"/>
          </w:tcPr>
          <w:p>
            <w:r>
              <w:rPr>
                <w:b/>
                <w:sz w:val="17"/>
              </w:rPr>
              <w:t>18.10%</w:t>
            </w:r>
          </w:p>
        </w:tc>
        <w:tc>
          <w:tcPr>
            <w:tcW w:type="dxa" w:w="1399"/>
            <w:tcMar>
              <w:top w:w="60" w:type="dxa"/>
              <w:bottom w:w="60" w:type="dxa"/>
              <w:left w:w="100" w:type="dxa"/>
              <w:right w:w="100" w:type="dxa"/>
            </w:tcMar>
            <w:shd w:fill="F7FAFC"/>
            <w:shd w:fill="E2EFDA"/>
          </w:tcPr>
          <w:p>
            <w:r>
              <w:rPr>
                <w:sz w:val="17"/>
              </w:rPr>
              <w:t>$7,912.4M</w:t>
            </w:r>
          </w:p>
        </w:tc>
        <w:tc>
          <w:tcPr>
            <w:tcW w:type="dxa" w:w="1399"/>
            <w:tcMar>
              <w:top w:w="60" w:type="dxa"/>
              <w:bottom w:w="60" w:type="dxa"/>
              <w:left w:w="100" w:type="dxa"/>
              <w:right w:w="100" w:type="dxa"/>
            </w:tcMar>
            <w:shd w:fill="F7FAFC"/>
            <w:shd w:fill="E2EFDA"/>
          </w:tcPr>
          <w:p>
            <w:r>
              <w:rPr>
                <w:sz w:val="17"/>
              </w:rPr>
              <w:t>$18,531.3M</w:t>
            </w:r>
          </w:p>
        </w:tc>
        <w:tc>
          <w:tcPr>
            <w:tcW w:type="dxa" w:w="1399"/>
            <w:tcMar>
              <w:top w:w="60" w:type="dxa"/>
              <w:bottom w:w="60" w:type="dxa"/>
              <w:left w:w="100" w:type="dxa"/>
              <w:right w:w="100" w:type="dxa"/>
            </w:tcMar>
            <w:shd w:fill="F7FAFC"/>
            <w:shd w:fill="E2EFDA"/>
          </w:tcPr>
          <w:p>
            <w:r>
              <w:rPr>
                <w:b/>
                <w:sz w:val="17"/>
              </w:rPr>
              <w:t>+7.07 p.p.</w:t>
            </w:r>
          </w:p>
        </w:tc>
      </w:tr>
    </w:tbl>
    <w:p>
      <w:pPr>
        <w:spacing w:before="160" w:after="160"/>
      </w:pPr>
      <w:r>
        <w:rPr>
          <w:i/>
          <w:sz w:val="18"/>
        </w:rPr>
        <w:t>Matriz de Sensibilidad de Vida Útil: N-1 (2a) = 18.18% | N Base (3a) = 18.10% | N+1 (4a) = 17.94%.</w:t>
      </w:r>
    </w:p>
    <w:p>
      <w:pPr>
        <w:pStyle w:val="Heading2"/>
      </w:pPr>
      <w:r>
        <w:t>11.4. Creación de Valor Económico (EVA) y Durabilidad del Foso Defensivo</w:t>
      </w:r>
    </w:p>
    <w:p>
      <w:r>
        <w:rPr>
          <w:sz w:val="19"/>
        </w:rPr>
        <w:t>Spread Económico = ROIC Ajustado (18.10%) − WACC (11.03%) = +7.07 p.p.</w:t>
        <w:br/>
        <w:t>Dictamen: 🛡️ NARROW MOAT / CREACIÓN DE VALOR SOSTENIBLE.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1.36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11.67%</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5.50%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11.03%</w:t>
            </w:r>
          </w:p>
        </w:tc>
        <w:tc>
          <w:tcPr>
            <w:tcW w:type="dxa" w:w="1958"/>
            <w:tcMar>
              <w:top w:w="60" w:type="dxa"/>
              <w:bottom w:w="60" w:type="dxa"/>
              <w:left w:w="100" w:type="dxa"/>
              <w:right w:w="100" w:type="dxa"/>
            </w:tcMar>
            <w:shd w:fill="F7FAFC"/>
          </w:tcPr>
          <w:p>
            <w:r>
              <w:rPr>
                <w:sz w:val="17"/>
              </w:rPr>
              <w:t>Mediana Sector (9.80%)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82.36%</w:t>
            </w:r>
          </w:p>
        </w:tc>
        <w:tc>
          <w:tcPr>
            <w:tcW w:type="dxa" w:w="1958"/>
            <w:tcMar>
              <w:top w:w="60" w:type="dxa"/>
              <w:bottom w:w="60" w:type="dxa"/>
              <w:left w:w="100" w:type="dxa"/>
              <w:right w:w="100" w:type="dxa"/>
            </w:tcMar>
            <w:shd w:fill="E2EFDA"/>
          </w:tcPr>
          <w:p>
            <w:r>
              <w:rPr>
                <w:sz w:val="17"/>
              </w:rPr>
              <w:t>Mediana Sector (32.00%)</w:t>
            </w:r>
          </w:p>
        </w:tc>
        <w:tc>
          <w:tcPr>
            <w:tcW w:type="dxa" w:w="1958"/>
            <w:tcMar>
              <w:top w:w="60" w:type="dxa"/>
              <w:bottom w:w="60" w:type="dxa"/>
              <w:left w:w="100" w:type="dxa"/>
              <w:right w:w="100" w:type="dxa"/>
            </w:tcMar>
            <w:shd w:fill="E2EFDA"/>
          </w:tcPr>
          <w:p>
            <w:r>
              <w:rPr>
                <w:sz w:val="17"/>
              </w:rPr>
              <w:t>Asset-Light; supera al sector por +50.36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$3,529.5M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25.45%</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$7,912.4M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$18,531.3M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18.10%</w:t>
            </w:r>
          </w:p>
        </w:tc>
        <w:tc>
          <w:tcPr>
            <w:tcW w:type="dxa" w:w="1958"/>
            <w:tcMar>
              <w:top w:w="60" w:type="dxa"/>
              <w:bottom w:w="60" w:type="dxa"/>
              <w:left w:w="100" w:type="dxa"/>
              <w:right w:w="100" w:type="dxa"/>
            </w:tcMar>
            <w:shd w:fill="F7FAFC"/>
            <w:shd w:fill="E2EFDA"/>
          </w:tcPr>
          <w:p>
            <w:r>
              <w:rPr>
                <w:b/>
                <w:sz w:val="17"/>
              </w:rPr>
              <w:t>Mediana Sector (17.20%)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+7.07 p.p.</w:t>
            </w:r>
          </w:p>
        </w:tc>
        <w:tc>
          <w:tcPr>
            <w:tcW w:type="dxa" w:w="1958"/>
            <w:tcMar>
              <w:top w:w="60" w:type="dxa"/>
              <w:bottom w:w="60" w:type="dxa"/>
              <w:left w:w="100" w:type="dxa"/>
              <w:right w:w="100" w:type="dxa"/>
            </w:tcMar>
            <w:shd w:fill="E2EFDA"/>
          </w:tcPr>
          <w:p>
            <w:r>
              <w:rPr>
                <w:b/>
                <w:sz w:val="17"/>
              </w:rPr>
              <w:t>Mediana Sector (+8.00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NARROW MOAT / CREACIÓN DE VALOR SOSTENIBLE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-25.62% [ALTA CONVERSIÓN DE CAJA (CFO &gt; NI)]</w:t>
        <w:br/>
        <w:t>• Montier C-Score: 3 / 6 [RIESGO MEDIO-ALTO / VIGILANCIA RIGUROSA (&lt; 40% VIGILANCIA)]</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$1,863.0M</w:t>
            </w:r>
          </w:p>
        </w:tc>
        <w:tc>
          <w:tcPr>
            <w:tcW w:type="dxa" w:w="1094"/>
            <w:tcMar>
              <w:top w:w="60" w:type="dxa"/>
              <w:bottom w:w="60" w:type="dxa"/>
              <w:left w:w="60" w:type="dxa"/>
              <w:right w:w="60" w:type="dxa"/>
            </w:tcMar>
          </w:tcPr>
          <w:p>
            <w:pPr>
              <w:jc w:val="right"/>
            </w:pPr>
            <w:r>
              <w:rPr>
                <w:rFonts w:ascii="Calibri" w:hAnsi="Calibri"/>
                <w:b w:val="0"/>
                <w:sz w:val="17"/>
              </w:rPr>
              <w:t>$1,997.0M</w:t>
            </w:r>
          </w:p>
        </w:tc>
        <w:tc>
          <w:tcPr>
            <w:tcW w:type="dxa" w:w="1094"/>
            <w:tcMar>
              <w:top w:w="60" w:type="dxa"/>
              <w:bottom w:w="60" w:type="dxa"/>
              <w:left w:w="60" w:type="dxa"/>
              <w:right w:w="60" w:type="dxa"/>
            </w:tcMar>
          </w:tcPr>
          <w:p>
            <w:pPr>
              <w:jc w:val="right"/>
            </w:pPr>
            <w:r>
              <w:rPr>
                <w:rFonts w:ascii="Calibri" w:hAnsi="Calibri"/>
                <w:b w:val="0"/>
                <w:sz w:val="17"/>
              </w:rPr>
              <w:t>$1,911.0M</w:t>
            </w:r>
          </w:p>
        </w:tc>
        <w:tc>
          <w:tcPr>
            <w:tcW w:type="dxa" w:w="1094"/>
            <w:tcMar>
              <w:top w:w="60" w:type="dxa"/>
              <w:bottom w:w="60" w:type="dxa"/>
              <w:left w:w="60" w:type="dxa"/>
              <w:right w:w="60" w:type="dxa"/>
            </w:tcMar>
          </w:tcPr>
          <w:p>
            <w:pPr>
              <w:jc w:val="right"/>
            </w:pPr>
            <w:r>
              <w:rPr>
                <w:rFonts w:ascii="Calibri" w:hAnsi="Calibri"/>
                <w:b w:val="0"/>
                <w:sz w:val="17"/>
              </w:rPr>
              <w:t>$987.0M</w:t>
            </w:r>
          </w:p>
        </w:tc>
        <w:tc>
          <w:tcPr>
            <w:tcW w:type="dxa" w:w="1094"/>
            <w:tcMar>
              <w:top w:w="60" w:type="dxa"/>
              <w:bottom w:w="60" w:type="dxa"/>
              <w:left w:w="60" w:type="dxa"/>
              <w:right w:w="60" w:type="dxa"/>
            </w:tcMar>
          </w:tcPr>
          <w:p>
            <w:pPr>
              <w:jc w:val="right"/>
            </w:pPr>
            <w:r>
              <w:rPr>
                <w:rFonts w:ascii="Calibri" w:hAnsi="Calibri"/>
                <w:b w:val="0"/>
                <w:sz w:val="17"/>
              </w:rPr>
              <w:t>$482.0M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$13,905.0M</w:t>
            </w:r>
          </w:p>
        </w:tc>
        <w:tc>
          <w:tcPr>
            <w:tcW w:type="dxa" w:w="1094"/>
            <w:tcMar>
              <w:top w:w="60" w:type="dxa"/>
              <w:bottom w:w="60" w:type="dxa"/>
              <w:left w:w="60" w:type="dxa"/>
              <w:right w:w="60" w:type="dxa"/>
            </w:tcMar>
          </w:tcPr>
          <w:p>
            <w:pPr>
              <w:jc w:val="right"/>
            </w:pPr>
            <w:r>
              <w:rPr>
                <w:rFonts w:ascii="Calibri" w:hAnsi="Calibri"/>
                <w:b w:val="0"/>
                <w:sz w:val="17"/>
              </w:rPr>
              <w:t>$12,116.0M</w:t>
            </w:r>
          </w:p>
        </w:tc>
        <w:tc>
          <w:tcPr>
            <w:tcW w:type="dxa" w:w="1094"/>
            <w:tcMar>
              <w:top w:w="60" w:type="dxa"/>
              <w:bottom w:w="60" w:type="dxa"/>
              <w:left w:w="60" w:type="dxa"/>
              <w:right w:w="60" w:type="dxa"/>
            </w:tcMar>
          </w:tcPr>
          <w:p>
            <w:pPr>
              <w:jc w:val="right"/>
            </w:pPr>
            <w:r>
              <w:rPr>
                <w:rFonts w:ascii="Calibri" w:hAnsi="Calibri"/>
                <w:b w:val="0"/>
                <w:sz w:val="17"/>
              </w:rPr>
              <w:t>$7,918.0M</w:t>
            </w:r>
          </w:p>
        </w:tc>
        <w:tc>
          <w:tcPr>
            <w:tcW w:type="dxa" w:w="1094"/>
            <w:tcMar>
              <w:top w:w="60" w:type="dxa"/>
              <w:bottom w:w="60" w:type="dxa"/>
              <w:left w:w="60" w:type="dxa"/>
              <w:right w:w="60" w:type="dxa"/>
            </w:tcMar>
          </w:tcPr>
          <w:p>
            <w:pPr>
              <w:jc w:val="right"/>
            </w:pPr>
            <w:r>
              <w:rPr>
                <w:rFonts w:ascii="Calibri" w:hAnsi="Calibri"/>
                <w:b w:val="0"/>
                <w:sz w:val="17"/>
              </w:rPr>
              <w:t>$5,140.0M</w:t>
            </w:r>
          </w:p>
        </w:tc>
        <w:tc>
          <w:tcPr>
            <w:tcW w:type="dxa" w:w="1094"/>
            <w:tcMar>
              <w:top w:w="60" w:type="dxa"/>
              <w:bottom w:w="60" w:type="dxa"/>
              <w:left w:w="60" w:type="dxa"/>
              <w:right w:w="60" w:type="dxa"/>
            </w:tcMar>
          </w:tcPr>
          <w:p>
            <w:pPr>
              <w:jc w:val="right"/>
            </w:pPr>
            <w:r>
              <w:rPr>
                <w:rFonts w:ascii="Calibri" w:hAnsi="Calibri"/>
                <w:b w:val="0"/>
                <w:sz w:val="17"/>
              </w:rPr>
              <w:t>$2,940.0M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$-12,042.0M</w:t>
            </w:r>
          </w:p>
        </w:tc>
        <w:tc>
          <w:tcPr>
            <w:tcW w:type="dxa" w:w="1094"/>
            <w:tcMar>
              <w:top w:w="60" w:type="dxa"/>
              <w:bottom w:w="60" w:type="dxa"/>
              <w:left w:w="60" w:type="dxa"/>
              <w:right w:w="60" w:type="dxa"/>
            </w:tcMar>
          </w:tcPr>
          <w:p>
            <w:pPr>
              <w:jc w:val="right"/>
            </w:pPr>
            <w:r>
              <w:rPr>
                <w:rFonts w:ascii="Calibri" w:hAnsi="Calibri"/>
                <w:b/>
                <w:sz w:val="17"/>
              </w:rPr>
              <w:t>$-10,119.0M</w:t>
            </w:r>
          </w:p>
        </w:tc>
        <w:tc>
          <w:tcPr>
            <w:tcW w:type="dxa" w:w="1094"/>
            <w:tcMar>
              <w:top w:w="60" w:type="dxa"/>
              <w:bottom w:w="60" w:type="dxa"/>
              <w:left w:w="60" w:type="dxa"/>
              <w:right w:w="60" w:type="dxa"/>
            </w:tcMar>
          </w:tcPr>
          <w:p>
            <w:pPr>
              <w:jc w:val="right"/>
            </w:pPr>
            <w:r>
              <w:rPr>
                <w:rFonts w:ascii="Calibri" w:hAnsi="Calibri"/>
                <w:b/>
                <w:sz w:val="17"/>
              </w:rPr>
              <w:t>$-6,007.0M</w:t>
            </w:r>
          </w:p>
        </w:tc>
        <w:tc>
          <w:tcPr>
            <w:tcW w:type="dxa" w:w="1094"/>
            <w:tcMar>
              <w:top w:w="60" w:type="dxa"/>
              <w:bottom w:w="60" w:type="dxa"/>
              <w:left w:w="60" w:type="dxa"/>
              <w:right w:w="60" w:type="dxa"/>
            </w:tcMar>
          </w:tcPr>
          <w:p>
            <w:pPr>
              <w:jc w:val="right"/>
            </w:pPr>
            <w:r>
              <w:rPr>
                <w:rFonts w:ascii="Calibri" w:hAnsi="Calibri"/>
                <w:b/>
                <w:sz w:val="17"/>
              </w:rPr>
              <w:t>$-4,153.0M</w:t>
            </w:r>
          </w:p>
        </w:tc>
        <w:tc>
          <w:tcPr>
            <w:tcW w:type="dxa" w:w="1094"/>
            <w:tcMar>
              <w:top w:w="60" w:type="dxa"/>
              <w:bottom w:w="60" w:type="dxa"/>
              <w:left w:w="60" w:type="dxa"/>
              <w:right w:w="60" w:type="dxa"/>
            </w:tcMar>
          </w:tcPr>
          <w:p>
            <w:pPr>
              <w:jc w:val="right"/>
            </w:pPr>
            <w:r>
              <w:rPr>
                <w:rFonts w:ascii="Calibri" w:hAnsi="Calibri"/>
                <w:b/>
                <w:sz w:val="17"/>
              </w:rPr>
              <w:t>$-2,458.0M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$47,011.5M</w:t>
            </w:r>
          </w:p>
        </w:tc>
        <w:tc>
          <w:tcPr>
            <w:tcW w:type="dxa" w:w="1094"/>
            <w:tcMar>
              <w:top w:w="60" w:type="dxa"/>
              <w:bottom w:w="60" w:type="dxa"/>
              <w:left w:w="60" w:type="dxa"/>
              <w:right w:w="60" w:type="dxa"/>
            </w:tcMar>
          </w:tcPr>
          <w:p>
            <w:pPr>
              <w:jc w:val="right"/>
            </w:pPr>
            <w:r>
              <w:rPr>
                <w:rFonts w:ascii="Calibri" w:hAnsi="Calibri"/>
                <w:b w:val="0"/>
                <w:sz w:val="17"/>
              </w:rPr>
              <w:t>$33,931.5M</w:t>
            </w:r>
          </w:p>
        </w:tc>
        <w:tc>
          <w:tcPr>
            <w:tcW w:type="dxa" w:w="1094"/>
            <w:tcMar>
              <w:top w:w="60" w:type="dxa"/>
              <w:bottom w:w="60" w:type="dxa"/>
              <w:left w:w="60" w:type="dxa"/>
              <w:right w:w="60" w:type="dxa"/>
            </w:tcMar>
          </w:tcPr>
          <w:p>
            <w:pPr>
              <w:jc w:val="right"/>
            </w:pPr>
            <w:r>
              <w:rPr>
                <w:rFonts w:ascii="Calibri" w:hAnsi="Calibri"/>
                <w:b w:val="0"/>
                <w:sz w:val="17"/>
              </w:rPr>
              <w:t>$21,404.0M</w:t>
            </w:r>
          </w:p>
        </w:tc>
        <w:tc>
          <w:tcPr>
            <w:tcW w:type="dxa" w:w="1094"/>
            <w:tcMar>
              <w:top w:w="60" w:type="dxa"/>
              <w:bottom w:w="60" w:type="dxa"/>
              <w:left w:w="60" w:type="dxa"/>
              <w:right w:w="60" w:type="dxa"/>
            </w:tcMar>
          </w:tcPr>
          <w:p>
            <w:pPr>
              <w:jc w:val="right"/>
            </w:pPr>
            <w:r>
              <w:rPr>
                <w:rFonts w:ascii="Calibri" w:hAnsi="Calibri"/>
                <w:b w:val="0"/>
                <w:sz w:val="17"/>
              </w:rPr>
              <w:t>$15,674.0M</w:t>
            </w:r>
          </w:p>
        </w:tc>
        <w:tc>
          <w:tcPr>
            <w:tcW w:type="dxa" w:w="1094"/>
            <w:tcMar>
              <w:top w:w="60" w:type="dxa"/>
              <w:bottom w:w="60" w:type="dxa"/>
              <w:left w:w="60" w:type="dxa"/>
              <w:right w:w="60" w:type="dxa"/>
            </w:tcMar>
          </w:tcPr>
          <w:p>
            <w:pPr>
              <w:jc w:val="right"/>
            </w:pPr>
            <w:r>
              <w:rPr>
                <w:rFonts w:ascii="Calibri" w:hAnsi="Calibri"/>
                <w:b w:val="0"/>
                <w:sz w:val="17"/>
              </w:rPr>
              <w:t>$11,918.5M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-25.62%</w:t>
            </w:r>
          </w:p>
        </w:tc>
        <w:tc>
          <w:tcPr>
            <w:tcW w:type="dxa" w:w="1094"/>
            <w:tcMar>
              <w:top w:w="60" w:type="dxa"/>
              <w:bottom w:w="60" w:type="dxa"/>
              <w:left w:w="60" w:type="dxa"/>
              <w:right w:w="60" w:type="dxa"/>
            </w:tcMar>
          </w:tcPr>
          <w:p>
            <w:pPr>
              <w:jc w:val="right"/>
            </w:pPr>
            <w:r>
              <w:rPr>
                <w:rFonts w:ascii="Calibri" w:hAnsi="Calibri"/>
                <w:b/>
                <w:sz w:val="17"/>
              </w:rPr>
              <w:t>-29.82%</w:t>
            </w:r>
          </w:p>
        </w:tc>
        <w:tc>
          <w:tcPr>
            <w:tcW w:type="dxa" w:w="1094"/>
            <w:tcMar>
              <w:top w:w="60" w:type="dxa"/>
              <w:bottom w:w="60" w:type="dxa"/>
              <w:left w:w="60" w:type="dxa"/>
              <w:right w:w="60" w:type="dxa"/>
            </w:tcMar>
          </w:tcPr>
          <w:p>
            <w:pPr>
              <w:jc w:val="right"/>
            </w:pPr>
            <w:r>
              <w:rPr>
                <w:rFonts w:ascii="Calibri" w:hAnsi="Calibri"/>
                <w:b/>
                <w:sz w:val="17"/>
              </w:rPr>
              <w:t>-28.06%</w:t>
            </w:r>
          </w:p>
        </w:tc>
        <w:tc>
          <w:tcPr>
            <w:tcW w:type="dxa" w:w="1094"/>
            <w:tcMar>
              <w:top w:w="60" w:type="dxa"/>
              <w:bottom w:w="60" w:type="dxa"/>
              <w:left w:w="60" w:type="dxa"/>
              <w:right w:w="60" w:type="dxa"/>
            </w:tcMar>
          </w:tcPr>
          <w:p>
            <w:pPr>
              <w:jc w:val="right"/>
            </w:pPr>
            <w:r>
              <w:rPr>
                <w:rFonts w:ascii="Calibri" w:hAnsi="Calibri"/>
                <w:b/>
                <w:sz w:val="17"/>
              </w:rPr>
              <w:t>-26.50%</w:t>
            </w:r>
          </w:p>
        </w:tc>
        <w:tc>
          <w:tcPr>
            <w:tcW w:type="dxa" w:w="1094"/>
            <w:tcMar>
              <w:top w:w="60" w:type="dxa"/>
              <w:bottom w:w="60" w:type="dxa"/>
              <w:left w:w="60" w:type="dxa"/>
              <w:right w:w="60" w:type="dxa"/>
            </w:tcMar>
          </w:tcPr>
          <w:p>
            <w:pPr>
              <w:jc w:val="right"/>
            </w:pPr>
            <w:r>
              <w:rPr>
                <w:rFonts w:ascii="Calibri" w:hAnsi="Calibri"/>
                <w:b/>
                <w:sz w:val="17"/>
              </w:rPr>
              <w:t>-20.62%</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MercadoLibre, Inc. generó $13,905.0M de CFO frente a $1,863.0M de beneficio neto, arrojando una tasa de conversión de caja del 746.4% (cada dólar reportado está respaldado por $7.46 de efectivo). El Ratio Sloan de -25.62%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440"/>
            <w:tcMar>
              <w:top w:w="60" w:type="dxa"/>
              <w:bottom w:w="60" w:type="dxa"/>
              <w:left w:w="80" w:type="dxa"/>
              <w:right w:w="80" w:type="dxa"/>
            </w:tcMar>
          </w:tcPr>
          <w:p>
            <w:pPr>
              <w:jc w:val="center"/>
            </w:pPr>
            <w:r>
              <w:rPr>
                <w:rFonts w:ascii="Calibri" w:hAnsi="Calibri"/>
                <w:sz w:val="17"/>
              </w:rPr>
              <w:t>DSO: 4.3d (-0.3d)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+18.4%</w:t>
            </w:r>
          </w:p>
        </w:tc>
        <w:tc>
          <w:tcPr>
            <w:tcW w:type="dxa" w:w="1440"/>
            <w:tcMar>
              <w:top w:w="60" w:type="dxa"/>
              <w:bottom w:w="60" w:type="dxa"/>
              <w:left w:w="80" w:type="dxa"/>
              <w:right w:w="80" w:type="dxa"/>
            </w:tcMar>
          </w:tcPr>
          <w:p>
            <w:pPr>
              <w:jc w:val="center"/>
            </w:pPr>
            <w:r>
              <w:rPr>
                <w:rFonts w:ascii="Calibri" w:hAnsi="Calibri"/>
                <w:sz w:val="17"/>
              </w:rPr>
              <w:t>DIO: 14.9d (+1.9d)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87.6%</w:t>
            </w:r>
          </w:p>
        </w:tc>
        <w:tc>
          <w:tcPr>
            <w:tcW w:type="dxa" w:w="1440"/>
            <w:tcMar>
              <w:top w:w="60" w:type="dxa"/>
              <w:bottom w:w="60" w:type="dxa"/>
              <w:left w:w="80" w:type="dxa"/>
              <w:right w:w="80" w:type="dxa"/>
            </w:tcMar>
          </w:tcPr>
          <w:p>
            <w:pPr>
              <w:jc w:val="center"/>
            </w:pPr>
            <w:r>
              <w:rPr>
                <w:rFonts w:ascii="Calibri" w:hAnsi="Calibri"/>
                <w:sz w:val="17"/>
              </w:rPr>
              <w:t>Δ: +1.6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(MercadoLibre, Inc.): Inventario en sintonía con la cadencia de costes (Spread: 18.4%, DIO: 14.9d). Existencias optimizadas.</w:t>
      </w:r>
    </w:p>
    <w:p>
      <w:pPr>
        <w:pStyle w:val="Heading2"/>
      </w:pPr>
      <w:r>
        <w:rPr>
          <w:rFonts w:ascii="Calibri" w:hAnsi="Calibri"/>
          <w:b/>
          <w:color w:val="1B365D"/>
          <w:sz w:val="23"/>
        </w:rPr>
        <w:t>12.3. Desglose Forense Montier C-Score (3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$1,863.0M vs CFO: $13,905.0M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4.3d (Δ: -0.3d)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14.9d (Δ: +1.9d)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2.66% vs 2.49%</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23.09% vs 26.21%</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+20.4% vs ΔVentas: +21.8%</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3 / 6 Banderas — RIESGO MEDIO-ALTO / VIGILANCIA RIGUROSA. Probabilidad empírica de manipulación zona de vigilancia (&lt; 40%).</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-25.62%</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746.4%</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14.9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(14.9d);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+1.6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Vigilancia rigurosa (3/6); desfases en capital de trabajo o balance (&lt; 40%).</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SOLVENCIA MODERADA</w:t>
              <w:br/>
            </w:r>
            <w:r>
              <w:rPr>
                <w:color w:val="2D3748"/>
                <w:sz w:val="19"/>
              </w:rPr>
              <w:t>Rating Sintético Damodaran: AAA (GRADO INSTITUCIONAL MÁXIMO (AAA / Aaa)) | Altman Z''-Score: 1.56 [ZONA GRIS]</w:t>
              <w:br/>
              <w:br/>
              <w:t>SOLVENCIA EQUILIBRADA BAJO MONITOREO: Apalancamiento controlado (1.31x), cobertura de 13.7x y Altman Z''-Score de 1.56. Estructura de capital adecuada sin riesgos inminentes de impago.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$10,626.0M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$5,730.0M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$4,896.0M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1.31x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0.39x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$2,907.0M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$212.0M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13.7x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1.52%</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1.56</w:t>
            </w:r>
          </w:p>
        </w:tc>
        <w:tc>
          <w:tcPr>
            <w:tcW w:type="dxa" w:w="2448"/>
          </w:tcPr>
          <w:p>
            <w:r>
              <w:rPr>
                <w:sz w:val="17"/>
              </w:rPr>
              <w:t>ZONA GRIS</w:t>
            </w:r>
          </w:p>
        </w:tc>
        <w:tc>
          <w:tcPr>
            <w:tcW w:type="dxa" w:w="2448"/>
          </w:tcPr>
          <w:p>
            <w:r>
              <w:rPr>
                <w:sz w:val="17"/>
              </w:rPr>
              <w:t>ZONA GRIS (PRECAUCIÓN Y SEGUIMIENTO)</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$1821.81  |  WACC Auditado: 11.03% (Rf: 5.19%, ERP: 4.75%)</w:t>
        <w:br/>
        <w:t>• Crecimiento Implícito Calculado: 14.0% Anual a 10 Años (vs. 48.7% Histórico)</w:t>
        <w:br/>
        <w:t>• Veredicto: Descuenta expectativas de 14.0% anual. Exigencia asumible (+14.0% anual); alineada con el ritmo tendencial de la empresa y su sector.</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$1821.81</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1.36</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5.79%</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5.5%</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10.3%</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89.7%</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11.03%</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10.2%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10.03% (Bajo / Expansión)</w:t>
            </w:r>
          </w:p>
        </w:tc>
        <w:tc>
          <w:tcPr>
            <w:tcW w:type="dxa" w:w="1224"/>
          </w:tcPr>
          <w:p>
            <w:r>
              <w:rPr>
                <w:sz w:val="16"/>
              </w:rPr>
              <w:t>13.6%</w:t>
            </w:r>
          </w:p>
        </w:tc>
        <w:tc>
          <w:tcPr>
            <w:tcW w:type="dxa" w:w="1224"/>
          </w:tcPr>
          <w:p>
            <w:r>
              <w:rPr>
                <w:sz w:val="16"/>
              </w:rPr>
              <w:t>13.1%</w:t>
            </w:r>
          </w:p>
        </w:tc>
        <w:tc>
          <w:tcPr>
            <w:tcW w:type="dxa" w:w="1224"/>
          </w:tcPr>
          <w:p>
            <w:r>
              <w:rPr>
                <w:sz w:val="16"/>
              </w:rPr>
              <w:t>12.6%</w:t>
            </w:r>
          </w:p>
        </w:tc>
        <w:tc>
          <w:tcPr>
            <w:tcW w:type="dxa" w:w="1224"/>
          </w:tcPr>
          <w:p>
            <w:r>
              <w:rPr>
                <w:b/>
                <w:sz w:val="16"/>
              </w:rPr>
              <w:t>12.0%</w:t>
            </w:r>
          </w:p>
        </w:tc>
        <w:tc>
          <w:tcPr>
            <w:tcW w:type="dxa" w:w="1224"/>
          </w:tcPr>
          <w:p>
            <w:r>
              <w:rPr>
                <w:sz w:val="16"/>
              </w:rPr>
              <w:t>11.4%</w:t>
            </w:r>
          </w:p>
        </w:tc>
        <w:tc>
          <w:tcPr>
            <w:tcW w:type="dxa" w:w="1224"/>
          </w:tcPr>
          <w:p>
            <w:r>
              <w:rPr>
                <w:sz w:val="16"/>
              </w:rPr>
              <w:t>10.8%</w:t>
            </w:r>
          </w:p>
        </w:tc>
        <w:tc>
          <w:tcPr>
            <w:tcW w:type="dxa" w:w="1224"/>
          </w:tcPr>
          <w:p>
            <w:r>
              <w:rPr>
                <w:sz w:val="16"/>
              </w:rPr>
              <w:t>Escenario favorable; exigencia de crecimiento más moderada.</w:t>
            </w:r>
          </w:p>
        </w:tc>
      </w:tr>
      <w:tr>
        <w:tc>
          <w:tcPr>
            <w:tcW w:type="dxa" w:w="1224"/>
            <w:shd w:fill="F7FAFC"/>
          </w:tcPr>
          <w:p>
            <w:r>
              <w:rPr>
                <w:sz w:val="16"/>
              </w:rPr>
              <w:t>10.53% (Favorable)</w:t>
            </w:r>
          </w:p>
        </w:tc>
        <w:tc>
          <w:tcPr>
            <w:tcW w:type="dxa" w:w="1224"/>
            <w:shd w:fill="F7FAFC"/>
          </w:tcPr>
          <w:p>
            <w:r>
              <w:rPr>
                <w:sz w:val="16"/>
              </w:rPr>
              <w:t>14.5%</w:t>
            </w:r>
          </w:p>
        </w:tc>
        <w:tc>
          <w:tcPr>
            <w:tcW w:type="dxa" w:w="1224"/>
            <w:shd w:fill="F7FAFC"/>
          </w:tcPr>
          <w:p>
            <w:r>
              <w:rPr>
                <w:sz w:val="16"/>
              </w:rPr>
              <w:t>14.1%</w:t>
            </w:r>
          </w:p>
        </w:tc>
        <w:tc>
          <w:tcPr>
            <w:tcW w:type="dxa" w:w="1224"/>
            <w:shd w:fill="F7FAFC"/>
          </w:tcPr>
          <w:p>
            <w:r>
              <w:rPr>
                <w:sz w:val="16"/>
              </w:rPr>
              <w:t>13.6%</w:t>
            </w:r>
          </w:p>
        </w:tc>
        <w:tc>
          <w:tcPr>
            <w:tcW w:type="dxa" w:w="1224"/>
            <w:shd w:fill="F7FAFC"/>
          </w:tcPr>
          <w:p>
            <w:r>
              <w:rPr>
                <w:b/>
                <w:sz w:val="16"/>
              </w:rPr>
              <w:t>13.0%</w:t>
            </w:r>
          </w:p>
        </w:tc>
        <w:tc>
          <w:tcPr>
            <w:tcW w:type="dxa" w:w="1224"/>
            <w:shd w:fill="F7FAFC"/>
          </w:tcPr>
          <w:p>
            <w:r>
              <w:rPr>
                <w:sz w:val="16"/>
              </w:rPr>
              <w:t>12.5%</w:t>
            </w:r>
          </w:p>
        </w:tc>
        <w:tc>
          <w:tcPr>
            <w:tcW w:type="dxa" w:w="1224"/>
            <w:shd w:fill="F7FAFC"/>
          </w:tcPr>
          <w:p>
            <w:r>
              <w:rPr>
                <w:sz w:val="16"/>
              </w:rPr>
              <w:t>11.9%</w:t>
            </w:r>
          </w:p>
        </w:tc>
        <w:tc>
          <w:tcPr>
            <w:tcW w:type="dxa" w:w="1224"/>
            <w:shd w:fill="F7FAFC"/>
          </w:tcPr>
          <w:p>
            <w:r>
              <w:rPr>
                <w:sz w:val="16"/>
              </w:rPr>
              <w:t>Escenario de sensibilidad operativa.</w:t>
            </w:r>
          </w:p>
        </w:tc>
      </w:tr>
      <w:tr>
        <w:tc>
          <w:tcPr>
            <w:tcW w:type="dxa" w:w="1224"/>
            <w:shd w:fill="F7FAFC"/>
          </w:tcPr>
          <w:p>
            <w:r>
              <w:rPr>
                <w:sz w:val="16"/>
              </w:rPr>
              <w:t>11.03% (WACC Auditado Base)</w:t>
            </w:r>
          </w:p>
        </w:tc>
        <w:tc>
          <w:tcPr>
            <w:tcW w:type="dxa" w:w="1224"/>
            <w:shd w:fill="F7FAFC"/>
          </w:tcPr>
          <w:p>
            <w:r>
              <w:rPr>
                <w:b/>
                <w:sz w:val="16"/>
              </w:rPr>
              <w:t>15.4%</w:t>
            </w:r>
          </w:p>
        </w:tc>
        <w:tc>
          <w:tcPr>
            <w:tcW w:type="dxa" w:w="1224"/>
            <w:shd w:fill="F7FAFC"/>
          </w:tcPr>
          <w:p>
            <w:r>
              <w:rPr>
                <w:b/>
                <w:sz w:val="16"/>
              </w:rPr>
              <w:t>15.0%</w:t>
            </w:r>
          </w:p>
        </w:tc>
        <w:tc>
          <w:tcPr>
            <w:tcW w:type="dxa" w:w="1224"/>
            <w:shd w:fill="F7FAFC"/>
          </w:tcPr>
          <w:p>
            <w:r>
              <w:rPr>
                <w:b/>
                <w:sz w:val="16"/>
              </w:rPr>
              <w:t>14.5%</w:t>
            </w:r>
          </w:p>
        </w:tc>
        <w:tc>
          <w:tcPr>
            <w:tcW w:type="dxa" w:w="1224"/>
            <w:shd w:fill="FFF2CC"/>
          </w:tcPr>
          <w:p>
            <w:r>
              <w:rPr>
                <w:b/>
                <w:sz w:val="16"/>
              </w:rPr>
              <w:t>14.0%</w:t>
            </w:r>
          </w:p>
        </w:tc>
        <w:tc>
          <w:tcPr>
            <w:tcW w:type="dxa" w:w="1224"/>
            <w:shd w:fill="F7FAFC"/>
          </w:tcPr>
          <w:p>
            <w:r>
              <w:rPr>
                <w:b/>
                <w:sz w:val="16"/>
              </w:rPr>
              <w:t>13.5%</w:t>
            </w:r>
          </w:p>
        </w:tc>
        <w:tc>
          <w:tcPr>
            <w:tcW w:type="dxa" w:w="1224"/>
            <w:shd w:fill="F7FAFC"/>
          </w:tcPr>
          <w:p>
            <w:r>
              <w:rPr>
                <w:b/>
                <w:sz w:val="16"/>
              </w:rPr>
              <w:t>13.0%</w:t>
            </w:r>
          </w:p>
        </w:tc>
        <w:tc>
          <w:tcPr>
            <w:tcW w:type="dxa" w:w="1224"/>
            <w:shd w:fill="F7FAFC"/>
          </w:tcPr>
          <w:p>
            <w:r>
              <w:rPr>
                <w:sz w:val="16"/>
              </w:rPr>
              <w:t>ESCENARIO CENTRAL: Crecimiento implícito real de mercado.</w:t>
            </w:r>
          </w:p>
        </w:tc>
      </w:tr>
      <w:tr>
        <w:tc>
          <w:tcPr>
            <w:tcW w:type="dxa" w:w="1224"/>
            <w:shd w:fill="F7FAFC"/>
          </w:tcPr>
          <w:p>
            <w:r>
              <w:rPr>
                <w:sz w:val="16"/>
              </w:rPr>
              <w:t>11.53% (Exigente)</w:t>
            </w:r>
          </w:p>
        </w:tc>
        <w:tc>
          <w:tcPr>
            <w:tcW w:type="dxa" w:w="1224"/>
            <w:shd w:fill="F7FAFC"/>
          </w:tcPr>
          <w:p>
            <w:r>
              <w:rPr>
                <w:sz w:val="16"/>
              </w:rPr>
              <w:t>16.3%</w:t>
            </w:r>
          </w:p>
        </w:tc>
        <w:tc>
          <w:tcPr>
            <w:tcW w:type="dxa" w:w="1224"/>
            <w:shd w:fill="F7FAFC"/>
          </w:tcPr>
          <w:p>
            <w:r>
              <w:rPr>
                <w:sz w:val="16"/>
              </w:rPr>
              <w:t>15.9%</w:t>
            </w:r>
          </w:p>
        </w:tc>
        <w:tc>
          <w:tcPr>
            <w:tcW w:type="dxa" w:w="1224"/>
            <w:shd w:fill="F7FAFC"/>
          </w:tcPr>
          <w:p>
            <w:r>
              <w:rPr>
                <w:sz w:val="16"/>
              </w:rPr>
              <w:t>15.5%</w:t>
            </w:r>
          </w:p>
        </w:tc>
        <w:tc>
          <w:tcPr>
            <w:tcW w:type="dxa" w:w="1224"/>
            <w:shd w:fill="F7FAFC"/>
          </w:tcPr>
          <w:p>
            <w:r>
              <w:rPr>
                <w:b/>
                <w:sz w:val="16"/>
              </w:rPr>
              <w:t>15.0%</w:t>
            </w:r>
          </w:p>
        </w:tc>
        <w:tc>
          <w:tcPr>
            <w:tcW w:type="dxa" w:w="1224"/>
            <w:shd w:fill="F7FAFC"/>
          </w:tcPr>
          <w:p>
            <w:r>
              <w:rPr>
                <w:sz w:val="16"/>
              </w:rPr>
              <w:t>14.5%</w:t>
            </w:r>
          </w:p>
        </w:tc>
        <w:tc>
          <w:tcPr>
            <w:tcW w:type="dxa" w:w="1224"/>
            <w:shd w:fill="F7FAFC"/>
          </w:tcPr>
          <w:p>
            <w:r>
              <w:rPr>
                <w:sz w:val="16"/>
              </w:rPr>
              <w:t>14.0%</w:t>
            </w:r>
          </w:p>
        </w:tc>
        <w:tc>
          <w:tcPr>
            <w:tcW w:type="dxa" w:w="1224"/>
            <w:shd w:fill="F7FAFC"/>
          </w:tcPr>
          <w:p>
            <w:r>
              <w:rPr>
                <w:sz w:val="16"/>
              </w:rPr>
              <w:t>Escenario de sensibilidad operativa.</w:t>
            </w:r>
          </w:p>
        </w:tc>
      </w:tr>
      <w:tr>
        <w:tc>
          <w:tcPr>
            <w:tcW w:type="dxa" w:w="1224"/>
          </w:tcPr>
          <w:p>
            <w:r>
              <w:rPr>
                <w:sz w:val="16"/>
              </w:rPr>
              <w:t>12.03% (Estrés / Tipos Altos)</w:t>
            </w:r>
          </w:p>
        </w:tc>
        <w:tc>
          <w:tcPr>
            <w:tcW w:type="dxa" w:w="1224"/>
          </w:tcPr>
          <w:p>
            <w:r>
              <w:rPr>
                <w:sz w:val="16"/>
              </w:rPr>
              <w:t>17.2%</w:t>
            </w:r>
          </w:p>
        </w:tc>
        <w:tc>
          <w:tcPr>
            <w:tcW w:type="dxa" w:w="1224"/>
          </w:tcPr>
          <w:p>
            <w:r>
              <w:rPr>
                <w:sz w:val="16"/>
              </w:rPr>
              <w:t>16.8%</w:t>
            </w:r>
          </w:p>
        </w:tc>
        <w:tc>
          <w:tcPr>
            <w:tcW w:type="dxa" w:w="1224"/>
          </w:tcPr>
          <w:p>
            <w:r>
              <w:rPr>
                <w:sz w:val="16"/>
              </w:rPr>
              <w:t>16.4%</w:t>
            </w:r>
          </w:p>
        </w:tc>
        <w:tc>
          <w:tcPr>
            <w:tcW w:type="dxa" w:w="1224"/>
          </w:tcPr>
          <w:p>
            <w:r>
              <w:rPr>
                <w:b/>
                <w:sz w:val="16"/>
              </w:rPr>
              <w:t>16.0%</w:t>
            </w:r>
          </w:p>
        </w:tc>
        <w:tc>
          <w:tcPr>
            <w:tcW w:type="dxa" w:w="1224"/>
          </w:tcPr>
          <w:p>
            <w:r>
              <w:rPr>
                <w:sz w:val="16"/>
              </w:rPr>
              <w:t>15.5%</w:t>
            </w:r>
          </w:p>
        </w:tc>
        <w:tc>
          <w:tcPr>
            <w:tcW w:type="dxa" w:w="1224"/>
          </w:tcPr>
          <w:p>
            <w:r>
              <w:rPr>
                <w:sz w:val="16"/>
              </w:rPr>
              <w:t>15.0%</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Valoración por Suma de las Partes (SOTP - Platform Ecosystem)</w:t>
      </w:r>
    </w:p>
    <w:p>
      <w:r>
        <w:rPr>
          <w:rFonts w:ascii="Calibri" w:hAnsi="Calibri"/>
          <w:color w:val="2D3748"/>
          <w:sz w:val="18"/>
        </w:rPr>
        <w:t>Al combinar infraestructura de e-commerce y fintech bancaria/crédito, se desagregan los componentes: Comercio a 3.2x EV/Ventas ($61,920.3 M) y FinTech a 2.4x EV/Ventas ($37,996.6 M), resultando en un Equity Value de $94,733.9 M y un Valor Teórico SOTP de $1868.62 por título.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958"/>
        <w:gridCol w:w="1958"/>
        <w:gridCol w:w="1958"/>
        <w:gridCol w:w="1958"/>
        <w:gridCol w:w="1958"/>
      </w:tblGrid>
      <w:tr>
        <w:tc>
          <w:tcPr>
            <w:tcW w:type="dxa" w:w="1958"/>
            <w:shd w:fill="1B365D"/>
          </w:tcPr>
          <w:p>
            <w:r>
              <w:rPr>
                <w:b/>
                <w:color w:val="FFFFFF"/>
                <w:sz w:val="18"/>
              </w:rPr>
              <w:t>Segmento Operativo</w:t>
            </w:r>
          </w:p>
        </w:tc>
        <w:tc>
          <w:tcPr>
            <w:tcW w:type="dxa" w:w="1958"/>
            <w:shd w:fill="1B365D"/>
          </w:tcPr>
          <w:p>
            <w:r>
              <w:rPr>
                <w:b/>
                <w:color w:val="FFFFFF"/>
                <w:sz w:val="18"/>
              </w:rPr>
              <w:t>Ventas LTM</w:t>
            </w:r>
          </w:p>
        </w:tc>
        <w:tc>
          <w:tcPr>
            <w:tcW w:type="dxa" w:w="1958"/>
            <w:shd w:fill="1B365D"/>
          </w:tcPr>
          <w:p>
            <w:r>
              <w:rPr>
                <w:b/>
                <w:color w:val="FFFFFF"/>
                <w:sz w:val="18"/>
              </w:rPr>
              <w:t>Múltiplo EV/Sales</w:t>
            </w:r>
          </w:p>
        </w:tc>
        <w:tc>
          <w:tcPr>
            <w:tcW w:type="dxa" w:w="1958"/>
            <w:shd w:fill="1B365D"/>
          </w:tcPr>
          <w:p>
            <w:r>
              <w:rPr>
                <w:b/>
                <w:color w:val="FFFFFF"/>
                <w:sz w:val="18"/>
              </w:rPr>
              <w:t>Enterprise Value</w:t>
            </w:r>
          </w:p>
        </w:tc>
        <w:tc>
          <w:tcPr>
            <w:tcW w:type="dxa" w:w="1958"/>
            <w:shd w:fill="1B365D"/>
          </w:tcPr>
          <w:p>
            <w:r>
              <w:rPr>
                <w:b/>
                <w:color w:val="FFFFFF"/>
                <w:sz w:val="18"/>
              </w:rPr>
              <w:t>Ponderación EV</w:t>
            </w:r>
          </w:p>
        </w:tc>
      </w:tr>
      <w:tr>
        <w:tc>
          <w:tcPr>
            <w:tcW w:type="dxa" w:w="1958"/>
          </w:tcPr>
          <w:p>
            <w:r>
              <w:rPr>
                <w:b/>
                <w:sz w:val="17"/>
              </w:rPr>
              <w:t>Comercio Electrónico / Marketplace</w:t>
            </w:r>
          </w:p>
        </w:tc>
        <w:tc>
          <w:tcPr>
            <w:tcW w:type="dxa" w:w="1958"/>
          </w:tcPr>
          <w:p>
            <w:r>
              <w:rPr>
                <w:sz w:val="17"/>
              </w:rPr>
              <w:t>$19,350.1 M</w:t>
            </w:r>
          </w:p>
        </w:tc>
        <w:tc>
          <w:tcPr>
            <w:tcW w:type="dxa" w:w="1958"/>
          </w:tcPr>
          <w:p>
            <w:r>
              <w:rPr>
                <w:sz w:val="17"/>
              </w:rPr>
              <w:t>3.2x</w:t>
            </w:r>
          </w:p>
        </w:tc>
        <w:tc>
          <w:tcPr>
            <w:tcW w:type="dxa" w:w="1958"/>
          </w:tcPr>
          <w:p>
            <w:r>
              <w:rPr>
                <w:b/>
                <w:sz w:val="17"/>
              </w:rPr>
              <w:t>$61,920.3 M</w:t>
            </w:r>
          </w:p>
        </w:tc>
        <w:tc>
          <w:tcPr>
            <w:tcW w:type="dxa" w:w="1958"/>
          </w:tcPr>
          <w:p>
            <w:r>
              <w:rPr>
                <w:sz w:val="17"/>
              </w:rPr>
              <w:t>62.0%</w:t>
            </w:r>
          </w:p>
        </w:tc>
      </w:tr>
      <w:tr>
        <w:tc>
          <w:tcPr>
            <w:tcW w:type="dxa" w:w="1958"/>
            <w:shd w:fill="F7FAFC"/>
          </w:tcPr>
          <w:p>
            <w:r>
              <w:rPr>
                <w:b/>
                <w:sz w:val="17"/>
              </w:rPr>
              <w:t>FinTech y Crédito Digital</w:t>
            </w:r>
          </w:p>
        </w:tc>
        <w:tc>
          <w:tcPr>
            <w:tcW w:type="dxa" w:w="1958"/>
            <w:shd w:fill="F7FAFC"/>
          </w:tcPr>
          <w:p>
            <w:r>
              <w:rPr>
                <w:sz w:val="17"/>
              </w:rPr>
              <w:t>$15,831.9 M</w:t>
            </w:r>
          </w:p>
        </w:tc>
        <w:tc>
          <w:tcPr>
            <w:tcW w:type="dxa" w:w="1958"/>
            <w:shd w:fill="F7FAFC"/>
          </w:tcPr>
          <w:p>
            <w:r>
              <w:rPr>
                <w:sz w:val="17"/>
              </w:rPr>
              <w:t>2.4x</w:t>
            </w:r>
          </w:p>
        </w:tc>
        <w:tc>
          <w:tcPr>
            <w:tcW w:type="dxa" w:w="1958"/>
            <w:shd w:fill="F7FAFC"/>
          </w:tcPr>
          <w:p>
            <w:r>
              <w:rPr>
                <w:b/>
                <w:sz w:val="17"/>
              </w:rPr>
              <w:t>$37,996.6 M</w:t>
            </w:r>
          </w:p>
        </w:tc>
        <w:tc>
          <w:tcPr>
            <w:tcW w:type="dxa" w:w="1958"/>
            <w:shd w:fill="F7FAFC"/>
          </w:tcPr>
          <w:p>
            <w:r>
              <w:rPr>
                <w:sz w:val="17"/>
              </w:rPr>
              <w:t>38.0%</w:t>
            </w:r>
          </w:p>
        </w:tc>
      </w:tr>
      <w:tr>
        <w:tc>
          <w:tcPr>
            <w:tcW w:type="dxa" w:w="1958"/>
          </w:tcPr>
          <w:p>
            <w:r>
              <w:rPr>
                <w:b/>
                <w:sz w:val="17"/>
              </w:rPr>
              <w:t>Total Enterprise Value (EV)</w:t>
            </w:r>
          </w:p>
        </w:tc>
        <w:tc>
          <w:tcPr>
            <w:tcW w:type="dxa" w:w="1958"/>
          </w:tcPr>
          <w:p>
            <w:r>
              <w:rPr>
                <w:b/>
                <w:sz w:val="17"/>
              </w:rPr>
              <w:t>$35,182.0 M</w:t>
            </w:r>
          </w:p>
        </w:tc>
        <w:tc>
          <w:tcPr>
            <w:tcW w:type="dxa" w:w="1958"/>
          </w:tcPr>
          <w:p>
            <w:r>
              <w:rPr>
                <w:b/>
                <w:sz w:val="17"/>
              </w:rPr>
              <w:t>—</w:t>
            </w:r>
          </w:p>
        </w:tc>
        <w:tc>
          <w:tcPr>
            <w:tcW w:type="dxa" w:w="1958"/>
          </w:tcPr>
          <w:p>
            <w:r>
              <w:rPr>
                <w:b/>
                <w:sz w:val="17"/>
              </w:rPr>
              <w:t>$99,916.9 M</w:t>
            </w:r>
          </w:p>
        </w:tc>
        <w:tc>
          <w:tcPr>
            <w:tcW w:type="dxa" w:w="1958"/>
          </w:tcPr>
          <w:p>
            <w:r>
              <w:rPr>
                <w:b/>
                <w:sz w:val="17"/>
              </w:rPr>
              <w:t>100.0%</w:t>
            </w:r>
          </w:p>
        </w:tc>
      </w:tr>
      <w:tr>
        <w:tc>
          <w:tcPr>
            <w:tcW w:type="dxa" w:w="1958"/>
            <w:shd w:fill="F7FAFC"/>
          </w:tcPr>
          <w:p>
            <w:r>
              <w:rPr>
                <w:b/>
                <w:sz w:val="17"/>
              </w:rPr>
              <w:t>(-) Deuda Neta</w:t>
            </w:r>
          </w:p>
        </w:tc>
        <w:tc>
          <w:tcPr>
            <w:tcW w:type="dxa" w:w="1958"/>
            <w:shd w:fill="F7FAFC"/>
          </w:tcPr>
          <w:p>
            <w:r>
              <w:rPr>
                <w:sz w:val="17"/>
              </w:rPr>
              <w:t>—</w:t>
            </w:r>
          </w:p>
        </w:tc>
        <w:tc>
          <w:tcPr>
            <w:tcW w:type="dxa" w:w="1958"/>
            <w:shd w:fill="F7FAFC"/>
          </w:tcPr>
          <w:p>
            <w:r>
              <w:rPr>
                <w:sz w:val="17"/>
              </w:rPr>
              <w:t>—</w:t>
            </w:r>
          </w:p>
        </w:tc>
        <w:tc>
          <w:tcPr>
            <w:tcW w:type="dxa" w:w="1958"/>
            <w:shd w:fill="F7FAFC"/>
          </w:tcPr>
          <w:p>
            <w:r>
              <w:rPr>
                <w:b/>
                <w:sz w:val="17"/>
              </w:rPr>
              <w:t>$-5,183.0 M</w:t>
            </w:r>
          </w:p>
        </w:tc>
        <w:tc>
          <w:tcPr>
            <w:tcW w:type="dxa" w:w="1958"/>
            <w:shd w:fill="F7FAFC"/>
          </w:tcPr>
          <w:p>
            <w:r>
              <w:rPr>
                <w:sz w:val="17"/>
              </w:rPr>
              <w:t>—</w:t>
            </w:r>
          </w:p>
        </w:tc>
      </w:tr>
      <w:tr>
        <w:tc>
          <w:tcPr>
            <w:tcW w:type="dxa" w:w="1958"/>
          </w:tcPr>
          <w:p>
            <w:r>
              <w:rPr>
                <w:b/>
                <w:sz w:val="17"/>
              </w:rPr>
              <w:t>Equity Value Justificado SOTP</w:t>
            </w:r>
          </w:p>
        </w:tc>
        <w:tc>
          <w:tcPr>
            <w:tcW w:type="dxa" w:w="1958"/>
          </w:tcPr>
          <w:p>
            <w:r>
              <w:rPr>
                <w:b/>
                <w:sz w:val="17"/>
              </w:rPr>
              <w:t>—</w:t>
            </w:r>
          </w:p>
        </w:tc>
        <w:tc>
          <w:tcPr>
            <w:tcW w:type="dxa" w:w="1958"/>
          </w:tcPr>
          <w:p>
            <w:r>
              <w:rPr>
                <w:b/>
                <w:sz w:val="17"/>
              </w:rPr>
              <w:t>—</w:t>
            </w:r>
          </w:p>
        </w:tc>
        <w:tc>
          <w:tcPr>
            <w:tcW w:type="dxa" w:w="1958"/>
          </w:tcPr>
          <w:p>
            <w:r>
              <w:rPr>
                <w:b/>
                <w:sz w:val="17"/>
              </w:rPr>
              <w:t>$94,733.9 M</w:t>
            </w:r>
          </w:p>
        </w:tc>
        <w:tc>
          <w:tcPr>
            <w:tcW w:type="dxa" w:w="1958"/>
          </w:tcPr>
          <w:p>
            <w:r>
              <w:rPr>
                <w:b/>
                <w:sz w:val="17"/>
              </w:rPr>
              <w:t>$1868.62/sh (+2.6%)</w:t>
            </w:r>
          </w:p>
        </w:tc>
      </w:tr>
    </w:tbl>
    <w:p/>
    <w:p>
      <w:pPr>
        <w:pStyle w:val="Heading2"/>
      </w:pPr>
      <w:r>
        <w:rPr>
          <w:rFonts w:ascii="Calibri" w:hAnsi="Calibri"/>
          <w:b/>
          <w:color w:val="1B365D"/>
          <w:sz w:val="23"/>
        </w:rPr>
        <w:t>14.5.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Efecto de Red Bilateral (Two-Sided Network) + Infraestructura Logística Propia (Mercado Envíos)</w:t>
            </w:r>
          </w:p>
        </w:tc>
        <w:tc>
          <w:tcPr>
            <w:tcW w:type="dxa" w:w="2448"/>
          </w:tcPr>
          <w:p>
            <w:r>
              <w:rPr>
                <w:b/>
                <w:sz w:val="17"/>
              </w:rPr>
              <w:t>WIDE MOAT</w:t>
            </w:r>
          </w:p>
        </w:tc>
        <w:tc>
          <w:tcPr>
            <w:tcW w:type="dxa" w:w="2448"/>
          </w:tcPr>
          <w:p>
            <w:r>
              <w:rPr>
                <w:sz w:val="17"/>
              </w:rPr>
              <w:t>Poder de fijación de precios y resiliencia de márgenes (8.3% EBIT).</w:t>
            </w:r>
          </w:p>
        </w:tc>
      </w:tr>
      <w:tr>
        <w:tc>
          <w:tcPr>
            <w:tcW w:type="dxa" w:w="2448"/>
            <w:shd w:fill="F7FAFC"/>
          </w:tcPr>
          <w:p>
            <w:r>
              <w:rPr>
                <w:b/>
                <w:sz w:val="17"/>
              </w:rPr>
              <w:t>Calidad de Beneficios</w:t>
            </w:r>
          </w:p>
        </w:tc>
        <w:tc>
          <w:tcPr>
            <w:tcW w:type="dxa" w:w="2448"/>
            <w:shd w:fill="F7FAFC"/>
          </w:tcPr>
          <w:p>
            <w:r>
              <w:rPr>
                <w:sz w:val="17"/>
              </w:rPr>
              <w:t>Ratio Sloan: -25.62% / Montier: 3/6</w:t>
            </w:r>
          </w:p>
        </w:tc>
        <w:tc>
          <w:tcPr>
            <w:tcW w:type="dxa" w:w="2448"/>
            <w:shd w:fill="F7FAFC"/>
          </w:tcPr>
          <w:p>
            <w:r>
              <w:rPr>
                <w:b/>
                <w:sz w:val="17"/>
              </w:rPr>
              <w:t>CALIDAD SÓLIDA / BAJO RIESGO</w:t>
            </w:r>
          </w:p>
        </w:tc>
        <w:tc>
          <w:tcPr>
            <w:tcW w:type="dxa" w:w="2448"/>
            <w:shd w:fill="F7FAFC"/>
          </w:tcPr>
          <w:p>
            <w:r>
              <w:rPr>
                <w:sz w:val="17"/>
              </w:rPr>
              <w:t>Ganancias avaladas por caja real ($2.17 CFO por dólar de NI).</w:t>
            </w:r>
          </w:p>
        </w:tc>
      </w:tr>
      <w:tr>
        <w:tc>
          <w:tcPr>
            <w:tcW w:type="dxa" w:w="2448"/>
          </w:tcPr>
          <w:p>
            <w:r>
              <w:rPr>
                <w:b/>
                <w:sz w:val="17"/>
              </w:rPr>
              <w:t>Solvencia y Estructura</w:t>
            </w:r>
          </w:p>
        </w:tc>
        <w:tc>
          <w:tcPr>
            <w:tcW w:type="dxa" w:w="2448"/>
          </w:tcPr>
          <w:p>
            <w:r>
              <w:rPr>
                <w:sz w:val="17"/>
              </w:rPr>
              <w:t>Cobertura EBIT: 13.7x / Altman Z'': 1.56</w:t>
            </w:r>
          </w:p>
        </w:tc>
        <w:tc>
          <w:tcPr>
            <w:tcW w:type="dxa" w:w="2448"/>
          </w:tcPr>
          <w:p>
            <w:r>
              <w:rPr>
                <w:b/>
                <w:sz w:val="17"/>
              </w:rPr>
              <w:t>SINTÉTICO AAA</w:t>
            </w:r>
          </w:p>
        </w:tc>
        <w:tc>
          <w:tcPr>
            <w:tcW w:type="dxa" w:w="2448"/>
          </w:tcPr>
          <w:p>
            <w:r>
              <w:rPr>
                <w:sz w:val="17"/>
              </w:rPr>
              <w:t>Cero estrés financiero; colchón de $5.7B.</w:t>
            </w:r>
          </w:p>
        </w:tc>
      </w:tr>
      <w:tr>
        <w:tc>
          <w:tcPr>
            <w:tcW w:type="dxa" w:w="2448"/>
            <w:shd w:fill="F7FAFC"/>
          </w:tcPr>
          <w:p>
            <w:r>
              <w:rPr>
                <w:b/>
                <w:sz w:val="17"/>
              </w:rPr>
              <w:t>Productividad del Capital</w:t>
            </w:r>
          </w:p>
        </w:tc>
        <w:tc>
          <w:tcPr>
            <w:tcW w:type="dxa" w:w="2448"/>
            <w:shd w:fill="F7FAFC"/>
          </w:tcPr>
          <w:p>
            <w:r>
              <w:rPr>
                <w:sz w:val="17"/>
              </w:rPr>
              <w:t>ROC Greenblatt: 82.4% / ROIC Adj: 18.1%</w:t>
            </w:r>
          </w:p>
        </w:tc>
        <w:tc>
          <w:tcPr>
            <w:tcW w:type="dxa" w:w="2448"/>
            <w:shd w:fill="F7FAFC"/>
          </w:tcPr>
          <w:p>
            <w:r>
              <w:rPr>
                <w:b/>
                <w:sz w:val="17"/>
              </w:rPr>
              <w:t>CREADOR DE VALOR</w:t>
            </w:r>
          </w:p>
        </w:tc>
        <w:tc>
          <w:tcPr>
            <w:tcW w:type="dxa" w:w="2448"/>
            <w:shd w:fill="F7FAFC"/>
          </w:tcPr>
          <w:p>
            <w:r>
              <w:rPr>
                <w:sz w:val="17"/>
              </w:rPr>
              <w:t>Spread económico de +7.1 pp sobre WACC (Creación de valor de élite).</w:t>
            </w:r>
          </w:p>
        </w:tc>
      </w:tr>
      <w:tr>
        <w:tc>
          <w:tcPr>
            <w:tcW w:type="dxa" w:w="2448"/>
          </w:tcPr>
          <w:p>
            <w:r>
              <w:rPr>
                <w:b/>
                <w:sz w:val="17"/>
              </w:rPr>
              <w:t>Valoración de Mercado</w:t>
            </w:r>
          </w:p>
        </w:tc>
        <w:tc>
          <w:tcPr>
            <w:tcW w:type="dxa" w:w="2448"/>
          </w:tcPr>
          <w:p>
            <w:r>
              <w:rPr>
                <w:sz w:val="17"/>
              </w:rPr>
              <w:t>Crecimiento Implícito: 14.0% - 1.5%</w:t>
            </w:r>
          </w:p>
        </w:tc>
        <w:tc>
          <w:tcPr>
            <w:tcW w:type="dxa" w:w="2448"/>
          </w:tcPr>
          <w:p>
            <w:r>
              <w:rPr>
                <w:b/>
                <w:sz w:val="17"/>
              </w:rPr>
              <w:t>VALORACIÓN EXIGENTE</w:t>
            </w:r>
          </w:p>
        </w:tc>
        <w:tc>
          <w:tcPr>
            <w:tcW w:type="dxa" w:w="2448"/>
          </w:tcPr>
          <w:p>
            <w:r>
              <w:rPr>
                <w:sz w:val="17"/>
              </w:rPr>
              <w:t>Exigencia asumible (+14.0% anual); alineada con el ritmo tendencial de la empresa y su sector.</w:t>
            </w:r>
          </w:p>
        </w:tc>
      </w:tr>
    </w:tbl>
    <w:p>
      <w:pPr>
        <w:spacing w:before="400"/>
        <w:jc w:val="center"/>
      </w:pPr>
      <w:r>
        <w:rPr>
          <w:rFonts w:ascii="Calibri" w:hAnsi="Calibri"/>
          <w:i/>
          <w:color w:val="4A5568"/>
          <w:sz w:val="17"/>
        </w:rPr>
        <w:t>Fin del Informe Oficial de Investigación Fundamental — MercadoLibre, Inc. (MELI)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