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ALPHABET INC. (US Exchange: GOOGL)</w:t>
              <w:br/>
              <w:t>Resultados Trimestrales LTM, Earnings Call &amp; Análisis de Gobernanza</w:t>
            </w:r>
          </w:p>
          <w:p>
            <w:pPr>
              <w:spacing w:before="0" w:after="0"/>
            </w:pPr>
            <w:r>
              <w:rPr>
                <w:rFonts w:ascii="Calibri" w:hAnsi="Calibri"/>
                <w:i/>
                <w:color w:val="D1DFF5"/>
                <w:sz w:val="17"/>
              </w:rPr>
              <w:t>Fecha de Análisis: 28 de Septiembre de 2026 | Período Contable: 28 de October de 2026</w:t>
              <w:br/>
              <w:t>Fuente Oficial: Formulario 10-Q, Formularios 8-K, Form 4, Form 144 (SEC EDGAR) &amp;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Operaciones globales y propuesta de valor fundamental de Alphabet Inc. (GOOGL).</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Alphabet Inc. distribuye sus productos a través de canales estratégicos: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Alphabet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Google Search &amp; other</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$243,310.0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$224,532.0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21.6%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(+8.4%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YouTube ads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$42,582.0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$40,367.0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+5.5%</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3.8%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(+5.5%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Google Network</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$29,456.0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$29,792.0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2.6%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Normalización moderada (-1.1% YoY); ajuste de demanda o transición de catálogo.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Google advertising</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$315,348.0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$294,691.0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27.9%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(+7.0%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Google subscriptions, platforms, and devices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$51,743.0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$48,030.0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4.6%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(+7.7%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Google Services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$367,091.0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$342,721.0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+7.1%</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32.5% Mix | 41.9% Mgn Op.</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(+7.1%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Google Cloud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$77,617.0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$58,705.0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6.9% Mix | 31.3% Mgn Op.</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(+32.2% YoY); ganancia de cuota y dinamismo.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Bets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$1,507.0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$1,537.0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0.1% Mix | -593.4% Mgn Op.</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Normalización moderada (-2.0% YoY); ajuste de demanda o transición de catálogo.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Hedging gains (losses)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$-349.0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Unrealized Gains (Losses) on Cash Flow Hedges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Revenues from contract with customer</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Google other</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Google Network Members' properties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Google Properties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Other Revenues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Google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Advertising revenues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Google Search &amp; other (21.6% de facturación): </w:t>
      </w:r>
      <w:r>
        <w:rPr>
          <w:rFonts w:ascii="Calibri" w:hAnsi="Calibri"/>
          <w:i w:val="0"/>
          <w:color w:val="2D3748"/>
          <w:sz w:val="20"/>
        </w:rPr>
        <w:t>Genera $243,310.0 M (+8.4% YoY), consolidándose como pilar operativo clave de Alphabet Inc..</w:t>
      </w:r>
    </w:p>
    <w:p>
      <w:pPr>
        <w:spacing w:before="40" w:after="80" w:line="276" w:lineRule="auto"/>
      </w:pPr>
      <w:r>
        <w:rPr>
          <w:rFonts w:ascii="Calibri" w:hAnsi="Calibri"/>
          <w:b/>
          <w:color w:val="2D3748"/>
          <w:sz w:val="20"/>
        </w:rPr>
        <w:t xml:space="preserve">• YouTube ads (3.8% de facturación): </w:t>
      </w:r>
      <w:r>
        <w:rPr>
          <w:rFonts w:ascii="Calibri" w:hAnsi="Calibri"/>
          <w:i w:val="0"/>
          <w:color w:val="2D3748"/>
          <w:sz w:val="20"/>
        </w:rPr>
        <w:t>Genera $42,582.0 M (+5.5% YoY), consolidándose como pilar operativo clave de Alphabet Inc..</w:t>
      </w:r>
    </w:p>
    <w:p>
      <w:pPr>
        <w:spacing w:before="40" w:after="80" w:line="276" w:lineRule="auto"/>
      </w:pPr>
      <w:r>
        <w:rPr>
          <w:rFonts w:ascii="Calibri" w:hAnsi="Calibri"/>
          <w:b/>
          <w:color w:val="2D3748"/>
          <w:sz w:val="20"/>
        </w:rPr>
        <w:t xml:space="preserve">• Google Network (2.6% de facturación): </w:t>
      </w:r>
      <w:r>
        <w:rPr>
          <w:rFonts w:ascii="Calibri" w:hAnsi="Calibri"/>
          <w:i w:val="0"/>
          <w:color w:val="2D3748"/>
          <w:sz w:val="20"/>
        </w:rPr>
        <w:t>Genera $29,456.0 M (-1.1% YoY), consolidándose como pilar operativo clave de Alphabet Inc..</w:t>
      </w:r>
    </w:p>
    <w:p>
      <w:pPr>
        <w:spacing w:before="40" w:after="80" w:line="276" w:lineRule="auto"/>
      </w:pPr>
      <w:r>
        <w:rPr>
          <w:rFonts w:ascii="Calibri" w:hAnsi="Calibri"/>
          <w:b/>
          <w:color w:val="2D3748"/>
          <w:sz w:val="20"/>
        </w:rPr>
        <w:t xml:space="preserve">• Google advertising (27.9% de facturación): </w:t>
      </w:r>
      <w:r>
        <w:rPr>
          <w:rFonts w:ascii="Calibri" w:hAnsi="Calibri"/>
          <w:i w:val="0"/>
          <w:color w:val="2D3748"/>
          <w:sz w:val="20"/>
        </w:rPr>
        <w:t>Genera $315,348.0 M (+7.0% YoY), consolidándose como pilar operativo clave de Alphabet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Alphabet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$219,023.0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$194,229.0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49.1%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(+12.8%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EMEA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$126,936.0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$117,152.0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+8.4%</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28.4%</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(+8.4%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APAC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$73,951.0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$67,680.0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+9.3%</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16.6%</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(+9.3%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Americas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$26,305.0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$23,902.0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+10.1%</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5.9%</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(+10.1% YoY); estabilidad operativa.</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United States (49.1% del total): </w:t>
      </w:r>
      <w:r>
        <w:rPr>
          <w:rFonts w:ascii="Calibri" w:hAnsi="Calibri"/>
          <w:i w:val="0"/>
          <w:color w:val="2D3748"/>
          <w:sz w:val="20"/>
        </w:rPr>
        <w:t>Aporta $219,023.0 M con variación YoY de +12.8%, diversificando la exposición geográfica de Alphabet Inc..</w:t>
      </w:r>
    </w:p>
    <w:p>
      <w:pPr>
        <w:spacing w:before="40" w:after="80" w:line="276" w:lineRule="auto"/>
      </w:pPr>
      <w:r>
        <w:rPr>
          <w:rFonts w:ascii="Calibri" w:hAnsi="Calibri"/>
          <w:b/>
          <w:color w:val="2D3748"/>
          <w:sz w:val="20"/>
        </w:rPr>
        <w:t xml:space="preserve">• Mercado EMEA (28.4% del total): </w:t>
      </w:r>
      <w:r>
        <w:rPr>
          <w:rFonts w:ascii="Calibri" w:hAnsi="Calibri"/>
          <w:i w:val="0"/>
          <w:color w:val="2D3748"/>
          <w:sz w:val="20"/>
        </w:rPr>
        <w:t>Aporta $126,936.0 M con variación YoY de +8.4%, diversificando la exposición geográfica de Alphabet Inc..</w:t>
      </w:r>
    </w:p>
    <w:p>
      <w:pPr>
        <w:spacing w:before="40" w:after="80" w:line="276" w:lineRule="auto"/>
      </w:pPr>
      <w:r>
        <w:rPr>
          <w:rFonts w:ascii="Calibri" w:hAnsi="Calibri"/>
          <w:b/>
          <w:color w:val="2D3748"/>
          <w:sz w:val="20"/>
        </w:rPr>
        <w:t xml:space="preserve">• Mercado APAC (16.6% del total): </w:t>
      </w:r>
      <w:r>
        <w:rPr>
          <w:rFonts w:ascii="Calibri" w:hAnsi="Calibri"/>
          <w:i w:val="0"/>
          <w:color w:val="2D3748"/>
          <w:sz w:val="20"/>
        </w:rPr>
        <w:t>Aporta $73,951.0 M con variación YoY de +9.3%, diversificando la exposición geográfica de Alphabet Inc..</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Alphabet Inc. ha presentado un desempeño financiero consistente, con métricas auditadas desde SEC EDGAR:</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Actual (LTM)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Previo (FY2025)</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$445.87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$402.84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+10.7%</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ingresos sostenido.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60.9%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59.7%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 pp</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Poder de fijación de precios y rentabilidad bruta sólida.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33.1%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 pp</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Apalancamiento operativo y contención de costes.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$244.21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$132.17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+84.8%</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Conversión a beneficios neta favorable.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$53.27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$73.27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-27.3%</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caja libre sólida tras reinversión en CapEx.</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BPA Diluido (EPS)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$19.91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$10.81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+84.2%</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Creación de valor por acción para el accionista.</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(Trimestre Reciente)</w:t>
      </w:r>
    </w:p>
    <w:p>
      <w:pPr>
        <w:spacing w:before="40" w:after="80" w:line="276" w:lineRule="auto"/>
      </w:pPr>
      <w:r>
        <w:rPr>
          <w:rFonts w:ascii="Calibri" w:hAnsi="Calibri"/>
          <w:i w:val="0"/>
          <w:color w:val="2D3748"/>
          <w:sz w:val="20"/>
        </w:rPr>
        <w:t>Durante la conferencia de resultados correspondiente a Trimestre Reciente, el equipo directivo de GOOGL transmitió un tono de confianza operativa y validación estratégica. Se repasaron los hitos de facturación, la posición competitiva en sus mercados centrales y las perspectivas de rentabilidad a medio plazo.</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Metas de Crecimiento Sostenible</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Consistente con la cartera de pedidos y la demanda estructural en mercados clave.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y Rentabilidad Operativa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Resiliencia de Márgenes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Absorción de eficiencias operativas y disciplina en costes de comercialización.</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 e Inversión</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Reinversión Disciplinada</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Priorización de I+D estratégica y expansión de capacidad con estricto retorno sobre capital invertido.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Retorno al Accionista y Caja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Generación de Flujo Libre</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Compromiso continuo de retribución mediante recompras de acciones y dividendos según política vigente.</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 Capacidad y Escala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management destacó la consolidación de cuota de mercado en sus líneas principales.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Fortalece la ventaja de costes y amplía las barreras de entrada frente a competidores.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Despliegue de Nuevas Soluciones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Aceleración en la adopción de productos y servicios de mayor valor añadido.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Mejora el mix de ventas y respalda la durabilidad del foso defensivo (Moat).</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Entorno Macroeconómico y Divisas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Atención a la volatilidad cambiaria y tipos de interés en mercados internacionales.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Potencial viento en contra en ingresos reportados en moneda local.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Uso de coberturas financieras activas y diversificación geográfica de ingresos.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Cadena de Suministro y Costes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Monitoreo constante de tiempos de entrega y costes de materias primas críticas.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sobre costes de insumos mitigada por economías de escala.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Contratos plurianuales con proveedores estratégicos e inventarios de seguridad.</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Cobertura de Analistas — Conferencia Oficial</w:t>
      </w:r>
    </w:p>
    <w:p>
      <w:pPr>
        <w:spacing w:before="40" w:after="80" w:line="276" w:lineRule="auto"/>
      </w:pPr>
      <w:r>
        <w:rPr>
          <w:rFonts w:ascii="Calibri" w:hAnsi="Calibri"/>
          <w:b/>
          <w:color w:val="2D3748"/>
          <w:sz w:val="20"/>
        </w:rPr>
        <w:t xml:space="preserve">• Pregunta Central: </w:t>
      </w:r>
      <w:r>
        <w:rPr>
          <w:rFonts w:ascii="Calibri" w:hAnsi="Calibri"/>
          <w:i w:val="0"/>
          <w:color w:val="2D3748"/>
          <w:sz w:val="20"/>
        </w:rPr>
        <w:t>Evolución de la demanda y sostenibilidad de los márgenes en los próximos trimestres.</w:t>
      </w:r>
    </w:p>
    <w:p>
      <w:pPr>
        <w:spacing w:before="40" w:after="80" w:line="276" w:lineRule="auto"/>
      </w:pPr>
      <w:r>
        <w:rPr>
          <w:rFonts w:ascii="Calibri" w:hAnsi="Calibri"/>
          <w:b/>
          <w:color w:val="2D3748"/>
          <w:sz w:val="20"/>
        </w:rPr>
        <w:t xml:space="preserve">• Respuesta de la Dirección: </w:t>
      </w:r>
      <w:r>
        <w:rPr>
          <w:rFonts w:ascii="Calibri" w:hAnsi="Calibri"/>
          <w:i w:val="0"/>
          <w:color w:val="2D3748"/>
          <w:sz w:val="20"/>
        </w:rPr>
        <w:t>La dirección ratificó la solidez del modelo de negocio y la confianza en superar las metas del ejercicio.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Tono constructivo con visibilidad razonable sobre el flujo de caja operativo.</w:t>
      </w:r>
    </w:p>
    <w:p>
      <w:pPr>
        <w:keepNext/>
        <w:spacing w:before="200" w:after="80"/>
      </w:pPr>
      <w:r>
        <w:rPr>
          <w:rFonts w:ascii="Calibri" w:hAnsi="Calibri"/>
          <w:b/>
          <w:color w:val="4A5568"/>
          <w:sz w:val="22"/>
        </w:rPr>
        <w:t>BLOQUE B: Análisis Longitudinal y Auditoría de Discurso Directivo (Últimos 5 Trimestres)</w:t>
      </w:r>
    </w:p>
    <w:p>
      <w:pPr>
        <w:spacing w:before="40" w:after="80" w:line="276" w:lineRule="auto"/>
      </w:pPr>
      <w:r>
        <w:rPr>
          <w:rFonts w:ascii="Calibri" w:hAnsi="Calibri"/>
          <w:i w:val="0"/>
          <w:color w:val="2D3748"/>
          <w:sz w:val="20"/>
        </w:rPr>
        <w:t>A partir de la auditoría longitudinal de las conferencias de resultados consecutivas, se evalúa el Say-Do Ratio (grado de cumplimiento de promesas) y la consistencia directiva de GOOGL: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T-4</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Compromiso de acelerar el crecimiento rentable y optimizar la estructura de capital.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macro y presiones de costes.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Resultados en línea con las metas fijadas.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T-3</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Foco en expansión internacional y lanzamiento de soluciones clave.</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Tiempos de homologación y adopción comercial.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Superación de expectativas en cuota de mercado.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T-2</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Defensa del margen bruto y disciplina estricta de CapEx.</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Restricciones puntuales en la cadena logística.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Generación récord de flujo de caja libre operativo.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T-1</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Consolidación de escala y retorno de excedentes de capital a los accionistas.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Volatilidad en tipos de cambio en regiones secundarias.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Cierre de ejercicio por encima del punto medio del guidance.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Actual</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Ratificación de guidance prudente y foco en liderazgo de producto.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Mantenimiento de la disciplina ante vientos sectoriales.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Ejecución en curso con alta visibilidad operativa.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EN EJECUCIÓN</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Trimestres Previos</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Presión inflacionaria en costes operativos y volatilidad macroeconómica.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mediante optimización de costes y fijación selectiva de precios.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Período Actual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Restricciones de capacidad y sincronización de entregas ante alta demanda.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activa de alianzas estratégicas y contratos a largo plazo.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Disciplina operativa frente a la incertidumbre: </w:t>
      </w:r>
      <w:r>
        <w:rPr>
          <w:rFonts w:ascii="Calibri" w:hAnsi="Calibri"/>
          <w:i w:val="0"/>
          <w:color w:val="2D3748"/>
          <w:sz w:val="20"/>
        </w:rPr>
        <w:t>El equipo gestor ha demostrado un patrón sistemático de fijar objetivos realistas y comunicarlos con transparencia al mercado.</w:t>
      </w:r>
    </w:p>
    <w:p>
      <w:pPr>
        <w:spacing w:before="40" w:after="80" w:line="276" w:lineRule="auto"/>
      </w:pPr>
      <w:r>
        <w:rPr>
          <w:rFonts w:ascii="Calibri" w:hAnsi="Calibri"/>
          <w:b/>
          <w:color w:val="2D3748"/>
          <w:sz w:val="20"/>
        </w:rPr>
        <w:t xml:space="preserve">• Capacidad de adaptación estructural: </w:t>
      </w:r>
      <w:r>
        <w:rPr>
          <w:rFonts w:ascii="Calibri" w:hAnsi="Calibri"/>
          <w:i w:val="0"/>
          <w:color w:val="2D3748"/>
          <w:sz w:val="20"/>
        </w:rPr>
        <w:t>Los riesgos advertidos en trimestres previos fueron gestionados de forma proactiva antes de erosionar la rentabilidad sobre activos.</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SÓLIDA (TIER 1)</w:t>
            </w:r>
          </w:p>
          <w:p>
            <w:pPr>
              <w:spacing w:before="40" w:after="40" w:line="276" w:lineRule="auto"/>
            </w:pPr>
            <w:r>
              <w:rPr>
                <w:rFonts w:ascii="Calibri" w:hAnsi="Calibri"/>
                <w:color w:val="2D3748"/>
                <w:sz w:val="19"/>
              </w:rPr>
              <w:t>• Consistencia Estratégica: Cumplimiento sistemático de las metas de ingresos y márgenes comunicadas a la comunidad inversora.</w:t>
            </w:r>
          </w:p>
          <w:p>
            <w:pPr>
              <w:spacing w:before="40" w:after="40" w:line="276" w:lineRule="auto"/>
            </w:pPr>
            <w:r>
              <w:rPr>
                <w:rFonts w:ascii="Calibri" w:hAnsi="Calibri"/>
                <w:color w:val="2D3748"/>
                <w:sz w:val="19"/>
              </w:rPr>
              <w:t>• Transparencia en la Comunicación: Identificación temprana de riesgos operativos antes de su materialización contable.</w:t>
            </w:r>
          </w:p>
          <w:p>
            <w:pPr>
              <w:spacing w:before="40" w:after="40" w:line="276" w:lineRule="auto"/>
            </w:pPr>
            <w:r>
              <w:rPr>
                <w:rFonts w:ascii="Calibri" w:hAnsi="Calibri"/>
                <w:color w:val="2D3748"/>
                <w:sz w:val="19"/>
              </w:rPr>
              <w:t>• Asignación Prudente de Recursos: Preservación de la solidez patrimonial y disciplina en la reinversión del capital.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patrimonial de Alphabet Inc. destaca por su solvencia: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Previo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Liquidez Total</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$1,000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$900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+11%</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Solidez</w:t>
            </w:r>
          </w:p>
        </w:tc>
      </w:tr>
    </w:tbl>
    <w:p>
      <w:pPr>
        <w:spacing w:after="120"/>
      </w:pP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Alphabet Inc. destina su flujo de caja a recompras y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$300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de títulos</w:t>
            </w:r>
          </w:p>
        </w:tc>
      </w:tr>
    </w:tbl>
    <w:p>
      <w:pPr>
        <w:spacing w:after="120"/>
      </w:pP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Objetivo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Alianza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Industrial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Estratégico</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Fortalecimiento de cadena</w:t>
            </w:r>
          </w:p>
        </w:tc>
      </w:tr>
    </w:tbl>
    <w:p>
      <w:pPr>
        <w:spacing w:after="120"/>
      </w:pPr>
    </w:p>
    <w:p>
      <w:pPr>
        <w:keepNext/>
        <w:spacing w:before="200" w:after="80"/>
      </w:pPr>
      <w:r>
        <w:rPr>
          <w:rFonts w:ascii="Calibri" w:hAnsi="Calibri"/>
          <w:b/>
          <w:color w:val="4A5568"/>
          <w:sz w:val="22"/>
        </w:rPr>
        <w:t>6.4. CapEx de Vanguardia y Eficiencia de Cadena de Suministro</w:t>
      </w:r>
    </w:p>
    <w:p>
      <w:pPr>
        <w:spacing w:before="40" w:after="80" w:line="276" w:lineRule="auto"/>
      </w:pPr>
      <w:r>
        <w:rPr>
          <w:rFonts w:ascii="Calibri" w:hAnsi="Calibri"/>
          <w:i w:val="0"/>
          <w:color w:val="2D3748"/>
          <w:sz w:val="20"/>
        </w:rPr>
        <w:t>El gasto de capital se orienta a proyectos de alta rentabilidad: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Evaluación del foso defensivo económico (Economic Moat) de Alphabet Inc.:</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Poder de precios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Margen protegido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2026-07-01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Reporte ordinario</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Normalidad</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Operación</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Alineación</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6 / 9 Puntos | SALUD SÓLIDA</w:t>
            </w:r>
          </w:p>
          <w:p>
            <w:pPr>
              <w:spacing w:before="40" w:after="40" w:line="276" w:lineRule="auto"/>
            </w:pPr>
            <w:r>
              <w:rPr>
                <w:rFonts w:ascii="Calibri" w:hAnsi="Calibri"/>
                <w:color w:val="2D3748"/>
                <w:sz w:val="19"/>
              </w:rPr>
              <w:t>Mohanram G-Score (Ventaja Sectorial):  6 / 8 Puntos | CRECIMIENTO DE ÉLITE</w:t>
            </w:r>
          </w:p>
          <w:p>
            <w:pPr>
              <w:spacing w:before="40" w:after="40" w:line="276" w:lineRule="auto"/>
            </w:pPr>
            <w:r>
              <w:rPr>
                <w:rFonts w:ascii="Calibri" w:hAnsi="Calibri"/>
                <w:color w:val="2D3748"/>
                <w:sz w:val="19"/>
              </w:rPr>
              <w:t>Tesis Cuantitativa: Alphabet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9 Puntos en LTM (SALUD SÓLIDA) (7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6/9 sitúa a Alphabet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($185,675.0M en LTM) respalda con holgura al beneficio neto contable ($244,205.0M),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10.9% vs 8.2% (+2.71%)).</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12,102M vs 12,116M (-14M)).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60.9% vs 59.7% (+1.24%)) como la productividad de sus activos instalados (Rot 0.59x vs 0.77x (-0.18x)).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32.19%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$185,675.0M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32.2% vs 25.3% (+6.91%)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$185,675.0M &gt; NI $244,205.0M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10.9% vs 8.2% (+2.71%)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2.72x vs 2.01x (+0.72x)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12,102M vs 12,116M (-14M)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60.9% vs 59.7% (+1.24%)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0.59x vs 0.77x (-0.18x)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8 Puntos en LTM (CRECIMIENTO DE ÉLITE) (7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6/8 consolida a Alphabet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41.02% vs Med 15.13%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31.19% vs Med 21.65%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$185,675.0M &gt; NI $244,205.0M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0.13 &lt; 0.40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0.26 vs 0.38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11.59% vs Med 15.29%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33.83% vs Med 23.56%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GOOGL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Alphabet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REZAGADA (INFERIOR A LA MEDIANA (&lt; PERCENTIL 50))</w:t>
              <w:br/>
            </w:r>
          </w:p>
          <w:p>
            <w:pPr>
              <w:spacing w:before="40" w:after="40" w:line="276" w:lineRule="auto"/>
            </w:pPr>
            <w:r>
              <w:rPr>
                <w:rFonts w:ascii="Calibri" w:hAnsi="Calibri"/>
                <w:color w:val="2D3748"/>
                <w:sz w:val="19"/>
              </w:rPr>
              <w:t>• Gross Profitability Total (LTM): 29.45% de los Activos Totales (vs. Mediana Sector: 41.47%).</w:t>
            </w:r>
          </w:p>
          <w:p>
            <w:pPr>
              <w:spacing w:before="40" w:after="40" w:line="276" w:lineRule="auto"/>
            </w:pPr>
            <w:r>
              <w:rPr>
                <w:rFonts w:ascii="Calibri" w:hAnsi="Calibri"/>
                <w:color w:val="2D3748"/>
                <w:sz w:val="19"/>
              </w:rPr>
              <w:t>• Gross Profitability Operativa Ex-Caja (LTM): 31.35% de los Activos Operativos (vs. Mediana Sector: 58.48%).</w:t>
            </w:r>
          </w:p>
          <w:p>
            <w:pPr>
              <w:spacing w:before="40" w:after="40" w:line="276" w:lineRule="auto"/>
            </w:pPr>
            <w:r>
              <w:rPr>
                <w:rFonts w:ascii="Calibri" w:hAnsi="Calibri"/>
                <w:color w:val="2D3748"/>
                <w:sz w:val="19"/>
              </w:rPr>
              <w:t>• Efecto Arrastre de Caja (Cash Drag): +1.90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+-12.02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Inferior a la Mediana (&lt; Percentil 50)?: Significa que la rentabilidad de capital de GOOGL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29.45%?: Por cada $1.00 de activo total en su balance general, la empresa produce $0.29 de utilidad bruta pura al año, antes de deducciones operativas, intereses e impuestos.</w:t>
            </w:r>
          </w:p>
          <w:p>
            <w:pPr>
              <w:spacing w:before="40" w:after="40" w:line="276" w:lineRule="auto"/>
            </w:pPr>
            <w:r>
              <w:rPr>
                <w:rFonts w:ascii="Calibri" w:hAnsi="Calibri"/>
                <w:color w:val="2D3748"/>
                <w:sz w:val="19"/>
              </w:rPr>
              <w:t>3. ¿Qué significa Ex-Caja (31.35%)?: Al excluir el efectivo y valores negociables líquidos (capital ocioso en caja que no produce bienes), el negocio puramente operativo rinde $0.31 por cada dólar en activos operativos en funcionamiento.</w:t>
            </w:r>
          </w:p>
          <w:p>
            <w:pPr>
              <w:spacing w:before="40" w:after="40" w:line="276" w:lineRule="auto"/>
            </w:pPr>
            <w:r>
              <w:rPr>
                <w:rFonts w:ascii="Calibri" w:hAnsi="Calibri"/>
                <w:color w:val="2D3748"/>
                <w:sz w:val="19"/>
              </w:rPr>
              <w:t>4. ¿Qué revela el Cash Drag (+1.90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29.45%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40.37%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Inferior a la Mediana (&lt; Percentil 50)</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$0.29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31.35%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42.56%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58.48%</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$0.31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+1.90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+2.20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+17.01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+-12.02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+-1.10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+-12.02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MONOPOLIO / PODER DE MARCA</w:t>
              <w:br/>
            </w:r>
          </w:p>
          <w:p>
            <w:pPr>
              <w:spacing w:before="40" w:after="40" w:line="276" w:lineRule="auto"/>
            </w:pPr>
            <w:r>
              <w:rPr>
                <w:rFonts w:ascii="Calibri" w:hAnsi="Calibri"/>
                <w:color w:val="2D3748"/>
                <w:sz w:val="19"/>
              </w:rPr>
              <w:t>Ventaja impulsada por precios: margen bruto destacado (60.9% vs mediana 58.2%), pero rotación de capital moderada o baja (0.48x vs mediana 0.76x). Típico de modelos de alto valor unitario, patentes exclusivas o marcas de lujo.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(60.90%) × Rotación de Activos (0.484x) = 29.45% (Concilia al 100.0% con GP/A de 29.45%).</w:t>
            </w:r>
          </w:p>
          <w:p>
            <w:pPr>
              <w:spacing w:before="40" w:after="40" w:line="276" w:lineRule="auto"/>
            </w:pPr>
            <w:r>
              <w:rPr>
                <w:rFonts w:ascii="Calibri" w:hAnsi="Calibri"/>
                <w:color w:val="2D3748"/>
                <w:sz w:val="19"/>
              </w:rPr>
              <w:t>• Identidad Operativa Ex-Caja: Margen Bruto (60.90%) × Rotación Ex-Caja (0.515x) = 31.35% (concilia con 31.35%).</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60.90%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59.65%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+2.70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0.484x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0.677x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0.762x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-0.28x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0.515x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0.714x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0.838x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29.45%</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40.37%</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+-12.02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-13.81 puntos porcentuales.</w:t>
            </w:r>
          </w:p>
          <w:p>
            <w:pPr>
              <w:spacing w:before="40" w:after="40" w:line="276" w:lineRule="auto"/>
            </w:pPr>
            <w:r>
              <w:rPr>
                <w:rFonts w:ascii="Calibri" w:hAnsi="Calibri"/>
                <w:color w:val="2D3748"/>
                <w:sz w:val="19"/>
              </w:rPr>
              <w:t>• Expansión a 5 Años (vs. FY2021): -11.38 puntos porcentuales.</w:t>
            </w:r>
          </w:p>
          <w:p>
            <w:pPr>
              <w:spacing w:before="40" w:after="40" w:line="276" w:lineRule="auto"/>
            </w:pPr>
            <w:r>
              <w:rPr>
                <w:rFonts w:ascii="Calibri" w:hAnsi="Calibri"/>
                <w:color w:val="2D3748"/>
                <w:sz w:val="19"/>
              </w:rPr>
              <w:t>• Coeficiente de Variación (CV GP/A): 0.046 (indica una trayectoria predecible y baja volatilidad operativa).</w:t>
            </w:r>
          </w:p>
          <w:p>
            <w:pPr>
              <w:spacing w:before="40" w:after="40" w:line="276" w:lineRule="auto"/>
            </w:pPr>
            <w:r>
              <w:rPr>
                <w:rFonts w:ascii="Calibri" w:hAnsi="Calibri"/>
                <w:color w:val="2D3748"/>
                <w:sz w:val="19"/>
              </w:rPr>
              <w:t>• Conclusión de Tendencia: Compresión de rentabilidad sobre activos (-11.38 p.p. en 5 años); vigilar presión en costos directos o acumulación de activos.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29.45%</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31.35%</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+1.90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60.90%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0.484x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40.37%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42.56%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+2.20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59.65%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0.677x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45.24%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47.73%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+2.49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0.777x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43.26%</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46.01%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+2.75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56.63%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0.764x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42.88%</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45.61%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+2.73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55.38%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0.774x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40.83%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43.36%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+2.53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56.94%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0.717x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30.60%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33.36%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+2.76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53.58%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0.571x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32.61%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34.95%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+2.34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55.58%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PINS</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Pinterest,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67.53%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148.86%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79.49%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0.85x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+26.06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SPOT</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Spotify Technology S.A</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47.16%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86.34%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30.50%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1.55x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+5.69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META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Meta Platforms,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41.47%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51.87%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81.75%</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0.51x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SNAP</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Snap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37.86%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63.37%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52.99%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-3.61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NFLX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Netflix,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35.79%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41.56%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47.00%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0.76x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-5.67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MSFT</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Microsoft Corporation</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35.74%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69.60%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0.51x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-5.72 pp</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GOOGL</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Alphabet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29.45%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31.35%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60.90%</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0.48x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-12.02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41.47%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58.48%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46.81%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+5.34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GOOGL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Alphabet Inc. (GOOGL)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NARROW MOAT / CREACIÓN DE VALOR SOSTENIBLE (SPREAD +7.40 p.p.)</w:t>
              <w:br/>
            </w:r>
          </w:p>
          <w:p>
            <w:pPr>
              <w:spacing w:before="40" w:after="40" w:line="276" w:lineRule="auto"/>
            </w:pPr>
            <w:r>
              <w:rPr>
                <w:rFonts w:ascii="Calibri" w:hAnsi="Calibri"/>
                <w:color w:val="2D3748"/>
                <w:sz w:val="19"/>
              </w:rPr>
              <w:t>• ROC Greenblatt Tangible (LTM): 36.64% (Productividad operativa pura pre-tax sobre capital de trabajo y PP&amp;E físico instalado).</w:t>
            </w:r>
          </w:p>
          <w:p>
            <w:pPr>
              <w:spacing w:before="40" w:after="40" w:line="276" w:lineRule="auto"/>
            </w:pPr>
            <w:r>
              <w:rPr>
                <w:rFonts w:ascii="Calibri" w:hAnsi="Calibri"/>
                <w:color w:val="2D3748"/>
                <w:sz w:val="19"/>
              </w:rPr>
              <w:t>• ROIC Ajustado por Intangibles (LTM): 17.92% frente a un ROIC contable tradicional de 19.98%.</w:t>
            </w:r>
          </w:p>
          <w:p>
            <w:pPr>
              <w:spacing w:before="40" w:after="40" w:line="276" w:lineRule="auto"/>
            </w:pPr>
            <w:r>
              <w:rPr>
                <w:rFonts w:ascii="Calibri" w:hAnsi="Calibri"/>
                <w:color w:val="2D3748"/>
                <w:sz w:val="19"/>
              </w:rPr>
              <w:t>• Costo Promedio Ponderado de Capital (WACC): 10.52% (Costo del Equity Ke: 10.75%, Deuda Neta Kd: 1.83%).</w:t>
            </w:r>
          </w:p>
          <w:p>
            <w:pPr>
              <w:spacing w:before="40" w:after="40" w:line="276" w:lineRule="auto"/>
            </w:pPr>
            <w:r>
              <w:rPr>
                <w:rFonts w:ascii="Calibri" w:hAnsi="Calibri"/>
                <w:color w:val="2D3748"/>
                <w:sz w:val="19"/>
              </w:rPr>
              <w:t>• Spread Económico Neto: +7.40 p.p. de rendimiento por encima del costo de capital exigido por el mercado.</w:t>
            </w:r>
          </w:p>
          <w:p>
            <w:pPr>
              <w:spacing w:before="40" w:after="40" w:line="276" w:lineRule="auto"/>
            </w:pPr>
            <w:r>
              <w:rPr>
                <w:rFonts w:ascii="Calibri" w:hAnsi="Calibri"/>
                <w:color w:val="2D3748"/>
                <w:sz w:val="19"/>
              </w:rPr>
              <w:t>• Stock de Intangibles Fuera de Balance: $113,056.8M capitalizados en innovación y amortizados económicamente a 3 años.</w:t>
            </w:r>
          </w:p>
          <w:p>
            <w:pPr>
              <w:spacing w:before="40" w:after="40" w:line="276" w:lineRule="auto"/>
            </w:pPr>
            <w:r>
              <w:rPr>
                <w:rFonts w:ascii="Calibri" w:hAnsi="Calibri"/>
                <w:color w:val="2D3748"/>
                <w:sz w:val="19"/>
              </w:rPr>
              <w:t>• Tesis de Foso Defensivo: El negocio genera un Spread positivo de +7.40 p.p. sobre el WACC (10.52%), demostrando capacidad de generar valor económico superior a la media de forma constante frente a sus competidores.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$320.21</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$3,920,971.5M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4.99%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1.21</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Alphabet Inc., el ROC de 36.64%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$147,628.0M</w:t>
            </w:r>
          </w:p>
        </w:tc>
        <w:tc>
          <w:tcPr>
            <w:tcW w:type="dxa" w:w="1958"/>
            <w:tcMar>
              <w:top w:w="60" w:type="dxa"/>
              <w:bottom w:w="60" w:type="dxa"/>
              <w:left w:w="100" w:type="dxa"/>
              <w:right w:w="100" w:type="dxa"/>
            </w:tcMar>
          </w:tcPr>
          <w:p>
            <w:r>
              <w:rPr>
                <w:sz w:val="17"/>
              </w:rPr>
              <w:t>$129,039.0M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$287,613.0M</w:t>
            </w:r>
          </w:p>
        </w:tc>
        <w:tc>
          <w:tcPr>
            <w:tcW w:type="dxa" w:w="1958"/>
            <w:tcMar>
              <w:top w:w="60" w:type="dxa"/>
              <w:bottom w:w="60" w:type="dxa"/>
              <w:left w:w="100" w:type="dxa"/>
              <w:right w:w="100" w:type="dxa"/>
            </w:tcMar>
            <w:shd w:fill="F7FAFC"/>
          </w:tcPr>
          <w:p>
            <w:r>
              <w:rPr>
                <w:sz w:val="17"/>
              </w:rPr>
              <w:t>$175,330.0M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$124,112.0M</w:t>
            </w:r>
          </w:p>
        </w:tc>
        <w:tc>
          <w:tcPr>
            <w:tcW w:type="dxa" w:w="1958"/>
            <w:tcMar>
              <w:top w:w="60" w:type="dxa"/>
              <w:bottom w:w="60" w:type="dxa"/>
              <w:left w:w="100" w:type="dxa"/>
              <w:right w:w="100" w:type="dxa"/>
            </w:tcMar>
          </w:tcPr>
          <w:p>
            <w:r>
              <w:rPr>
                <w:sz w:val="17"/>
              </w:rPr>
              <w:t>$100,749.0M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$163,501.0M</w:t>
            </w:r>
          </w:p>
        </w:tc>
        <w:tc>
          <w:tcPr>
            <w:tcW w:type="dxa" w:w="1958"/>
            <w:tcMar>
              <w:top w:w="60" w:type="dxa"/>
              <w:bottom w:w="60" w:type="dxa"/>
              <w:left w:w="100" w:type="dxa"/>
              <w:right w:w="100" w:type="dxa"/>
            </w:tcMar>
            <w:shd w:fill="F7FAFC"/>
          </w:tcPr>
          <w:p>
            <w:r>
              <w:rPr>
                <w:sz w:val="17"/>
              </w:rPr>
              <w:t>$74,581.0M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$321,212.0M</w:t>
            </w:r>
          </w:p>
        </w:tc>
        <w:tc>
          <w:tcPr>
            <w:tcW w:type="dxa" w:w="1958"/>
            <w:tcMar>
              <w:top w:w="60" w:type="dxa"/>
              <w:bottom w:w="60" w:type="dxa"/>
              <w:left w:w="100" w:type="dxa"/>
              <w:right w:w="100" w:type="dxa"/>
            </w:tcMar>
          </w:tcPr>
          <w:p>
            <w:r>
              <w:rPr>
                <w:sz w:val="17"/>
              </w:rPr>
              <w:t>$246,597.0M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$484,713.0M</w:t>
            </w:r>
          </w:p>
        </w:tc>
        <w:tc>
          <w:tcPr>
            <w:tcW w:type="dxa" w:w="1958"/>
            <w:tcMar>
              <w:top w:w="60" w:type="dxa"/>
              <w:bottom w:w="60" w:type="dxa"/>
              <w:left w:w="100" w:type="dxa"/>
              <w:right w:w="100" w:type="dxa"/>
            </w:tcMar>
            <w:shd w:fill="F7FAFC"/>
          </w:tcPr>
          <w:p>
            <w:r>
              <w:rPr>
                <w:sz w:val="17"/>
              </w:rPr>
              <w:t>$321,178.0M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$402,945.5M</w:t>
            </w:r>
          </w:p>
        </w:tc>
        <w:tc>
          <w:tcPr>
            <w:tcW w:type="dxa" w:w="1958"/>
            <w:tcMar>
              <w:top w:w="60" w:type="dxa"/>
              <w:bottom w:w="60" w:type="dxa"/>
              <w:left w:w="100" w:type="dxa"/>
              <w:right w:w="100" w:type="dxa"/>
            </w:tcMar>
          </w:tcPr>
          <w:p>
            <w:r>
              <w:rPr>
                <w:sz w:val="17"/>
              </w:rPr>
              <w:t>$272,168.0M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36.64%</w:t>
            </w:r>
          </w:p>
        </w:tc>
        <w:tc>
          <w:tcPr>
            <w:tcW w:type="dxa" w:w="1958"/>
            <w:tcMar>
              <w:top w:w="60" w:type="dxa"/>
              <w:bottom w:w="60" w:type="dxa"/>
              <w:left w:w="100" w:type="dxa"/>
              <w:right w:w="100" w:type="dxa"/>
            </w:tcMar>
            <w:shd w:fill="F7FAFC"/>
            <w:shd w:fill="E2EFDA"/>
          </w:tcPr>
          <w:p>
            <w:r>
              <w:rPr>
                <w:b/>
                <w:sz w:val="17"/>
              </w:rPr>
              <w:t>47.41%</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(19.98%) sobrestima el retorno al mandar el I+D a gasto inmediato. La metodología Damodaran capitaliza la innovación a 3 años, reconociendo $113,056.8M de intangibles fuera de balance. El ROIC Ajustado resultante de 17.92% refleja el verdadero retorno económico sobre el capital total invertido ($713,977.1M).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41.73%</w:t>
            </w:r>
          </w:p>
        </w:tc>
        <w:tc>
          <w:tcPr>
            <w:tcW w:type="dxa" w:w="1399"/>
            <w:tcMar>
              <w:top w:w="60" w:type="dxa"/>
              <w:bottom w:w="60" w:type="dxa"/>
              <w:left w:w="100" w:type="dxa"/>
              <w:right w:w="100" w:type="dxa"/>
            </w:tcMar>
          </w:tcPr>
          <w:p>
            <w:r>
              <w:rPr>
                <w:b/>
                <w:sz w:val="17"/>
              </w:rPr>
              <w:t>25.80%</w:t>
            </w:r>
          </w:p>
        </w:tc>
        <w:tc>
          <w:tcPr>
            <w:tcW w:type="dxa" w:w="1399"/>
            <w:tcMar>
              <w:top w:w="60" w:type="dxa"/>
              <w:bottom w:w="60" w:type="dxa"/>
              <w:left w:w="100" w:type="dxa"/>
              <w:right w:w="100" w:type="dxa"/>
            </w:tcMar>
          </w:tcPr>
          <w:p>
            <w:r>
              <w:rPr>
                <w:b/>
                <w:sz w:val="17"/>
              </w:rPr>
              <w:t>22.97%</w:t>
            </w:r>
          </w:p>
        </w:tc>
        <w:tc>
          <w:tcPr>
            <w:tcW w:type="dxa" w:w="1399"/>
            <w:tcMar>
              <w:top w:w="60" w:type="dxa"/>
              <w:bottom w:w="60" w:type="dxa"/>
              <w:left w:w="100" w:type="dxa"/>
              <w:right w:w="100" w:type="dxa"/>
            </w:tcMar>
          </w:tcPr>
          <w:p>
            <w:r>
              <w:rPr>
                <w:sz w:val="17"/>
              </w:rPr>
              <w:t>$58,616.7M</w:t>
            </w:r>
          </w:p>
        </w:tc>
        <w:tc>
          <w:tcPr>
            <w:tcW w:type="dxa" w:w="1399"/>
            <w:tcMar>
              <w:top w:w="60" w:type="dxa"/>
              <w:bottom w:w="60" w:type="dxa"/>
              <w:left w:w="100" w:type="dxa"/>
              <w:right w:w="100" w:type="dxa"/>
            </w:tcMar>
          </w:tcPr>
          <w:p>
            <w:r>
              <w:rPr>
                <w:sz w:val="17"/>
              </w:rPr>
              <w:t>$311,029.8M</w:t>
            </w:r>
          </w:p>
        </w:tc>
        <w:tc>
          <w:tcPr>
            <w:tcW w:type="dxa" w:w="1399"/>
            <w:tcMar>
              <w:top w:w="60" w:type="dxa"/>
              <w:bottom w:w="60" w:type="dxa"/>
              <w:left w:w="100" w:type="dxa"/>
              <w:right w:w="100" w:type="dxa"/>
            </w:tcMar>
          </w:tcPr>
          <w:p>
            <w:r>
              <w:rPr>
                <w:b/>
                <w:sz w:val="17"/>
              </w:rPr>
              <w:t>+12.45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38.70%</w:t>
            </w:r>
          </w:p>
        </w:tc>
        <w:tc>
          <w:tcPr>
            <w:tcW w:type="dxa" w:w="1399"/>
            <w:tcMar>
              <w:top w:w="60" w:type="dxa"/>
              <w:bottom w:w="60" w:type="dxa"/>
              <w:left w:w="100" w:type="dxa"/>
              <w:right w:w="100" w:type="dxa"/>
            </w:tcMar>
            <w:shd w:fill="F7FAFC"/>
          </w:tcPr>
          <w:p>
            <w:r>
              <w:rPr>
                <w:b/>
                <w:sz w:val="17"/>
              </w:rPr>
              <w:t>22.96%</w:t>
            </w:r>
          </w:p>
        </w:tc>
        <w:tc>
          <w:tcPr>
            <w:tcW w:type="dxa" w:w="1399"/>
            <w:tcMar>
              <w:top w:w="60" w:type="dxa"/>
              <w:bottom w:w="60" w:type="dxa"/>
              <w:left w:w="100" w:type="dxa"/>
              <w:right w:w="100" w:type="dxa"/>
            </w:tcMar>
            <w:shd w:fill="F7FAFC"/>
          </w:tcPr>
          <w:p>
            <w:r>
              <w:rPr>
                <w:b/>
                <w:sz w:val="17"/>
              </w:rPr>
              <w:t>21.37%</w:t>
            </w:r>
          </w:p>
        </w:tc>
        <w:tc>
          <w:tcPr>
            <w:tcW w:type="dxa" w:w="1399"/>
            <w:tcMar>
              <w:top w:w="60" w:type="dxa"/>
              <w:bottom w:w="60" w:type="dxa"/>
              <w:left w:w="100" w:type="dxa"/>
              <w:right w:w="100" w:type="dxa"/>
            </w:tcMar>
            <w:shd w:fill="F7FAFC"/>
          </w:tcPr>
          <w:p>
            <w:r>
              <w:rPr>
                <w:sz w:val="17"/>
              </w:rPr>
              <w:t>$69,732.3M</w:t>
            </w:r>
          </w:p>
        </w:tc>
        <w:tc>
          <w:tcPr>
            <w:tcW w:type="dxa" w:w="1399"/>
            <w:tcMar>
              <w:top w:w="60" w:type="dxa"/>
              <w:bottom w:w="60" w:type="dxa"/>
              <w:left w:w="100" w:type="dxa"/>
              <w:right w:w="100" w:type="dxa"/>
            </w:tcMar>
            <w:shd w:fill="F7FAFC"/>
          </w:tcPr>
          <w:p>
            <w:r>
              <w:rPr>
                <w:sz w:val="17"/>
              </w:rPr>
              <w:t>$338,251.5M</w:t>
            </w:r>
          </w:p>
        </w:tc>
        <w:tc>
          <w:tcPr>
            <w:tcW w:type="dxa" w:w="1399"/>
            <w:tcMar>
              <w:top w:w="60" w:type="dxa"/>
              <w:bottom w:w="60" w:type="dxa"/>
              <w:left w:w="100" w:type="dxa"/>
              <w:right w:w="100" w:type="dxa"/>
            </w:tcMar>
            <w:shd w:fill="F7FAFC"/>
          </w:tcPr>
          <w:p>
            <w:r>
              <w:rPr>
                <w:b/>
                <w:sz w:val="17"/>
              </w:rPr>
              <w:t>+10.84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43.53%</w:t>
            </w:r>
          </w:p>
        </w:tc>
        <w:tc>
          <w:tcPr>
            <w:tcW w:type="dxa" w:w="1399"/>
            <w:tcMar>
              <w:top w:w="60" w:type="dxa"/>
              <w:bottom w:w="60" w:type="dxa"/>
              <w:left w:w="100" w:type="dxa"/>
              <w:right w:w="100" w:type="dxa"/>
            </w:tcMar>
          </w:tcPr>
          <w:p>
            <w:r>
              <w:rPr>
                <w:b/>
                <w:sz w:val="17"/>
              </w:rPr>
              <w:t>25.39%</w:t>
            </w:r>
          </w:p>
        </w:tc>
        <w:tc>
          <w:tcPr>
            <w:tcW w:type="dxa" w:w="1399"/>
            <w:tcMar>
              <w:top w:w="60" w:type="dxa"/>
              <w:bottom w:w="60" w:type="dxa"/>
              <w:left w:w="100" w:type="dxa"/>
              <w:right w:w="100" w:type="dxa"/>
            </w:tcMar>
          </w:tcPr>
          <w:p>
            <w:r>
              <w:rPr>
                <w:b/>
                <w:sz w:val="17"/>
              </w:rPr>
              <w:t>23.04%</w:t>
            </w:r>
          </w:p>
        </w:tc>
        <w:tc>
          <w:tcPr>
            <w:tcW w:type="dxa" w:w="1399"/>
            <w:tcMar>
              <w:top w:w="60" w:type="dxa"/>
              <w:bottom w:w="60" w:type="dxa"/>
              <w:left w:w="100" w:type="dxa"/>
              <w:right w:w="100" w:type="dxa"/>
            </w:tcMar>
          </w:tcPr>
          <w:p>
            <w:r>
              <w:rPr>
                <w:sz w:val="17"/>
              </w:rPr>
              <w:t>$82,281.0M</w:t>
            </w:r>
          </w:p>
        </w:tc>
        <w:tc>
          <w:tcPr>
            <w:tcW w:type="dxa" w:w="1399"/>
            <w:tcMar>
              <w:top w:w="60" w:type="dxa"/>
              <w:bottom w:w="60" w:type="dxa"/>
              <w:left w:w="100" w:type="dxa"/>
              <w:right w:w="100" w:type="dxa"/>
            </w:tcMar>
          </w:tcPr>
          <w:p>
            <w:r>
              <w:rPr>
                <w:sz w:val="17"/>
              </w:rPr>
              <w:t>$361,814.2M</w:t>
            </w:r>
          </w:p>
        </w:tc>
        <w:tc>
          <w:tcPr>
            <w:tcW w:type="dxa" w:w="1399"/>
            <w:tcMar>
              <w:top w:w="60" w:type="dxa"/>
              <w:bottom w:w="60" w:type="dxa"/>
              <w:left w:w="100" w:type="dxa"/>
              <w:right w:w="100" w:type="dxa"/>
            </w:tcMar>
          </w:tcPr>
          <w:p>
            <w:r>
              <w:rPr>
                <w:b/>
                <w:sz w:val="17"/>
              </w:rPr>
              <w:t>+12.52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52.99%</w:t>
            </w:r>
          </w:p>
        </w:tc>
        <w:tc>
          <w:tcPr>
            <w:tcW w:type="dxa" w:w="1399"/>
            <w:tcMar>
              <w:top w:w="60" w:type="dxa"/>
              <w:bottom w:w="60" w:type="dxa"/>
              <w:left w:w="100" w:type="dxa"/>
              <w:right w:w="100" w:type="dxa"/>
            </w:tcMar>
            <w:shd w:fill="F7FAFC"/>
          </w:tcPr>
          <w:p>
            <w:r>
              <w:rPr>
                <w:b/>
                <w:sz w:val="17"/>
              </w:rPr>
              <w:t>29.52%</w:t>
            </w:r>
          </w:p>
        </w:tc>
        <w:tc>
          <w:tcPr>
            <w:tcW w:type="dxa" w:w="1399"/>
            <w:tcMar>
              <w:top w:w="60" w:type="dxa"/>
              <w:bottom w:w="60" w:type="dxa"/>
              <w:left w:w="100" w:type="dxa"/>
              <w:right w:w="100" w:type="dxa"/>
            </w:tcMar>
            <w:shd w:fill="F7FAFC"/>
          </w:tcPr>
          <w:p>
            <w:r>
              <w:rPr>
                <w:b/>
                <w:sz w:val="17"/>
              </w:rPr>
              <w:t>25.31%</w:t>
            </w:r>
          </w:p>
        </w:tc>
        <w:tc>
          <w:tcPr>
            <w:tcW w:type="dxa" w:w="1399"/>
            <w:tcMar>
              <w:top w:w="60" w:type="dxa"/>
              <w:bottom w:w="60" w:type="dxa"/>
              <w:left w:w="100" w:type="dxa"/>
              <w:right w:w="100" w:type="dxa"/>
            </w:tcMar>
            <w:shd w:fill="F7FAFC"/>
          </w:tcPr>
          <w:p>
            <w:r>
              <w:rPr>
                <w:sz w:val="17"/>
              </w:rPr>
              <w:t>$92,777.3M</w:t>
            </w:r>
          </w:p>
        </w:tc>
        <w:tc>
          <w:tcPr>
            <w:tcW w:type="dxa" w:w="1399"/>
            <w:tcMar>
              <w:top w:w="60" w:type="dxa"/>
              <w:bottom w:w="60" w:type="dxa"/>
              <w:left w:w="100" w:type="dxa"/>
              <w:right w:w="100" w:type="dxa"/>
            </w:tcMar>
            <w:shd w:fill="F7FAFC"/>
          </w:tcPr>
          <w:p>
            <w:r>
              <w:rPr>
                <w:sz w:val="17"/>
              </w:rPr>
              <w:t>$405,627.7M</w:t>
            </w:r>
          </w:p>
        </w:tc>
        <w:tc>
          <w:tcPr>
            <w:tcW w:type="dxa" w:w="1399"/>
            <w:tcMar>
              <w:top w:w="60" w:type="dxa"/>
              <w:bottom w:w="60" w:type="dxa"/>
              <w:left w:w="100" w:type="dxa"/>
              <w:right w:w="100" w:type="dxa"/>
            </w:tcMar>
            <w:shd w:fill="F7FAFC"/>
          </w:tcPr>
          <w:p>
            <w:r>
              <w:rPr>
                <w:b/>
                <w:sz w:val="17"/>
              </w:rPr>
              <w:t>+14.79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47.41%</w:t>
            </w:r>
          </w:p>
        </w:tc>
        <w:tc>
          <w:tcPr>
            <w:tcW w:type="dxa" w:w="1399"/>
            <w:tcMar>
              <w:top w:w="60" w:type="dxa"/>
              <w:bottom w:w="60" w:type="dxa"/>
              <w:left w:w="100" w:type="dxa"/>
              <w:right w:w="100" w:type="dxa"/>
            </w:tcMar>
          </w:tcPr>
          <w:p>
            <w:r>
              <w:rPr>
                <w:b/>
                <w:sz w:val="17"/>
              </w:rPr>
              <w:t>26.76%</w:t>
            </w:r>
          </w:p>
        </w:tc>
        <w:tc>
          <w:tcPr>
            <w:tcW w:type="dxa" w:w="1399"/>
            <w:tcMar>
              <w:top w:w="60" w:type="dxa"/>
              <w:bottom w:w="60" w:type="dxa"/>
              <w:left w:w="100" w:type="dxa"/>
              <w:right w:w="100" w:type="dxa"/>
            </w:tcMar>
          </w:tcPr>
          <w:p>
            <w:r>
              <w:rPr>
                <w:b/>
                <w:sz w:val="17"/>
              </w:rPr>
              <w:t>24.09%</w:t>
            </w:r>
          </w:p>
        </w:tc>
        <w:tc>
          <w:tcPr>
            <w:tcW w:type="dxa" w:w="1399"/>
            <w:tcMar>
              <w:top w:w="60" w:type="dxa"/>
              <w:bottom w:w="60" w:type="dxa"/>
              <w:left w:w="100" w:type="dxa"/>
              <w:right w:w="100" w:type="dxa"/>
            </w:tcMar>
          </w:tcPr>
          <w:p>
            <w:r>
              <w:rPr>
                <w:sz w:val="17"/>
              </w:rPr>
              <w:t>$109,113.3M</w:t>
            </w:r>
          </w:p>
        </w:tc>
        <w:tc>
          <w:tcPr>
            <w:tcW w:type="dxa" w:w="1399"/>
            <w:tcMar>
              <w:top w:w="60" w:type="dxa"/>
              <w:bottom w:w="60" w:type="dxa"/>
              <w:left w:w="100" w:type="dxa"/>
              <w:right w:w="100" w:type="dxa"/>
            </w:tcMar>
          </w:tcPr>
          <w:p>
            <w:r>
              <w:rPr>
                <w:sz w:val="17"/>
              </w:rPr>
              <w:t>$502,190.8M</w:t>
            </w:r>
          </w:p>
        </w:tc>
        <w:tc>
          <w:tcPr>
            <w:tcW w:type="dxa" w:w="1399"/>
            <w:tcMar>
              <w:top w:w="60" w:type="dxa"/>
              <w:bottom w:w="60" w:type="dxa"/>
              <w:left w:w="100" w:type="dxa"/>
              <w:right w:w="100" w:type="dxa"/>
            </w:tcMar>
          </w:tcPr>
          <w:p>
            <w:r>
              <w:rPr>
                <w:b/>
                <w:sz w:val="17"/>
              </w:rPr>
              <w:t>+13.57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36.64%</w:t>
            </w:r>
          </w:p>
        </w:tc>
        <w:tc>
          <w:tcPr>
            <w:tcW w:type="dxa" w:w="1399"/>
            <w:tcMar>
              <w:top w:w="60" w:type="dxa"/>
              <w:bottom w:w="60" w:type="dxa"/>
              <w:left w:w="100" w:type="dxa"/>
              <w:right w:w="100" w:type="dxa"/>
            </w:tcMar>
            <w:shd w:fill="F7FAFC"/>
            <w:shd w:fill="E2EFDA"/>
          </w:tcPr>
          <w:p>
            <w:r>
              <w:rPr>
                <w:b/>
                <w:sz w:val="17"/>
              </w:rPr>
              <w:t>19.98%</w:t>
            </w:r>
          </w:p>
        </w:tc>
        <w:tc>
          <w:tcPr>
            <w:tcW w:type="dxa" w:w="1399"/>
            <w:tcMar>
              <w:top w:w="60" w:type="dxa"/>
              <w:bottom w:w="60" w:type="dxa"/>
              <w:left w:w="100" w:type="dxa"/>
              <w:right w:w="100" w:type="dxa"/>
            </w:tcMar>
            <w:shd w:fill="F7FAFC"/>
            <w:shd w:fill="E2EFDA"/>
          </w:tcPr>
          <w:p>
            <w:r>
              <w:rPr>
                <w:b/>
                <w:sz w:val="17"/>
              </w:rPr>
              <w:t>17.92%</w:t>
            </w:r>
          </w:p>
        </w:tc>
        <w:tc>
          <w:tcPr>
            <w:tcW w:type="dxa" w:w="1399"/>
            <w:tcMar>
              <w:top w:w="60" w:type="dxa"/>
              <w:bottom w:w="60" w:type="dxa"/>
              <w:left w:w="100" w:type="dxa"/>
              <w:right w:w="100" w:type="dxa"/>
            </w:tcMar>
            <w:shd w:fill="F7FAFC"/>
            <w:shd w:fill="E2EFDA"/>
          </w:tcPr>
          <w:p>
            <w:r>
              <w:rPr>
                <w:sz w:val="17"/>
              </w:rPr>
              <w:t>$113,056.8M</w:t>
            </w:r>
          </w:p>
        </w:tc>
        <w:tc>
          <w:tcPr>
            <w:tcW w:type="dxa" w:w="1399"/>
            <w:tcMar>
              <w:top w:w="60" w:type="dxa"/>
              <w:bottom w:w="60" w:type="dxa"/>
              <w:left w:w="100" w:type="dxa"/>
              <w:right w:w="100" w:type="dxa"/>
            </w:tcMar>
            <w:shd w:fill="F7FAFC"/>
            <w:shd w:fill="E2EFDA"/>
          </w:tcPr>
          <w:p>
            <w:r>
              <w:rPr>
                <w:sz w:val="17"/>
              </w:rPr>
              <w:t>$713,977.1M</w:t>
            </w:r>
          </w:p>
        </w:tc>
        <w:tc>
          <w:tcPr>
            <w:tcW w:type="dxa" w:w="1399"/>
            <w:tcMar>
              <w:top w:w="60" w:type="dxa"/>
              <w:bottom w:w="60" w:type="dxa"/>
              <w:left w:w="100" w:type="dxa"/>
              <w:right w:w="100" w:type="dxa"/>
            </w:tcMar>
            <w:shd w:fill="F7FAFC"/>
            <w:shd w:fill="E2EFDA"/>
          </w:tcPr>
          <w:p>
            <w:r>
              <w:rPr>
                <w:b/>
                <w:sz w:val="17"/>
              </w:rPr>
              <w:t>+7.40 p.p.</w:t>
            </w:r>
          </w:p>
        </w:tc>
      </w:tr>
    </w:tbl>
    <w:p>
      <w:pPr>
        <w:spacing w:before="160" w:after="160"/>
      </w:pPr>
      <w:r>
        <w:rPr>
          <w:i/>
          <w:sz w:val="18"/>
        </w:rPr>
        <w:t>Matriz de Sensibilidad de Vida Útil: N-1 (2a) = 17.91% | N Base (3a) = 17.92% | N+1 (4a) = 17.79%.</w:t>
      </w:r>
    </w:p>
    <w:p>
      <w:pPr>
        <w:pStyle w:val="Heading2"/>
      </w:pPr>
      <w:r>
        <w:t>11.4. Creación de Valor Económico (EVA) y Durabilidad del Foso Defensivo</w:t>
      </w:r>
    </w:p>
    <w:p>
      <w:r>
        <w:rPr>
          <w:sz w:val="19"/>
        </w:rPr>
        <w:t>Spread Económico = ROIC Ajustado (17.92%) − WACC (10.52%) = +7.40 p.p.</w:t>
        <w:br/>
        <w:t>Dictamen: 🛡️ NARROW MOAT / CREACIÓN DE VALOR SOSTENIBLE.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4.99%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1.21</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10.75%</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1.83%</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18.4%.</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10.52%</w:t>
            </w:r>
          </w:p>
        </w:tc>
        <w:tc>
          <w:tcPr>
            <w:tcW w:type="dxa" w:w="1958"/>
            <w:tcMar>
              <w:top w:w="60" w:type="dxa"/>
              <w:bottom w:w="60" w:type="dxa"/>
              <w:left w:w="100" w:type="dxa"/>
              <w:right w:w="100" w:type="dxa"/>
            </w:tcMar>
            <w:shd w:fill="F7FAFC"/>
          </w:tcPr>
          <w:p>
            <w:r>
              <w:rPr>
                <w:sz w:val="17"/>
              </w:rPr>
              <w:t>Mediana Sector (8.70%)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36.64%</w:t>
            </w:r>
          </w:p>
        </w:tc>
        <w:tc>
          <w:tcPr>
            <w:tcW w:type="dxa" w:w="1958"/>
            <w:tcMar>
              <w:top w:w="60" w:type="dxa"/>
              <w:bottom w:w="60" w:type="dxa"/>
              <w:left w:w="100" w:type="dxa"/>
              <w:right w:w="100" w:type="dxa"/>
            </w:tcMar>
            <w:shd w:fill="E2EFDA"/>
          </w:tcPr>
          <w:p>
            <w:r>
              <w:rPr>
                <w:sz w:val="17"/>
              </w:rPr>
              <w:t>Mediana Sector (52.00%)</w:t>
            </w:r>
          </w:p>
        </w:tc>
        <w:tc>
          <w:tcPr>
            <w:tcW w:type="dxa" w:w="1958"/>
            <w:tcMar>
              <w:top w:w="60" w:type="dxa"/>
              <w:bottom w:w="60" w:type="dxa"/>
              <w:left w:w="100" w:type="dxa"/>
              <w:right w:w="100" w:type="dxa"/>
            </w:tcMar>
            <w:shd w:fill="E2EFDA"/>
          </w:tcPr>
          <w:p>
            <w:r>
              <w:rPr>
                <w:sz w:val="17"/>
              </w:rPr>
              <w:t>Asset-Light; supera al sector por -15.36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$402,945.5M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19.98%</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$113,056.8M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$713,977.1M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17.92%</w:t>
            </w:r>
          </w:p>
        </w:tc>
        <w:tc>
          <w:tcPr>
            <w:tcW w:type="dxa" w:w="1958"/>
            <w:tcMar>
              <w:top w:w="60" w:type="dxa"/>
              <w:bottom w:w="60" w:type="dxa"/>
              <w:left w:w="100" w:type="dxa"/>
              <w:right w:w="100" w:type="dxa"/>
            </w:tcMar>
            <w:shd w:fill="F7FAFC"/>
            <w:shd w:fill="E2EFDA"/>
          </w:tcPr>
          <w:p>
            <w:r>
              <w:rPr>
                <w:b/>
                <w:sz w:val="17"/>
              </w:rPr>
              <w:t>Mediana Sector (21.20%)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+7.40 p.p.</w:t>
            </w:r>
          </w:p>
        </w:tc>
        <w:tc>
          <w:tcPr>
            <w:tcW w:type="dxa" w:w="1958"/>
            <w:tcMar>
              <w:top w:w="60" w:type="dxa"/>
              <w:bottom w:w="60" w:type="dxa"/>
              <w:left w:w="100" w:type="dxa"/>
              <w:right w:w="100" w:type="dxa"/>
            </w:tcMar>
            <w:shd w:fill="E2EFDA"/>
          </w:tcPr>
          <w:p>
            <w:r>
              <w:rPr>
                <w:b/>
                <w:sz w:val="17"/>
              </w:rPr>
              <w:t>Mediana Sector (+11.70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NARROW MOAT / CREACIÓN DE VALOR SOSTENIBLE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ALERTA FORENSE</w:t>
        <w:br/>
      </w:r>
      <w:r>
        <w:rPr>
          <w:rFonts w:ascii="Calibri" w:hAnsi="Calibri"/>
          <w:color w:val="2D3748"/>
          <w:sz w:val="19"/>
        </w:rPr>
        <w:t>• Ratio Sloan de Devengos: +7.72% [DEVENGOS ELEVADOS (ZONA DE ALERTA)]</w:t>
        <w:br/>
        <w:t>• Montier C-Score: 4 / 6 [RIESGO ALTO / ALERTA FORENSE (&gt; 70% ALERTA FORENSE)]</w:t>
        <w:br/>
        <w:t>• Dictamen: ALERTA FORENSE POR CALIDAD DE RESULTADOS: Detección de devengos desproporcionados (Ratio Sloan: 7.72%) o Montier C-Score elevado (4/6). Se recomienda auditoría minuciosa de políticas contables, partidas no monetarias y devengos acumulados.</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$244,205.0M</w:t>
            </w:r>
          </w:p>
        </w:tc>
        <w:tc>
          <w:tcPr>
            <w:tcW w:type="dxa" w:w="1094"/>
            <w:tcMar>
              <w:top w:w="60" w:type="dxa"/>
              <w:bottom w:w="60" w:type="dxa"/>
              <w:left w:w="60" w:type="dxa"/>
              <w:right w:w="60" w:type="dxa"/>
            </w:tcMar>
          </w:tcPr>
          <w:p>
            <w:pPr>
              <w:jc w:val="right"/>
            </w:pPr>
            <w:r>
              <w:rPr>
                <w:rFonts w:ascii="Calibri" w:hAnsi="Calibri"/>
                <w:b w:val="0"/>
                <w:sz w:val="17"/>
              </w:rPr>
              <w:t>$132,170.0M</w:t>
            </w:r>
          </w:p>
        </w:tc>
        <w:tc>
          <w:tcPr>
            <w:tcW w:type="dxa" w:w="1094"/>
            <w:tcMar>
              <w:top w:w="60" w:type="dxa"/>
              <w:bottom w:w="60" w:type="dxa"/>
              <w:left w:w="60" w:type="dxa"/>
              <w:right w:w="60" w:type="dxa"/>
            </w:tcMar>
          </w:tcPr>
          <w:p>
            <w:pPr>
              <w:jc w:val="right"/>
            </w:pPr>
            <w:r>
              <w:rPr>
                <w:rFonts w:ascii="Calibri" w:hAnsi="Calibri"/>
                <w:b w:val="0"/>
                <w:sz w:val="17"/>
              </w:rPr>
              <w:t>$100,118.0M</w:t>
            </w:r>
          </w:p>
        </w:tc>
        <w:tc>
          <w:tcPr>
            <w:tcW w:type="dxa" w:w="1094"/>
            <w:tcMar>
              <w:top w:w="60" w:type="dxa"/>
              <w:bottom w:w="60" w:type="dxa"/>
              <w:left w:w="60" w:type="dxa"/>
              <w:right w:w="60" w:type="dxa"/>
            </w:tcMar>
          </w:tcPr>
          <w:p>
            <w:pPr>
              <w:jc w:val="right"/>
            </w:pPr>
            <w:r>
              <w:rPr>
                <w:rFonts w:ascii="Calibri" w:hAnsi="Calibri"/>
                <w:b w:val="0"/>
                <w:sz w:val="17"/>
              </w:rPr>
              <w:t>$73,795.0M</w:t>
            </w:r>
          </w:p>
        </w:tc>
        <w:tc>
          <w:tcPr>
            <w:tcW w:type="dxa" w:w="1094"/>
            <w:tcMar>
              <w:top w:w="60" w:type="dxa"/>
              <w:bottom w:w="60" w:type="dxa"/>
              <w:left w:w="60" w:type="dxa"/>
              <w:right w:w="60" w:type="dxa"/>
            </w:tcMar>
          </w:tcPr>
          <w:p>
            <w:pPr>
              <w:jc w:val="right"/>
            </w:pPr>
            <w:r>
              <w:rPr>
                <w:rFonts w:ascii="Calibri" w:hAnsi="Calibri"/>
                <w:b w:val="0"/>
                <w:sz w:val="17"/>
              </w:rPr>
              <w:t>$59,972.0M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$185,675.0M</w:t>
            </w:r>
          </w:p>
        </w:tc>
        <w:tc>
          <w:tcPr>
            <w:tcW w:type="dxa" w:w="1094"/>
            <w:tcMar>
              <w:top w:w="60" w:type="dxa"/>
              <w:bottom w:w="60" w:type="dxa"/>
              <w:left w:w="60" w:type="dxa"/>
              <w:right w:w="60" w:type="dxa"/>
            </w:tcMar>
          </w:tcPr>
          <w:p>
            <w:pPr>
              <w:jc w:val="right"/>
            </w:pPr>
            <w:r>
              <w:rPr>
                <w:rFonts w:ascii="Calibri" w:hAnsi="Calibri"/>
                <w:b w:val="0"/>
                <w:sz w:val="17"/>
              </w:rPr>
              <w:t>$164,713.0M</w:t>
            </w:r>
          </w:p>
        </w:tc>
        <w:tc>
          <w:tcPr>
            <w:tcW w:type="dxa" w:w="1094"/>
            <w:tcMar>
              <w:top w:w="60" w:type="dxa"/>
              <w:bottom w:w="60" w:type="dxa"/>
              <w:left w:w="60" w:type="dxa"/>
              <w:right w:w="60" w:type="dxa"/>
            </w:tcMar>
          </w:tcPr>
          <w:p>
            <w:pPr>
              <w:jc w:val="right"/>
            </w:pPr>
            <w:r>
              <w:rPr>
                <w:rFonts w:ascii="Calibri" w:hAnsi="Calibri"/>
                <w:b w:val="0"/>
                <w:sz w:val="17"/>
              </w:rPr>
              <w:t>$125,299.0M</w:t>
            </w:r>
          </w:p>
        </w:tc>
        <w:tc>
          <w:tcPr>
            <w:tcW w:type="dxa" w:w="1094"/>
            <w:tcMar>
              <w:top w:w="60" w:type="dxa"/>
              <w:bottom w:w="60" w:type="dxa"/>
              <w:left w:w="60" w:type="dxa"/>
              <w:right w:w="60" w:type="dxa"/>
            </w:tcMar>
          </w:tcPr>
          <w:p>
            <w:pPr>
              <w:jc w:val="right"/>
            </w:pPr>
            <w:r>
              <w:rPr>
                <w:rFonts w:ascii="Calibri" w:hAnsi="Calibri"/>
                <w:b w:val="0"/>
                <w:sz w:val="17"/>
              </w:rPr>
              <w:t>$101,746.0M</w:t>
            </w:r>
          </w:p>
        </w:tc>
        <w:tc>
          <w:tcPr>
            <w:tcW w:type="dxa" w:w="1094"/>
            <w:tcMar>
              <w:top w:w="60" w:type="dxa"/>
              <w:bottom w:w="60" w:type="dxa"/>
              <w:left w:w="60" w:type="dxa"/>
              <w:right w:w="60" w:type="dxa"/>
            </w:tcMar>
          </w:tcPr>
          <w:p>
            <w:pPr>
              <w:jc w:val="right"/>
            </w:pPr>
            <w:r>
              <w:rPr>
                <w:rFonts w:ascii="Calibri" w:hAnsi="Calibri"/>
                <w:b w:val="0"/>
                <w:sz w:val="17"/>
              </w:rPr>
              <w:t>$91,495.0M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$+58,530.0M</w:t>
            </w:r>
          </w:p>
        </w:tc>
        <w:tc>
          <w:tcPr>
            <w:tcW w:type="dxa" w:w="1094"/>
            <w:tcMar>
              <w:top w:w="60" w:type="dxa"/>
              <w:bottom w:w="60" w:type="dxa"/>
              <w:left w:w="60" w:type="dxa"/>
              <w:right w:w="60" w:type="dxa"/>
            </w:tcMar>
          </w:tcPr>
          <w:p>
            <w:pPr>
              <w:jc w:val="right"/>
            </w:pPr>
            <w:r>
              <w:rPr>
                <w:rFonts w:ascii="Calibri" w:hAnsi="Calibri"/>
                <w:b/>
                <w:sz w:val="17"/>
              </w:rPr>
              <w:t>$-32,543.0M</w:t>
            </w:r>
          </w:p>
        </w:tc>
        <w:tc>
          <w:tcPr>
            <w:tcW w:type="dxa" w:w="1094"/>
            <w:tcMar>
              <w:top w:w="60" w:type="dxa"/>
              <w:bottom w:w="60" w:type="dxa"/>
              <w:left w:w="60" w:type="dxa"/>
              <w:right w:w="60" w:type="dxa"/>
            </w:tcMar>
          </w:tcPr>
          <w:p>
            <w:pPr>
              <w:jc w:val="right"/>
            </w:pPr>
            <w:r>
              <w:rPr>
                <w:rFonts w:ascii="Calibri" w:hAnsi="Calibri"/>
                <w:b/>
                <w:sz w:val="17"/>
              </w:rPr>
              <w:t>$-25,181.0M</w:t>
            </w:r>
          </w:p>
        </w:tc>
        <w:tc>
          <w:tcPr>
            <w:tcW w:type="dxa" w:w="1094"/>
            <w:tcMar>
              <w:top w:w="60" w:type="dxa"/>
              <w:bottom w:w="60" w:type="dxa"/>
              <w:left w:w="60" w:type="dxa"/>
              <w:right w:w="60" w:type="dxa"/>
            </w:tcMar>
          </w:tcPr>
          <w:p>
            <w:pPr>
              <w:jc w:val="right"/>
            </w:pPr>
            <w:r>
              <w:rPr>
                <w:rFonts w:ascii="Calibri" w:hAnsi="Calibri"/>
                <w:b/>
                <w:sz w:val="17"/>
              </w:rPr>
              <w:t>$-27,951.0M</w:t>
            </w:r>
          </w:p>
        </w:tc>
        <w:tc>
          <w:tcPr>
            <w:tcW w:type="dxa" w:w="1094"/>
            <w:tcMar>
              <w:top w:w="60" w:type="dxa"/>
              <w:bottom w:w="60" w:type="dxa"/>
              <w:left w:w="60" w:type="dxa"/>
              <w:right w:w="60" w:type="dxa"/>
            </w:tcMar>
          </w:tcPr>
          <w:p>
            <w:pPr>
              <w:jc w:val="right"/>
            </w:pPr>
            <w:r>
              <w:rPr>
                <w:rFonts w:ascii="Calibri" w:hAnsi="Calibri"/>
                <w:b/>
                <w:sz w:val="17"/>
              </w:rPr>
              <w:t>$-31,523.0M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$758,632.0M</w:t>
            </w:r>
          </w:p>
        </w:tc>
        <w:tc>
          <w:tcPr>
            <w:tcW w:type="dxa" w:w="1094"/>
            <w:tcMar>
              <w:top w:w="60" w:type="dxa"/>
              <w:bottom w:w="60" w:type="dxa"/>
              <w:left w:w="60" w:type="dxa"/>
              <w:right w:w="60" w:type="dxa"/>
            </w:tcMar>
          </w:tcPr>
          <w:p>
            <w:pPr>
              <w:jc w:val="right"/>
            </w:pPr>
            <w:r>
              <w:rPr>
                <w:rFonts w:ascii="Calibri" w:hAnsi="Calibri"/>
                <w:b w:val="0"/>
                <w:sz w:val="17"/>
              </w:rPr>
              <w:t>$522,768.5M</w:t>
            </w:r>
          </w:p>
        </w:tc>
        <w:tc>
          <w:tcPr>
            <w:tcW w:type="dxa" w:w="1094"/>
            <w:tcMar>
              <w:top w:w="60" w:type="dxa"/>
              <w:bottom w:w="60" w:type="dxa"/>
              <w:left w:w="60" w:type="dxa"/>
              <w:right w:w="60" w:type="dxa"/>
            </w:tcMar>
          </w:tcPr>
          <w:p>
            <w:pPr>
              <w:jc w:val="right"/>
            </w:pPr>
            <w:r>
              <w:rPr>
                <w:rFonts w:ascii="Calibri" w:hAnsi="Calibri"/>
                <w:b w:val="0"/>
                <w:sz w:val="17"/>
              </w:rPr>
              <w:t>$426,324.0M</w:t>
            </w:r>
          </w:p>
        </w:tc>
        <w:tc>
          <w:tcPr>
            <w:tcW w:type="dxa" w:w="1094"/>
            <w:tcMar>
              <w:top w:w="60" w:type="dxa"/>
              <w:bottom w:w="60" w:type="dxa"/>
              <w:left w:w="60" w:type="dxa"/>
              <w:right w:w="60" w:type="dxa"/>
            </w:tcMar>
          </w:tcPr>
          <w:p>
            <w:pPr>
              <w:jc w:val="right"/>
            </w:pPr>
            <w:r>
              <w:rPr>
                <w:rFonts w:ascii="Calibri" w:hAnsi="Calibri"/>
                <w:b w:val="0"/>
                <w:sz w:val="17"/>
              </w:rPr>
              <w:t>$383,828.0M</w:t>
            </w:r>
          </w:p>
        </w:tc>
        <w:tc>
          <w:tcPr>
            <w:tcW w:type="dxa" w:w="1094"/>
            <w:tcMar>
              <w:top w:w="60" w:type="dxa"/>
              <w:bottom w:w="60" w:type="dxa"/>
              <w:left w:w="60" w:type="dxa"/>
              <w:right w:w="60" w:type="dxa"/>
            </w:tcMar>
          </w:tcPr>
          <w:p>
            <w:pPr>
              <w:jc w:val="right"/>
            </w:pPr>
            <w:r>
              <w:rPr>
                <w:rFonts w:ascii="Calibri" w:hAnsi="Calibri"/>
                <w:b w:val="0"/>
                <w:sz w:val="17"/>
              </w:rPr>
              <w:t>$362,266.0M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+7.72%</w:t>
            </w:r>
          </w:p>
        </w:tc>
        <w:tc>
          <w:tcPr>
            <w:tcW w:type="dxa" w:w="1094"/>
            <w:tcMar>
              <w:top w:w="60" w:type="dxa"/>
              <w:bottom w:w="60" w:type="dxa"/>
              <w:left w:w="60" w:type="dxa"/>
              <w:right w:w="60" w:type="dxa"/>
            </w:tcMar>
          </w:tcPr>
          <w:p>
            <w:pPr>
              <w:jc w:val="right"/>
            </w:pPr>
            <w:r>
              <w:rPr>
                <w:rFonts w:ascii="Calibri" w:hAnsi="Calibri"/>
                <w:b/>
                <w:sz w:val="17"/>
              </w:rPr>
              <w:t>-6.23%</w:t>
            </w:r>
          </w:p>
        </w:tc>
        <w:tc>
          <w:tcPr>
            <w:tcW w:type="dxa" w:w="1094"/>
            <w:tcMar>
              <w:top w:w="60" w:type="dxa"/>
              <w:bottom w:w="60" w:type="dxa"/>
              <w:left w:w="60" w:type="dxa"/>
              <w:right w:w="60" w:type="dxa"/>
            </w:tcMar>
          </w:tcPr>
          <w:p>
            <w:pPr>
              <w:jc w:val="right"/>
            </w:pPr>
            <w:r>
              <w:rPr>
                <w:rFonts w:ascii="Calibri" w:hAnsi="Calibri"/>
                <w:b/>
                <w:sz w:val="17"/>
              </w:rPr>
              <w:t>-5.91%</w:t>
            </w:r>
          </w:p>
        </w:tc>
        <w:tc>
          <w:tcPr>
            <w:tcW w:type="dxa" w:w="1094"/>
            <w:tcMar>
              <w:top w:w="60" w:type="dxa"/>
              <w:bottom w:w="60" w:type="dxa"/>
              <w:left w:w="60" w:type="dxa"/>
              <w:right w:w="60" w:type="dxa"/>
            </w:tcMar>
          </w:tcPr>
          <w:p>
            <w:pPr>
              <w:jc w:val="right"/>
            </w:pPr>
            <w:r>
              <w:rPr>
                <w:rFonts w:ascii="Calibri" w:hAnsi="Calibri"/>
                <w:b/>
                <w:sz w:val="17"/>
              </w:rPr>
              <w:t>-7.28%</w:t>
            </w:r>
          </w:p>
        </w:tc>
        <w:tc>
          <w:tcPr>
            <w:tcW w:type="dxa" w:w="1094"/>
            <w:tcMar>
              <w:top w:w="60" w:type="dxa"/>
              <w:bottom w:w="60" w:type="dxa"/>
              <w:left w:w="60" w:type="dxa"/>
              <w:right w:w="60" w:type="dxa"/>
            </w:tcMar>
          </w:tcPr>
          <w:p>
            <w:pPr>
              <w:jc w:val="right"/>
            </w:pPr>
            <w:r>
              <w:rPr>
                <w:rFonts w:ascii="Calibri" w:hAnsi="Calibri"/>
                <w:b/>
                <w:sz w:val="17"/>
              </w:rPr>
              <w:t>-8.70%</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PRECAUCIÓN</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Alphabet Inc. generó $185,675.0M de CFO frente a $244,205.0M de beneficio neto, arrojando una tasa de conversión de caja del 76.0% (cada dólar reportado está respaldado por $0.76 de efectivo). El Ratio Sloan de +7.72%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-0.7%</w:t>
            </w:r>
          </w:p>
        </w:tc>
        <w:tc>
          <w:tcPr>
            <w:tcW w:type="dxa" w:w="1440"/>
            <w:tcMar>
              <w:top w:w="60" w:type="dxa"/>
              <w:bottom w:w="60" w:type="dxa"/>
              <w:left w:w="80" w:type="dxa"/>
              <w:right w:w="80" w:type="dxa"/>
            </w:tcMar>
          </w:tcPr>
          <w:p>
            <w:pPr>
              <w:jc w:val="center"/>
            </w:pPr>
            <w:r>
              <w:rPr>
                <w:rFonts w:ascii="Calibri" w:hAnsi="Calibri"/>
                <w:sz w:val="17"/>
              </w:rPr>
              <w:t>DSO: 56.6d (-0.4d)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20.9d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59.1%</w:t>
            </w:r>
          </w:p>
        </w:tc>
        <w:tc>
          <w:tcPr>
            <w:tcW w:type="dxa" w:w="1440"/>
            <w:tcMar>
              <w:top w:w="60" w:type="dxa"/>
              <w:bottom w:w="60" w:type="dxa"/>
              <w:left w:w="80" w:type="dxa"/>
              <w:right w:w="80" w:type="dxa"/>
            </w:tcMar>
          </w:tcPr>
          <w:p>
            <w:pPr>
              <w:jc w:val="center"/>
            </w:pPr>
            <w:r>
              <w:rPr>
                <w:rFonts w:ascii="Calibri" w:hAnsi="Calibri"/>
                <w:sz w:val="17"/>
              </w:rPr>
              <w:t>Δ: +5.7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(Alphabet Inc.): Inventario en sintonía con la cadencia de costes (Spread: 0.0%, DIO: 20.9d). Existencias optimizadas.</w:t>
      </w:r>
    </w:p>
    <w:p>
      <w:pPr>
        <w:pStyle w:val="Heading2"/>
      </w:pPr>
      <w:r>
        <w:rPr>
          <w:rFonts w:ascii="Calibri" w:hAnsi="Calibri"/>
          <w:b/>
          <w:color w:val="1B365D"/>
          <w:sz w:val="23"/>
        </w:rPr>
        <w:t>12.3. Desglose Forense Montier C-Score (4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$244,205.0M vs CFO: $185,675.0M</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56.6d (Δ: -0.4d)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N/D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4.91% vs 4.05%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7.28% vs 7.89%</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+54.9% vs ΔVentas: +10.7%</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4 / 6 Banderas — RIESGO ALTO / ALERTA FORENSE. Probabilidad empírica de manipulación &gt; 70%.</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+7.72%</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Precaución: Dependencia moderada de devengos sin respaldo de caja.</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76.0%</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Alerta (76.0%): Caja operativa significativamente inferior a la utilidad.</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-0.7%</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56.6d);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20.9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(20.9d);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+5.7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(+5.7 pp); balance sano con activos blandos bajo 75% (59.1%).</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4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Alerta forense (4/6); alto riesgo de maquillaje contable (&gt; 70%).</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6.76 [ZONA SEGURA]</w:t>
              <w:br/>
              <w:br/>
              <w:t>FORTALEZA FINANCIERA INQUEBRANTABLE (GRADO INSTITUCIONAL AAA/AA): Apalancamiento óptimo (CAJA NETA), cobertura de intereses de 65.6x y Altman Z''-Score de 6.76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$100,164.0M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$242,474.0M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$142,310.0M (Caja Neta)</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$147,628.0M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$2,252.0M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65.6x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1.21%</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6.76</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$320.21  |  WACC Auditado: 10.52% (Rf: 4.99%, ERP: 4.75%)</w:t>
        <w:br/>
        <w:t>• Crecimiento Implícito Calculado: 26.3% Anual a 10 Años (vs. 17.2% Histórico)</w:t>
        <w:br/>
        <w:t>• Veredicto: Descuenta expectativas de 26.3% anual. Exigencia de crecimiento ambiciosa (+26.3% anual); requiere catalizadores sostenidos de expansión comercial.</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$320.21</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4.99%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1.21</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2.25%</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1.83%</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18.4%</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2.5%</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97.5%</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10.52%</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11.9%</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9.52% (Bajo / Expansión)</w:t>
            </w:r>
          </w:p>
        </w:tc>
        <w:tc>
          <w:tcPr>
            <w:tcW w:type="dxa" w:w="1224"/>
          </w:tcPr>
          <w:p>
            <w:r>
              <w:rPr>
                <w:sz w:val="16"/>
              </w:rPr>
              <w:t>25.9%</w:t>
            </w:r>
          </w:p>
        </w:tc>
        <w:tc>
          <w:tcPr>
            <w:tcW w:type="dxa" w:w="1224"/>
          </w:tcPr>
          <w:p>
            <w:r>
              <w:rPr>
                <w:sz w:val="16"/>
              </w:rPr>
              <w:t>25.2%</w:t>
            </w:r>
          </w:p>
        </w:tc>
        <w:tc>
          <w:tcPr>
            <w:tcW w:type="dxa" w:w="1224"/>
          </w:tcPr>
          <w:p>
            <w:r>
              <w:rPr>
                <w:sz w:val="16"/>
              </w:rPr>
              <w:t>24.6%</w:t>
            </w:r>
          </w:p>
        </w:tc>
        <w:tc>
          <w:tcPr>
            <w:tcW w:type="dxa" w:w="1224"/>
          </w:tcPr>
          <w:p>
            <w:r>
              <w:rPr>
                <w:b/>
                <w:sz w:val="16"/>
              </w:rPr>
              <w:t>23.9%</w:t>
            </w:r>
          </w:p>
        </w:tc>
        <w:tc>
          <w:tcPr>
            <w:tcW w:type="dxa" w:w="1224"/>
          </w:tcPr>
          <w:p>
            <w:r>
              <w:rPr>
                <w:sz w:val="16"/>
              </w:rPr>
              <w:t>23.1%</w:t>
            </w:r>
          </w:p>
        </w:tc>
        <w:tc>
          <w:tcPr>
            <w:tcW w:type="dxa" w:w="1224"/>
          </w:tcPr>
          <w:p>
            <w:r>
              <w:rPr>
                <w:sz w:val="16"/>
              </w:rPr>
              <w:t>22.3%</w:t>
            </w:r>
          </w:p>
        </w:tc>
        <w:tc>
          <w:tcPr>
            <w:tcW w:type="dxa" w:w="1224"/>
          </w:tcPr>
          <w:p>
            <w:r>
              <w:rPr>
                <w:sz w:val="16"/>
              </w:rPr>
              <w:t>Escenario favorable; exigencia de crecimiento más moderada.</w:t>
            </w:r>
          </w:p>
        </w:tc>
      </w:tr>
      <w:tr>
        <w:tc>
          <w:tcPr>
            <w:tcW w:type="dxa" w:w="1224"/>
            <w:shd w:fill="F7FAFC"/>
          </w:tcPr>
          <w:p>
            <w:r>
              <w:rPr>
                <w:sz w:val="16"/>
              </w:rPr>
              <w:t>10.02% (Favorable)</w:t>
            </w:r>
          </w:p>
        </w:tc>
        <w:tc>
          <w:tcPr>
            <w:tcW w:type="dxa" w:w="1224"/>
            <w:shd w:fill="F7FAFC"/>
          </w:tcPr>
          <w:p>
            <w:r>
              <w:rPr>
                <w:sz w:val="16"/>
              </w:rPr>
              <w:t>27.0%</w:t>
            </w:r>
          </w:p>
        </w:tc>
        <w:tc>
          <w:tcPr>
            <w:tcW w:type="dxa" w:w="1224"/>
            <w:shd w:fill="F7FAFC"/>
          </w:tcPr>
          <w:p>
            <w:r>
              <w:rPr>
                <w:sz w:val="16"/>
              </w:rPr>
              <w:t>26.4%</w:t>
            </w:r>
          </w:p>
        </w:tc>
        <w:tc>
          <w:tcPr>
            <w:tcW w:type="dxa" w:w="1224"/>
            <w:shd w:fill="F7FAFC"/>
          </w:tcPr>
          <w:p>
            <w:r>
              <w:rPr>
                <w:sz w:val="16"/>
              </w:rPr>
              <w:t>25.8%</w:t>
            </w:r>
          </w:p>
        </w:tc>
        <w:tc>
          <w:tcPr>
            <w:tcW w:type="dxa" w:w="1224"/>
            <w:shd w:fill="F7FAFC"/>
          </w:tcPr>
          <w:p>
            <w:r>
              <w:rPr>
                <w:b/>
                <w:sz w:val="16"/>
              </w:rPr>
              <w:t>25.1%</w:t>
            </w:r>
          </w:p>
        </w:tc>
        <w:tc>
          <w:tcPr>
            <w:tcW w:type="dxa" w:w="1224"/>
            <w:shd w:fill="F7FAFC"/>
          </w:tcPr>
          <w:p>
            <w:r>
              <w:rPr>
                <w:sz w:val="16"/>
              </w:rPr>
              <w:t>24.4%</w:t>
            </w:r>
          </w:p>
        </w:tc>
        <w:tc>
          <w:tcPr>
            <w:tcW w:type="dxa" w:w="1224"/>
            <w:shd w:fill="F7FAFC"/>
          </w:tcPr>
          <w:p>
            <w:r>
              <w:rPr>
                <w:sz w:val="16"/>
              </w:rPr>
              <w:t>23.6%</w:t>
            </w:r>
          </w:p>
        </w:tc>
        <w:tc>
          <w:tcPr>
            <w:tcW w:type="dxa" w:w="1224"/>
            <w:shd w:fill="F7FAFC"/>
          </w:tcPr>
          <w:p>
            <w:r>
              <w:rPr>
                <w:sz w:val="16"/>
              </w:rPr>
              <w:t>Escenario de sensibilidad operativa.</w:t>
            </w:r>
          </w:p>
        </w:tc>
      </w:tr>
      <w:tr>
        <w:tc>
          <w:tcPr>
            <w:tcW w:type="dxa" w:w="1224"/>
            <w:shd w:fill="F7FAFC"/>
          </w:tcPr>
          <w:p>
            <w:r>
              <w:rPr>
                <w:sz w:val="16"/>
              </w:rPr>
              <w:t>10.52% (WACC Auditado Base)</w:t>
            </w:r>
          </w:p>
        </w:tc>
        <w:tc>
          <w:tcPr>
            <w:tcW w:type="dxa" w:w="1224"/>
            <w:shd w:fill="F7FAFC"/>
          </w:tcPr>
          <w:p>
            <w:r>
              <w:rPr>
                <w:b/>
                <w:sz w:val="16"/>
              </w:rPr>
              <w:t>28.1%</w:t>
            </w:r>
          </w:p>
        </w:tc>
        <w:tc>
          <w:tcPr>
            <w:tcW w:type="dxa" w:w="1224"/>
            <w:shd w:fill="F7FAFC"/>
          </w:tcPr>
          <w:p>
            <w:r>
              <w:rPr>
                <w:b/>
                <w:sz w:val="16"/>
              </w:rPr>
              <w:t>27.5%</w:t>
            </w:r>
          </w:p>
        </w:tc>
        <w:tc>
          <w:tcPr>
            <w:tcW w:type="dxa" w:w="1224"/>
            <w:shd w:fill="F7FAFC"/>
          </w:tcPr>
          <w:p>
            <w:r>
              <w:rPr>
                <w:b/>
                <w:sz w:val="16"/>
              </w:rPr>
              <w:t>26.9%</w:t>
            </w:r>
          </w:p>
        </w:tc>
        <w:tc>
          <w:tcPr>
            <w:tcW w:type="dxa" w:w="1224"/>
            <w:shd w:fill="FFF2CC"/>
          </w:tcPr>
          <w:p>
            <w:r>
              <w:rPr>
                <w:b/>
                <w:sz w:val="16"/>
              </w:rPr>
              <w:t>26.3%</w:t>
            </w:r>
          </w:p>
        </w:tc>
        <w:tc>
          <w:tcPr>
            <w:tcW w:type="dxa" w:w="1224"/>
            <w:shd w:fill="F7FAFC"/>
          </w:tcPr>
          <w:p>
            <w:r>
              <w:rPr>
                <w:b/>
                <w:sz w:val="16"/>
              </w:rPr>
              <w:t>25.6%</w:t>
            </w:r>
          </w:p>
        </w:tc>
        <w:tc>
          <w:tcPr>
            <w:tcW w:type="dxa" w:w="1224"/>
            <w:shd w:fill="F7FAFC"/>
          </w:tcPr>
          <w:p>
            <w:r>
              <w:rPr>
                <w:b/>
                <w:sz w:val="16"/>
              </w:rPr>
              <w:t>24.9%</w:t>
            </w:r>
          </w:p>
        </w:tc>
        <w:tc>
          <w:tcPr>
            <w:tcW w:type="dxa" w:w="1224"/>
            <w:shd w:fill="F7FAFC"/>
          </w:tcPr>
          <w:p>
            <w:r>
              <w:rPr>
                <w:sz w:val="16"/>
              </w:rPr>
              <w:t>ESCENARIO CENTRAL: Crecimiento implícito real de mercado.</w:t>
            </w:r>
          </w:p>
        </w:tc>
      </w:tr>
      <w:tr>
        <w:tc>
          <w:tcPr>
            <w:tcW w:type="dxa" w:w="1224"/>
            <w:shd w:fill="F7FAFC"/>
          </w:tcPr>
          <w:p>
            <w:r>
              <w:rPr>
                <w:sz w:val="16"/>
              </w:rPr>
              <w:t>11.02% (Exigente)</w:t>
            </w:r>
          </w:p>
        </w:tc>
        <w:tc>
          <w:tcPr>
            <w:tcW w:type="dxa" w:w="1224"/>
            <w:shd w:fill="F7FAFC"/>
          </w:tcPr>
          <w:p>
            <w:r>
              <w:rPr>
                <w:sz w:val="16"/>
              </w:rPr>
              <w:t>29.1%</w:t>
            </w:r>
          </w:p>
        </w:tc>
        <w:tc>
          <w:tcPr>
            <w:tcW w:type="dxa" w:w="1224"/>
            <w:shd w:fill="F7FAFC"/>
          </w:tcPr>
          <w:p>
            <w:r>
              <w:rPr>
                <w:sz w:val="16"/>
              </w:rPr>
              <w:t>28.6%</w:t>
            </w:r>
          </w:p>
        </w:tc>
        <w:tc>
          <w:tcPr>
            <w:tcW w:type="dxa" w:w="1224"/>
            <w:shd w:fill="F7FAFC"/>
          </w:tcPr>
          <w:p>
            <w:r>
              <w:rPr>
                <w:sz w:val="16"/>
              </w:rPr>
              <w:t>28.0%</w:t>
            </w:r>
          </w:p>
        </w:tc>
        <w:tc>
          <w:tcPr>
            <w:tcW w:type="dxa" w:w="1224"/>
            <w:shd w:fill="F7FAFC"/>
          </w:tcPr>
          <w:p>
            <w:r>
              <w:rPr>
                <w:b/>
                <w:sz w:val="16"/>
              </w:rPr>
              <w:t>27.5%</w:t>
            </w:r>
          </w:p>
        </w:tc>
        <w:tc>
          <w:tcPr>
            <w:tcW w:type="dxa" w:w="1224"/>
            <w:shd w:fill="F7FAFC"/>
          </w:tcPr>
          <w:p>
            <w:r>
              <w:rPr>
                <w:sz w:val="16"/>
              </w:rPr>
              <w:t>26.8%</w:t>
            </w:r>
          </w:p>
        </w:tc>
        <w:tc>
          <w:tcPr>
            <w:tcW w:type="dxa" w:w="1224"/>
            <w:shd w:fill="F7FAFC"/>
          </w:tcPr>
          <w:p>
            <w:r>
              <w:rPr>
                <w:sz w:val="16"/>
              </w:rPr>
              <w:t>26.1%</w:t>
            </w:r>
          </w:p>
        </w:tc>
        <w:tc>
          <w:tcPr>
            <w:tcW w:type="dxa" w:w="1224"/>
            <w:shd w:fill="F7FAFC"/>
          </w:tcPr>
          <w:p>
            <w:r>
              <w:rPr>
                <w:sz w:val="16"/>
              </w:rPr>
              <w:t>Escenario de sensibilidad operativa.</w:t>
            </w:r>
          </w:p>
        </w:tc>
      </w:tr>
      <w:tr>
        <w:tc>
          <w:tcPr>
            <w:tcW w:type="dxa" w:w="1224"/>
          </w:tcPr>
          <w:p>
            <w:r>
              <w:rPr>
                <w:sz w:val="16"/>
              </w:rPr>
              <w:t>11.52% (Estrés / Tipos Altos)</w:t>
            </w:r>
          </w:p>
        </w:tc>
        <w:tc>
          <w:tcPr>
            <w:tcW w:type="dxa" w:w="1224"/>
          </w:tcPr>
          <w:p>
            <w:r>
              <w:rPr>
                <w:sz w:val="16"/>
              </w:rPr>
              <w:t>30.2%</w:t>
            </w:r>
          </w:p>
        </w:tc>
        <w:tc>
          <w:tcPr>
            <w:tcW w:type="dxa" w:w="1224"/>
          </w:tcPr>
          <w:p>
            <w:r>
              <w:rPr>
                <w:sz w:val="16"/>
              </w:rPr>
              <w:t>29.7%</w:t>
            </w:r>
          </w:p>
        </w:tc>
        <w:tc>
          <w:tcPr>
            <w:tcW w:type="dxa" w:w="1224"/>
          </w:tcPr>
          <w:p>
            <w:r>
              <w:rPr>
                <w:sz w:val="16"/>
              </w:rPr>
              <w:t>29.1%</w:t>
            </w:r>
          </w:p>
        </w:tc>
        <w:tc>
          <w:tcPr>
            <w:tcW w:type="dxa" w:w="1224"/>
          </w:tcPr>
          <w:p>
            <w:r>
              <w:rPr>
                <w:b/>
                <w:sz w:val="16"/>
              </w:rPr>
              <w:t>28.6%</w:t>
            </w:r>
          </w:p>
        </w:tc>
        <w:tc>
          <w:tcPr>
            <w:tcW w:type="dxa" w:w="1224"/>
          </w:tcPr>
          <w:p>
            <w:r>
              <w:rPr>
                <w:sz w:val="16"/>
              </w:rPr>
              <w:t>28.0%</w:t>
            </w:r>
          </w:p>
        </w:tc>
        <w:tc>
          <w:tcPr>
            <w:tcW w:type="dxa" w:w="1224"/>
          </w:tcPr>
          <w:p>
            <w:r>
              <w:rPr>
                <w:sz w:val="16"/>
              </w:rPr>
              <w:t>27.3%</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Foso Defensivo Amplio (Ventajas Intangibles)</w:t>
            </w:r>
          </w:p>
        </w:tc>
        <w:tc>
          <w:tcPr>
            <w:tcW w:type="dxa" w:w="2448"/>
          </w:tcPr>
          <w:p>
            <w:r>
              <w:rPr>
                <w:b/>
                <w:sz w:val="17"/>
              </w:rPr>
              <w:t>WIDE MOAT</w:t>
            </w:r>
          </w:p>
        </w:tc>
        <w:tc>
          <w:tcPr>
            <w:tcW w:type="dxa" w:w="2448"/>
          </w:tcPr>
          <w:p>
            <w:r>
              <w:rPr>
                <w:sz w:val="17"/>
              </w:rPr>
              <w:t>Poder de fijación de precios y resiliencia de márgenes (33.1% EBIT).</w:t>
            </w:r>
          </w:p>
        </w:tc>
      </w:tr>
      <w:tr>
        <w:tc>
          <w:tcPr>
            <w:tcW w:type="dxa" w:w="2448"/>
            <w:shd w:fill="F7FAFC"/>
          </w:tcPr>
          <w:p>
            <w:r>
              <w:rPr>
                <w:b/>
                <w:sz w:val="17"/>
              </w:rPr>
              <w:t>Calidad de Beneficios</w:t>
            </w:r>
          </w:p>
        </w:tc>
        <w:tc>
          <w:tcPr>
            <w:tcW w:type="dxa" w:w="2448"/>
            <w:shd w:fill="F7FAFC"/>
          </w:tcPr>
          <w:p>
            <w:r>
              <w:rPr>
                <w:sz w:val="17"/>
              </w:rPr>
              <w:t>Ratio Sloan: 7.72% / Montier: 4/6</w:t>
            </w:r>
          </w:p>
        </w:tc>
        <w:tc>
          <w:tcPr>
            <w:tcW w:type="dxa" w:w="2448"/>
            <w:shd w:fill="F7FAFC"/>
          </w:tcPr>
          <w:p>
            <w:r>
              <w:rPr>
                <w:b/>
                <w:sz w:val="17"/>
              </w:rPr>
              <w:t>ALERTA FORENSE</w:t>
            </w:r>
          </w:p>
        </w:tc>
        <w:tc>
          <w:tcPr>
            <w:tcW w:type="dxa" w:w="2448"/>
            <w:shd w:fill="F7FAFC"/>
          </w:tcPr>
          <w:p>
            <w:r>
              <w:rPr>
                <w:sz w:val="17"/>
              </w:rPr>
              <w:t>Ganancias avaladas por caja real ($1.91 CFO por dólar de NI).</w:t>
            </w:r>
          </w:p>
        </w:tc>
      </w:tr>
      <w:tr>
        <w:tc>
          <w:tcPr>
            <w:tcW w:type="dxa" w:w="2448"/>
          </w:tcPr>
          <w:p>
            <w:r>
              <w:rPr>
                <w:b/>
                <w:sz w:val="17"/>
              </w:rPr>
              <w:t>Solvencia y Estructura</w:t>
            </w:r>
          </w:p>
        </w:tc>
        <w:tc>
          <w:tcPr>
            <w:tcW w:type="dxa" w:w="2448"/>
          </w:tcPr>
          <w:p>
            <w:r>
              <w:rPr>
                <w:sz w:val="17"/>
              </w:rPr>
              <w:t>Cobertura EBIT: 65.6x / Altman Z'': 6.76</w:t>
            </w:r>
          </w:p>
        </w:tc>
        <w:tc>
          <w:tcPr>
            <w:tcW w:type="dxa" w:w="2448"/>
          </w:tcPr>
          <w:p>
            <w:r>
              <w:rPr>
                <w:b/>
                <w:sz w:val="17"/>
              </w:rPr>
              <w:t>SINTÉTICO AAA</w:t>
            </w:r>
          </w:p>
        </w:tc>
        <w:tc>
          <w:tcPr>
            <w:tcW w:type="dxa" w:w="2448"/>
          </w:tcPr>
          <w:p>
            <w:r>
              <w:rPr>
                <w:sz w:val="17"/>
              </w:rPr>
              <w:t>Cero estrés financiero; colchón de $242.5B.</w:t>
            </w:r>
          </w:p>
        </w:tc>
      </w:tr>
      <w:tr>
        <w:tc>
          <w:tcPr>
            <w:tcW w:type="dxa" w:w="2448"/>
            <w:shd w:fill="F7FAFC"/>
          </w:tcPr>
          <w:p>
            <w:r>
              <w:rPr>
                <w:b/>
                <w:sz w:val="17"/>
              </w:rPr>
              <w:t>Productividad del Capital</w:t>
            </w:r>
          </w:p>
        </w:tc>
        <w:tc>
          <w:tcPr>
            <w:tcW w:type="dxa" w:w="2448"/>
            <w:shd w:fill="F7FAFC"/>
          </w:tcPr>
          <w:p>
            <w:r>
              <w:rPr>
                <w:sz w:val="17"/>
              </w:rPr>
              <w:t>ROC Greenblatt: 36.6% / ROIC Adj: 17.9%</w:t>
            </w:r>
          </w:p>
        </w:tc>
        <w:tc>
          <w:tcPr>
            <w:tcW w:type="dxa" w:w="2448"/>
            <w:shd w:fill="F7FAFC"/>
          </w:tcPr>
          <w:p>
            <w:r>
              <w:rPr>
                <w:b/>
                <w:sz w:val="17"/>
              </w:rPr>
              <w:t>CREADOR DE VALOR</w:t>
            </w:r>
          </w:p>
        </w:tc>
        <w:tc>
          <w:tcPr>
            <w:tcW w:type="dxa" w:w="2448"/>
            <w:shd w:fill="F7FAFC"/>
          </w:tcPr>
          <w:p>
            <w:r>
              <w:rPr>
                <w:sz w:val="17"/>
              </w:rPr>
              <w:t>Spread económico de +7.4 pp sobre WACC (Creación de valor de élite).</w:t>
            </w:r>
          </w:p>
        </w:tc>
      </w:tr>
      <w:tr>
        <w:tc>
          <w:tcPr>
            <w:tcW w:type="dxa" w:w="2448"/>
          </w:tcPr>
          <w:p>
            <w:r>
              <w:rPr>
                <w:b/>
                <w:sz w:val="17"/>
              </w:rPr>
              <w:t>Valoración de Mercado</w:t>
            </w:r>
          </w:p>
        </w:tc>
        <w:tc>
          <w:tcPr>
            <w:tcW w:type="dxa" w:w="2448"/>
          </w:tcPr>
          <w:p>
            <w:r>
              <w:rPr>
                <w:sz w:val="17"/>
              </w:rPr>
              <w:t>Crecimiento Implícito: 26.3% - 17.1%</w:t>
            </w:r>
          </w:p>
        </w:tc>
        <w:tc>
          <w:tcPr>
            <w:tcW w:type="dxa" w:w="2448"/>
          </w:tcPr>
          <w:p>
            <w:r>
              <w:rPr>
                <w:b/>
                <w:sz w:val="17"/>
              </w:rPr>
              <w:t>PRICED FOR PERFECTION</w:t>
            </w:r>
          </w:p>
        </w:tc>
        <w:tc>
          <w:tcPr>
            <w:tcW w:type="dxa" w:w="2448"/>
          </w:tcPr>
          <w:p>
            <w:r>
              <w:rPr>
                <w:sz w:val="17"/>
              </w:rPr>
              <w:t>Exigencia de crecimiento ambiciosa (+26.3% anual); requiere catalizadores sostenidos de expansión comercial.</w:t>
            </w:r>
          </w:p>
        </w:tc>
      </w:tr>
    </w:tbl>
    <w:p>
      <w:pPr>
        <w:spacing w:before="400"/>
        <w:jc w:val="center"/>
      </w:pPr>
      <w:r>
        <w:rPr>
          <w:rFonts w:ascii="Calibri" w:hAnsi="Calibri"/>
          <w:i/>
          <w:color w:val="4A5568"/>
          <w:sz w:val="17"/>
        </w:rPr>
        <w:t>Fin del Informe Oficial de Investigación Fundamental — Alphabet Inc. (GOOGL)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