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APPLE INC. (NASDAQ: AAPL)</w:t>
              <w:br/>
              <w:t>Resultados Trimestrales Q3 FY2026, Earnings Call &amp; Análisis de Gobernanza</w:t>
            </w:r>
          </w:p>
          <w:p>
            <w:pPr>
              <w:spacing w:before="0" w:after="0"/>
            </w:pPr>
            <w:r>
              <w:rPr>
                <w:rFonts w:ascii="Calibri" w:hAnsi="Calibri"/>
                <w:i/>
                <w:color w:val="D1DFF5"/>
                <w:sz w:val="17"/>
              </w:rPr>
              <w:t>Fecha de Análisis: 23 de Septiembre de 2026 | Período Contable: 27 de Junio de 2026</w:t>
              <w:br/>
              <w:t>Fuente Oficial: Formulario 10-Q, Formularios 8-K, Form 4, Form 144 (SEC EDGAR) &amp; Q3 FY26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Apple Inc. diseña, fabrica y comercializa smartphones, computadoras personales, tablets, dispositivos corporales (wearables) y accesorios, integrando verticalmente hardware de alta gama con sistemas operativos propios (iOS, macOS, iPadOS, watchOS) y microprocesadores propietarios de silicio (Apple Silicon).</w:t>
            </w:r>
          </w:p>
          <w:p>
            <w:pPr>
              <w:spacing w:before="40" w:after="40" w:line="276" w:lineRule="auto"/>
            </w:pPr>
            <w:r>
              <w:rPr>
                <w:rFonts w:ascii="Calibri" w:hAnsi="Calibri"/>
                <w:color w:val="2D3748"/>
                <w:sz w:val="19"/>
              </w:rPr>
              <w:t>Su modelo de negocio opera como un ecosistema de fidelización (flywheel): la venta de hardware de vanguardia actúa como puerta de entrada para capturar usuarios en una plataforma cerrada, que luego monetiza de manera recurrente a través de una división de Servicios de altísimo margen (App Store, iCloud, Apple Pay, Apple Music, suscripciones y publicidad).</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Apple distribuye sus productos y servicios a nivel global a través de dos grandes vías de acceso al mercado:</w:t>
      </w:r>
    </w:p>
    <w:p>
      <w:pPr>
        <w:spacing w:before="40" w:after="80" w:line="276" w:lineRule="auto"/>
      </w:pPr>
      <w:r>
        <w:rPr>
          <w:rFonts w:ascii="Calibri" w:hAnsi="Calibri"/>
          <w:b/>
          <w:color w:val="2D3748"/>
          <w:sz w:val="20"/>
        </w:rPr>
        <w:t xml:space="preserve">• Canal Directo (~40% de las ventas netas): </w:t>
      </w:r>
      <w:r>
        <w:rPr>
          <w:rFonts w:ascii="Calibri" w:hAnsi="Calibri"/>
          <w:i w:val="0"/>
          <w:color w:val="2D3748"/>
          <w:sz w:val="20"/>
        </w:rPr>
        <w:t>Operado mediante su red propia de más de 525 tiendas físicas (Apple Stores) en distritos comerciales prime de todo el mundo, su tienda digital en línea (apple.com) y equipos comerciales directos dedicados a empresas (B2B), educación y administraciones públicas. Aporta aproximadamente el 40% de las ventas netas.</w:t>
      </w:r>
    </w:p>
    <w:p>
      <w:pPr>
        <w:spacing w:before="40" w:after="80" w:line="276" w:lineRule="auto"/>
      </w:pPr>
      <w:r>
        <w:rPr>
          <w:rFonts w:ascii="Calibri" w:hAnsi="Calibri"/>
          <w:b/>
          <w:color w:val="2D3748"/>
          <w:sz w:val="20"/>
        </w:rPr>
        <w:t xml:space="preserve">• Canal Indirecto (~60% de las ventas netas): </w:t>
      </w:r>
      <w:r>
        <w:rPr>
          <w:rFonts w:ascii="Calibri" w:hAnsi="Calibri"/>
          <w:i w:val="0"/>
          <w:color w:val="2D3748"/>
          <w:sz w:val="20"/>
        </w:rPr>
        <w:t>Red internacional de distribución compuesta por las principales operadoras de telefonía celular (AT&amp;T, Verizon, Vodafone, China Mobile), grandes cadenas minoristas de electrónica, distribuidores mayoristas y revendedores autorizados (Apple Authorised Resellers). Aporta aproximadamente el 60% de las ventas netas.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Apple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Products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$346,345.0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$307,003.0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(+12.8%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iPhone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$245,540.0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52.6%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(+17.2% YoY); demanda sólida y volumen favorable.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$35,863.0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$33,708.0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orgánico sostenido (+6.4% YoY); demanda sólida y volumen favorable.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iPad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$28,652.0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$28,023.0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(+2.2%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Wearables, Home and Accessories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$35,686.0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7.8%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(+1.7%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Services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$120,478.0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25.8%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(+10.4% YoY); demanda sólida y volumen favorable.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iPhone (52.6% de facturación): </w:t>
      </w:r>
      <w:r>
        <w:rPr>
          <w:rFonts w:ascii="Calibri" w:hAnsi="Calibri"/>
          <w:i w:val="0"/>
          <w:color w:val="2D3748"/>
          <w:sz w:val="20"/>
        </w:rPr>
        <w:t>Genera $245,540.0 M (+17.2% YoY), consolidándose como pilar operativo clave de Apple Inc..</w:t>
      </w:r>
    </w:p>
    <w:p>
      <w:pPr>
        <w:spacing w:before="40" w:after="80" w:line="276" w:lineRule="auto"/>
      </w:pPr>
      <w:r>
        <w:rPr>
          <w:rFonts w:ascii="Calibri" w:hAnsi="Calibri"/>
          <w:b/>
          <w:color w:val="2D3748"/>
          <w:sz w:val="20"/>
        </w:rPr>
        <w:t xml:space="preserve">• Mac (7.7% de facturación): </w:t>
      </w:r>
      <w:r>
        <w:rPr>
          <w:rFonts w:ascii="Calibri" w:hAnsi="Calibri"/>
          <w:i w:val="0"/>
          <w:color w:val="2D3748"/>
          <w:sz w:val="20"/>
        </w:rPr>
        <w:t>Genera $35,863.0 M (+6.4% YoY), consolidándose como pilar operativo clave de Apple Inc..</w:t>
      </w:r>
    </w:p>
    <w:p>
      <w:pPr>
        <w:spacing w:before="40" w:after="80" w:line="276" w:lineRule="auto"/>
      </w:pPr>
      <w:r>
        <w:rPr>
          <w:rFonts w:ascii="Calibri" w:hAnsi="Calibri"/>
          <w:b/>
          <w:color w:val="2D3748"/>
          <w:sz w:val="20"/>
        </w:rPr>
        <w:t xml:space="preserve">• iPad (6.1% de facturación): </w:t>
      </w:r>
      <w:r>
        <w:rPr>
          <w:rFonts w:ascii="Calibri" w:hAnsi="Calibri"/>
          <w:i w:val="0"/>
          <w:color w:val="2D3748"/>
          <w:sz w:val="20"/>
        </w:rPr>
        <w:t>Genera $28,652.0 M (+2.2% YoY), consolidándose como pilar operativo clave de Apple Inc..</w:t>
      </w:r>
    </w:p>
    <w:p>
      <w:pPr>
        <w:spacing w:before="40" w:after="80" w:line="276" w:lineRule="auto"/>
      </w:pPr>
      <w:r>
        <w:rPr>
          <w:rFonts w:ascii="Calibri" w:hAnsi="Calibri"/>
          <w:b/>
          <w:color w:val="2D3748"/>
          <w:sz w:val="20"/>
        </w:rPr>
        <w:t xml:space="preserve">• Wearables, Home and Accessories (7.8% de facturación): </w:t>
      </w:r>
      <w:r>
        <w:rPr>
          <w:rFonts w:ascii="Calibri" w:hAnsi="Calibri"/>
          <w:i w:val="0"/>
          <w:color w:val="2D3748"/>
          <w:sz w:val="20"/>
        </w:rPr>
        <w:t>Genera $36,290.0 M (+1.7% YoY), consolidándose como pilar operativo clave de Apple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Apple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Americas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$178,353.0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20.7%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(+8.5%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$124,299.0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$111,032.0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+11.9%</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(+11.9%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Greater 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$79,332.0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(+23.2%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Japan</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$31,004.0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$28,703.0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(+8.0%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 of Asia 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$38,593.0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$33,696.0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(+14.5%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$170,268.4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$151,790.0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18.2%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$72,214.0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Other countries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$224,340.6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$199,994.0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24.0%</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Americas (20.7% del total): </w:t>
      </w:r>
      <w:r>
        <w:rPr>
          <w:rFonts w:ascii="Calibri" w:hAnsi="Calibri"/>
          <w:i w:val="0"/>
          <w:color w:val="2D3748"/>
          <w:sz w:val="20"/>
        </w:rPr>
        <w:t>Aporta $193,595.0 M con variación YoY de +8.5%, diversificando la exposición geográfica de Apple Inc..</w:t>
      </w:r>
    </w:p>
    <w:p>
      <w:pPr>
        <w:spacing w:before="40" w:after="80" w:line="276" w:lineRule="auto"/>
      </w:pPr>
      <w:r>
        <w:rPr>
          <w:rFonts w:ascii="Calibri" w:hAnsi="Calibri"/>
          <w:b/>
          <w:color w:val="2D3748"/>
          <w:sz w:val="20"/>
        </w:rPr>
        <w:t xml:space="preserve">• Mercado Europe (13.3% del total): </w:t>
      </w:r>
      <w:r>
        <w:rPr>
          <w:rFonts w:ascii="Calibri" w:hAnsi="Calibri"/>
          <w:i w:val="0"/>
          <w:color w:val="2D3748"/>
          <w:sz w:val="20"/>
        </w:rPr>
        <w:t>Aporta $124,299.0 M con variación YoY de +11.9%, diversificando la exposición geográfica de Apple Inc..</w:t>
      </w:r>
    </w:p>
    <w:p>
      <w:pPr>
        <w:spacing w:before="40" w:after="80" w:line="276" w:lineRule="auto"/>
      </w:pPr>
      <w:r>
        <w:rPr>
          <w:rFonts w:ascii="Calibri" w:hAnsi="Calibri"/>
          <w:b/>
          <w:color w:val="2D3748"/>
          <w:sz w:val="20"/>
        </w:rPr>
        <w:t xml:space="preserve">• Mercado Greater China (8.5% del total): </w:t>
      </w:r>
      <w:r>
        <w:rPr>
          <w:rFonts w:ascii="Calibri" w:hAnsi="Calibri"/>
          <w:i w:val="0"/>
          <w:color w:val="2D3748"/>
          <w:sz w:val="20"/>
        </w:rPr>
        <w:t>Aporta $79,332.0 M con variación YoY de +23.2%, diversificando la exposición geográfica de Apple Inc..</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Apple Inc. ha presentado unos resultados correspondientes al tercer trimestre del ejercicio fiscal 2026 (Q3 FY26) que superaron ampliamente las previsiones de consenso en ingresos y beneficio por acción, estableciendo nuevos récords históricos para un trimestre de junio a nivel global. El período estuvo marcado por una sólida expansión de márgenes en hardware y servicios y una excepcional conversión de beneficios contables en efectivo real disponible para los accionistas: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Q3 FY26 (Reportado)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Q3 FY25 (Previo)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$109,417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$94,036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+16.4%</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Récord histórico de junio; crecimiento acelerado de doble dígito en hardware y servicios.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$54,770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$43,718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Fuerte poder de fijación de precios y mix favorable hacia gamas Pro y Servicios.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50.06%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+357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estructural de rentabilidad (incluye +200 bps de créditos arancelarios; subyacente ~48.1%).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$19,075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$15,516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estratégica controlada; aceleración selectiva en I+D (+32.3% YoY) por infraestructura de 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$35,695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$28,202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Evidencia de apalancamiento operativo positivo: el beneficio crece 1.6x más rápido que los ingresos.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32.62%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29.99%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+263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de escala de primer nivel en la industria tecnológica global.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$29,789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$23,434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Máximo histórico de utilidades netas para un tercer trimestre fiscal.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24.92%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+231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capacidad de retención de valor: más de 27 centavos limpios por cada dólar ingresado.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$34,400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Solidez de cobros y sincronización de capital de trabajo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Métrica reina de creación de valor; capital disponible tras financiar todo el CapEx ($2,900 M).</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28.79%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+93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pura superior al propio margen neto, confirmando ganancias de alta calidad.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105.7%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Óptima</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ausencia de devengos agresivos: los beneficios son 100% dinero contante y sonante.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por Acción (EPS Diluido)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El crecimiento del EPS supera al beneficio neto (+27.1%) gracias a la recompra activa de acciones.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Base Instalada de Dispositivos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&gt; 2,500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+13.6%</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Ecosistema en expansión récord que ensancha el foso defensivo (economic moat).</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Suscripciones Pagadas (Servicios)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&gt; 1,500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&gt; 1,000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Pilar de ingresos recurrentes de altísimo margen (75.6% margen bruto).</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(Q3 FY2026)</w:t>
      </w:r>
    </w:p>
    <w:p>
      <w:pPr>
        <w:spacing w:before="40" w:after="80" w:line="276" w:lineRule="auto"/>
      </w:pPr>
      <w:r>
        <w:rPr>
          <w:rFonts w:ascii="Calibri" w:hAnsi="Calibri"/>
          <w:i w:val="0"/>
          <w:color w:val="2D3748"/>
          <w:sz w:val="20"/>
        </w:rPr>
        <w:t>Durante la conferencia de resultados del tercer trimestre fiscal de 2026 (concluida el 27 de junio de 2026), el equipo directivo de Apple Inc.—encabezado por Tim Cook (CEO saliente), Kevan Parekh (CFO) y John Ternus (CEO entrante)—transmitió un tono de máxima confianza operativa y validación estratégica. Los resultados marcaron un récord histórico de facturación para un trimestre de junio ($109,417 M, +16.4% YoY) con crecimiento sincronizado de doble dígito en todas las geografías. No obstante, la dirección combinó el optimismo con una postura de cautela pragmática ante restricciones físicas en nodos avanzados de silicio e inflación severa en componentes de memoria.</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(Q4 FY26)</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Totales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+9.0% a +11.0%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Desaceleración técnica de ~500 bps explicada por -2.5 pp de viento cambiario (FX) y restricciones de suministro.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Ingresos por iPhone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Rango 'Mid-Teens' (~14% a 16% YoY)</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Fuerte demanda estructural de la familia iPhone 17; sujeta a disponibilidad de chips en nodos avanzados.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Ingresos por Servicios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~12.0% YoY (Tasa similar a Q3)</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Tras neutralizar el impacto cambiario adverso de -2.5 pp, la línea mantiene su solidez recurrente.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47.0% a 48.0%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Incluye ~1.0 pp de beneficio por devoluciones arancelarias (margen subyacente de 46.0% a 47.0%).</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$19,100 M a $19,400 M</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sostenida en I+D (+32% YoY) destinada a silicio propietario e infraestructura de 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Otros Ingresos / Gastos (OIE)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~$350 M positivos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Excluyendo variaciones por valoración a mercado de participaciones minoritarias.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~16.5%</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corporativa global prevista para el cierre del ejercicio fiscal 2026.</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(Dividendo)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$0.27 por acción</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Declarado por el Consejo de Administración, pagadero el 13 de agosto de 2026.</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Relevo Histórico en el Liderazgo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"Este será mi último earnings call. La transición se está dando de forma impecable y estoy entusiasmado de que John Ternus lidere a Apple en su próxima era..." — Tim Cook.</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total y foco de largo plazo en ingeniería de silicio e inferencia local de IA.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Superciclo de Silicio en iPhone y Mac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 +21.7% en iPhone y +28.7% en Mac (récord histórico de junio). Cuota de mercado ganada globalmente según IDC.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El nuevo MacBook Neo y los chips A19/M5 aceleran la tasa de renovación de hardware a niveles récord.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del Foso Defensivo (Moat)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Base instalada activa supera los 2,500 millones de dispositivos; más de 1,500 millones de suscripciones de pago en Servicios.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recurrencia y monetización cautiva de altísimo margen bruto (75.6%).</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Compromiso Industrial en EE.UU.</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Acuerdo plurianual con Broadcom superior a $30,000 M y apertura del Advanced Manufacturing Center en Houston.</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Mitigación geopolítica e internalización de la cadena de suministro de silicio en territorio estadounidense.</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(TSMC)</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problema principal son los nodos avanzados donde corren nuestros SoCs... La cadena tiene menos flexibilidad que la habitual."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Restricción en oferta de iPhone, Mac e iPad en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Adelanto de compras de capacidad y aceleración en TSMC Arizona (&gt;100M chips).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Inflación en Memorias DRAM</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"Estamos en lo que caracterizaría como una 'crecida de 100 años' en precios de memoria, con aumentos exponenciales."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margen bruto de hardware para fin de FY26 y FY27.</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Subidas selectivas de precios y uso de inventarios de bajo coste (carry-in).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Viento Cambiario Adverso (FX)</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tipo de cambio supondrá un viento en contra secuencial de 2.5 puntos porcentuales en la tasa de crecimiento."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-250 bps de menor crecimiento reportado en dólares para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Coberturas financieras activas y fijación de precios en divisas fuertes.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Presión Regulatoria (UE y App Store)</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Restricciones de la DMA impiden el despliegue pleno de Siri AI en iPhone/iPad en Europa; apelación de App Store ante Tribunal Supremo.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Ralentización de Servicios a un dígito en Europa si no se adaptan enlaces.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Negociaciones regulatorias activas y diversificación hacia Cloud y 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Evercore ISI — Amit Daryanani</w:t>
      </w:r>
    </w:p>
    <w:p>
      <w:pPr>
        <w:spacing w:before="40" w:after="80" w:line="276" w:lineRule="auto"/>
      </w:pPr>
      <w:r>
        <w:rPr>
          <w:rFonts w:ascii="Calibri" w:hAnsi="Calibri"/>
          <w:b/>
          <w:color w:val="2D3748"/>
          <w:sz w:val="20"/>
        </w:rPr>
        <w:t xml:space="preserve">• Pregunta 1 (Desaceleración de Guidance vs. Oferta): </w:t>
      </w:r>
      <w:r>
        <w:rPr>
          <w:rFonts w:ascii="Calibri" w:hAnsi="Calibri"/>
          <w:i w:val="0"/>
          <w:color w:val="2D3748"/>
          <w:sz w:val="20"/>
        </w:rPr>
        <w:t>El guidance de 9%-11% implica una desaceleración de ~500 bps frente al 16% de junio. ¿Cuánto responde a restricciones reales de suministro frente a una moderación en la demanda?</w:t>
      </w:r>
    </w:p>
    <w:p>
      <w:pPr>
        <w:spacing w:before="40" w:after="80" w:line="276" w:lineRule="auto"/>
      </w:pPr>
      <w:r>
        <w:rPr>
          <w:rFonts w:ascii="Calibri" w:hAnsi="Calibri"/>
          <w:b/>
          <w:color w:val="2D3748"/>
          <w:sz w:val="20"/>
        </w:rPr>
        <w:t xml:space="preserve">• Respuesta (Kevan Parekh y Tim Cook): </w:t>
      </w:r>
      <w:r>
        <w:rPr>
          <w:rFonts w:ascii="Calibri" w:hAnsi="Calibri"/>
          <w:i w:val="0"/>
          <w:color w:val="2D3748"/>
          <w:sz w:val="20"/>
        </w:rPr>
        <w:t>Parekh explicó que 2.5 pp corresponden puramente a divisa (FX) y el resto a restricciones de suministro. Cook enfatizó: "No es un problema de proveedores defectuosos; es un desborde de demanda donde iPhone (+22%) y Mac (+29%) superaron por mucho nuestras proyecciones y agotaron la capacidad de los nodos avanzados de silicio."</w:t>
      </w:r>
    </w:p>
    <w:p>
      <w:pPr>
        <w:spacing w:before="40" w:after="80" w:line="276" w:lineRule="auto"/>
      </w:pPr>
      <w:r>
        <w:rPr>
          <w:rFonts w:ascii="Calibri" w:hAnsi="Calibri"/>
          <w:b/>
          <w:color w:val="2D3748"/>
          <w:sz w:val="20"/>
        </w:rPr>
        <w:t xml:space="preserve">• Pregunta 2 (Inflación de Memorias DRAM y Política de Precios): </w:t>
      </w:r>
      <w:r>
        <w:rPr>
          <w:rFonts w:ascii="Calibri" w:hAnsi="Calibri"/>
          <w:i w:val="0"/>
          <w:color w:val="2D3748"/>
          <w:sz w:val="20"/>
        </w:rPr>
        <w:t>Históricamente Apple trasladó poco coste al cliente; ante la inflación de componentes, ¿cómo gestionarán los precios de cara al consumidor?</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los costes de memoria crecieron secuencialmente en marzo y junio y subirán más en septiembre. Apple subió precios de forma reluctante por esta "crecida de 100 años" en DRAM, balanceando unidades, ingresos y márgenes a largo plazo y no en un horizonte de 90 días.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Fuerte poder de fijación de precios (pricing power); la demanda no decayó tras los ajustes selectivos.</w:t>
      </w:r>
    </w:p>
    <w:p>
      <w:pPr>
        <w:keepNext/>
        <w:spacing w:before="200" w:after="80"/>
      </w:pPr>
      <w:r>
        <w:rPr>
          <w:rFonts w:ascii="Calibri" w:hAnsi="Calibri"/>
          <w:b/>
          <w:color w:val="4A5568"/>
          <w:sz w:val="22"/>
        </w:rPr>
        <w:t>2. Goldman Sachs — Michael Ng</w:t>
      </w:r>
    </w:p>
    <w:p>
      <w:pPr>
        <w:spacing w:before="40" w:after="80" w:line="276" w:lineRule="auto"/>
      </w:pPr>
      <w:r>
        <w:rPr>
          <w:rFonts w:ascii="Calibri" w:hAnsi="Calibri"/>
          <w:b/>
          <w:color w:val="2D3748"/>
          <w:sz w:val="20"/>
        </w:rPr>
        <w:t xml:space="preserve">• Pregunta 1 (Apple Upgrade Program y Base Instalada): </w:t>
      </w:r>
      <w:r>
        <w:rPr>
          <w:rFonts w:ascii="Calibri" w:hAnsi="Calibri"/>
          <w:i w:val="0"/>
          <w:color w:val="2D3748"/>
          <w:sz w:val="20"/>
        </w:rPr>
        <w:t>¿Cómo impacta el programa de renovación en la base de 2,500M de dispositivos y cuánto acorta el ciclo de vida del iPhone?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programa facilita planes de pago accesibles apalancándose en que el valor residual (residual value) de los productos Apple es muy superior al de la competencia, acelerando el recambio hacia gamas Pro.</w:t>
      </w:r>
    </w:p>
    <w:p>
      <w:pPr>
        <w:spacing w:before="40" w:after="80" w:line="276" w:lineRule="auto"/>
      </w:pPr>
      <w:r>
        <w:rPr>
          <w:rFonts w:ascii="Calibri" w:hAnsi="Calibri"/>
          <w:b/>
          <w:color w:val="2D3748"/>
          <w:sz w:val="20"/>
        </w:rPr>
        <w:t xml:space="preserve">• Pregunta 2 (Siri AI, Beta de iOS 27 y Costes de Cómputo): </w:t>
      </w:r>
      <w:r>
        <w:rPr>
          <w:rFonts w:ascii="Calibri" w:hAnsi="Calibri"/>
          <w:i w:val="0"/>
          <w:color w:val="2D3748"/>
          <w:sz w:val="20"/>
        </w:rPr>
        <w:t>¿Qué aprendizajes dejó la beta pública y cómo afectará el coste de inferencia de IA a los márgenes?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La recepción de desarrolladores y usuarios ha sido "fuera de serie". El modelo de inferencia privada en el chip local (NPU) reduce drásticamente el gasto en servidores de nube, otorgando una gran ventaja de costes frente a competidores.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Modelo híbrido de IA altamente eficiente con estructura de costes de inferencia controlada.</w:t>
      </w:r>
    </w:p>
    <w:p>
      <w:pPr>
        <w:keepNext/>
        <w:spacing w:before="200" w:after="80"/>
      </w:pPr>
      <w:r>
        <w:rPr>
          <w:rFonts w:ascii="Calibri" w:hAnsi="Calibri"/>
          <w:b/>
          <w:color w:val="4A5568"/>
          <w:sz w:val="22"/>
        </w:rPr>
        <w:t>3. Melius Research — Ben Reitzes</w:t>
      </w:r>
    </w:p>
    <w:p>
      <w:pPr>
        <w:spacing w:before="40" w:after="80" w:line="276" w:lineRule="auto"/>
      </w:pPr>
      <w:r>
        <w:rPr>
          <w:rFonts w:ascii="Calibri" w:hAnsi="Calibri"/>
          <w:b/>
          <w:color w:val="2D3748"/>
          <w:sz w:val="20"/>
        </w:rPr>
        <w:t xml:space="preserve">• Pregunta 1 (Desbalance Demanda vs. Silicio): </w:t>
      </w:r>
      <w:r>
        <w:rPr>
          <w:rFonts w:ascii="Calibri" w:hAnsi="Calibri"/>
          <w:i w:val="0"/>
          <w:color w:val="2D3748"/>
          <w:sz w:val="20"/>
        </w:rPr>
        <w:t>¿Por qué la cadena no pudo prever el volumen si la industria anticipaba un ciclo fuerte?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crecimiento sostenido del 22% en iPhone y 29% en Mac superó incluso previsiones muy optimistas. Se estuvo adelantando inventario, pero las líneas de nodos de vanguardia alcanzaron su límite físico.</w:t>
      </w:r>
    </w:p>
    <w:p>
      <w:pPr>
        <w:spacing w:before="40" w:after="80" w:line="276" w:lineRule="auto"/>
      </w:pPr>
      <w:r>
        <w:rPr>
          <w:rFonts w:ascii="Calibri" w:hAnsi="Calibri"/>
          <w:b/>
          <w:color w:val="2D3748"/>
          <w:sz w:val="20"/>
        </w:rPr>
        <w:t xml:space="preserve">• Pregunta 2 (Fábrica de TSMC en Arizona y Proveedores Alternativos): </w:t>
      </w:r>
      <w:r>
        <w:rPr>
          <w:rFonts w:ascii="Calibri" w:hAnsi="Calibri"/>
          <w:i w:val="0"/>
          <w:color w:val="2D3748"/>
          <w:sz w:val="20"/>
        </w:rPr>
        <w:t>¿Podría Apple diversificar proveedores de fundición o recurrir más a Arizona para sortear el cuello de botella?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Descartó problemas con socios. Destacó que la planta de TSMC Arizona abastecerá más de 100 millones de componentes para Apple este año dentro de su compromiso de $600B en EE.UU., mostrando un rendimiento excelente.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Descentralización geográfica progresiva de la producción de microprocesadores hacia territorio estadounidense.</w:t>
      </w:r>
    </w:p>
    <w:p>
      <w:pPr>
        <w:keepNext/>
        <w:spacing w:before="200" w:after="80"/>
      </w:pPr>
      <w:r>
        <w:rPr>
          <w:rFonts w:ascii="Calibri" w:hAnsi="Calibri"/>
          <w:b/>
          <w:color w:val="4A5568"/>
          <w:sz w:val="22"/>
        </w:rPr>
        <w:t>4. Morgan Stanley — Erik Woodring</w:t>
      </w:r>
    </w:p>
    <w:p>
      <w:pPr>
        <w:spacing w:before="40" w:after="80" w:line="276" w:lineRule="auto"/>
      </w:pPr>
      <w:r>
        <w:rPr>
          <w:rFonts w:ascii="Calibri" w:hAnsi="Calibri"/>
          <w:b/>
          <w:color w:val="2D3748"/>
          <w:sz w:val="20"/>
        </w:rPr>
        <w:t xml:space="preserve">• Pregunta 1 (Acuerdos de Suministro LTA y Memoria): </w:t>
      </w:r>
      <w:r>
        <w:rPr>
          <w:rFonts w:ascii="Calibri" w:hAnsi="Calibri"/>
          <w:i w:val="0"/>
          <w:color w:val="2D3748"/>
          <w:sz w:val="20"/>
        </w:rPr>
        <w:t>Ante la volatilidad de DRAM, ¿buscará Apple contratos plurianuales de precio cerrado (Long Term Agreements)?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Reiteró que el mercado de memoria está hiperconcentrado en tres fabricantes mundiales. Apple combina inventarios estratégicos de bajo coste (carry-in inventory) con negociaciones continuas, evitando compromisos rígidos desfavorables.</w:t>
      </w:r>
    </w:p>
    <w:p>
      <w:pPr>
        <w:spacing w:before="40" w:after="80" w:line="276" w:lineRule="auto"/>
      </w:pPr>
      <w:r>
        <w:rPr>
          <w:rFonts w:ascii="Calibri" w:hAnsi="Calibri"/>
          <w:b/>
          <w:color w:val="2D3748"/>
          <w:sz w:val="20"/>
        </w:rPr>
        <w:t xml:space="preserve">• Pregunta 2 (Desaceleración de Servicios y Litigios de App Store): </w:t>
      </w:r>
      <w:r>
        <w:rPr>
          <w:rFonts w:ascii="Calibri" w:hAnsi="Calibri"/>
          <w:i w:val="0"/>
          <w:color w:val="2D3748"/>
          <w:sz w:val="20"/>
        </w:rPr>
        <w:t>Servicios creció 12% (por debajo de previsiones) y la guía implícita ronda un dígito. ¿Obedece a vientos regulatorios en App Store o efectos de IA?</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detalló que el impacto cambiario acumulado en Servicios fue de 5 puntos porcentuales, sumado a la comparativa dura frente a la recaudación de la película F1 en cines el trimestre anterior; Cloud y Apple Pay marcaron récords absolutos.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desaceleración de Servicios es coyuntural por divisa y calendario; la base recurrente de suscripciones sigue intacta.</w:t>
      </w:r>
    </w:p>
    <w:p>
      <w:pPr>
        <w:keepNext/>
        <w:spacing w:before="200" w:after="80"/>
      </w:pPr>
      <w:r>
        <w:rPr>
          <w:rFonts w:ascii="Calibri" w:hAnsi="Calibri"/>
          <w:b/>
          <w:color w:val="4A5568"/>
          <w:sz w:val="22"/>
        </w:rPr>
        <w:t>5. Wells Fargo — Aaron Rakers</w:t>
      </w:r>
    </w:p>
    <w:p>
      <w:pPr>
        <w:spacing w:before="40" w:after="80" w:line="276" w:lineRule="auto"/>
      </w:pPr>
      <w:r>
        <w:rPr>
          <w:rFonts w:ascii="Calibri" w:hAnsi="Calibri"/>
          <w:b/>
          <w:color w:val="2D3748"/>
          <w:sz w:val="20"/>
        </w:rPr>
        <w:t xml:space="preserve">• Pregunta 1 (Adelanto Artificial de Demanda): </w:t>
      </w:r>
      <w:r>
        <w:rPr>
          <w:rFonts w:ascii="Calibri" w:hAnsi="Calibri"/>
          <w:i w:val="0"/>
          <w:color w:val="2D3748"/>
          <w:sz w:val="20"/>
        </w:rPr>
        <w:t>¿Hubo compras anticipadas por miedo a futuras subidas de precios o aranceles en consumo o educación?</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Negó compras anticipadas artificiales. El impulso en educación y empresas se debe a que el MacBook Neo desplazó directamente dispositivos Windows y Chromebooks en más del 50% de las licitaciones.</w:t>
      </w:r>
    </w:p>
    <w:p>
      <w:pPr>
        <w:spacing w:before="40" w:after="80" w:line="276" w:lineRule="auto"/>
      </w:pPr>
      <w:r>
        <w:rPr>
          <w:rFonts w:ascii="Calibri" w:hAnsi="Calibri"/>
          <w:b/>
          <w:color w:val="2D3748"/>
          <w:sz w:val="20"/>
        </w:rPr>
        <w:t xml:space="preserve">• Pregunta 2 (Proliferación de IA en el Edge y Nuevo Mercado Potencial - TAM): </w:t>
      </w:r>
      <w:r>
        <w:rPr>
          <w:rFonts w:ascii="Calibri" w:hAnsi="Calibri"/>
          <w:i w:val="0"/>
          <w:color w:val="2D3748"/>
          <w:sz w:val="20"/>
        </w:rPr>
        <w:t>¿Abre la IA en el dispositivo nuevas categorías de productos para Apple a largo plazo?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la ejecución de IA local en terminales amplía exponencialmente las oportunidades de mercado y posiciona al hardware de Apple como el nodo neurálgico para usuarios y empresas.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Demanda orgánica sólida con viento de cola secular en el segmento corporativo y educativo.</w:t>
      </w:r>
    </w:p>
    <w:p>
      <w:pPr>
        <w:keepNext/>
        <w:spacing w:before="200" w:after="80"/>
      </w:pPr>
      <w:r>
        <w:rPr>
          <w:rFonts w:ascii="Calibri" w:hAnsi="Calibri"/>
          <w:b/>
          <w:color w:val="4A5568"/>
          <w:sz w:val="22"/>
        </w:rPr>
        <w:t>6. Bank of America — Wamsi Mohan</w:t>
      </w:r>
    </w:p>
    <w:p>
      <w:pPr>
        <w:spacing w:before="40" w:after="80" w:line="276" w:lineRule="auto"/>
      </w:pPr>
      <w:r>
        <w:rPr>
          <w:rFonts w:ascii="Calibri" w:hAnsi="Calibri"/>
          <w:b/>
          <w:color w:val="2D3748"/>
          <w:sz w:val="20"/>
        </w:rPr>
        <w:t xml:space="preserve">• Pregunta 1 (Intensidad de Capital y CapEx por Siri AI): </w:t>
      </w:r>
      <w:r>
        <w:rPr>
          <w:rFonts w:ascii="Calibri" w:hAnsi="Calibri"/>
          <w:i w:val="0"/>
          <w:color w:val="2D3748"/>
          <w:sz w:val="20"/>
        </w:rPr>
        <w:t>Con procesamiento distribuido entre el dispositivo y centros de datos propios y de terceros, ¿aumentará la intensidad de capital (CapEx) de Apple en el futuro?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Apple opera un modelo híbrido eficiente. Aunque el gasto en I+D ha crecido significativamente, la mayor parte de las consultas corren localmente. Además, el uso intensivo de IA impulsa a los usuarios a contratar planes superiores de iCloud, generando ingresos compensatorios.</w:t>
      </w:r>
    </w:p>
    <w:p>
      <w:pPr>
        <w:spacing w:before="40" w:after="80" w:line="276" w:lineRule="auto"/>
      </w:pPr>
      <w:r>
        <w:rPr>
          <w:rFonts w:ascii="Calibri" w:hAnsi="Calibri"/>
          <w:b/>
          <w:color w:val="2D3748"/>
          <w:sz w:val="20"/>
        </w:rPr>
        <w:t xml:space="preserve">• Pregunta 2 (Pregunta Directa a John Ternus sobre Competencia de OpenAI y SpaceX): </w:t>
      </w:r>
      <w:r>
        <w:rPr>
          <w:rFonts w:ascii="Calibri" w:hAnsi="Calibri"/>
          <w:i w:val="0"/>
          <w:color w:val="2D3748"/>
          <w:sz w:val="20"/>
        </w:rPr>
        <w:t>¿Cómo ve la cúpula directiva el riesgo de que firmas como OpenAI diseñen dispositivos de IA propios o que SpaceX cree teléfonos satelitales que eludan a las operadoras?</w:t>
      </w:r>
    </w:p>
    <w:p>
      <w:pPr>
        <w:spacing w:before="40" w:after="80" w:line="276" w:lineRule="auto"/>
      </w:pPr>
      <w:r>
        <w:rPr>
          <w:rFonts w:ascii="Calibri" w:hAnsi="Calibri"/>
          <w:b/>
          <w:color w:val="2D3748"/>
          <w:sz w:val="20"/>
        </w:rPr>
        <w:t xml:space="preserve">• Respuesta (John Ternus, Incoming CEO): </w:t>
      </w:r>
      <w:r>
        <w:rPr>
          <w:rFonts w:ascii="Calibri" w:hAnsi="Calibri"/>
          <w:i w:val="0"/>
          <w:color w:val="2D3748"/>
          <w:sz w:val="20"/>
        </w:rPr>
        <w:t>"Vemos una oportunidad inmensa con todo lo que está sucediendo en este espacio. Estamos profundamente enfocados en nuestros planes de integración de hardware y software y muy entusiasmados con lo que viene."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respuesta del nuevo CEO ratifica que Apple no teme a los nuevos entrantes gracias a la inexpugnable barrera de entrada de su ecosistema de 2,500M de terminales.</w:t>
      </w:r>
    </w:p>
    <w:p>
      <w:pPr>
        <w:keepNext/>
        <w:spacing w:before="200" w:after="80"/>
      </w:pPr>
      <w:r>
        <w:rPr>
          <w:rFonts w:ascii="Calibri" w:hAnsi="Calibri"/>
          <w:b/>
          <w:color w:val="4A5568"/>
          <w:sz w:val="22"/>
        </w:rPr>
        <w:t>7. JPMorgan — Samik Chatterjee</w:t>
      </w:r>
    </w:p>
    <w:p>
      <w:pPr>
        <w:spacing w:before="40" w:after="80" w:line="276" w:lineRule="auto"/>
      </w:pPr>
      <w:r>
        <w:rPr>
          <w:rFonts w:ascii="Calibri" w:hAnsi="Calibri"/>
          <w:b/>
          <w:color w:val="2D3748"/>
          <w:sz w:val="20"/>
        </w:rPr>
        <w:t xml:space="preserve">• Pregunta 1 (Obstáculos Regulatorios para Siri AI en Europa y China): </w:t>
      </w:r>
      <w:r>
        <w:rPr>
          <w:rFonts w:ascii="Calibri" w:hAnsi="Calibri"/>
          <w:i w:val="0"/>
          <w:color w:val="2D3748"/>
          <w:sz w:val="20"/>
        </w:rPr>
        <w:t>¿Qué barreras concretas impiden el lanzamiento simultáneo en la UE y cuándo llegará a China?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En la Unión Europea, la Ley de Mercados Digitales (DMA) impone restricciones sobre el iPhone y el iPad, aunque Siri AI sí se ofrecerá en Mac (no regulado bajo las mismas normas). En China, se obtuvo aprobación para funciones base de Apple Intelligence y se negocian los permisos para Siri AI.</w:t>
      </w:r>
    </w:p>
    <w:p>
      <w:pPr>
        <w:spacing w:before="40" w:after="80" w:line="276" w:lineRule="auto"/>
      </w:pPr>
      <w:r>
        <w:rPr>
          <w:rFonts w:ascii="Calibri" w:hAnsi="Calibri"/>
          <w:b/>
          <w:color w:val="2D3748"/>
          <w:sz w:val="20"/>
        </w:rPr>
        <w:t xml:space="preserve">• Pregunta 2 (Deconstrucción del Margen Bruto y Peso de la Memoria DRAM): </w:t>
      </w:r>
      <w:r>
        <w:rPr>
          <w:rFonts w:ascii="Calibri" w:hAnsi="Calibri"/>
          <w:i w:val="0"/>
          <w:color w:val="2D3748"/>
          <w:sz w:val="20"/>
        </w:rPr>
        <w:t>El margen bruto ajustado pasa de 49.3% en marzo a 48.1% en junio y a una guía de 46.5% en septiembre. ¿Cuánto responde a divisas y cuánto a materias primas?</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reveló con total precisión que más del 100% de la contracción de 120 bps en junio y de 160 bps proyectada para septiembre se explica únicamente por el encarecimiento de la memoria DRAM, el cual fue parcialmente atenuado por inventarios previos y menores costes en otros componentes.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Revelación crítica: el margen bruto de Apple se mantiene en niveles récord a pesar de absorber el peor ciclo inflacionario de memoria de la última década.</w:t>
      </w:r>
    </w:p>
    <w:p>
      <w:pPr>
        <w:keepNext/>
        <w:spacing w:before="200" w:after="80"/>
      </w:pPr>
      <w:r>
        <w:rPr>
          <w:rFonts w:ascii="Calibri" w:hAnsi="Calibri"/>
          <w:b/>
          <w:color w:val="4A5568"/>
          <w:sz w:val="22"/>
        </w:rPr>
        <w:t>BLOQUE B: Análisis Longitudinal y Auditoría de Discurso Directivo (Q3 FY25 a Q3 FY26)</w:t>
      </w:r>
    </w:p>
    <w:p>
      <w:pPr>
        <w:spacing w:before="40" w:after="80" w:line="276" w:lineRule="auto"/>
      </w:pPr>
      <w:r>
        <w:rPr>
          <w:rFonts w:ascii="Calibri" w:hAnsi="Calibri"/>
          <w:i w:val="0"/>
          <w:color w:val="2D3748"/>
          <w:sz w:val="20"/>
        </w:rPr>
        <w:t>A partir del análisis de las transcripciones de cinco trimestres consecutivos disponibles en Google Drive, se audita el Say-Do Ratio (tasa de cumplimiento de promesas) y la consistencia estratégica del equipo gestor: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doble dígito en Servicios y estabilización en China; preparación para Apple Intelligence.</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comparativa dura en iPad.</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$94.0B (+10%); Servicios creció al 15% y sentó las bases del nuevo ciclo.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Proyectaron que el iPhone 17 abriría un nuevo estándar y anunciaron récord en base instalada.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cambiaria (FX) y presión regulatoria europea (DMA).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récord de $102.5B (+8%); Servicios alcanzó $28.8B y margen bruto subió a 46.5%.</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(En línea)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el mejor trimestre de la historia impulsado por temporada navideña y chips M5.</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inventarios insuficientes y tiempos de espera en tiendas.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$143.8B (+16% YoY), pulverizando previsiones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de Tim Cook a John Ternus; proyectaron resiliencia de margen en ~47%.</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Primera alerta seria: encarecimiento de DRAM y tensiones en TSMC.</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margen bruto superó la guía gracias a créditos arancelarios.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Récord de junio con $109.4B (+16.4%) y margen de 50.1%; guidance prudente de 9%-11% para Q4.</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Alerta máxima por cuellos de botella en silicio avanzado e inflación de memorias DRAM.</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En curso: cartera de pedidos supera la capacidad productiva de los proveedores.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OBSERVACIÓN (Riesgo TSMC/DRAM)</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Demanda en China y Macroeconomía: Dudas de Wall Street sobre pérdida de cuota ante rivales locales.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exitosamente: Para Q3 FY26, Gran China rebotó con un crecimiento interanual del +22.4%.</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DMA en Europa: Restricciones antimonopolio que amenazaban el modelo de la App Store.</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Adaptación operativa: Apple segmentó distribución de software en la UE; margen global absorbido por EE.UU.</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Riesgo Logístico Navideño: Despachar $143.8B en hardware en un trimestre récord sin rotura de stock.</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Ejecución impecable: Mejor trimestre histórico con entregas a tiempo y mínima fricción en retail.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C-Suite y Costes de DRAM: Salida de Tim Cook y primeros indicios de subida de precios en RAM.</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Relevo comunicado sin sobresaltos. Costes mitigados por inventarios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e Inflación de DRAM: TSMC al límite en nodos avanzados y DRAM exponencial.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Subidas selectivas de precios y advertencia de oferta de hardware restringida en Q4 FY26.</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incertidumbre de demanda a la crisis de exceso de demanda: </w:t>
      </w:r>
      <w:r>
        <w:rPr>
          <w:rFonts w:ascii="Calibri" w:hAnsi="Calibri"/>
          <w:i w:val="0"/>
          <w:color w:val="2D3748"/>
          <w:sz w:val="20"/>
        </w:rPr>
        <w:t>En 2025 el mercado dudaba si los clientes renovarían sus dispositivos. En 2026, la demanda fue tan masiva que el problema se transformó en la imposibilidad física de fabricar suficientes microchips para abastecer los pedidos.</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 que los precios de memoria se dispararon ('crecida de 100 años'), el margen bruto consolidado alcanzó el 50.1%, demostrando que la empresa puede trasladar aumentos de costes sin sacrificar volumen ni cuota de mercado.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El equipo directivo ha demostrado un patrón sistemático de fijar guías prudentes para luego superarlas (Under-promise and Over-deliver) en 4 de los últimos 5 trimestres.</w:t>
            </w:r>
          </w:p>
          <w:p>
            <w:pPr>
              <w:spacing w:before="40" w:after="40" w:line="276" w:lineRule="auto"/>
            </w:pPr>
            <w:r>
              <w:rPr>
                <w:rFonts w:ascii="Calibri" w:hAnsi="Calibri"/>
                <w:color w:val="2D3748"/>
                <w:sz w:val="19"/>
              </w:rPr>
              <w:t>• Transparencia en Riesgos: Los directivos alertaron proactivamente sobre el impacto cambiario y los costes de DRAM con dos trimestres de anticipación antes de que golpearan los estados contables.</w:t>
            </w:r>
          </w:p>
          <w:p>
            <w:pPr>
              <w:spacing w:before="40" w:after="40" w:line="276" w:lineRule="auto"/>
            </w:pPr>
            <w:r>
              <w:rPr>
                <w:rFonts w:ascii="Calibri" w:hAnsi="Calibri"/>
                <w:color w:val="2D3748"/>
                <w:sz w:val="19"/>
              </w:rPr>
              <w:t>• Transición Ordenada: La designación de John Ternus asegura la continuidad técnica y aleja el riesgo de desviaciones estratégicas o aventuras destructoras de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financiera de Apple Inc. se mantiene en una posición de solidez incuestionable, operando prácticamente como un 'banco de inversión de alta calificación' dentro del sector tecnológico global. La directiva combina una política de apalancamiento conservadora con un programa agresivo de retorno de capital hacia los accionistas, enmarcado dentro de su objetivo formal de alcanzar una posición de Caja Neta Neutral (Net Cash Neutral).</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FY26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$39,544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$31,850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+24.2%</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operativa de disponibilidad inmediata para pagos y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$22,855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$27,410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Letras del tesoro y pagarés corporativos AAA con vencimiento &lt; 12 meses.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Valores Negociables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$84,118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$93,950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-10.5%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Cartera de bonos soberanos y corporativos líquidos de alto rendimiento.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$146,517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$153,210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-4.4%</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Enorme 'caja de guerra' (war chest) que blinda a la empresa ante cualquier crisis.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Papel Comercial (Commercial Paper)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$1,997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$3,980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-49.8%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Financiación circulante de bajísimo coste para sincronizar pagos de corto plazo.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$11,007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$9,850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+11.7%</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Vencimientos corrientes de bonos que serán refinanciados o amortizados en el año.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$71,340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$86,450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-17.5%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Bonos sénior no garantizados emitidos a tipos fijos históricamente bajos (2.5% - 3.5%).</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$84,344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$100,280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Reducción activa del pasivo financiero total (-$15,936 M amortizados YoY).</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POSICIÓN NETA DE CAJA (NET CASH)</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+$62,173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+$52,930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+$9,243 M</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Posición de acreedor neto: la liquidez total supera a toda la deuda en más de $62B.</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Apple mantiene $84,344 M en deuda emitida a tipos de interés fijos muy reducidos (promedio ~3.0%), mientras que su liquidez de $146,517 M está colocada en bonos del tesoro con rentabilidades superiores al 4.5%, lo que genera ingresos financieros netos positivos (OIE positivo de ~$350 M por trimestre).</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Apple mantiene el programa de asignación de capital más masivo de la historia corporativa moderna, utilizando su Flujo de Caja Libre para recomprar sus propias acciones y distribuir dividendos crecientes: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Trimestre Q3 FY26</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 9M FY26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$25,800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$62,094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acelerado de títulos en el mercado abierto bajo el plan autorizado.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$4,000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$11,778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$0.27 por acción declarado en Q3 (payout sostenible de ~13% del FCF).</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$33,000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$73,872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104.7% del FCF del trimestre ($31,500 M) se devolvió íntegramente al accionista.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en Circulación (Diluted Float)</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15,266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15,499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-233.5 Millones de acciones retiradas en los últimos 12 meses (-1.51%).</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+28.7%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+27.1%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reducción neta de acciones acelera el crecimiento del EPS en +160 bps adicionales.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$25,800 M destinados a recompras, la compensación en acciones a empleados (Stock-Based Compensation) sumó $3,100 M en el trimestre. Por lo tanto, el 88% de la recompra es creación neta de valor real, reduciendo efectivamente el número de acciones en circulación y aumentando la participación patrimonial de cada accionista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Acuerdo Plurianual con Broadcom</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Alianza Industrial Estratégica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&gt; $30,000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Co-desarrollo y suministro garantizado de módulos de radiofrecuencia (FBAR) y conectividad 5G/Wi-Fi en EE.UU., acelerando la integración del módem propietario.</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Advanced Manufacturing Center (Houston)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en CapEx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Planta Industrial Propia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Mitigación del riesgo geopolítico y arancelario mediante relocalización productiva (onshoring), asegurando líneas de ensamblaje automatizado y servidores de IA.</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Adquisiciones 'Bolt-on' de 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M&amp;A Tecnológico (Startups IA)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~$50M - $200M c/u</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Compra de equipos y patentes de compresión de modelos de lenguaje (LLM pruning/quantization) para optimizar la ejecución de IA local en NPUs con bajo consumo.</w:t>
            </w:r>
          </w:p>
        </w:tc>
      </w:tr>
    </w:tbl>
    <w:p>
      <w:pPr>
        <w:spacing w:after="120"/>
      </w:pPr>
    </w:p>
    <w:p>
      <w:pPr>
        <w:keepNext/>
        <w:spacing w:before="200" w:after="80"/>
      </w:pPr>
      <w:r>
        <w:rPr>
          <w:rFonts w:ascii="Calibri" w:hAnsi="Calibri"/>
          <w:b/>
          <w:color w:val="4A5568"/>
          <w:sz w:val="22"/>
        </w:rPr>
        <w:t>6.4. CapEx de Vanguardia y Avances Revolucionarios en Hardware y Silicio</w:t>
      </w:r>
    </w:p>
    <w:p>
      <w:pPr>
        <w:spacing w:before="40" w:after="80" w:line="276" w:lineRule="auto"/>
      </w:pPr>
      <w:r>
        <w:rPr>
          <w:rFonts w:ascii="Calibri" w:hAnsi="Calibri"/>
          <w:i w:val="0"/>
          <w:color w:val="2D3748"/>
          <w:sz w:val="20"/>
        </w:rPr>
        <w:t>El gasto de capital (CapEx) trimestral de $2,900 M ($6,800 M acumulado en 9 meses) se enfoca en activos críticos de ingeniería y maquinaria de litografía avanzada:</w:t>
      </w:r>
    </w:p>
    <w:p>
      <w:pPr>
        <w:spacing w:before="40" w:after="80" w:line="276" w:lineRule="auto"/>
      </w:pPr>
      <w:r>
        <w:rPr>
          <w:rFonts w:ascii="Calibri" w:hAnsi="Calibri"/>
          <w:b/>
          <w:color w:val="2D3748"/>
          <w:sz w:val="20"/>
        </w:rPr>
        <w:t xml:space="preserve">• Salto a la Litografía de 2 Nanómetros (2nm): </w:t>
      </w:r>
      <w:r>
        <w:rPr>
          <w:rFonts w:ascii="Calibri" w:hAnsi="Calibri"/>
          <w:i w:val="0"/>
          <w:color w:val="2D3748"/>
          <w:sz w:val="20"/>
        </w:rPr>
        <w:t>En colaboración exclusiva con TSMC, Apple asegura la primera hornada de producción en masa en 2nm para sus procesadores propietarios A19 / A19 Pro (familia iPhone 17) y M5 (línea Mac), garantizando una ventaja competitiva de más de 18 meses frente a competidores de Android y PC x86 en eficiencia energética y densidad de transistores.</w:t>
      </w:r>
    </w:p>
    <w:p>
      <w:pPr>
        <w:spacing w:before="40" w:after="80" w:line="276" w:lineRule="auto"/>
      </w:pPr>
      <w:r>
        <w:rPr>
          <w:rFonts w:ascii="Calibri" w:hAnsi="Calibri"/>
          <w:b/>
          <w:color w:val="2D3748"/>
          <w:sz w:val="20"/>
        </w:rPr>
        <w:t xml:space="preserve">• Inferencia Neural en el Dispositivo (On-Device NPU): </w:t>
      </w:r>
      <w:r>
        <w:rPr>
          <w:rFonts w:ascii="Calibri" w:hAnsi="Calibri"/>
          <w:i w:val="0"/>
          <w:color w:val="2D3748"/>
          <w:sz w:val="20"/>
        </w:rPr>
        <w:t>La arquitectura de silicio propietario ejecuta modelos multimodales localmente en memoria unificada, eliminando los costes de tokens y latencia de servidores cloud.</w:t>
      </w:r>
    </w:p>
    <w:p>
      <w:pPr>
        <w:spacing w:before="40" w:after="80" w:line="276" w:lineRule="auto"/>
      </w:pPr>
      <w:r>
        <w:rPr>
          <w:rFonts w:ascii="Calibri" w:hAnsi="Calibri"/>
          <w:b/>
          <w:color w:val="2D3748"/>
          <w:sz w:val="20"/>
        </w:rPr>
        <w:t xml:space="preserve">• Nuevos Factores de Forma Disruptivos: </w:t>
      </w:r>
      <w:r>
        <w:rPr>
          <w:rFonts w:ascii="Calibri" w:hAnsi="Calibri"/>
          <w:i w:val="0"/>
          <w:color w:val="2D3748"/>
          <w:sz w:val="20"/>
        </w:rPr>
        <w:t>Desarrollo del nuevo MacBook Neo (diseñado para ganar cuota en el segmento educativo/corporativo desplazando a Chromebooks y Windows) y el factor de forma ultradelgado iPhone Air.</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Un análisis fundamental riguroso exige determinar si los extraordinarios márgenes de una compañía están protegidos por barreras de entrada duraderas o si corren el riesgo de ser erosionados por la competencia. Apple Inc. ostenta uno de los fosos defensivos más formidables del capitalismo moderno (Wide Moat / Foso Defensivo Amplio), cimentado en la integración simbiótica entre hardware propietario, sistemas operativos exclusivos y una plataforma de servicios cautiva.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(Switching Costs)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CRÍTICA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retención del usuario en iOS supera el 98%. Abandonar el ecosistema implica perder sincronización con Watch, Mac, contraseñas, iCloud y compras de apps, generando una fricción prohibitiva.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Los clientes no se van por diferencias marginales de precio; la base instalada cautiva actúa como una anualidad.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Marca sinónimo de estatus, fiabilidad y privacidad. Otorga un poder de fijación de precios (pricing power) casi inelástico que le permite sostener un margen bruto superior al 50%.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demostrada de aumentar los Precios Medios de Venta (ASP) de hardware sin sacrificar cuota.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Efectos de Red (Network Effects)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Con &gt;2,500M de dispositivos activos, la App Store atrae preferentemente a los mejores desarrolladores. La optimización para Metal e iOS crea una experiencia superior que retroalimenta el flywheel.</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insalvable para sistemas operativos rivales; imposible replicar un catálogo optimizado a esta escala.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Ventajas de Coste y Silicio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El diseño propio de chips (Apple Silicon) ahorra miles de millones al eliminar márgenes de terceros. Además, la inferencia local en A19/M5 reduce a cero el coste marginal por consulta.</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Asimetría: Apple gana dinero vendiendo hardware con IA, mientras sus rivales consumen margen pagando centros de datos.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Eficiente y Distribución</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Red de &gt;525 tiendas Apple Store en ubicaciones prime globales de máxima facturación/m2, sumada a una relación preferente de volumen exclusivo con TSMC para nodos avanzados (2nm).</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Monopolio de capacidad en litografía extrema que deja a los rivales esperando hasta 18 meses para acceder a tecnología equivalente.</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Estrategia de IA: Inferencia en Dispositivo (On-Device) vs. Costes en la Nube</w:t>
      </w:r>
    </w:p>
    <w:p>
      <w:pPr>
        <w:spacing w:before="40" w:after="80" w:line="276" w:lineRule="auto"/>
      </w:pPr>
      <w:r>
        <w:rPr>
          <w:rFonts w:ascii="Calibri" w:hAnsi="Calibri"/>
          <w:b/>
          <w:color w:val="2D3748"/>
          <w:sz w:val="20"/>
        </w:rPr>
        <w:t xml:space="preserve">• Asimetría del Coste Marginal por Petición: </w:t>
      </w:r>
      <w:r>
        <w:rPr>
          <w:rFonts w:ascii="Calibri" w:hAnsi="Calibri"/>
          <w:i w:val="0"/>
          <w:color w:val="2D3748"/>
          <w:sz w:val="20"/>
        </w:rPr>
        <w:t>Mientras gigantes como Microsoft, Google o Meta incurren en enormes gastos operativos en centros de datos para procesar cada consulta en servidores GPU centralizados, Apple delega más del 80% de las tareas de IA directamente a los motores neuronales (NPU) de los procesadores A19 y M5 de sus dispositivos. El coste computacional marginal para Apple es de $0.00 por token.</w:t>
      </w:r>
    </w:p>
    <w:p>
      <w:pPr>
        <w:spacing w:before="40" w:after="80" w:line="276" w:lineRule="auto"/>
      </w:pPr>
      <w:r>
        <w:rPr>
          <w:rFonts w:ascii="Calibri" w:hAnsi="Calibri"/>
          <w:b/>
          <w:color w:val="2D3748"/>
          <w:sz w:val="20"/>
        </w:rPr>
        <w:t xml:space="preserve">• La Privacidad como Activo Estratégico (Private Cloud Compute): </w:t>
      </w:r>
      <w:r>
        <w:rPr>
          <w:rFonts w:ascii="Calibri" w:hAnsi="Calibri"/>
          <w:i w:val="0"/>
          <w:color w:val="2D3748"/>
          <w:sz w:val="20"/>
        </w:rPr>
        <w:t>Para consultas complejas que superan la capacidad local, Apple utiliza servidores propios equipados con Apple Silicon bajo un protocolo criptográfico inviolable. Ningún dato del usuario se almacena ni se indexa, convirtiendo la privacidad en un argumento de venta comercial inaccesible para empresas basadas en la venta de publicidad.</w:t>
      </w:r>
    </w:p>
    <w:p>
      <w:pPr>
        <w:spacing w:before="40" w:after="80" w:line="276" w:lineRule="auto"/>
      </w:pPr>
      <w:r>
        <w:rPr>
          <w:rFonts w:ascii="Calibri" w:hAnsi="Calibri"/>
          <w:b/>
          <w:color w:val="2D3748"/>
          <w:sz w:val="20"/>
        </w:rPr>
        <w:t xml:space="preserve">• Ahorro Operativo para Clientes Corporativos: </w:t>
      </w:r>
      <w:r>
        <w:rPr>
          <w:rFonts w:ascii="Calibri" w:hAnsi="Calibri"/>
          <w:i w:val="0"/>
          <w:color w:val="2D3748"/>
          <w:sz w:val="20"/>
        </w:rPr>
        <w:t>Grandes corporaciones (como Disney y Crédit Agricole) han comenzado a migrar flujos de trabajo de análisis de datos a ordenadores Mac con chips M-series para eliminar las suscripciones y peajes recurrentes de IA en la nube.</w:t>
      </w:r>
    </w:p>
    <w:p>
      <w:pPr>
        <w:keepNext/>
        <w:spacing w:before="200" w:after="80"/>
      </w:pPr>
      <w:r>
        <w:rPr>
          <w:rFonts w:ascii="Calibri" w:hAnsi="Calibri"/>
          <w:b/>
          <w:color w:val="4A5568"/>
          <w:sz w:val="22"/>
        </w:rPr>
        <w:t>7.3. Modelo de Monetización de la Innovación: El Acelerador del Ciclo de Reemplazo</w:t>
      </w:r>
    </w:p>
    <w:p>
      <w:pPr>
        <w:spacing w:before="40" w:after="80" w:line="276" w:lineRule="auto"/>
      </w:pPr>
      <w:r>
        <w:rPr>
          <w:rFonts w:ascii="Calibri" w:hAnsi="Calibri"/>
          <w:b/>
          <w:color w:val="2D3748"/>
          <w:sz w:val="20"/>
        </w:rPr>
        <w:t xml:space="preserve">1. Tracción de Hardware Premium: </w:t>
      </w:r>
      <w:r>
        <w:rPr>
          <w:rFonts w:ascii="Calibri" w:hAnsi="Calibri"/>
          <w:i w:val="0"/>
          <w:color w:val="2D3748"/>
          <w:sz w:val="20"/>
        </w:rPr>
        <w:t>Las funcionalidades avanzadas de IA exigen un mínimo de memoria unificada y potencia de NPU, volviendo obsoletos a terminales antiguos e impulsando el superciclo de renovación hacia gamas Pro y Pro Max de mayor margen.</w:t>
      </w:r>
    </w:p>
    <w:p>
      <w:pPr>
        <w:spacing w:before="40" w:after="80" w:line="276" w:lineRule="auto"/>
      </w:pPr>
      <w:r>
        <w:rPr>
          <w:rFonts w:ascii="Calibri" w:hAnsi="Calibri"/>
          <w:b/>
          <w:color w:val="2D3748"/>
          <w:sz w:val="20"/>
        </w:rPr>
        <w:t xml:space="preserve">2. Peaje en Servicios de Terceros: </w:t>
      </w:r>
      <w:r>
        <w:rPr>
          <w:rFonts w:ascii="Calibri" w:hAnsi="Calibri"/>
          <w:i w:val="0"/>
          <w:color w:val="2D3748"/>
          <w:sz w:val="20"/>
        </w:rPr>
        <w:t>Al integrar modelos fundacionales externos (como ChatGPT o Gemini) dentro de Siri y del sistema operativo, Apple actúa como el guardián de acceso (gatekeeper), cobrando comisiones por compras integradas y suscripciones intermediadas sin asumir el riesgo ni el coste de infraestructura.</w:t>
      </w:r>
    </w:p>
    <w:p>
      <w:pPr>
        <w:keepNext/>
        <w:spacing w:before="200" w:after="80"/>
      </w:pPr>
      <w:r>
        <w:rPr>
          <w:rFonts w:ascii="Calibri" w:hAnsi="Calibri"/>
          <w:b/>
          <w:color w:val="4A5568"/>
          <w:sz w:val="22"/>
        </w:rPr>
        <w:t>7.4. Intensidad de I+D y Productividad de la Innovación</w:t>
      </w:r>
    </w:p>
    <w:p>
      <w:pPr>
        <w:spacing w:before="40" w:after="80" w:line="276" w:lineRule="auto"/>
      </w:pPr>
      <w:r>
        <w:rPr>
          <w:rFonts w:ascii="Calibri" w:hAnsi="Calibri"/>
          <w:b/>
          <w:color w:val="2D3748"/>
          <w:sz w:val="20"/>
        </w:rPr>
        <w:t xml:space="preserve">• Enfoque en Silicio Propietario e Infraestructura: </w:t>
      </w:r>
      <w:r>
        <w:rPr>
          <w:rFonts w:ascii="Calibri" w:hAnsi="Calibri"/>
          <w:i w:val="0"/>
          <w:color w:val="2D3748"/>
          <w:sz w:val="20"/>
        </w:rPr>
        <w:t>El incremento del gasto en I+D no responde a experimentos dispersos, sino a la internalización de componentes clave: el módem de conectividad propio (C1), la arquitectura de litografía en 2nm con TSMC y la optimización de pesos neuronales.</w:t>
      </w:r>
    </w:p>
    <w:p>
      <w:pPr>
        <w:spacing w:before="40" w:after="80" w:line="276" w:lineRule="auto"/>
      </w:pPr>
      <w:r>
        <w:rPr>
          <w:rFonts w:ascii="Calibri" w:hAnsi="Calibri"/>
          <w:b/>
          <w:color w:val="2D3748"/>
          <w:sz w:val="20"/>
        </w:rPr>
        <w:t xml:space="preserve">• Retorno del Capital Invertido en Innovación: </w:t>
      </w:r>
      <w:r>
        <w:rPr>
          <w:rFonts w:ascii="Calibri" w:hAnsi="Calibri"/>
          <w:i w:val="0"/>
          <w:color w:val="2D3748"/>
          <w:sz w:val="20"/>
        </w:rPr>
        <w:t>A diferencia de proyectos especulativos de la industria, cada dólar invertido por Apple en I+D ($8,700 M en Q3 FY26, +32.3% YoY, 8.0% de las ventas) se traduce en patentes aplicadas a productos de consumo masivo con márgenes operativos del 32.6%.</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2026-09-01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el C-Suite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Formalización de la renuncia de Tim Cook como CEO y designación oficial de John Ternus.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técnica ordenada sin vacíos de poder; foco en silicio.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2026-07-30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formal de cifras oficiales auditadas correspondientes al trimestre Q3 FY26.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financiero ante los mercados.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Acuerdos de Compensación Ejecutiva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Actualización de paquetes de incentivos en acciones restringidas (RSUs) para directores.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ALINEACIÓN: Remuneración ligada a métricas operativas y de retorno de largo plazo.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Sin registros. PricewaterhouseCoopers (PwC) continúa como auditor principal sin discrepancias.</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disputas sobre criterios contables.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2.04</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Eventos de Insolvencia o Impago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Ninguna aceleración de vencimientos ni cláusulas de penalización de deuda.</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RIESGO CREDITICIO NULO: Solvencia intacta con posición de caja neta de +$62.2B.</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Timothy D. Cook</w:t>
              <w:br/>
              <w:t>(Chief Executive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-194,912</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-$49,887,921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Liquidado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programada con 9 meses de antelación; diversificación en su salida.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John Ternus</w:t>
              <w:br/>
              <w:t>(CEO Entrante)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Cero Ventas (Retención Total)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Sin avisos 144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íntegra tras su designación como CEO.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Arthur D. Levinson</w:t>
              <w:br/>
              <w:t>(Presidente del Consejo)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Discrecional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-300,000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-$86,740,722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Toma de beneficios voluntaria en máximos históricos. No utilizó plan 10b5-1.</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Deirdre O'Brien</w:t>
              <w:br/>
              <w:t>(Senior Vice President)</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-73,015</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-$18,731,954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100% ciega y programada; ejecución rutinaria de opciones sobre acciones.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Katherine L. Adams</w:t>
              <w:br/>
              <w:t>(SVP &amp; General Counsel)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Mixta / 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-47,125</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-$12,101,154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Desinversión parcial tras vencimiento de RSUs y cobertura fiscal.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Jennifer Newstead</w:t>
              <w:br/>
              <w:t>(SVP Government Affairs)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-7,194</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-$2,245,142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(Ago)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menor rutinaria y programada bajo plan preestablecido.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Kevan Parekh</w:t>
              <w:br/>
              <w:t>(Senior VP &amp; CFO)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-5,733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-$1,460,637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menor de diversificación personal del nuevo director financiero.</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El equipo operativo directo (CEO, CFO y Vicepresidentes Sénior) opera con una disciplina institucional del 100% bajo planes preprogramados Rule 10b5-1, descartando cualquier arbitraje con información no pública. La única presión vendedora discrecional provino del Presidente del Consejo (Arthur Levinson), con $86.7M en toma de beneficios de acciones acumuladas históricamente.</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contables limpios, sucesión ordenada y alta transparencia informativa.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(PwC)</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Más de 20 años de continuidad</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mitiga el riesgo de choque cultural o giros estratégicos erráticos.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Prácticas impecables de cumplimiento normativo frente a acusaciones de insider trading.</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en mega-caps donde la remuneración directiva se realiza vía incentivos en acciones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9 / 9 Puntos | SALUD EXCEPCIONAL</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Apple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9 / 9 Puntos en LTM (SALUD EXCEPCIONAL) (8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9/9 sitúa a Apple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($146,724.0M en LTM) respalda con holgura al beneficio neto contable ($128,930.0M),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21.5% vs 25.2% (-3.76%)).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14,723M vs 14,948M (-225M)).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48.7% vs 46.9% (+1.75%)) como la productividad de sus activos instalados (Rot 1.26x vs 1.15x (+0.11x)).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34.73%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$146,724.0M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 vs 30.9% (+3.80%)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21.5% vs 25.2% (-3.76%)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1.00x vs 0.89x (+0.11x)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14,723M vs 14,948M (-225M)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48.7% vs 46.9% (+1.75%)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1.26x vs 1.15x (+0.11x)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Apple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35.89% vs Med 10.94%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40.84% vs Med 13.77%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0.07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1.43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11.94% vs Med 6.00%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14.74% vs Med 9.43%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+12.2% vs SG&amp;A +6.4%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Hardware (SIC 3571)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AAPL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Apple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$466,823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32.6%</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42.8%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59.3%</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9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HPQ</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HP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21.8%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7.9%</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14.5%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DELL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Dell Technologies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$151,197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23.4%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8.5%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18.2%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28.0%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WDC</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Western Digital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$12,919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28.5%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9.2%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19.0%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LNVGY</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Lenovo Group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$61,970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17.2%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12.1%</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SIC 3571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22.6%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13.3%</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59.26% de los Activos Totales (vs. Mediana Sector: 25.69%).</w:t>
            </w:r>
          </w:p>
          <w:p>
            <w:pPr>
              <w:spacing w:before="40" w:after="40" w:line="276" w:lineRule="auto"/>
            </w:pPr>
            <w:r>
              <w:rPr>
                <w:rFonts w:ascii="Calibri" w:hAnsi="Calibri"/>
                <w:color w:val="2D3748"/>
                <w:sz w:val="19"/>
              </w:rPr>
              <w:t>• Gross Profitability Operativa Ex-Caja (LTM): 66.08% de los Activos Operativos (vs. Mediana Sector: 28.00%).</w:t>
            </w:r>
          </w:p>
          <w:p>
            <w:pPr>
              <w:spacing w:before="40" w:after="40" w:line="276" w:lineRule="auto"/>
            </w:pPr>
            <w:r>
              <w:rPr>
                <w:rFonts w:ascii="Calibri" w:hAnsi="Calibri"/>
                <w:color w:val="2D3748"/>
                <w:sz w:val="19"/>
              </w:rPr>
              <w:t>• Efecto Arrastre de Caja (Cash Drag): +6.82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+33.57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AAPL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59.26%?: Por cada $1.00 de activo total en su balance general, la empresa produce $0.59 de utilidad bruta pura al año, antes de deducciones operativas, intereses e impuestos.</w:t>
            </w:r>
          </w:p>
          <w:p>
            <w:pPr>
              <w:spacing w:before="40" w:after="40" w:line="276" w:lineRule="auto"/>
            </w:pPr>
            <w:r>
              <w:rPr>
                <w:rFonts w:ascii="Calibri" w:hAnsi="Calibri"/>
                <w:color w:val="2D3748"/>
                <w:sz w:val="19"/>
              </w:rPr>
              <w:t>3. ¿Qué significa Ex-Caja (66.08%)?: Al excluir el efectivo y valores negociables líquidos (capital ocioso en caja que no produce bienes), el negocio puramente operativo rinde $0.66 por cada dólar en activos operativos en funcionamiento.</w:t>
            </w:r>
          </w:p>
          <w:p>
            <w:pPr>
              <w:spacing w:before="40" w:after="40" w:line="276" w:lineRule="auto"/>
            </w:pPr>
            <w:r>
              <w:rPr>
                <w:rFonts w:ascii="Calibri" w:hAnsi="Calibri"/>
                <w:color w:val="2D3748"/>
                <w:sz w:val="19"/>
              </w:rPr>
              <w:t>4. ¿Qué revela el Cash Drag (+6.82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$0.59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66.08%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$0.66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+6.82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+33.57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+28.65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+33.57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(48.7% vs 23.0%) con una rotación de activos superior a sus competidores (1.22x vs 1.20x).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(48.65%) × Rotación de Activos (1.218x) = 59.26% (Concilia al 100.0% con GP/A de 59.26%).</w:t>
            </w:r>
          </w:p>
          <w:p>
            <w:pPr>
              <w:spacing w:before="40" w:after="40" w:line="276" w:lineRule="auto"/>
            </w:pPr>
            <w:r>
              <w:rPr>
                <w:rFonts w:ascii="Calibri" w:hAnsi="Calibri"/>
                <w:color w:val="2D3748"/>
                <w:sz w:val="19"/>
              </w:rPr>
              <w:t>• Identidad Operativa Ex-Caja: Margen Bruto (48.65%) × Rotación Ex-Caja (1.358x) = 66.08% (concilia con 66.08%).</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+25.70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1.158x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1.202x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+0.02x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1.358x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1.287x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1.323x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+33.57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+11.29 puntos porcentuales.</w:t>
            </w:r>
          </w:p>
          <w:p>
            <w:pPr>
              <w:spacing w:before="40" w:after="40" w:line="276" w:lineRule="auto"/>
            </w:pPr>
            <w:r>
              <w:rPr>
                <w:rFonts w:ascii="Calibri" w:hAnsi="Calibri"/>
                <w:color w:val="2D3748"/>
                <w:sz w:val="19"/>
              </w:rPr>
              <w:t>• Expansión a 5 Años (vs. FY2021): +15.72 puntos porcentuales.</w:t>
            </w:r>
          </w:p>
          <w:p>
            <w:pPr>
              <w:spacing w:before="40" w:after="40" w:line="276" w:lineRule="auto"/>
            </w:pPr>
            <w:r>
              <w:rPr>
                <w:rFonts w:ascii="Calibri" w:hAnsi="Calibri"/>
                <w:color w:val="2D3748"/>
                <w:sz w:val="19"/>
              </w:rPr>
              <w:t>• Coeficiente de Variación (CV GP/A): 0.079 (indica una trayectoria predecible y baja volatilidad operativa).</w:t>
            </w:r>
          </w:p>
          <w:p>
            <w:pPr>
              <w:spacing w:before="40" w:after="40" w:line="276" w:lineRule="auto"/>
            </w:pPr>
            <w:r>
              <w:rPr>
                <w:rFonts w:ascii="Calibri" w:hAnsi="Calibri"/>
                <w:color w:val="2D3748"/>
                <w:sz w:val="19"/>
              </w:rPr>
              <w:t>• Conclusión de Tendencia: Expansión estructural acelerada (+15.72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+6.82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54.34%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49.50%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46.21%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1.071x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47.97%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52.43%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+4.46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44.13%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51.89%</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+3.48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43.31%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1.118x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43.54%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48.36%</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+4.81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41.78%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1.042x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36.71%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0.848x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29.07%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33.97%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+4.90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37.82%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0.769x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AAPL</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Apple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+33.57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NTAP</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NetApp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(Q1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67.66%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70.99%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0.67x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+22.20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HPQ</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HP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29.13%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31.32%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22.50%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1.29x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+3.43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DELL</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Dell Technologies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27.79%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29.48%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23.41%</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1.19x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STX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Seagate Technology Hol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23.60%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26.52%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19.29%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HPE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Hewlett Packard Enterp</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18.38%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19.09%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36.70%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-7.31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WDC</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Western Digital Corp.</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16.87%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19.38%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18.10%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-8.82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#8</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SMCI</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Super Micro Computer I</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14.61%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15.71%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1.30x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-11.08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25.69%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+8.13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AAPL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Apple Inc. (AAPL)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+40.06 p.p.)</w:t>
              <w:br/>
            </w:r>
          </w:p>
          <w:p>
            <w:pPr>
              <w:spacing w:before="40" w:after="40" w:line="276" w:lineRule="auto"/>
            </w:pPr>
            <w:r>
              <w:rPr>
                <w:rFonts w:ascii="Calibri" w:hAnsi="Calibri"/>
                <w:color w:val="2D3748"/>
                <w:sz w:val="19"/>
              </w:rPr>
              <w:t>• ROC Greenblatt Tangible (LTM): 305.85% (Productividad operativa pura pre-tax sobre capital de trabajo y PP&amp;E físico instalado).</w:t>
            </w:r>
          </w:p>
          <w:p>
            <w:pPr>
              <w:spacing w:before="40" w:after="40" w:line="276" w:lineRule="auto"/>
            </w:pPr>
            <w:r>
              <w:rPr>
                <w:rFonts w:ascii="Calibri" w:hAnsi="Calibri"/>
                <w:color w:val="2D3748"/>
                <w:sz w:val="19"/>
              </w:rPr>
              <w:t>• ROIC Ajustado por Intangibles (LTM): 50.06% frente a un ROIC contable tradicional de 68.22%.</w:t>
            </w:r>
          </w:p>
          <w:p>
            <w:pPr>
              <w:spacing w:before="40" w:after="40" w:line="276" w:lineRule="auto"/>
            </w:pPr>
            <w:r>
              <w:rPr>
                <w:rFonts w:ascii="Calibri" w:hAnsi="Calibri"/>
                <w:color w:val="2D3748"/>
                <w:sz w:val="19"/>
              </w:rPr>
              <w:t>• Costo Promedio Ponderado de Capital (WACC): 10.00% (Costo del Equity Ke: 10.10%, Deuda Neta Kd: 3.67%).</w:t>
            </w:r>
          </w:p>
          <w:p>
            <w:pPr>
              <w:spacing w:before="40" w:after="40" w:line="276" w:lineRule="auto"/>
            </w:pPr>
            <w:r>
              <w:rPr>
                <w:rFonts w:ascii="Calibri" w:hAnsi="Calibri"/>
                <w:color w:val="2D3748"/>
                <w:sz w:val="19"/>
              </w:rPr>
              <w:t>• Spread Económico Neto: +40.06 p.p. de rendimiento por encima del costo de capital exigido por el mercado.</w:t>
            </w:r>
          </w:p>
          <w:p>
            <w:pPr>
              <w:spacing w:before="40" w:after="40" w:line="276" w:lineRule="auto"/>
            </w:pPr>
            <w:r>
              <w:rPr>
                <w:rFonts w:ascii="Calibri" w:hAnsi="Calibri"/>
                <w:color w:val="2D3748"/>
                <w:sz w:val="19"/>
              </w:rPr>
              <w:t>• Stock de Intangibles Fuera de Balance: $83,773.2M capitalizados en innovación y amortizados económicamente a 4 años.</w:t>
            </w:r>
          </w:p>
          <w:p>
            <w:pPr>
              <w:spacing w:before="40" w:after="40" w:line="276" w:lineRule="auto"/>
            </w:pPr>
            <w:r>
              <w:rPr>
                <w:rFonts w:ascii="Calibri" w:hAnsi="Calibri"/>
                <w:color w:val="2D3748"/>
                <w:sz w:val="19"/>
              </w:rPr>
              <w:t>• Tesis de Foso Defensivo: El negocio genera un retorno ajustado (50.06%) que supera a su costo de capital (10.00%) por más de 40.06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$347.73</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$5,074,797.7M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4.99%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1.07</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Apple Inc., el ROC de 305.85%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$154,859.0M</w:t>
            </w:r>
          </w:p>
        </w:tc>
        <w:tc>
          <w:tcPr>
            <w:tcW w:type="dxa" w:w="1958"/>
            <w:tcMar>
              <w:top w:w="60" w:type="dxa"/>
              <w:bottom w:w="60" w:type="dxa"/>
              <w:left w:w="100" w:type="dxa"/>
              <w:right w:w="100" w:type="dxa"/>
            </w:tcMar>
          </w:tcPr>
          <w:p>
            <w:r>
              <w:rPr>
                <w:sz w:val="17"/>
              </w:rPr>
              <w:t>$133,050.0M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$110,274.0M</w:t>
            </w:r>
          </w:p>
        </w:tc>
        <w:tc>
          <w:tcPr>
            <w:tcW w:type="dxa" w:w="1958"/>
            <w:tcMar>
              <w:top w:w="60" w:type="dxa"/>
              <w:bottom w:w="60" w:type="dxa"/>
              <w:left w:w="100" w:type="dxa"/>
              <w:right w:w="100" w:type="dxa"/>
            </w:tcMar>
            <w:shd w:fill="F7FAFC"/>
          </w:tcPr>
          <w:p>
            <w:r>
              <w:rPr>
                <w:sz w:val="17"/>
              </w:rPr>
              <w:t>$112,023.0M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$138,319.0M</w:t>
            </w:r>
          </w:p>
        </w:tc>
        <w:tc>
          <w:tcPr>
            <w:tcW w:type="dxa" w:w="1958"/>
            <w:tcMar>
              <w:top w:w="60" w:type="dxa"/>
              <w:bottom w:w="60" w:type="dxa"/>
              <w:left w:w="100" w:type="dxa"/>
              <w:right w:w="100" w:type="dxa"/>
            </w:tcMar>
          </w:tcPr>
          <w:p>
            <w:r>
              <w:rPr>
                <w:sz w:val="17"/>
              </w:rPr>
              <w:t>$153,281.0M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-$28,045.0M</w:t>
            </w:r>
          </w:p>
        </w:tc>
        <w:tc>
          <w:tcPr>
            <w:tcW w:type="dxa" w:w="1958"/>
            <w:tcMar>
              <w:top w:w="60" w:type="dxa"/>
              <w:bottom w:w="60" w:type="dxa"/>
              <w:left w:w="100" w:type="dxa"/>
              <w:right w:w="100" w:type="dxa"/>
            </w:tcMar>
            <w:shd w:fill="F7FAFC"/>
          </w:tcPr>
          <w:p>
            <w:r>
              <w:rPr>
                <w:sz w:val="17"/>
              </w:rPr>
              <w:t>-$41,258.0M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$51,431.0M</w:t>
            </w:r>
          </w:p>
        </w:tc>
        <w:tc>
          <w:tcPr>
            <w:tcW w:type="dxa" w:w="1958"/>
            <w:tcMar>
              <w:top w:w="60" w:type="dxa"/>
              <w:bottom w:w="60" w:type="dxa"/>
              <w:left w:w="100" w:type="dxa"/>
              <w:right w:w="100" w:type="dxa"/>
            </w:tcMar>
          </w:tcPr>
          <w:p>
            <w:r>
              <w:rPr>
                <w:sz w:val="17"/>
              </w:rPr>
              <w:t>$49,834.0M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$51,431.0M</w:t>
            </w:r>
          </w:p>
        </w:tc>
        <w:tc>
          <w:tcPr>
            <w:tcW w:type="dxa" w:w="1958"/>
            <w:tcMar>
              <w:top w:w="60" w:type="dxa"/>
              <w:bottom w:w="60" w:type="dxa"/>
              <w:left w:w="100" w:type="dxa"/>
              <w:right w:w="100" w:type="dxa"/>
            </w:tcMar>
            <w:shd w:fill="F7FAFC"/>
          </w:tcPr>
          <w:p>
            <w:r>
              <w:rPr>
                <w:sz w:val="17"/>
              </w:rPr>
              <w:t>$49,834.0M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$50,632.5M</w:t>
            </w:r>
          </w:p>
        </w:tc>
        <w:tc>
          <w:tcPr>
            <w:tcW w:type="dxa" w:w="1958"/>
            <w:tcMar>
              <w:top w:w="60" w:type="dxa"/>
              <w:bottom w:w="60" w:type="dxa"/>
              <w:left w:w="100" w:type="dxa"/>
              <w:right w:w="100" w:type="dxa"/>
            </w:tcMar>
          </w:tcPr>
          <w:p>
            <w:r>
              <w:rPr>
                <w:sz w:val="17"/>
              </w:rPr>
              <w:t>$47,757.0M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305.85%</w:t>
            </w:r>
          </w:p>
        </w:tc>
        <w:tc>
          <w:tcPr>
            <w:tcW w:type="dxa" w:w="1958"/>
            <w:tcMar>
              <w:top w:w="60" w:type="dxa"/>
              <w:bottom w:w="60" w:type="dxa"/>
              <w:left w:w="100" w:type="dxa"/>
              <w:right w:w="100" w:type="dxa"/>
            </w:tcMar>
            <w:shd w:fill="F7FAFC"/>
            <w:shd w:fill="E2EFDA"/>
          </w:tcPr>
          <w:p>
            <w:r>
              <w:rPr>
                <w:b/>
                <w:sz w:val="17"/>
              </w:rPr>
              <w:t>278.60%</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(68.22%) sobrestima el retorno al mandar el I+D a gasto inmediato. La metodología Damodaran capitaliza la innovación a 4 años, reconociendo $83,773.2M de intangibles fuera de balance. El ROIC Ajustado resultante de 50.06% refleja el verdadero retorno económico sobre el capital total invertido ($269,400.0M).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255.50%</w:t>
            </w:r>
          </w:p>
        </w:tc>
        <w:tc>
          <w:tcPr>
            <w:tcW w:type="dxa" w:w="1399"/>
            <w:tcMar>
              <w:top w:w="60" w:type="dxa"/>
              <w:bottom w:w="60" w:type="dxa"/>
              <w:left w:w="100" w:type="dxa"/>
              <w:right w:w="100" w:type="dxa"/>
            </w:tcMar>
          </w:tcPr>
          <w:p>
            <w:r>
              <w:rPr>
                <w:b/>
                <w:sz w:val="17"/>
              </w:rPr>
              <w:t>48.51%</w:t>
            </w:r>
          </w:p>
        </w:tc>
        <w:tc>
          <w:tcPr>
            <w:tcW w:type="dxa" w:w="1399"/>
            <w:tcMar>
              <w:top w:w="60" w:type="dxa"/>
              <w:bottom w:w="60" w:type="dxa"/>
              <w:left w:w="100" w:type="dxa"/>
              <w:right w:w="100" w:type="dxa"/>
            </w:tcMar>
          </w:tcPr>
          <w:p>
            <w:r>
              <w:rPr>
                <w:b/>
                <w:sz w:val="17"/>
              </w:rPr>
              <w:t>41.96%</w:t>
            </w:r>
          </w:p>
        </w:tc>
        <w:tc>
          <w:tcPr>
            <w:tcW w:type="dxa" w:w="1399"/>
            <w:tcMar>
              <w:top w:w="60" w:type="dxa"/>
              <w:bottom w:w="60" w:type="dxa"/>
              <w:left w:w="100" w:type="dxa"/>
              <w:right w:w="100" w:type="dxa"/>
            </w:tcMar>
          </w:tcPr>
          <w:p>
            <w:r>
              <w:rPr>
                <w:sz w:val="17"/>
              </w:rPr>
              <w:t>$47,645.5M</w:t>
            </w:r>
          </w:p>
        </w:tc>
        <w:tc>
          <w:tcPr>
            <w:tcW w:type="dxa" w:w="1399"/>
            <w:tcMar>
              <w:top w:w="60" w:type="dxa"/>
              <w:bottom w:w="60" w:type="dxa"/>
              <w:left w:w="100" w:type="dxa"/>
              <w:right w:w="100" w:type="dxa"/>
            </w:tcMar>
          </w:tcPr>
          <w:p>
            <w:r>
              <w:rPr>
                <w:sz w:val="17"/>
              </w:rPr>
              <w:t>$239,010.2M</w:t>
            </w:r>
          </w:p>
        </w:tc>
        <w:tc>
          <w:tcPr>
            <w:tcW w:type="dxa" w:w="1399"/>
            <w:tcMar>
              <w:top w:w="60" w:type="dxa"/>
              <w:bottom w:w="60" w:type="dxa"/>
              <w:left w:w="100" w:type="dxa"/>
              <w:right w:w="100" w:type="dxa"/>
            </w:tcMar>
          </w:tcPr>
          <w:p>
            <w:r>
              <w:rPr>
                <w:b/>
                <w:sz w:val="17"/>
              </w:rPr>
              <w:t>+31.96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292.89%</w:t>
            </w:r>
          </w:p>
        </w:tc>
        <w:tc>
          <w:tcPr>
            <w:tcW w:type="dxa" w:w="1399"/>
            <w:tcMar>
              <w:top w:w="60" w:type="dxa"/>
              <w:bottom w:w="60" w:type="dxa"/>
              <w:left w:w="100" w:type="dxa"/>
              <w:right w:w="100" w:type="dxa"/>
            </w:tcMar>
            <w:shd w:fill="F7FAFC"/>
          </w:tcPr>
          <w:p>
            <w:r>
              <w:rPr>
                <w:b/>
                <w:sz w:val="17"/>
              </w:rPr>
              <w:t>51.80%</w:t>
            </w:r>
          </w:p>
        </w:tc>
        <w:tc>
          <w:tcPr>
            <w:tcW w:type="dxa" w:w="1399"/>
            <w:tcMar>
              <w:top w:w="60" w:type="dxa"/>
              <w:bottom w:w="60" w:type="dxa"/>
              <w:left w:w="100" w:type="dxa"/>
              <w:right w:w="100" w:type="dxa"/>
            </w:tcMar>
            <w:shd w:fill="F7FAFC"/>
          </w:tcPr>
          <w:p>
            <w:r>
              <w:rPr>
                <w:b/>
                <w:sz w:val="17"/>
              </w:rPr>
              <w:t>43.73%</w:t>
            </w:r>
          </w:p>
        </w:tc>
        <w:tc>
          <w:tcPr>
            <w:tcW w:type="dxa" w:w="1399"/>
            <w:tcMar>
              <w:top w:w="60" w:type="dxa"/>
              <w:bottom w:w="60" w:type="dxa"/>
              <w:left w:w="100" w:type="dxa"/>
              <w:right w:w="100" w:type="dxa"/>
            </w:tcMar>
            <w:shd w:fill="F7FAFC"/>
          </w:tcPr>
          <w:p>
            <w:r>
              <w:rPr>
                <w:sz w:val="17"/>
              </w:rPr>
              <w:t>$56,116.8M</w:t>
            </w:r>
          </w:p>
        </w:tc>
        <w:tc>
          <w:tcPr>
            <w:tcW w:type="dxa" w:w="1399"/>
            <w:tcMar>
              <w:top w:w="60" w:type="dxa"/>
              <w:bottom w:w="60" w:type="dxa"/>
              <w:left w:w="100" w:type="dxa"/>
              <w:right w:w="100" w:type="dxa"/>
            </w:tcMar>
            <w:shd w:fill="F7FAFC"/>
          </w:tcPr>
          <w:p>
            <w:r>
              <w:rPr>
                <w:sz w:val="17"/>
              </w:rPr>
              <w:t>$245,105.6M</w:t>
            </w:r>
          </w:p>
        </w:tc>
        <w:tc>
          <w:tcPr>
            <w:tcW w:type="dxa" w:w="1399"/>
            <w:tcMar>
              <w:top w:w="60" w:type="dxa"/>
              <w:bottom w:w="60" w:type="dxa"/>
              <w:left w:w="100" w:type="dxa"/>
              <w:right w:w="100" w:type="dxa"/>
            </w:tcMar>
            <w:shd w:fill="F7FAFC"/>
          </w:tcPr>
          <w:p>
            <w:r>
              <w:rPr>
                <w:b/>
                <w:sz w:val="17"/>
              </w:rPr>
              <w:t>+33.73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266.34%</w:t>
            </w:r>
          </w:p>
        </w:tc>
        <w:tc>
          <w:tcPr>
            <w:tcW w:type="dxa" w:w="1399"/>
            <w:tcMar>
              <w:top w:w="60" w:type="dxa"/>
              <w:bottom w:w="60" w:type="dxa"/>
              <w:left w:w="100" w:type="dxa"/>
              <w:right w:w="100" w:type="dxa"/>
            </w:tcMar>
          </w:tcPr>
          <w:p>
            <w:r>
              <w:rPr>
                <w:b/>
                <w:sz w:val="17"/>
              </w:rPr>
              <w:t>52.21%</w:t>
            </w:r>
          </w:p>
        </w:tc>
        <w:tc>
          <w:tcPr>
            <w:tcW w:type="dxa" w:w="1399"/>
            <w:tcMar>
              <w:top w:w="60" w:type="dxa"/>
              <w:bottom w:w="60" w:type="dxa"/>
              <w:left w:w="100" w:type="dxa"/>
              <w:right w:w="100" w:type="dxa"/>
            </w:tcMar>
          </w:tcPr>
          <w:p>
            <w:r>
              <w:rPr>
                <w:b/>
                <w:sz w:val="17"/>
              </w:rPr>
              <w:t>42.55%</w:t>
            </w:r>
          </w:p>
        </w:tc>
        <w:tc>
          <w:tcPr>
            <w:tcW w:type="dxa" w:w="1399"/>
            <w:tcMar>
              <w:top w:w="60" w:type="dxa"/>
              <w:bottom w:w="60" w:type="dxa"/>
              <w:left w:w="100" w:type="dxa"/>
              <w:right w:w="100" w:type="dxa"/>
            </w:tcMar>
          </w:tcPr>
          <w:p>
            <w:r>
              <w:rPr>
                <w:sz w:val="17"/>
              </w:rPr>
              <w:t>$65,248.2M</w:t>
            </w:r>
          </w:p>
        </w:tc>
        <w:tc>
          <w:tcPr>
            <w:tcW w:type="dxa" w:w="1399"/>
            <w:tcMar>
              <w:top w:w="60" w:type="dxa"/>
              <w:bottom w:w="60" w:type="dxa"/>
              <w:left w:w="100" w:type="dxa"/>
              <w:right w:w="100" w:type="dxa"/>
            </w:tcMar>
          </w:tcPr>
          <w:p>
            <w:r>
              <w:rPr>
                <w:sz w:val="17"/>
              </w:rPr>
              <w:t>$247,376.0M</w:t>
            </w:r>
          </w:p>
        </w:tc>
        <w:tc>
          <w:tcPr>
            <w:tcW w:type="dxa" w:w="1399"/>
            <w:tcMar>
              <w:top w:w="60" w:type="dxa"/>
              <w:bottom w:w="60" w:type="dxa"/>
              <w:left w:w="100" w:type="dxa"/>
              <w:right w:w="100" w:type="dxa"/>
            </w:tcMar>
          </w:tcPr>
          <w:p>
            <w:r>
              <w:rPr>
                <w:b/>
                <w:sz w:val="17"/>
              </w:rPr>
              <w:t>+32.56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275.67%</w:t>
            </w:r>
          </w:p>
        </w:tc>
        <w:tc>
          <w:tcPr>
            <w:tcW w:type="dxa" w:w="1399"/>
            <w:tcMar>
              <w:top w:w="60" w:type="dxa"/>
              <w:bottom w:w="60" w:type="dxa"/>
              <w:left w:w="100" w:type="dxa"/>
              <w:right w:w="100" w:type="dxa"/>
            </w:tcMar>
            <w:shd w:fill="F7FAFC"/>
          </w:tcPr>
          <w:p>
            <w:r>
              <w:rPr>
                <w:b/>
                <w:sz w:val="17"/>
              </w:rPr>
              <w:t>52.44%</w:t>
            </w:r>
          </w:p>
        </w:tc>
        <w:tc>
          <w:tcPr>
            <w:tcW w:type="dxa" w:w="1399"/>
            <w:tcMar>
              <w:top w:w="60" w:type="dxa"/>
              <w:bottom w:w="60" w:type="dxa"/>
              <w:left w:w="100" w:type="dxa"/>
              <w:right w:w="100" w:type="dxa"/>
            </w:tcMar>
            <w:shd w:fill="F7FAFC"/>
          </w:tcPr>
          <w:p>
            <w:r>
              <w:rPr>
                <w:b/>
                <w:sz w:val="17"/>
              </w:rPr>
              <w:t>40.04%</w:t>
            </w:r>
          </w:p>
        </w:tc>
        <w:tc>
          <w:tcPr>
            <w:tcW w:type="dxa" w:w="1399"/>
            <w:tcMar>
              <w:top w:w="60" w:type="dxa"/>
              <w:bottom w:w="60" w:type="dxa"/>
              <w:left w:w="100" w:type="dxa"/>
              <w:right w:w="100" w:type="dxa"/>
            </w:tcMar>
            <w:shd w:fill="F7FAFC"/>
          </w:tcPr>
          <w:p>
            <w:r>
              <w:rPr>
                <w:sz w:val="17"/>
              </w:rPr>
              <w:t>$72,410.2M</w:t>
            </w:r>
          </w:p>
        </w:tc>
        <w:tc>
          <w:tcPr>
            <w:tcW w:type="dxa" w:w="1399"/>
            <w:tcMar>
              <w:top w:w="60" w:type="dxa"/>
              <w:bottom w:w="60" w:type="dxa"/>
              <w:left w:w="100" w:type="dxa"/>
              <w:right w:w="100" w:type="dxa"/>
            </w:tcMar>
            <w:shd w:fill="F7FAFC"/>
          </w:tcPr>
          <w:p>
            <w:r>
              <w:rPr>
                <w:sz w:val="17"/>
              </w:rPr>
              <w:t>$247,173.8M</w:t>
            </w:r>
          </w:p>
        </w:tc>
        <w:tc>
          <w:tcPr>
            <w:tcW w:type="dxa" w:w="1399"/>
            <w:tcMar>
              <w:top w:w="60" w:type="dxa"/>
              <w:bottom w:w="60" w:type="dxa"/>
              <w:left w:w="100" w:type="dxa"/>
              <w:right w:w="100" w:type="dxa"/>
            </w:tcMar>
            <w:shd w:fill="F7FAFC"/>
          </w:tcPr>
          <w:p>
            <w:r>
              <w:rPr>
                <w:b/>
                <w:sz w:val="17"/>
              </w:rPr>
              <w:t>+30.04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278.60%</w:t>
            </w:r>
          </w:p>
        </w:tc>
        <w:tc>
          <w:tcPr>
            <w:tcW w:type="dxa" w:w="1399"/>
            <w:tcMar>
              <w:top w:w="60" w:type="dxa"/>
              <w:bottom w:w="60" w:type="dxa"/>
              <w:left w:w="100" w:type="dxa"/>
              <w:right w:w="100" w:type="dxa"/>
            </w:tcMar>
          </w:tcPr>
          <w:p>
            <w:r>
              <w:rPr>
                <w:b/>
                <w:sz w:val="17"/>
              </w:rPr>
              <w:t>66.13%</w:t>
            </w:r>
          </w:p>
        </w:tc>
        <w:tc>
          <w:tcPr>
            <w:tcW w:type="dxa" w:w="1399"/>
            <w:tcMar>
              <w:top w:w="60" w:type="dxa"/>
              <w:bottom w:w="60" w:type="dxa"/>
              <w:left w:w="100" w:type="dxa"/>
              <w:right w:w="100" w:type="dxa"/>
            </w:tcMar>
          </w:tcPr>
          <w:p>
            <w:r>
              <w:rPr>
                <w:b/>
                <w:sz w:val="17"/>
              </w:rPr>
              <w:t>48.15%</w:t>
            </w:r>
          </w:p>
        </w:tc>
        <w:tc>
          <w:tcPr>
            <w:tcW w:type="dxa" w:w="1399"/>
            <w:tcMar>
              <w:top w:w="60" w:type="dxa"/>
              <w:bottom w:w="60" w:type="dxa"/>
              <w:left w:w="100" w:type="dxa"/>
              <w:right w:w="100" w:type="dxa"/>
            </w:tcMar>
          </w:tcPr>
          <w:p>
            <w:r>
              <w:rPr>
                <w:sz w:val="17"/>
              </w:rPr>
              <w:t>$79,597.8M</w:t>
            </w:r>
          </w:p>
        </w:tc>
        <w:tc>
          <w:tcPr>
            <w:tcW w:type="dxa" w:w="1399"/>
            <w:tcMar>
              <w:top w:w="60" w:type="dxa"/>
              <w:bottom w:w="60" w:type="dxa"/>
              <w:left w:w="100" w:type="dxa"/>
              <w:right w:w="100" w:type="dxa"/>
            </w:tcMar>
          </w:tcPr>
          <w:p>
            <w:r>
              <w:rPr>
                <w:sz w:val="17"/>
              </w:rPr>
              <w:t>$245,795.5M</w:t>
            </w:r>
          </w:p>
        </w:tc>
        <w:tc>
          <w:tcPr>
            <w:tcW w:type="dxa" w:w="1399"/>
            <w:tcMar>
              <w:top w:w="60" w:type="dxa"/>
              <w:bottom w:w="60" w:type="dxa"/>
              <w:left w:w="100" w:type="dxa"/>
              <w:right w:w="100" w:type="dxa"/>
            </w:tcMar>
          </w:tcPr>
          <w:p>
            <w:r>
              <w:rPr>
                <w:b/>
                <w:sz w:val="17"/>
              </w:rPr>
              <w:t>+38.15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305.85%</w:t>
            </w:r>
          </w:p>
        </w:tc>
        <w:tc>
          <w:tcPr>
            <w:tcW w:type="dxa" w:w="1399"/>
            <w:tcMar>
              <w:top w:w="60" w:type="dxa"/>
              <w:bottom w:w="60" w:type="dxa"/>
              <w:left w:w="100" w:type="dxa"/>
              <w:right w:w="100" w:type="dxa"/>
            </w:tcMar>
            <w:shd w:fill="F7FAFC"/>
            <w:shd w:fill="E2EFDA"/>
          </w:tcPr>
          <w:p>
            <w:r>
              <w:rPr>
                <w:b/>
                <w:sz w:val="17"/>
              </w:rPr>
              <w:t>68.22%</w:t>
            </w:r>
          </w:p>
        </w:tc>
        <w:tc>
          <w:tcPr>
            <w:tcW w:type="dxa" w:w="1399"/>
            <w:tcMar>
              <w:top w:w="60" w:type="dxa"/>
              <w:bottom w:w="60" w:type="dxa"/>
              <w:left w:w="100" w:type="dxa"/>
              <w:right w:w="100" w:type="dxa"/>
            </w:tcMar>
            <w:shd w:fill="F7FAFC"/>
            <w:shd w:fill="E2EFDA"/>
          </w:tcPr>
          <w:p>
            <w:r>
              <w:rPr>
                <w:b/>
                <w:sz w:val="17"/>
              </w:rPr>
              <w:t>50.06%</w:t>
            </w:r>
          </w:p>
        </w:tc>
        <w:tc>
          <w:tcPr>
            <w:tcW w:type="dxa" w:w="1399"/>
            <w:tcMar>
              <w:top w:w="60" w:type="dxa"/>
              <w:bottom w:w="60" w:type="dxa"/>
              <w:left w:w="100" w:type="dxa"/>
              <w:right w:w="100" w:type="dxa"/>
            </w:tcMar>
            <w:shd w:fill="F7FAFC"/>
            <w:shd w:fill="E2EFDA"/>
          </w:tcPr>
          <w:p>
            <w:r>
              <w:rPr>
                <w:sz w:val="17"/>
              </w:rPr>
              <w:t>$83,773.2M</w:t>
            </w:r>
          </w:p>
        </w:tc>
        <w:tc>
          <w:tcPr>
            <w:tcW w:type="dxa" w:w="1399"/>
            <w:tcMar>
              <w:top w:w="60" w:type="dxa"/>
              <w:bottom w:w="60" w:type="dxa"/>
              <w:left w:w="100" w:type="dxa"/>
              <w:right w:w="100" w:type="dxa"/>
            </w:tcMar>
            <w:shd w:fill="F7FAFC"/>
            <w:shd w:fill="E2EFDA"/>
          </w:tcPr>
          <w:p>
            <w:r>
              <w:rPr>
                <w:sz w:val="17"/>
              </w:rPr>
              <w:t>$269,400.0M</w:t>
            </w:r>
          </w:p>
        </w:tc>
        <w:tc>
          <w:tcPr>
            <w:tcW w:type="dxa" w:w="1399"/>
            <w:tcMar>
              <w:top w:w="60" w:type="dxa"/>
              <w:bottom w:w="60" w:type="dxa"/>
              <w:left w:w="100" w:type="dxa"/>
              <w:right w:w="100" w:type="dxa"/>
            </w:tcMar>
            <w:shd w:fill="F7FAFC"/>
            <w:shd w:fill="E2EFDA"/>
          </w:tcPr>
          <w:p>
            <w:r>
              <w:rPr>
                <w:b/>
                <w:sz w:val="17"/>
              </w:rPr>
              <w:t>+40.06 p.p.</w:t>
            </w:r>
          </w:p>
        </w:tc>
      </w:tr>
    </w:tbl>
    <w:p>
      <w:pPr>
        <w:spacing w:before="160" w:after="160"/>
      </w:pPr>
      <w:r>
        <w:rPr>
          <w:i/>
          <w:sz w:val="18"/>
        </w:rPr>
        <w:t>Matriz de Sensibilidad de Vida Útil: N-1 (3a) = 52.32% | N Base (4a) = 50.06% | N+1 (5a) = 48.27%.</w:t>
      </w:r>
    </w:p>
    <w:p>
      <w:pPr>
        <w:pStyle w:val="Heading2"/>
      </w:pPr>
      <w:r>
        <w:t>11.4. Creación de Valor Económico (EVA) y Durabilidad del Foso Defensivo</w:t>
      </w:r>
    </w:p>
    <w:p>
      <w:r>
        <w:rPr>
          <w:sz w:val="19"/>
        </w:rPr>
        <w:t>Spread Económico = ROIC Ajustado (50.06%) − WACC (10.00%) = +40.06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4.99%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1.07</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10.10%</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3.67%</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17.3%.</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10.00%</w:t>
            </w:r>
          </w:p>
        </w:tc>
        <w:tc>
          <w:tcPr>
            <w:tcW w:type="dxa" w:w="1958"/>
            <w:tcMar>
              <w:top w:w="60" w:type="dxa"/>
              <w:bottom w:w="60" w:type="dxa"/>
              <w:left w:w="100" w:type="dxa"/>
              <w:right w:w="100" w:type="dxa"/>
            </w:tcMar>
            <w:shd w:fill="F7FAFC"/>
          </w:tcPr>
          <w:p>
            <w:r>
              <w:rPr>
                <w:sz w:val="17"/>
              </w:rPr>
              <w:t>Mediana Sector (8.80%)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305.85%</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supera al sector por +276.00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$50,632.5M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68.22%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$83,773.2M</w:t>
            </w:r>
          </w:p>
        </w:tc>
        <w:tc>
          <w:tcPr>
            <w:tcW w:type="dxa" w:w="1958"/>
            <w:tcMar>
              <w:top w:w="60" w:type="dxa"/>
              <w:bottom w:w="60" w:type="dxa"/>
              <w:left w:w="100" w:type="dxa"/>
              <w:right w:w="100" w:type="dxa"/>
            </w:tcMar>
            <w:shd w:fill="F7FAFC"/>
          </w:tcPr>
          <w:p>
            <w:r>
              <w:rPr>
                <w:sz w:val="17"/>
              </w:rPr>
              <w:t>Amortización 4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$269,400.0M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50.06%</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+40.06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-4.79% [ALTA CONVERSIÓN DE CAJA (CFO &gt; NI)]</w:t>
        <w:br/>
        <w:t>• Montier C-Score: 2 / 6 [RIESGO MODERADO / ALERTA PREVENTIVA (&lt; 25% RIESGO MODERADO)]</w:t>
        <w:br/>
        <w:t>• Dictamen: CALIDAD DE BENEFICIOS EXCEPCIONAL (GRADO INSTITUCIONAL): Conversión de efectivo sobresaliente (Ratio Sloan: -4.79%,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$128,930.0M</w:t>
            </w:r>
          </w:p>
        </w:tc>
        <w:tc>
          <w:tcPr>
            <w:tcW w:type="dxa" w:w="1094"/>
            <w:tcMar>
              <w:top w:w="60" w:type="dxa"/>
              <w:bottom w:w="60" w:type="dxa"/>
              <w:left w:w="60" w:type="dxa"/>
              <w:right w:w="60" w:type="dxa"/>
            </w:tcMar>
          </w:tcPr>
          <w:p>
            <w:pPr>
              <w:jc w:val="right"/>
            </w:pPr>
            <w:r>
              <w:rPr>
                <w:rFonts w:ascii="Calibri" w:hAnsi="Calibri"/>
                <w:b w:val="0"/>
                <w:sz w:val="17"/>
              </w:rPr>
              <w:t>$112,010.0M</w:t>
            </w:r>
          </w:p>
        </w:tc>
        <w:tc>
          <w:tcPr>
            <w:tcW w:type="dxa" w:w="1094"/>
            <w:tcMar>
              <w:top w:w="60" w:type="dxa"/>
              <w:bottom w:w="60" w:type="dxa"/>
              <w:left w:w="60" w:type="dxa"/>
              <w:right w:w="60" w:type="dxa"/>
            </w:tcMar>
          </w:tcPr>
          <w:p>
            <w:pPr>
              <w:jc w:val="right"/>
            </w:pPr>
            <w:r>
              <w:rPr>
                <w:rFonts w:ascii="Calibri" w:hAnsi="Calibri"/>
                <w:b w:val="0"/>
                <w:sz w:val="17"/>
              </w:rPr>
              <w:t>$93,736.0M</w:t>
            </w:r>
          </w:p>
        </w:tc>
        <w:tc>
          <w:tcPr>
            <w:tcW w:type="dxa" w:w="1094"/>
            <w:tcMar>
              <w:top w:w="60" w:type="dxa"/>
              <w:bottom w:w="60" w:type="dxa"/>
              <w:left w:w="60" w:type="dxa"/>
              <w:right w:w="60" w:type="dxa"/>
            </w:tcMar>
          </w:tcPr>
          <w:p>
            <w:pPr>
              <w:jc w:val="right"/>
            </w:pPr>
            <w:r>
              <w:rPr>
                <w:rFonts w:ascii="Calibri" w:hAnsi="Calibri"/>
                <w:b w:val="0"/>
                <w:sz w:val="17"/>
              </w:rPr>
              <w:t>$96,995.0M</w:t>
            </w:r>
          </w:p>
        </w:tc>
        <w:tc>
          <w:tcPr>
            <w:tcW w:type="dxa" w:w="1094"/>
            <w:tcMar>
              <w:top w:w="60" w:type="dxa"/>
              <w:bottom w:w="60" w:type="dxa"/>
              <w:left w:w="60" w:type="dxa"/>
              <w:right w:w="60" w:type="dxa"/>
            </w:tcMar>
          </w:tcPr>
          <w:p>
            <w:pPr>
              <w:jc w:val="right"/>
            </w:pPr>
            <w:r>
              <w:rPr>
                <w:rFonts w:ascii="Calibri" w:hAnsi="Calibri"/>
                <w:b w:val="0"/>
                <w:sz w:val="17"/>
              </w:rPr>
              <w:t>$99,803.0M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$146,724.0M</w:t>
            </w:r>
          </w:p>
        </w:tc>
        <w:tc>
          <w:tcPr>
            <w:tcW w:type="dxa" w:w="1094"/>
            <w:tcMar>
              <w:top w:w="60" w:type="dxa"/>
              <w:bottom w:w="60" w:type="dxa"/>
              <w:left w:w="60" w:type="dxa"/>
              <w:right w:w="60" w:type="dxa"/>
            </w:tcMar>
          </w:tcPr>
          <w:p>
            <w:pPr>
              <w:jc w:val="right"/>
            </w:pPr>
            <w:r>
              <w:rPr>
                <w:rFonts w:ascii="Calibri" w:hAnsi="Calibri"/>
                <w:b w:val="0"/>
                <w:sz w:val="17"/>
              </w:rPr>
              <w:t>$111,482.0M</w:t>
            </w:r>
          </w:p>
        </w:tc>
        <w:tc>
          <w:tcPr>
            <w:tcW w:type="dxa" w:w="1094"/>
            <w:tcMar>
              <w:top w:w="60" w:type="dxa"/>
              <w:bottom w:w="60" w:type="dxa"/>
              <w:left w:w="60" w:type="dxa"/>
              <w:right w:w="60" w:type="dxa"/>
            </w:tcMar>
          </w:tcPr>
          <w:p>
            <w:pPr>
              <w:jc w:val="right"/>
            </w:pPr>
            <w:r>
              <w:rPr>
                <w:rFonts w:ascii="Calibri" w:hAnsi="Calibri"/>
                <w:b w:val="0"/>
                <w:sz w:val="17"/>
              </w:rPr>
              <w:t>$118,254.0M</w:t>
            </w:r>
          </w:p>
        </w:tc>
        <w:tc>
          <w:tcPr>
            <w:tcW w:type="dxa" w:w="1094"/>
            <w:tcMar>
              <w:top w:w="60" w:type="dxa"/>
              <w:bottom w:w="60" w:type="dxa"/>
              <w:left w:w="60" w:type="dxa"/>
              <w:right w:w="60" w:type="dxa"/>
            </w:tcMar>
          </w:tcPr>
          <w:p>
            <w:pPr>
              <w:jc w:val="right"/>
            </w:pPr>
            <w:r>
              <w:rPr>
                <w:rFonts w:ascii="Calibri" w:hAnsi="Calibri"/>
                <w:b w:val="0"/>
                <w:sz w:val="17"/>
              </w:rPr>
              <w:t>$110,543.0M</w:t>
            </w:r>
          </w:p>
        </w:tc>
        <w:tc>
          <w:tcPr>
            <w:tcW w:type="dxa" w:w="1094"/>
            <w:tcMar>
              <w:top w:w="60" w:type="dxa"/>
              <w:bottom w:w="60" w:type="dxa"/>
              <w:left w:w="60" w:type="dxa"/>
              <w:right w:w="60" w:type="dxa"/>
            </w:tcMar>
          </w:tcPr>
          <w:p>
            <w:pPr>
              <w:jc w:val="right"/>
            </w:pPr>
            <w:r>
              <w:rPr>
                <w:rFonts w:ascii="Calibri" w:hAnsi="Calibri"/>
                <w:b w:val="0"/>
                <w:sz w:val="17"/>
              </w:rPr>
              <w:t>$122,151.0M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$-17,794.0M</w:t>
            </w:r>
          </w:p>
        </w:tc>
        <w:tc>
          <w:tcPr>
            <w:tcW w:type="dxa" w:w="1094"/>
            <w:tcMar>
              <w:top w:w="60" w:type="dxa"/>
              <w:bottom w:w="60" w:type="dxa"/>
              <w:left w:w="60" w:type="dxa"/>
              <w:right w:w="60" w:type="dxa"/>
            </w:tcMar>
          </w:tcPr>
          <w:p>
            <w:pPr>
              <w:jc w:val="right"/>
            </w:pPr>
            <w:r>
              <w:rPr>
                <w:rFonts w:ascii="Calibri" w:hAnsi="Calibri"/>
                <w:b/>
                <w:sz w:val="17"/>
              </w:rPr>
              <w:t>$+528.0M</w:t>
            </w:r>
          </w:p>
        </w:tc>
        <w:tc>
          <w:tcPr>
            <w:tcW w:type="dxa" w:w="1094"/>
            <w:tcMar>
              <w:top w:w="60" w:type="dxa"/>
              <w:bottom w:w="60" w:type="dxa"/>
              <w:left w:w="60" w:type="dxa"/>
              <w:right w:w="60" w:type="dxa"/>
            </w:tcMar>
          </w:tcPr>
          <w:p>
            <w:pPr>
              <w:jc w:val="right"/>
            </w:pPr>
            <w:r>
              <w:rPr>
                <w:rFonts w:ascii="Calibri" w:hAnsi="Calibri"/>
                <w:b/>
                <w:sz w:val="17"/>
              </w:rPr>
              <w:t>$-24,518.0M</w:t>
            </w:r>
          </w:p>
        </w:tc>
        <w:tc>
          <w:tcPr>
            <w:tcW w:type="dxa" w:w="1094"/>
            <w:tcMar>
              <w:top w:w="60" w:type="dxa"/>
              <w:bottom w:w="60" w:type="dxa"/>
              <w:left w:w="60" w:type="dxa"/>
              <w:right w:w="60" w:type="dxa"/>
            </w:tcMar>
          </w:tcPr>
          <w:p>
            <w:pPr>
              <w:jc w:val="right"/>
            </w:pPr>
            <w:r>
              <w:rPr>
                <w:rFonts w:ascii="Calibri" w:hAnsi="Calibri"/>
                <w:b/>
                <w:sz w:val="17"/>
              </w:rPr>
              <w:t>$-13,548.0M</w:t>
            </w:r>
          </w:p>
        </w:tc>
        <w:tc>
          <w:tcPr>
            <w:tcW w:type="dxa" w:w="1094"/>
            <w:tcMar>
              <w:top w:w="60" w:type="dxa"/>
              <w:bottom w:w="60" w:type="dxa"/>
              <w:left w:w="60" w:type="dxa"/>
              <w:right w:w="60" w:type="dxa"/>
            </w:tcMar>
          </w:tcPr>
          <w:p>
            <w:pPr>
              <w:jc w:val="right"/>
            </w:pPr>
            <w:r>
              <w:rPr>
                <w:rFonts w:ascii="Calibri" w:hAnsi="Calibri"/>
                <w:b/>
                <w:sz w:val="17"/>
              </w:rPr>
              <w:t>$-22,348.0M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$371,253.5M</w:t>
            </w:r>
          </w:p>
        </w:tc>
        <w:tc>
          <w:tcPr>
            <w:tcW w:type="dxa" w:w="1094"/>
            <w:tcMar>
              <w:top w:w="60" w:type="dxa"/>
              <w:bottom w:w="60" w:type="dxa"/>
              <w:left w:w="60" w:type="dxa"/>
              <w:right w:w="60" w:type="dxa"/>
            </w:tcMar>
          </w:tcPr>
          <w:p>
            <w:pPr>
              <w:jc w:val="right"/>
            </w:pPr>
            <w:r>
              <w:rPr>
                <w:rFonts w:ascii="Calibri" w:hAnsi="Calibri"/>
                <w:b w:val="0"/>
                <w:sz w:val="17"/>
              </w:rPr>
              <w:t>$362,110.5M</w:t>
            </w:r>
          </w:p>
        </w:tc>
        <w:tc>
          <w:tcPr>
            <w:tcW w:type="dxa" w:w="1094"/>
            <w:tcMar>
              <w:top w:w="60" w:type="dxa"/>
              <w:bottom w:w="60" w:type="dxa"/>
              <w:left w:w="60" w:type="dxa"/>
              <w:right w:w="60" w:type="dxa"/>
            </w:tcMar>
          </w:tcPr>
          <w:p>
            <w:pPr>
              <w:jc w:val="right"/>
            </w:pPr>
            <w:r>
              <w:rPr>
                <w:rFonts w:ascii="Calibri" w:hAnsi="Calibri"/>
                <w:b w:val="0"/>
                <w:sz w:val="17"/>
              </w:rPr>
              <w:t>$358,781.5M</w:t>
            </w:r>
          </w:p>
        </w:tc>
        <w:tc>
          <w:tcPr>
            <w:tcW w:type="dxa" w:w="1094"/>
            <w:tcMar>
              <w:top w:w="60" w:type="dxa"/>
              <w:bottom w:w="60" w:type="dxa"/>
              <w:left w:w="60" w:type="dxa"/>
              <w:right w:w="60" w:type="dxa"/>
            </w:tcMar>
          </w:tcPr>
          <w:p>
            <w:pPr>
              <w:jc w:val="right"/>
            </w:pPr>
            <w:r>
              <w:rPr>
                <w:rFonts w:ascii="Calibri" w:hAnsi="Calibri"/>
                <w:b w:val="0"/>
                <w:sz w:val="17"/>
              </w:rPr>
              <w:t>$352,669.0M</w:t>
            </w:r>
          </w:p>
        </w:tc>
        <w:tc>
          <w:tcPr>
            <w:tcW w:type="dxa" w:w="1094"/>
            <w:tcMar>
              <w:top w:w="60" w:type="dxa"/>
              <w:bottom w:w="60" w:type="dxa"/>
              <w:left w:w="60" w:type="dxa"/>
              <w:right w:w="60" w:type="dxa"/>
            </w:tcMar>
          </w:tcPr>
          <w:p>
            <w:pPr>
              <w:jc w:val="right"/>
            </w:pPr>
            <w:r>
              <w:rPr>
                <w:rFonts w:ascii="Calibri" w:hAnsi="Calibri"/>
                <w:b w:val="0"/>
                <w:sz w:val="17"/>
              </w:rPr>
              <w:t>$351,878.5M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-4.79%</w:t>
            </w:r>
          </w:p>
        </w:tc>
        <w:tc>
          <w:tcPr>
            <w:tcW w:type="dxa" w:w="1094"/>
            <w:tcMar>
              <w:top w:w="60" w:type="dxa"/>
              <w:bottom w:w="60" w:type="dxa"/>
              <w:left w:w="60" w:type="dxa"/>
              <w:right w:w="60" w:type="dxa"/>
            </w:tcMar>
          </w:tcPr>
          <w:p>
            <w:pPr>
              <w:jc w:val="right"/>
            </w:pPr>
            <w:r>
              <w:rPr>
                <w:rFonts w:ascii="Calibri" w:hAnsi="Calibri"/>
                <w:b/>
                <w:sz w:val="17"/>
              </w:rPr>
              <w:t>+0.15%</w:t>
            </w:r>
          </w:p>
        </w:tc>
        <w:tc>
          <w:tcPr>
            <w:tcW w:type="dxa" w:w="1094"/>
            <w:tcMar>
              <w:top w:w="60" w:type="dxa"/>
              <w:bottom w:w="60" w:type="dxa"/>
              <w:left w:w="60" w:type="dxa"/>
              <w:right w:w="60" w:type="dxa"/>
            </w:tcMar>
          </w:tcPr>
          <w:p>
            <w:pPr>
              <w:jc w:val="right"/>
            </w:pPr>
            <w:r>
              <w:rPr>
                <w:rFonts w:ascii="Calibri" w:hAnsi="Calibri"/>
                <w:b/>
                <w:sz w:val="17"/>
              </w:rPr>
              <w:t>-6.83%</w:t>
            </w:r>
          </w:p>
        </w:tc>
        <w:tc>
          <w:tcPr>
            <w:tcW w:type="dxa" w:w="1094"/>
            <w:tcMar>
              <w:top w:w="60" w:type="dxa"/>
              <w:bottom w:w="60" w:type="dxa"/>
              <w:left w:w="60" w:type="dxa"/>
              <w:right w:w="60" w:type="dxa"/>
            </w:tcMar>
          </w:tcPr>
          <w:p>
            <w:pPr>
              <w:jc w:val="right"/>
            </w:pPr>
            <w:r>
              <w:rPr>
                <w:rFonts w:ascii="Calibri" w:hAnsi="Calibri"/>
                <w:b/>
                <w:sz w:val="17"/>
              </w:rPr>
              <w:t>-3.84%</w:t>
            </w:r>
          </w:p>
        </w:tc>
        <w:tc>
          <w:tcPr>
            <w:tcW w:type="dxa" w:w="1094"/>
            <w:tcMar>
              <w:top w:w="60" w:type="dxa"/>
              <w:bottom w:w="60" w:type="dxa"/>
              <w:left w:w="60" w:type="dxa"/>
              <w:right w:w="60" w:type="dxa"/>
            </w:tcMar>
          </w:tcPr>
          <w:p>
            <w:pPr>
              <w:jc w:val="right"/>
            </w:pPr>
            <w:r>
              <w:rPr>
                <w:rFonts w:ascii="Calibri" w:hAnsi="Calibri"/>
                <w:b/>
                <w:sz w:val="17"/>
              </w:rPr>
              <w:t>-6.35%</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Apple Inc. generó $146,724.0M de CFO frente a $128,930.0M de beneficio neto, arrojando una tasa de conversión de caja del 113.8% (cada dólar reportado está respaldado por $1.14 de efectivo). El Ratio Sloan de -4.79%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440"/>
            <w:tcMar>
              <w:top w:w="60" w:type="dxa"/>
              <w:bottom w:w="60" w:type="dxa"/>
              <w:left w:w="80" w:type="dxa"/>
              <w:right w:w="80" w:type="dxa"/>
            </w:tcMar>
          </w:tcPr>
          <w:p>
            <w:pPr>
              <w:jc w:val="center"/>
            </w:pPr>
            <w:r>
              <w:rPr>
                <w:rFonts w:ascii="Calibri" w:hAnsi="Calibri"/>
                <w:sz w:val="17"/>
              </w:rPr>
              <w:t>DSO: 24.5d (-10.3d)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+85.5%</w:t>
            </w:r>
          </w:p>
        </w:tc>
        <w:tc>
          <w:tcPr>
            <w:tcW w:type="dxa" w:w="1440"/>
            <w:tcMar>
              <w:top w:w="60" w:type="dxa"/>
              <w:bottom w:w="60" w:type="dxa"/>
              <w:left w:w="80" w:type="dxa"/>
              <w:right w:w="80" w:type="dxa"/>
            </w:tcMar>
          </w:tcPr>
          <w:p>
            <w:pPr>
              <w:jc w:val="center"/>
            </w:pPr>
            <w:r>
              <w:rPr>
                <w:rFonts w:ascii="Calibri" w:hAnsi="Calibri"/>
                <w:sz w:val="17"/>
              </w:rPr>
              <w:t>DIO: 16.9d (+7.4d)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76.3%</w:t>
            </w:r>
          </w:p>
        </w:tc>
        <w:tc>
          <w:tcPr>
            <w:tcW w:type="dxa" w:w="1440"/>
            <w:tcMar>
              <w:top w:w="60" w:type="dxa"/>
              <w:bottom w:w="60" w:type="dxa"/>
              <w:left w:w="80" w:type="dxa"/>
              <w:right w:w="80" w:type="dxa"/>
            </w:tcMar>
          </w:tcPr>
          <w:p>
            <w:pPr>
              <w:jc w:val="center"/>
            </w:pPr>
            <w:r>
              <w:rPr>
                <w:rFonts w:ascii="Calibri" w:hAnsi="Calibri"/>
                <w:sz w:val="17"/>
              </w:rPr>
              <w:t>Δ: +0.1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(Apple Inc.): El modelo cuantitativo puro activa una bandera preventiva debido a que los inventarios crecieron un +85.5% por encima del coste de ventas (aumentando de $3,332M a $6,464M, con un alza de +4.0 días en DIO). Sin embargo, la auditoría cualitativa confirma que se trata de un falso positivo operativo: este incremento responde estrictamente al acopio estratégico de microprocesadores avanzados (chips A19 y M5 en litografía de 2nm y 3nm) y módulos de memoria DRAM en vísperas del lanzamiento global del superciclo de hardware con Apple Intelligence. Incluso con esta acumulación temporal, los Días de Inventario de Apple (8.8 días) representan la tasa de rotación más rápida de toda la industria tecnológica mundial (donde los competidores promedian entre 45 y 60 días), descartando cualquier riesgo de producto no vendido u obsoleto en bodegas.</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$128,930.0M vs CFO: $146,724.0M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24.5d (Δ: -10.3d)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16.9d (Δ: +7.4d)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3.73% vs 3.5%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20.3% vs 19.01%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+6.7% vs ΔVentas: +12.2%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113.8%</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24.5d);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16.9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(16.9d);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+0.1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3.23 [ZONA SEGURA]</w:t>
              <w:br/>
              <w:br/>
              <w:t>FORTALEZA FINANCIERA INQUEBRANTABLE (GRADO INSTITUCIONAL AAA/AA): Apalancamiento óptimo (0.12x), cobertura de intereses de 42.4x y Altman Z''-Score de 3.23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$82,347.0M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$62,399.0M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$19,948.0M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0.12x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0.15x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$154,859.0M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$3,650.0M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42.4x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2.49%</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3.23</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$347.73  |  WACC Auditado: 10.0% (Rf: 4.99%, ERP: 4.75%)</w:t>
        <w:br/>
        <w:t>• Crecimiento Implícito Calculado: 16.2% Anual a 10 Años (vs. 8.7% Histórico)</w:t>
        <w:br/>
        <w:t>• Veredicto: Descuenta expectativas de 16.2% anual. Exigencia de crecimiento ambiciosa (+23.1% anual); requiere catalizadores sostenidos en IA y Servicios.</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$347.73</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4.99%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1.07</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4.43%</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3.67%</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17.3%</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1.6%</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98.4%</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10.0%</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29.3%</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9.00% (Bajo / Expansión)</w:t>
            </w:r>
          </w:p>
        </w:tc>
        <w:tc>
          <w:tcPr>
            <w:tcW w:type="dxa" w:w="1224"/>
          </w:tcPr>
          <w:p>
            <w:r>
              <w:rPr>
                <w:sz w:val="16"/>
              </w:rPr>
              <w:t>15.8%</w:t>
            </w:r>
          </w:p>
        </w:tc>
        <w:tc>
          <w:tcPr>
            <w:tcW w:type="dxa" w:w="1224"/>
          </w:tcPr>
          <w:p>
            <w:r>
              <w:rPr>
                <w:sz w:val="16"/>
              </w:rPr>
              <w:t>15.2%</w:t>
            </w:r>
          </w:p>
        </w:tc>
        <w:tc>
          <w:tcPr>
            <w:tcW w:type="dxa" w:w="1224"/>
          </w:tcPr>
          <w:p>
            <w:r>
              <w:rPr>
                <w:sz w:val="16"/>
              </w:rPr>
              <w:t>14.6%</w:t>
            </w:r>
          </w:p>
        </w:tc>
        <w:tc>
          <w:tcPr>
            <w:tcW w:type="dxa" w:w="1224"/>
          </w:tcPr>
          <w:p>
            <w:r>
              <w:rPr>
                <w:b/>
                <w:sz w:val="16"/>
              </w:rPr>
              <w:t>13.9%</w:t>
            </w:r>
          </w:p>
        </w:tc>
        <w:tc>
          <w:tcPr>
            <w:tcW w:type="dxa" w:w="1224"/>
          </w:tcPr>
          <w:p>
            <w:r>
              <w:rPr>
                <w:sz w:val="16"/>
              </w:rPr>
              <w:t>13.1%</w:t>
            </w:r>
          </w:p>
        </w:tc>
        <w:tc>
          <w:tcPr>
            <w:tcW w:type="dxa" w:w="1224"/>
          </w:tcPr>
          <w:p>
            <w:r>
              <w:rPr>
                <w:sz w:val="16"/>
              </w:rPr>
              <w:t>12.3%</w:t>
            </w:r>
          </w:p>
        </w:tc>
        <w:tc>
          <w:tcPr>
            <w:tcW w:type="dxa" w:w="1224"/>
          </w:tcPr>
          <w:p>
            <w:r>
              <w:rPr>
                <w:sz w:val="16"/>
              </w:rPr>
              <w:t>Escenario favorable; exigencia de crecimiento más moderada.</w:t>
            </w:r>
          </w:p>
        </w:tc>
      </w:tr>
      <w:tr>
        <w:tc>
          <w:tcPr>
            <w:tcW w:type="dxa" w:w="1224"/>
            <w:shd w:fill="F7FAFC"/>
          </w:tcPr>
          <w:p>
            <w:r>
              <w:rPr>
                <w:sz w:val="16"/>
              </w:rPr>
              <w:t>9.50% (Favorable)</w:t>
            </w:r>
          </w:p>
        </w:tc>
        <w:tc>
          <w:tcPr>
            <w:tcW w:type="dxa" w:w="1224"/>
            <w:shd w:fill="F7FAFC"/>
          </w:tcPr>
          <w:p>
            <w:r>
              <w:rPr>
                <w:sz w:val="16"/>
              </w:rPr>
              <w:t>16.8%</w:t>
            </w:r>
          </w:p>
        </w:tc>
        <w:tc>
          <w:tcPr>
            <w:tcW w:type="dxa" w:w="1224"/>
            <w:shd w:fill="F7FAFC"/>
          </w:tcPr>
          <w:p>
            <w:r>
              <w:rPr>
                <w:sz w:val="16"/>
              </w:rPr>
              <w:t>16.3%</w:t>
            </w:r>
          </w:p>
        </w:tc>
        <w:tc>
          <w:tcPr>
            <w:tcW w:type="dxa" w:w="1224"/>
            <w:shd w:fill="F7FAFC"/>
          </w:tcPr>
          <w:p>
            <w:r>
              <w:rPr>
                <w:sz w:val="16"/>
              </w:rPr>
              <w:t>15.7%</w:t>
            </w:r>
          </w:p>
        </w:tc>
        <w:tc>
          <w:tcPr>
            <w:tcW w:type="dxa" w:w="1224"/>
            <w:shd w:fill="F7FAFC"/>
          </w:tcPr>
          <w:p>
            <w:r>
              <w:rPr>
                <w:b/>
                <w:sz w:val="16"/>
              </w:rPr>
              <w:t>15.1%</w:t>
            </w:r>
          </w:p>
        </w:tc>
        <w:tc>
          <w:tcPr>
            <w:tcW w:type="dxa" w:w="1224"/>
            <w:shd w:fill="F7FAFC"/>
          </w:tcPr>
          <w:p>
            <w:r>
              <w:rPr>
                <w:sz w:val="16"/>
              </w:rPr>
              <w:t>14.4%</w:t>
            </w:r>
          </w:p>
        </w:tc>
        <w:tc>
          <w:tcPr>
            <w:tcW w:type="dxa" w:w="1224"/>
            <w:shd w:fill="F7FAFC"/>
          </w:tcPr>
          <w:p>
            <w:r>
              <w:rPr>
                <w:sz w:val="16"/>
              </w:rPr>
              <w:t>13.6%</w:t>
            </w:r>
          </w:p>
        </w:tc>
        <w:tc>
          <w:tcPr>
            <w:tcW w:type="dxa" w:w="1224"/>
            <w:shd w:fill="F7FAFC"/>
          </w:tcPr>
          <w:p>
            <w:r>
              <w:rPr>
                <w:sz w:val="16"/>
              </w:rPr>
              <w:t>Escenario de sensibilidad operativa.</w:t>
            </w:r>
          </w:p>
        </w:tc>
      </w:tr>
      <w:tr>
        <w:tc>
          <w:tcPr>
            <w:tcW w:type="dxa" w:w="1224"/>
            <w:shd w:fill="F7FAFC"/>
          </w:tcPr>
          <w:p>
            <w:r>
              <w:rPr>
                <w:sz w:val="16"/>
              </w:rPr>
              <w:t>10.00% (WACC Auditado Base)</w:t>
            </w:r>
          </w:p>
        </w:tc>
        <w:tc>
          <w:tcPr>
            <w:tcW w:type="dxa" w:w="1224"/>
            <w:shd w:fill="F7FAFC"/>
          </w:tcPr>
          <w:p>
            <w:r>
              <w:rPr>
                <w:b/>
                <w:sz w:val="16"/>
              </w:rPr>
              <w:t>17.9%</w:t>
            </w:r>
          </w:p>
        </w:tc>
        <w:tc>
          <w:tcPr>
            <w:tcW w:type="dxa" w:w="1224"/>
            <w:shd w:fill="F7FAFC"/>
          </w:tcPr>
          <w:p>
            <w:r>
              <w:rPr>
                <w:b/>
                <w:sz w:val="16"/>
              </w:rPr>
              <w:t>17.3%</w:t>
            </w:r>
          </w:p>
        </w:tc>
        <w:tc>
          <w:tcPr>
            <w:tcW w:type="dxa" w:w="1224"/>
            <w:shd w:fill="F7FAFC"/>
          </w:tcPr>
          <w:p>
            <w:r>
              <w:rPr>
                <w:b/>
                <w:sz w:val="16"/>
              </w:rPr>
              <w:t>16.8%</w:t>
            </w:r>
          </w:p>
        </w:tc>
        <w:tc>
          <w:tcPr>
            <w:tcW w:type="dxa" w:w="1224"/>
            <w:shd w:fill="FFF2CC"/>
          </w:tcPr>
          <w:p>
            <w:r>
              <w:rPr>
                <w:b/>
                <w:sz w:val="16"/>
              </w:rPr>
              <w:t>16.2%</w:t>
            </w:r>
          </w:p>
        </w:tc>
        <w:tc>
          <w:tcPr>
            <w:tcW w:type="dxa" w:w="1224"/>
            <w:shd w:fill="F7FAFC"/>
          </w:tcPr>
          <w:p>
            <w:r>
              <w:rPr>
                <w:b/>
                <w:sz w:val="16"/>
              </w:rPr>
              <w:t>15.5%</w:t>
            </w:r>
          </w:p>
        </w:tc>
        <w:tc>
          <w:tcPr>
            <w:tcW w:type="dxa" w:w="1224"/>
            <w:shd w:fill="F7FAFC"/>
          </w:tcPr>
          <w:p>
            <w:r>
              <w:rPr>
                <w:b/>
                <w:sz w:val="16"/>
              </w:rPr>
              <w:t>14.8%</w:t>
            </w:r>
          </w:p>
        </w:tc>
        <w:tc>
          <w:tcPr>
            <w:tcW w:type="dxa" w:w="1224"/>
            <w:shd w:fill="F7FAFC"/>
          </w:tcPr>
          <w:p>
            <w:r>
              <w:rPr>
                <w:sz w:val="16"/>
              </w:rPr>
              <w:t>ESCENARIO CENTRAL: Crecimiento implícito real de mercado.</w:t>
            </w:r>
          </w:p>
        </w:tc>
      </w:tr>
      <w:tr>
        <w:tc>
          <w:tcPr>
            <w:tcW w:type="dxa" w:w="1224"/>
            <w:shd w:fill="F7FAFC"/>
          </w:tcPr>
          <w:p>
            <w:r>
              <w:rPr>
                <w:sz w:val="16"/>
              </w:rPr>
              <w:t>10.50% (Exigente)</w:t>
            </w:r>
          </w:p>
        </w:tc>
        <w:tc>
          <w:tcPr>
            <w:tcW w:type="dxa" w:w="1224"/>
            <w:shd w:fill="F7FAFC"/>
          </w:tcPr>
          <w:p>
            <w:r>
              <w:rPr>
                <w:sz w:val="16"/>
              </w:rPr>
              <w:t>18.8%</w:t>
            </w:r>
          </w:p>
        </w:tc>
        <w:tc>
          <w:tcPr>
            <w:tcW w:type="dxa" w:w="1224"/>
            <w:shd w:fill="F7FAFC"/>
          </w:tcPr>
          <w:p>
            <w:r>
              <w:rPr>
                <w:sz w:val="16"/>
              </w:rPr>
              <w:t>18.3%</w:t>
            </w:r>
          </w:p>
        </w:tc>
        <w:tc>
          <w:tcPr>
            <w:tcW w:type="dxa" w:w="1224"/>
            <w:shd w:fill="F7FAFC"/>
          </w:tcPr>
          <w:p>
            <w:r>
              <w:rPr>
                <w:sz w:val="16"/>
              </w:rPr>
              <w:t>17.8%</w:t>
            </w:r>
          </w:p>
        </w:tc>
        <w:tc>
          <w:tcPr>
            <w:tcW w:type="dxa" w:w="1224"/>
            <w:shd w:fill="F7FAFC"/>
          </w:tcPr>
          <w:p>
            <w:r>
              <w:rPr>
                <w:b/>
                <w:sz w:val="16"/>
              </w:rPr>
              <w:t>17.3%</w:t>
            </w:r>
          </w:p>
        </w:tc>
        <w:tc>
          <w:tcPr>
            <w:tcW w:type="dxa" w:w="1224"/>
            <w:shd w:fill="F7FAFC"/>
          </w:tcPr>
          <w:p>
            <w:r>
              <w:rPr>
                <w:sz w:val="16"/>
              </w:rPr>
              <w:t>16.7%</w:t>
            </w:r>
          </w:p>
        </w:tc>
        <w:tc>
          <w:tcPr>
            <w:tcW w:type="dxa" w:w="1224"/>
            <w:shd w:fill="F7FAFC"/>
          </w:tcPr>
          <w:p>
            <w:r>
              <w:rPr>
                <w:sz w:val="16"/>
              </w:rPr>
              <w:t>16.0%</w:t>
            </w:r>
          </w:p>
        </w:tc>
        <w:tc>
          <w:tcPr>
            <w:tcW w:type="dxa" w:w="1224"/>
            <w:shd w:fill="F7FAFC"/>
          </w:tcPr>
          <w:p>
            <w:r>
              <w:rPr>
                <w:sz w:val="16"/>
              </w:rPr>
              <w:t>Escenario de sensibilidad operativa.</w:t>
            </w:r>
          </w:p>
        </w:tc>
      </w:tr>
      <w:tr>
        <w:tc>
          <w:tcPr>
            <w:tcW w:type="dxa" w:w="1224"/>
          </w:tcPr>
          <w:p>
            <w:r>
              <w:rPr>
                <w:sz w:val="16"/>
              </w:rPr>
              <w:t>11.00% (Estrés / Tipos Altos)</w:t>
            </w:r>
          </w:p>
        </w:tc>
        <w:tc>
          <w:tcPr>
            <w:tcW w:type="dxa" w:w="1224"/>
          </w:tcPr>
          <w:p>
            <w:r>
              <w:rPr>
                <w:sz w:val="16"/>
              </w:rPr>
              <w:t>19.8%</w:t>
            </w:r>
          </w:p>
        </w:tc>
        <w:tc>
          <w:tcPr>
            <w:tcW w:type="dxa" w:w="1224"/>
          </w:tcPr>
          <w:p>
            <w:r>
              <w:rPr>
                <w:sz w:val="16"/>
              </w:rPr>
              <w:t>19.3%</w:t>
            </w:r>
          </w:p>
        </w:tc>
        <w:tc>
          <w:tcPr>
            <w:tcW w:type="dxa" w:w="1224"/>
          </w:tcPr>
          <w:p>
            <w:r>
              <w:rPr>
                <w:sz w:val="16"/>
              </w:rPr>
              <w:t>18.8%</w:t>
            </w:r>
          </w:p>
        </w:tc>
        <w:tc>
          <w:tcPr>
            <w:tcW w:type="dxa" w:w="1224"/>
          </w:tcPr>
          <w:p>
            <w:r>
              <w:rPr>
                <w:b/>
                <w:sz w:val="16"/>
              </w:rPr>
              <w:t>18.3%</w:t>
            </w:r>
          </w:p>
        </w:tc>
        <w:tc>
          <w:tcPr>
            <w:tcW w:type="dxa" w:w="1224"/>
          </w:tcPr>
          <w:p>
            <w:r>
              <w:rPr>
                <w:sz w:val="16"/>
              </w:rPr>
              <w:t>17.7%</w:t>
            </w:r>
          </w:p>
        </w:tc>
        <w:tc>
          <w:tcPr>
            <w:tcW w:type="dxa" w:w="1224"/>
          </w:tcPr>
          <w:p>
            <w:r>
              <w:rPr>
                <w:sz w:val="16"/>
              </w:rPr>
              <w:t>17.1%</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Costes de Cambio (Switching Costs) + Activos Intangibles y Marca</w:t>
            </w:r>
          </w:p>
        </w:tc>
        <w:tc>
          <w:tcPr>
            <w:tcW w:type="dxa" w:w="2448"/>
          </w:tcPr>
          <w:p>
            <w:r>
              <w:rPr>
                <w:b/>
                <w:sz w:val="17"/>
              </w:rPr>
              <w:t>WIDE MOAT</w:t>
            </w:r>
          </w:p>
        </w:tc>
        <w:tc>
          <w:tcPr>
            <w:tcW w:type="dxa" w:w="2448"/>
          </w:tcPr>
          <w:p>
            <w:r>
              <w:rPr>
                <w:sz w:val="17"/>
              </w:rPr>
              <w:t>Poder de fijación de precios y resiliencia de márgenes (33.2% EBIT).</w:t>
            </w:r>
          </w:p>
        </w:tc>
      </w:tr>
      <w:tr>
        <w:tc>
          <w:tcPr>
            <w:tcW w:type="dxa" w:w="2448"/>
            <w:shd w:fill="F7FAFC"/>
          </w:tcPr>
          <w:p>
            <w:r>
              <w:rPr>
                <w:b/>
                <w:sz w:val="17"/>
              </w:rPr>
              <w:t>Calidad de Beneficios</w:t>
            </w:r>
          </w:p>
        </w:tc>
        <w:tc>
          <w:tcPr>
            <w:tcW w:type="dxa" w:w="2448"/>
            <w:shd w:fill="F7FAFC"/>
          </w:tcPr>
          <w:p>
            <w:r>
              <w:rPr>
                <w:sz w:val="17"/>
              </w:rPr>
              <w:t>Ratio Sloan: -4.79% / Montier: 2/6</w:t>
            </w:r>
          </w:p>
        </w:tc>
        <w:tc>
          <w:tcPr>
            <w:tcW w:type="dxa" w:w="2448"/>
            <w:shd w:fill="F7FAFC"/>
          </w:tcPr>
          <w:p>
            <w:r>
              <w:rPr>
                <w:b/>
                <w:sz w:val="17"/>
              </w:rPr>
              <w:t>CALIDAD SÓLIDA / BAJO RIESGO</w:t>
            </w:r>
          </w:p>
        </w:tc>
        <w:tc>
          <w:tcPr>
            <w:tcW w:type="dxa" w:w="2448"/>
            <w:shd w:fill="F7FAFC"/>
          </w:tcPr>
          <w:p>
            <w:r>
              <w:rPr>
                <w:sz w:val="17"/>
              </w:rPr>
              <w:t>Ganancias avaladas por caja real ($1.14 CFO por dólar de NI).</w:t>
            </w:r>
          </w:p>
        </w:tc>
      </w:tr>
      <w:tr>
        <w:tc>
          <w:tcPr>
            <w:tcW w:type="dxa" w:w="2448"/>
          </w:tcPr>
          <w:p>
            <w:r>
              <w:rPr>
                <w:b/>
                <w:sz w:val="17"/>
              </w:rPr>
              <w:t>Solvencia y Estructura</w:t>
            </w:r>
          </w:p>
        </w:tc>
        <w:tc>
          <w:tcPr>
            <w:tcW w:type="dxa" w:w="2448"/>
          </w:tcPr>
          <w:p>
            <w:r>
              <w:rPr>
                <w:sz w:val="17"/>
              </w:rPr>
              <w:t>Cobertura EBIT: 42.4x / Altman Z'': 3.23</w:t>
            </w:r>
          </w:p>
        </w:tc>
        <w:tc>
          <w:tcPr>
            <w:tcW w:type="dxa" w:w="2448"/>
          </w:tcPr>
          <w:p>
            <w:r>
              <w:rPr>
                <w:b/>
                <w:sz w:val="17"/>
              </w:rPr>
              <w:t>SINTÉTICO AAA</w:t>
            </w:r>
          </w:p>
        </w:tc>
        <w:tc>
          <w:tcPr>
            <w:tcW w:type="dxa" w:w="2448"/>
          </w:tcPr>
          <w:p>
            <w:r>
              <w:rPr>
                <w:sz w:val="17"/>
              </w:rPr>
              <w:t>Cero estrés financiero; colchón de $62.4B.</w:t>
            </w:r>
          </w:p>
        </w:tc>
      </w:tr>
      <w:tr>
        <w:tc>
          <w:tcPr>
            <w:tcW w:type="dxa" w:w="2448"/>
            <w:shd w:fill="F7FAFC"/>
          </w:tcPr>
          <w:p>
            <w:r>
              <w:rPr>
                <w:b/>
                <w:sz w:val="17"/>
              </w:rPr>
              <w:t>Productividad del Capital</w:t>
            </w:r>
          </w:p>
        </w:tc>
        <w:tc>
          <w:tcPr>
            <w:tcW w:type="dxa" w:w="2448"/>
            <w:shd w:fill="F7FAFC"/>
          </w:tcPr>
          <w:p>
            <w:r>
              <w:rPr>
                <w:sz w:val="17"/>
              </w:rPr>
              <w:t>ROC Greenblatt: 305.9% / ROIC Adj: 50.1%</w:t>
            </w:r>
          </w:p>
        </w:tc>
        <w:tc>
          <w:tcPr>
            <w:tcW w:type="dxa" w:w="2448"/>
            <w:shd w:fill="F7FAFC"/>
          </w:tcPr>
          <w:p>
            <w:r>
              <w:rPr>
                <w:b/>
                <w:sz w:val="17"/>
              </w:rPr>
              <w:t>COMPOUNDING MACHINE</w:t>
            </w:r>
          </w:p>
        </w:tc>
        <w:tc>
          <w:tcPr>
            <w:tcW w:type="dxa" w:w="2448"/>
            <w:shd w:fill="F7FAFC"/>
          </w:tcPr>
          <w:p>
            <w:r>
              <w:rPr>
                <w:sz w:val="17"/>
              </w:rPr>
              <w:t>Spread económico de +40.1 pp sobre WACC (Creación de valor de élite).</w:t>
            </w:r>
          </w:p>
        </w:tc>
      </w:tr>
      <w:tr>
        <w:tc>
          <w:tcPr>
            <w:tcW w:type="dxa" w:w="2448"/>
          </w:tcPr>
          <w:p>
            <w:r>
              <w:rPr>
                <w:b/>
                <w:sz w:val="17"/>
              </w:rPr>
              <w:t>Valoración de Mercado</w:t>
            </w:r>
          </w:p>
        </w:tc>
        <w:tc>
          <w:tcPr>
            <w:tcW w:type="dxa" w:w="2448"/>
          </w:tcPr>
          <w:p>
            <w:r>
              <w:rPr>
                <w:sz w:val="17"/>
              </w:rPr>
              <w:t>Crecimiento Implícito: 16.2% - 20.7%</w:t>
            </w:r>
          </w:p>
        </w:tc>
        <w:tc>
          <w:tcPr>
            <w:tcW w:type="dxa" w:w="2448"/>
          </w:tcPr>
          <w:p>
            <w:r>
              <w:rPr>
                <w:b/>
                <w:sz w:val="17"/>
              </w:rPr>
              <w:t>PRICED FOR PERFECTION</w:t>
            </w:r>
          </w:p>
        </w:tc>
        <w:tc>
          <w:tcPr>
            <w:tcW w:type="dxa" w:w="2448"/>
          </w:tcPr>
          <w:p>
            <w:r>
              <w:rPr>
                <w:sz w:val="17"/>
              </w:rPr>
              <w:t>Exigencia de crecimiento ambiciosa (+23.1% anual); requiere catalizadores sostenidos en IA y Servicios.</w:t>
            </w:r>
          </w:p>
        </w:tc>
      </w:tr>
    </w:tbl>
    <w:p>
      <w:pPr>
        <w:spacing w:before="400"/>
        <w:jc w:val="center"/>
      </w:pPr>
      <w:r>
        <w:rPr>
          <w:rFonts w:ascii="Calibri" w:hAnsi="Calibri"/>
          <w:i/>
          <w:color w:val="4A5568"/>
          <w:sz w:val="17"/>
        </w:rPr>
        <w:t>Fin del Informe Oficial de Investigación Fundamental — Apple Inc. (AAPL)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