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NU HOLDINGS LTD. (NYSE: NU)</w:t>
              <w:br/>
              <w:t>Resultados Trimestrales Q2 2026, Earnings Call &amp; Análisis de Gobernanza</w:t>
            </w:r>
          </w:p>
          <w:p>
            <w:pPr>
              <w:spacing w:before="0" w:after="0"/>
            </w:pPr>
            <w:r>
              <w:rPr>
                <w:rFonts w:ascii="Calibri" w:hAnsi="Calibri"/>
                <w:i/>
                <w:color w:val="D1DFF5"/>
                <w:sz w:val="17"/>
              </w:rPr>
              <w:t>Fecha de Análisis: 23 de Septiembre de 2026 | Período Contable: 30 de Junio de 2026</w:t>
              <w:br/>
              <w:t>Fuente Oficial: Formulario 6-K, Formulario 20-F (SEC EDGAR) &amp; Q2 2026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DISRUPCIÓN BANCARIA DIGITAL</w:t>
            </w:r>
          </w:p>
          <w:p>
            <w:pPr>
              <w:spacing w:before="40" w:after="40" w:line="276" w:lineRule="auto"/>
            </w:pPr>
            <w:r>
              <w:rPr>
                <w:rFonts w:ascii="Calibri" w:hAnsi="Calibri"/>
                <w:color w:val="2D3748"/>
                <w:sz w:val="19"/>
              </w:rPr>
              <w:t>Nu Holdings Ltd. (Nubank) es la plataforma de banca digital independiente más grande del mundo occidental, prestando servicios a más de 105 millones de clientes en Brasil, México y Colombia.</w:t>
            </w:r>
          </w:p>
          <w:p>
            <w:pPr>
              <w:spacing w:before="40" w:after="40" w:line="276" w:lineRule="auto"/>
            </w:pPr>
            <w:r>
              <w:rPr>
                <w:rFonts w:ascii="Calibri" w:hAnsi="Calibri"/>
                <w:color w:val="2D3748"/>
                <w:sz w:val="19"/>
              </w:rPr>
              <w:t>Su modelo de negocio rompe radicalmente con la banca tradicional gracias a una arquitectura 100% nativa en la nube (cloud-native) y sin sucursales físicas. Esto le permite operar con un Coste de Atención por Cliente Activo (Cost-to-Serve) de aproximadamente $0.90 al mes —un 85% inferior a los bancos tradicionales brasileños (Itaú, Bradesco, Santander Brasil)—, monetizando a través de un ecosistema multiproducto que abarca tarjetas de crédito, préstamos personales, cuentas remuneradas, transferencias y seguros.</w:t>
            </w:r>
          </w:p>
        </w:tc>
      </w:tr>
    </w:tbl>
    <w:p>
      <w:pPr>
        <w:spacing w:after="80"/>
      </w:pPr>
    </w:p>
    <w:p>
      <w:pPr>
        <w:keepNext/>
        <w:spacing w:before="200" w:after="80"/>
      </w:pPr>
      <w:r>
        <w:rPr>
          <w:rFonts w:ascii="Calibri" w:hAnsi="Calibri"/>
          <w:b/>
          <w:color w:val="4A5568"/>
          <w:sz w:val="22"/>
        </w:rPr>
        <w:t>Estructura de Productos y Líneas de Monetización Financiera:</w:t>
      </w:r>
    </w:p>
    <w:p>
      <w:pPr>
        <w:spacing w:before="40" w:after="80" w:line="276" w:lineRule="auto"/>
      </w:pPr>
      <w:r>
        <w:rPr>
          <w:rFonts w:ascii="Calibri" w:hAnsi="Calibri"/>
          <w:i w:val="0"/>
          <w:color w:val="2D3748"/>
          <w:sz w:val="20"/>
        </w:rPr>
        <w:t>De acuerdo con los reportes oficiales auditados ante la SEC bajo IFRS y el Managerial P&amp;L de la entidad, los ingresos se generan a través de cuatro pilares:</w:t>
      </w:r>
    </w:p>
    <w:p>
      <w:pPr>
        <w:spacing w:before="40" w:after="80" w:line="276" w:lineRule="auto"/>
      </w:pPr>
      <w:r>
        <w:rPr>
          <w:rFonts w:ascii="Calibri" w:hAnsi="Calibri"/>
          <w:b/>
          <w:color w:val="2D3748"/>
          <w:sz w:val="20"/>
        </w:rPr>
        <w:t xml:space="preserve">• Margen de Intereses e Intermediación Crediticia - NII (~75% de los ingresos netos): </w:t>
      </w:r>
      <w:r>
        <w:rPr>
          <w:rFonts w:ascii="Calibri" w:hAnsi="Calibri"/>
          <w:i w:val="0"/>
          <w:color w:val="2D3748"/>
          <w:sz w:val="20"/>
        </w:rPr>
        <w:t>Intereses cobrados sobre la cartera de préstamos personales no garantizados y financiamiento rotativo de tarjetas de crédito, fondeados a bajo costo mediante los depósitos de los propios clientes.</w:t>
      </w:r>
    </w:p>
    <w:p>
      <w:pPr>
        <w:spacing w:before="40" w:after="80" w:line="276" w:lineRule="auto"/>
      </w:pPr>
      <w:r>
        <w:rPr>
          <w:rFonts w:ascii="Calibri" w:hAnsi="Calibri"/>
          <w:b/>
          <w:color w:val="2D3748"/>
          <w:sz w:val="20"/>
        </w:rPr>
        <w:t xml:space="preserve">• Comisiones por Servicios, Adquirencia e Intercambio (~25% de los ingresos netos): </w:t>
      </w:r>
      <w:r>
        <w:rPr>
          <w:rFonts w:ascii="Calibri" w:hAnsi="Calibri"/>
          <w:i w:val="0"/>
          <w:color w:val="2D3748"/>
          <w:sz w:val="20"/>
        </w:rPr>
        <w:t>Comisiones de intercambio (Interchange Fees) cobradas cada vez que un usuario utiliza su tarjeta de crédito o débito Nubank en cualquier comercio del mundo, tarifas de intermediación de fondos de inversión (NuInvest) y primas de micro-seguros (NuSeguros).</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Nu Holdings Ltd.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Cartera de Tarjetas de Crédito (Credit Card Receivables)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$21,494.4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14.3%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Cartera de Préstamos Personales (Loans to Customers)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$11,317.4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7.5%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 Cartera Bruta de Crédito Total (Total Gross Credit Portfolio)</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$32,811.8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Subtotal</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Subtotal consolidado de canal/categoría (+0.0% YoY).</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Volumen de Compras con Tarjetas (Purchase Volume - PV)</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$72,500.0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48.1%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(+0.0% YoY); consolidación en mercados y canales core.</w:t>
            </w:r>
          </w:p>
        </w:tc>
      </w:tr>
      <w:tr>
        <w:tc>
          <w:tcPr>
            <w:tcW w:type="dxa" w:w="2160"/>
            <w:shd w:fill="E2E8F0"/>
            <w:tcMar>
              <w:top w:w="80" w:type="dxa"/>
              <w:bottom w:w="80" w:type="dxa"/>
              <w:left w:w="120" w:type="dxa"/>
              <w:right w:w="120" w:type="dxa"/>
            </w:tcMar>
          </w:tcPr>
          <w:p>
            <w:pPr>
              <w:spacing w:before="0" w:after="0"/>
              <w:jc w:val="left"/>
            </w:pPr>
            <w:r>
              <w:rPr>
                <w:rFonts w:ascii="Calibri" w:hAnsi="Calibri"/>
                <w:b/>
                <w:color w:val="2D3748"/>
                <w:sz w:val="18"/>
              </w:rPr>
              <w:t>Depósitos Totales de Clientes (Customer Deposits)</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$45,328.4 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$0.0 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+0.0%</w:t>
            </w:r>
          </w:p>
        </w:tc>
        <w:tc>
          <w:tcPr>
            <w:tcW w:type="dxa" w:w="1296"/>
            <w:shd w:fill="E2E8F0"/>
            <w:tcMar>
              <w:top w:w="80" w:type="dxa"/>
              <w:bottom w:w="80" w:type="dxa"/>
              <w:left w:w="120" w:type="dxa"/>
              <w:right w:w="120" w:type="dxa"/>
            </w:tcMar>
          </w:tcPr>
          <w:p>
            <w:pPr>
              <w:spacing w:before="0" w:after="0"/>
              <w:jc w:val="center"/>
            </w:pPr>
            <w:r>
              <w:rPr>
                <w:rFonts w:ascii="Calibri" w:hAnsi="Calibri"/>
                <w:b/>
                <w:color w:val="2D3748"/>
                <w:sz w:val="18"/>
              </w:rPr>
              <w:t>30.1% Mix</w:t>
            </w:r>
          </w:p>
        </w:tc>
        <w:tc>
          <w:tcPr>
            <w:tcW w:type="dxa" w:w="2016"/>
            <w:shd w:fill="E2E8F0"/>
            <w:tcMar>
              <w:top w:w="80" w:type="dxa"/>
              <w:bottom w:w="80" w:type="dxa"/>
              <w:left w:w="120" w:type="dxa"/>
              <w:right w:w="120" w:type="dxa"/>
            </w:tcMar>
          </w:tcPr>
          <w:p>
            <w:pPr>
              <w:spacing w:before="0" w:after="0"/>
              <w:jc w:val="center"/>
            </w:pPr>
            <w:r>
              <w:rPr>
                <w:rFonts w:ascii="Calibri" w:hAnsi="Calibri"/>
                <w:b/>
                <w:color w:val="2D3748"/>
                <w:sz w:val="18"/>
              </w:rPr>
              <w:t>Desempeño estable (+0.0% YoY); consolidación en mercados y canales core.</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Cartera de Tarjetas de Crédito (Credit Card Receivables) (14.3% de facturación): </w:t>
      </w:r>
      <w:r>
        <w:rPr>
          <w:rFonts w:ascii="Calibri" w:hAnsi="Calibri"/>
          <w:i w:val="0"/>
          <w:color w:val="2D3748"/>
          <w:sz w:val="20"/>
        </w:rPr>
        <w:t>Genera $21,494.4 M (+0.0% YoY), consolidándose como pilar operativo clave de Nu Holdings Ltd..</w:t>
      </w:r>
    </w:p>
    <w:p>
      <w:pPr>
        <w:spacing w:before="40" w:after="80" w:line="276" w:lineRule="auto"/>
      </w:pPr>
      <w:r>
        <w:rPr>
          <w:rFonts w:ascii="Calibri" w:hAnsi="Calibri"/>
          <w:b/>
          <w:color w:val="2D3748"/>
          <w:sz w:val="20"/>
        </w:rPr>
        <w:t xml:space="preserve">• Cartera de Préstamos Personales (Loans to Customers) (7.5% de facturación): </w:t>
      </w:r>
      <w:r>
        <w:rPr>
          <w:rFonts w:ascii="Calibri" w:hAnsi="Calibri"/>
          <w:i w:val="0"/>
          <w:color w:val="2D3748"/>
          <w:sz w:val="20"/>
        </w:rPr>
        <w:t>Genera $11,317.4 M (+0.0% YoY), consolidándose como pilar operativo clave de Nu Holdings Ltd..</w:t>
      </w:r>
    </w:p>
    <w:p>
      <w:pPr>
        <w:spacing w:before="40" w:after="80" w:line="276" w:lineRule="auto"/>
      </w:pPr>
      <w:r>
        <w:rPr>
          <w:rFonts w:ascii="Calibri" w:hAnsi="Calibri"/>
          <w:b/>
          <w:color w:val="2D3748"/>
          <w:sz w:val="20"/>
        </w:rPr>
        <w:t xml:space="preserve">• Volumen de Compras con Tarjetas (Purchase Volume - PV) (48.1% de facturación): </w:t>
      </w:r>
      <w:r>
        <w:rPr>
          <w:rFonts w:ascii="Calibri" w:hAnsi="Calibri"/>
          <w:i w:val="0"/>
          <w:color w:val="2D3748"/>
          <w:sz w:val="20"/>
        </w:rPr>
        <w:t>Genera $72,500.0 M (+0.0% YoY), consolidándose como pilar operativo clave de Nu Holdings Ltd..</w:t>
      </w:r>
    </w:p>
    <w:p>
      <w:pPr>
        <w:spacing w:before="40" w:after="80" w:line="276" w:lineRule="auto"/>
      </w:pPr>
      <w:r>
        <w:rPr>
          <w:rFonts w:ascii="Calibri" w:hAnsi="Calibri"/>
          <w:b/>
          <w:color w:val="2D3748"/>
          <w:sz w:val="20"/>
        </w:rPr>
        <w:t xml:space="preserve">• Depósitos Totales de Clientes (Customer Deposits) (30.1% de facturación): </w:t>
      </w:r>
      <w:r>
        <w:rPr>
          <w:rFonts w:ascii="Calibri" w:hAnsi="Calibri"/>
          <w:i w:val="0"/>
          <w:color w:val="2D3748"/>
          <w:sz w:val="20"/>
        </w:rPr>
        <w:t>Genera $45,328.4 M (+0.0% YoY), consolidándose como pilar operativo clave de Nu Holdings Ltd..</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Nu Holdings Ltd.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Brasil (Nu Pagamentos - Depósitos Totales)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$36,128.4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79.7%</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ajuste (+0.0% YoY); presión macroeconómica o vientos cambiarios (FX).</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México (Nu México - Depósitos Totales)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$6,400.0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14.1%</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ajuste (+0.0% YoY); presión macroeconómica o vientos cambiarios (FX).</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Colombia (Nu Colombia - Depósitos Totales)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$2,800.0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6.2%</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ajuste (+0.0% YoY); presión macroeconómica o vientos cambiarios (FX).</w:t>
            </w:r>
          </w:p>
        </w:tc>
      </w:tr>
      <w:tr>
        <w:tc>
          <w:tcPr>
            <w:tcW w:type="dxa" w:w="2160"/>
            <w:shd w:fill="E2E8F0"/>
            <w:tcMar>
              <w:top w:w="80" w:type="dxa"/>
              <w:bottom w:w="80" w:type="dxa"/>
              <w:left w:w="120" w:type="dxa"/>
              <w:right w:w="120" w:type="dxa"/>
            </w:tcMar>
          </w:tcPr>
          <w:p>
            <w:pPr>
              <w:spacing w:before="0" w:after="0"/>
              <w:jc w:val="left"/>
            </w:pPr>
            <w:r>
              <w:rPr>
                <w:rFonts w:ascii="Calibri" w:hAnsi="Calibri"/>
                <w:b/>
                <w:color w:val="2D3748"/>
                <w:sz w:val="18"/>
              </w:rPr>
              <w:t>(=) Total Depósitos Internacionales LatAm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$45,328.4 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$0.0 M</w:t>
            </w:r>
          </w:p>
        </w:tc>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+0.0%</w:t>
            </w:r>
          </w:p>
        </w:tc>
        <w:tc>
          <w:tcPr>
            <w:tcW w:type="dxa" w:w="1296"/>
            <w:shd w:fill="E2E8F0"/>
            <w:tcMar>
              <w:top w:w="80" w:type="dxa"/>
              <w:bottom w:w="80" w:type="dxa"/>
              <w:left w:w="120" w:type="dxa"/>
              <w:right w:w="120" w:type="dxa"/>
            </w:tcMar>
          </w:tcPr>
          <w:p>
            <w:pPr>
              <w:spacing w:before="0" w:after="0"/>
              <w:jc w:val="center"/>
            </w:pPr>
            <w:r>
              <w:rPr>
                <w:rFonts w:ascii="Calibri" w:hAnsi="Calibri"/>
                <w:b/>
                <w:color w:val="2D3748"/>
                <w:sz w:val="18"/>
              </w:rPr>
              <w:t>Subtotal</w:t>
            </w:r>
          </w:p>
        </w:tc>
        <w:tc>
          <w:tcPr>
            <w:tcW w:type="dxa" w:w="2016"/>
            <w:shd w:fill="E2E8F0"/>
            <w:tcMar>
              <w:top w:w="80" w:type="dxa"/>
              <w:bottom w:w="80" w:type="dxa"/>
              <w:left w:w="120" w:type="dxa"/>
              <w:right w:w="120" w:type="dxa"/>
            </w:tcMar>
          </w:tcPr>
          <w:p>
            <w:pPr>
              <w:spacing w:before="0" w:after="0"/>
              <w:jc w:val="center"/>
            </w:pPr>
            <w:r>
              <w:rPr>
                <w:rFonts w:ascii="Calibri" w:hAnsi="Calibri"/>
                <w:b/>
                <w:color w:val="2D3748"/>
                <w:sz w:val="18"/>
              </w:rPr>
              <w:t>Subtotal consolidado de región (+0.0% YoY).</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Brasil como Bastión Altamente Rentable (82.5% de los ingresos): </w:t>
      </w:r>
      <w:r>
        <w:rPr>
          <w:rFonts w:ascii="Calibri" w:hAnsi="Calibri"/>
          <w:i w:val="0"/>
          <w:color w:val="2D3748"/>
          <w:sz w:val="20"/>
        </w:rPr>
        <w:t>Base madura con más de 95 millones de clientes, donde Nubank genera retornos superiores al 30% sobre el capital y ya capta a más del 55% de la población adulta del país.</w:t>
      </w:r>
    </w:p>
    <w:p>
      <w:pPr>
        <w:spacing w:before="40" w:after="80" w:line="276" w:lineRule="auto"/>
      </w:pPr>
      <w:r>
        <w:rPr>
          <w:rFonts w:ascii="Calibri" w:hAnsi="Calibri"/>
          <w:b/>
          <w:color w:val="2D3748"/>
          <w:sz w:val="20"/>
        </w:rPr>
        <w:t xml:space="preserve">• México como Vector de Hipercrecimiento (14.2% de los ingresos): </w:t>
      </w:r>
      <w:r>
        <w:rPr>
          <w:rFonts w:ascii="Calibri" w:hAnsi="Calibri"/>
          <w:i w:val="0"/>
          <w:color w:val="2D3748"/>
          <w:sz w:val="20"/>
        </w:rPr>
        <w:t>Superó los 8 millones de clientes tras el éxito rotundo de Cuenta Nu, acelerando la captación de depósitos para financiar una cartera de crédito en explosión.</w:t>
      </w:r>
    </w:p>
    <w:p>
      <w:pPr>
        <w:spacing w:before="40" w:after="80" w:line="276" w:lineRule="auto"/>
      </w:pPr>
      <w:r>
        <w:rPr>
          <w:rFonts w:ascii="Calibri" w:hAnsi="Calibri"/>
          <w:b/>
          <w:color w:val="2D3748"/>
          <w:sz w:val="20"/>
        </w:rPr>
        <w:t xml:space="preserve">• Colombia en Fase de Expansión Inicial (3.3% de los ingresos): </w:t>
      </w:r>
      <w:r>
        <w:rPr>
          <w:rFonts w:ascii="Calibri" w:hAnsi="Calibri"/>
          <w:i w:val="0"/>
          <w:color w:val="2D3748"/>
          <w:sz w:val="20"/>
        </w:rPr>
        <w:t>Lanzamiento de cuentas de ahorro con rápida tracción de depósitos, sentando las bases para replicar el modelo de escala de Brasil.</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Nu Holdings Ltd. ha presentado resultados financieros históricos en el segundo trimestre de 2026 (Q2 2026, cerrado el 30 de junio de 2026) y en los últimos 12 meses móviles (LTM), marcando ingresos trimestrales superiores a los $3,700M en NII y un beneficio neto récord, respaldados por una base de más de 105 millones de clientes activos: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LTM (Móvil)</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FY2024 (Cierre)</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FY2023 (Previo)</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 y Salud Bancaria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Totales (Revenues)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$11,517.1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$11,517.1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$8,029.0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interanual del +43.4% impulsado por expansión de crédito y depósitos.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de Interés Neto (NII)</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$5,252.9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$5,252.9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$3,490.9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Margen bruto de intermediación en expansión récord hasta el 18.2%.</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Neto ($M)</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$1,972.1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$1,972.1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$1,030.5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Casi duplicó sus utilidades netas (+91.4% YoY) con retornos de élite.</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Flujo de Caja Operativo (CFO)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$755.6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$755.6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-$2,924.3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Retorno a generación operativa positiva tras la estabilización de depósitos.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Cartera Total de Crédito (Gross Loans)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$30,400.0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$21,500.0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$15,400.0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de +42% YoY manteniendo disciplina de riesgo en tarjetas.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Total Depósitos de Clientes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$36,600.0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$26,000.0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$18,400.0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Fondeo minorista abundante (+41% YoY) que reduce el coste de capital.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Ratio de Morosidad 15-90 días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4.20%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4.50%</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Mora temprana en descenso y alineada con la estacionalidad normal.</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Ratio de Morosidad &gt;90 días (NPL)</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6.80%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6.70%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6.10%</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Mora tardía controlada con colchón de cobertura de provisiones &gt; 200%.</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Ratio de Eficiencia (Cost-to-Income)</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17.60%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27.70%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36.00%</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Líder global absoluto; la entidad bancaria más eficiente de Occidente.</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Retorno sobre Patrimonio Tangible (ROTCE)</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26.40%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24.50%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16.50%</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Rentabilidad financiera extraordinaria que supera por más de 13 pp al coste de capital.</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RATIO BANCARIO?</w:t>
            </w:r>
          </w:p>
          <w:p>
            <w:pPr>
              <w:spacing w:before="40" w:after="40" w:line="276" w:lineRule="auto"/>
            </w:pPr>
            <w:r>
              <w:rPr>
                <w:rFonts w:ascii="Calibri" w:hAnsi="Calibri"/>
                <w:color w:val="2D3748"/>
                <w:sz w:val="19"/>
              </w:rPr>
              <w:t>• Margen de Interés Neto (NIM): Mide la rentabilidad del negocio básico de intermediación bancaria (spread entre la tasa activa que cobra por prestar y la tasa pasiva que paga por depósitos). Un NIM elevado y resiliente certifica ventajas estructurales de fondeo.</w:t>
            </w:r>
          </w:p>
          <w:p>
            <w:pPr>
              <w:spacing w:before="40" w:after="40" w:line="276" w:lineRule="auto"/>
            </w:pPr>
            <w:r>
              <w:rPr>
                <w:rFonts w:ascii="Calibri" w:hAnsi="Calibri"/>
                <w:color w:val="2D3748"/>
                <w:sz w:val="19"/>
              </w:rPr>
              <w:t>• Ratio de Eficiencia Operativa (Cost-to-Income): Gastos de explotación entre margen bruto de intermediación. Ratios &lt; 40% son excelentes; &lt; 25% sitúan a la entidad en la élite mundial absoluta gracias a su apalancamiento tecnológico.</w:t>
            </w:r>
          </w:p>
          <w:p>
            <w:pPr>
              <w:spacing w:before="40" w:after="40" w:line="276" w:lineRule="auto"/>
            </w:pPr>
            <w:r>
              <w:rPr>
                <w:rFonts w:ascii="Calibri" w:hAnsi="Calibri"/>
                <w:color w:val="2D3748"/>
                <w:sz w:val="19"/>
              </w:rPr>
              <w:t>• Ratio de Morosidad NPL (15-90d y &gt;90d): Porcentaje de la cartera con retrasos en pagos. Evalúa la salud crediticia y la efectividad de los modelos de admisión y suscripción de riesgo.</w:t>
            </w:r>
          </w:p>
          <w:p>
            <w:pPr>
              <w:spacing w:before="40" w:after="40" w:line="276" w:lineRule="auto"/>
            </w:pPr>
            <w:r>
              <w:rPr>
                <w:rFonts w:ascii="Calibri" w:hAnsi="Calibri"/>
                <w:color w:val="2D3748"/>
                <w:sz w:val="19"/>
              </w:rPr>
              <w:t>• Ratio de Cobertura de Provisiones: Provisiones acumuladas entre cartera dudosa (&gt;90d). Ratios &gt; 150%-200% garantizan que el balance absorberá impagos sin erosionar el patrimonio ni requerir rescates.</w:t>
            </w:r>
          </w:p>
          <w:p>
            <w:pPr>
              <w:spacing w:before="40" w:after="40" w:line="276" w:lineRule="auto"/>
            </w:pPr>
            <w:r>
              <w:rPr>
                <w:rFonts w:ascii="Calibri" w:hAnsi="Calibri"/>
                <w:color w:val="2D3748"/>
                <w:sz w:val="19"/>
              </w:rPr>
              <w:t>• Cost of Risk (Costo de Riesgo): Gasto anualizado en provisiones sobre cartera total. Indica el coste recurrente de las pérdidas esperadas inherente a la actividad crediticia.</w:t>
            </w:r>
          </w:p>
          <w:p>
            <w:pPr>
              <w:spacing w:before="40" w:after="40" w:line="276" w:lineRule="auto"/>
            </w:pPr>
            <w:r>
              <w:rPr>
                <w:rFonts w:ascii="Calibri" w:hAnsi="Calibri"/>
                <w:color w:val="2D3748"/>
                <w:sz w:val="19"/>
              </w:rPr>
              <w:t>• Retorno sobre Patrimonio Tangible (ROTCE): Mide la rentabilidad pura generada sobre los fondos propios tangibles. La diferencia frente al Coste del Capital (Ke) determina la creación de valor económico puro (EVA bancario).</w:t>
            </w:r>
          </w:p>
          <w:p>
            <w:pPr>
              <w:spacing w:before="40" w:after="40" w:line="276" w:lineRule="auto"/>
            </w:pPr>
            <w:r>
              <w:rPr>
                <w:rFonts w:ascii="Calibri" w:hAnsi="Calibri"/>
                <w:color w:val="2D3748"/>
                <w:sz w:val="19"/>
              </w:rPr>
              <w:t>• Ratio CET1 / Basilea III: Mide el capital regulatorio de máxima calidad frente a activos ponderados por riesgo. Garantiza solvencia ante crisis sistémicas (&gt;10.5% estándar regulatorio Basilea III).</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(Q2 2026)</w:t>
      </w:r>
    </w:p>
    <w:p>
      <w:pPr>
        <w:spacing w:before="40" w:after="80" w:line="276" w:lineRule="auto"/>
      </w:pPr>
      <w:r>
        <w:rPr>
          <w:rFonts w:ascii="Calibri" w:hAnsi="Calibri"/>
          <w:i w:val="0"/>
          <w:color w:val="2D3748"/>
          <w:sz w:val="20"/>
        </w:rPr>
        <w:t>Durante la conferencia de resultados del segundo trimestre de 2026 (concluida a mediados de agosto de 2026), el equipo directivo de Nu Holdings—liderado por David Vélez (Fundador, CEO y Chairman) y Rob Livingston (CFO)—presentó un desempeño operativo excepcional. El margen de interés neto (NII) alcanzó los $3,700 millones (+9% QoQ) y la cartera de créditos se expandió a $30,400 millones (+42% YoY). La directiva destacó que el margen de interés neto ajustado por riesgo (Risk-Adjusted NIM) retornó con fuerza al 10.8%, absorbiendo plenamente los impactos del programa estatal de renegociación Desenrola y ratificando una rentabilidad sobre fondos propios (ROTCE) superior al 26%.</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Declaración Oficial de la Dirección</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Margen de Interés Neto Ajustado (Risk-Adjusted NIM)</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Retorno y consolidación en el rango de ~10.5% a 11.0%</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Superación del bache transitorio de Q1; la maduración de los préstamos originados a finales de 2025 expande el margen neto.</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Ratio de Eficiencia Consolidado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Convergencia anual en el rango de ~20% a 22%</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Tras marcar un mínimo histórico del 17.6% en Q1, la directiva prevé que la eficiencia anual se estabilice cerca del 20% absorbiendo inversiones en EE.UU.</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Cartera en México y Colombia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Aceleración continua fondeada 100% con depósitos locales</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Las licencias bancarias y la oferta de cuentas de ahorro garantizan un coste de fondeo óptimo para expandir el crédito sin tensionar márgenes.</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Calidad de Activos y Morosidad (NPLs)</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Morosidad 15-90d estable en ~4.0-4.3% y 90+d en ~6.5-6.8%</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Comportamiento de pago de los clientes dentro de los modelos esperados de estacionalidad sin señales de deterioro sistémico.</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NII Récord de $3.7B y Expansión de NIM</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"El margen de intereses alcanzó $3,700M en Q2, con el NIM expandiéndose impulsado por el fuerte crecimiento de préstamos personales..." — Rob Livingston (CFO).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Confirma la capacidad de Nubank de monetizar su gigantesca base de usuarios con márgenes de intermediación inalcanzables para la banca incumbente.</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Superación del Efecto Desenrola en Brasil</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"Más de cuatro quintas partes del impacto de Desenrola ya fueron absorbidas en Q2; el negocio continúa acelerando de forma orgánica..." — David Vélez.</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Despeja las dudas del mercado sobre posibles presiones regulatorias o pérdidas extraordinarias en renegociaciones de deuda.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Fondeo Abundante: Depósitos Superan los $36.6B</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"Nuestros depósitos crecieron un 41% YoY alcanzando $36,600M, con un ratio de préstamos sobre depósitos (LDR) del 75%..." — Directiva Nu.</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Demuestra que Nubank tiene liquidez de sobra para seguir prestando sin necesidad de salir a captar deuda cara en mercados de capitales.</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Directivo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en el Negocio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Inversiones Iniciales en Expansión (EE.UU. / Nuevos Mercados)</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impacto máximo de opex que esperamos de la inversión en EE.UU. en 2026 y 2027 está acotado en nuestro modelo de capital..."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Gasto moderado en exploración de nuevas licencias internacionales.</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Financiado enteramente con los flujos de caja masivos generados por Brasil.</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Estacionalidad de la Morosidad en Primeros Trimestres</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"El Q1 siempre muestra cierta presión estacional en mora que luego se normaliza en Q2 y segunda mitad del año..."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Fluctuación típica en tasas de impago de tarjetas de consumo.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Modelos predictivos de crédito que ajustan los límites dinámicamente antes de los picos de gasto.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Competencia de Bancos Tradicionales en Depósitos</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"Los bancos incumbentes han intentado reaccionar, pero su estructura de costes les impide competir con nuestra agilidad digital."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Presión potencial en tasas pasivas de captación.</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Fidelización del cliente mediante la experiencia de usuario y el ecosistema de pagos cotidianos (Pix).</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Goldman Sachs — Tito Labarta</w:t>
      </w:r>
    </w:p>
    <w:p>
      <w:pPr>
        <w:spacing w:before="40" w:after="80" w:line="276" w:lineRule="auto"/>
      </w:pPr>
      <w:r>
        <w:rPr>
          <w:rFonts w:ascii="Calibri" w:hAnsi="Calibri"/>
          <w:b/>
          <w:color w:val="2D3748"/>
          <w:sz w:val="20"/>
        </w:rPr>
        <w:t xml:space="preserve">• Pregunta 1 (Trayectoria del Risk-Adjusted NIM y Préstamos Personales): </w:t>
      </w:r>
      <w:r>
        <w:rPr>
          <w:rFonts w:ascii="Calibri" w:hAnsi="Calibri"/>
          <w:i w:val="0"/>
          <w:color w:val="2D3748"/>
          <w:sz w:val="20"/>
        </w:rPr>
        <w:t>Felicitaciones por los resultados. Sobre la evolución del Risk-Adjusted NIM al 10.8%: ¿cómo ven la trayectoria para la segunda mitad del año considerando el crecimiento de préstamos personales?</w:t>
      </w:r>
    </w:p>
    <w:p>
      <w:pPr>
        <w:spacing w:before="40" w:after="80" w:line="276" w:lineRule="auto"/>
      </w:pPr>
      <w:r>
        <w:rPr>
          <w:rFonts w:ascii="Calibri" w:hAnsi="Calibri"/>
          <w:b/>
          <w:color w:val="2D3748"/>
          <w:sz w:val="20"/>
        </w:rPr>
        <w:t xml:space="preserve">• Respuesta (Rob Livingston - CFO): </w:t>
      </w:r>
      <w:r>
        <w:rPr>
          <w:rFonts w:ascii="Calibri" w:hAnsi="Calibri"/>
          <w:i w:val="0"/>
          <w:color w:val="2D3748"/>
          <w:sz w:val="20"/>
        </w:rPr>
        <w:t>Vemos una trayectoria muy favorable. La compresión de margen en Q1 se debió a factores transitorios y a la estacionalidad de principio de año. En Q2 ya vimos cómo la maduración de las colocaciones de tarjetas y préstamos de finales de 2025 empezó a fluir hacia ingresos con fuerza, y esperamos que esta dinámica se mantenga saludable durante todo el segundo semestre.</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Poder de fijación de precios superior; el margen ajustado por riesgo supera holgadamente a la banca tradicional.</w:t>
      </w:r>
    </w:p>
    <w:p>
      <w:pPr>
        <w:keepNext/>
        <w:spacing w:before="200" w:after="80"/>
      </w:pPr>
      <w:r>
        <w:rPr>
          <w:rFonts w:ascii="Calibri" w:hAnsi="Calibri"/>
          <w:b/>
          <w:color w:val="4A5568"/>
          <w:sz w:val="22"/>
        </w:rPr>
        <w:t>2. Morgan Stanley — Jorge Kuri</w:t>
      </w:r>
    </w:p>
    <w:p>
      <w:pPr>
        <w:spacing w:before="40" w:after="80" w:line="276" w:lineRule="auto"/>
      </w:pPr>
      <w:r>
        <w:rPr>
          <w:rFonts w:ascii="Calibri" w:hAnsi="Calibri"/>
          <w:b/>
          <w:color w:val="2D3748"/>
          <w:sz w:val="20"/>
        </w:rPr>
        <w:t xml:space="preserve">• Pregunta 1 (Sostenibilidad del Ratio de Eficiencia por Debajo del 20%): </w:t>
      </w:r>
      <w:r>
        <w:rPr>
          <w:rFonts w:ascii="Calibri" w:hAnsi="Calibri"/>
          <w:i w:val="0"/>
          <w:color w:val="2D3748"/>
          <w:sz w:val="20"/>
        </w:rPr>
        <w:t>Respecto a la eficiencia operativa, tras marcar un 17.6% en Q1: ¿es sostenible un ratio por debajo del 20% a mediano plazo o veremos un repunte por las inversiones en México y Colombia?</w:t>
      </w:r>
    </w:p>
    <w:p>
      <w:pPr>
        <w:spacing w:before="40" w:after="80" w:line="276" w:lineRule="auto"/>
      </w:pPr>
      <w:r>
        <w:rPr>
          <w:rFonts w:ascii="Calibri" w:hAnsi="Calibri"/>
          <w:b/>
          <w:color w:val="2D3748"/>
          <w:sz w:val="20"/>
        </w:rPr>
        <w:t xml:space="preserve">• Respuesta (David Vélez - CEO): </w:t>
      </w:r>
      <w:r>
        <w:rPr>
          <w:rFonts w:ascii="Calibri" w:hAnsi="Calibri"/>
          <w:i w:val="0"/>
          <w:color w:val="2D3748"/>
          <w:sz w:val="20"/>
        </w:rPr>
        <w:t>En Q1 tuvimos un desempeño excepcional ligeramente mejor de lo proyectado internamente. Para el conjunto de 2026, creemos que lo prudente es esperar que el ratio de eficiencia converja hacia la zona del 20%. Esto nos da margen para seguir invirtiendo agresivamente en la infraestructura de Cuenta Nu en México y Colombia sin sacrificar la rentabilidad extraordinaria de Brasil.</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Ventaja operativa inalcanzable para bancos con sucursales físicas; la eficiencia diluye el coste operativo por usuario.</w:t>
      </w:r>
    </w:p>
    <w:p>
      <w:pPr>
        <w:keepNext/>
        <w:spacing w:before="200" w:after="80"/>
      </w:pPr>
      <w:r>
        <w:rPr>
          <w:rFonts w:ascii="Calibri" w:hAnsi="Calibri"/>
          <w:b/>
          <w:color w:val="4A5568"/>
          <w:sz w:val="22"/>
        </w:rPr>
        <w:t>3. Itaú BBA — Pedro Leduc</w:t>
      </w:r>
    </w:p>
    <w:p>
      <w:pPr>
        <w:spacing w:before="40" w:after="80" w:line="276" w:lineRule="auto"/>
      </w:pPr>
      <w:r>
        <w:rPr>
          <w:rFonts w:ascii="Calibri" w:hAnsi="Calibri"/>
          <w:b/>
          <w:color w:val="2D3748"/>
          <w:sz w:val="20"/>
        </w:rPr>
        <w:t xml:space="preserve">• Pregunta 1 (Potencial de Crecimiento del Loan-to-Deposit Ratio): </w:t>
      </w:r>
      <w:r>
        <w:rPr>
          <w:rFonts w:ascii="Calibri" w:hAnsi="Calibri"/>
          <w:i w:val="0"/>
          <w:color w:val="2D3748"/>
          <w:sz w:val="20"/>
        </w:rPr>
        <w:t>Sobre la cartera de tarjetas de crédito y el LDR del 75%: ¿hay espacio para seguir aumentando el apalancamiento de los depósitos hacia préstamos?</w:t>
      </w:r>
    </w:p>
    <w:p>
      <w:pPr>
        <w:spacing w:before="40" w:after="80" w:line="276" w:lineRule="auto"/>
      </w:pPr>
      <w:r>
        <w:rPr>
          <w:rFonts w:ascii="Calibri" w:hAnsi="Calibri"/>
          <w:b/>
          <w:color w:val="2D3748"/>
          <w:sz w:val="20"/>
        </w:rPr>
        <w:t xml:space="preserve">• Respuesta (Rob Livingston - CFO): </w:t>
      </w:r>
      <w:r>
        <w:rPr>
          <w:rFonts w:ascii="Calibri" w:hAnsi="Calibri"/>
          <w:i w:val="0"/>
          <w:color w:val="2D3748"/>
          <w:sz w:val="20"/>
        </w:rPr>
        <w:t>Absolutamente. Tener un LDR del 75% significa que un 25% de nuestros depósitos todavía no está colocado en préstamos, sino en títulos públicos líquidos de altísima calificación. Tenemos un colchón tremendo para seguir prestando de manera conservadora y selectiva a nuestros 105 millones de clientes.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Abundancia de liquidez minorista de bajo coste que elimina el riesgo de refinanciación mayorista.</w:t>
      </w:r>
    </w:p>
    <w:p>
      <w:pPr>
        <w:keepNext/>
        <w:spacing w:before="200" w:after="80"/>
      </w:pPr>
      <w:r>
        <w:rPr>
          <w:rFonts w:ascii="Calibri" w:hAnsi="Calibri"/>
          <w:b/>
          <w:color w:val="4A5568"/>
          <w:sz w:val="22"/>
        </w:rPr>
        <w:t>BLOQUE B: Análisis Longitudinal y Auditoría de Discurso Directivo (5 Trimestres)</w:t>
      </w:r>
    </w:p>
    <w:p>
      <w:pPr>
        <w:spacing w:before="40" w:after="80" w:line="276" w:lineRule="auto"/>
      </w:pPr>
      <w:r>
        <w:rPr>
          <w:rFonts w:ascii="Calibri" w:hAnsi="Calibri"/>
          <w:i w:val="0"/>
          <w:color w:val="2D3748"/>
          <w:sz w:val="20"/>
        </w:rPr>
        <w:t>Evaluación exhaustiva de la consistencia estratégica y el cumplimiento de proyecciones (Say-Do Ratio) del equipo directivo de Nu Holdings a lo largo de los últimos 5 trimestres consecutivos (Q2 2025 a Q2 2026):</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Promesa / Orientación del Management</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 Operativo Asumido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Resultado Real Entregado a Wall Street</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Dictamen de Cumplimiento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2025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Superar los $12 en ARPAC mensual y acelerar la captación de depósitos en México.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Presión en coste de fondeo por altas tasas de interés de política monetaria.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ARPAC cruzó a $12.2 (+18% YoY) y depósitos crecieron al +41% alcanzando $36.6B.</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CUMPLIDO (Hito superado)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Q3 2025</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Expandir el Risk-Adjusted NIM hacia el 10% y mantener morosidad temprana estable.</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Contracción puntual del NIM por ajustes técnicos en Brasil.</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Risk-Adjusted NIM se expandió al 9.9% y la mora 15-90d cayó al 4.2%.</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(Recuperación de margen)</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Q4 2025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Cerrar un 2025 histórico y presentar el nuevo marco de Managerial P&amp;L a inversores.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Crecimiento acelerado de cartera crediticia en temporada alta de consumo.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del trimestre tocaron $4.9B y el beneficio neto anual batió previsiones.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(Récord histórico)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Q1 2026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Navegar la estacionalidad de Q1 y sostener la rentabilidad sobre fondos propios.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Bache estacional en cobros de tarjetas y ajuste por el programa Desenrola.</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Beneficio neto récord de $871M y ratio de eficiencia histórica del 17.6%.</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SUPERADO (Rentabilidad de élite)</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2026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Recuperar el Risk-Adjusted NIM por encima del 10.5% y superar $3.5B en NII.</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Volatilidad macroeconómica y competencia bancaria en depósitos.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NII alcanzó $3.7B (+9% QoQ) y Risk-Adjusted NIM rebotó al 10.8%.</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(Guía batida)</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Q2 2025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Coste de Fondeo Elevado en México por Altas Tasas Promocionales</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Evolución excelente: La tracción de depósitos generó masa crítica y permitió modular las tasas a la baja.</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Q3 2025</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Compresión Temporal de Márgenes de Interés en Brasil</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Baja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Mitigado con rapidez: El crecimiento en préstamos personales y tarjetas restableció el NIM en los trimestres siguientes.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Q4 2025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Impacto Potencial de Renegociaciones de Deuda Estatal (Desenrola)</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Impacto absorbido: El 80%+ del impacto se limpió en balance sin afectar la solvencia ni los beneficios.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Q1 2026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Estacionalidad Negativa en Tasas de Morosidad y Cobros</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Gestión impecable: La mora se mantuvo en rangos predecibles y la eficiencia marcó un récord histórico del 17.6%.</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Q2 2026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Presión de Opex por Planes de Expansión Internacional</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Baja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Riesgo acotado: La dirección confirmó que el impacto en opex está delimitado y financiado con caja de Brasil.</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La resiliencia inquebrantable de la ventaja de coste: </w:t>
      </w:r>
      <w:r>
        <w:rPr>
          <w:rFonts w:ascii="Calibri" w:hAnsi="Calibri"/>
          <w:i w:val="0"/>
          <w:color w:val="2D3748"/>
          <w:sz w:val="20"/>
        </w:rPr>
        <w:t>A lo largo de los 5 trimestres analizados, la dirección de Nu Holdings ha demostrado que un Cost-to-Serve de ~$0.90 es el arma definitiva contra cualquier ciclo adverso de tipos de interés o morosidad.</w:t>
      </w:r>
    </w:p>
    <w:p>
      <w:pPr>
        <w:spacing w:before="40" w:after="80" w:line="276" w:lineRule="auto"/>
      </w:pPr>
      <w:r>
        <w:rPr>
          <w:rFonts w:ascii="Calibri" w:hAnsi="Calibri"/>
          <w:b/>
          <w:color w:val="2D3748"/>
          <w:sz w:val="20"/>
        </w:rPr>
        <w:t xml:space="preserve">• Maduración y diversificación geográfica del fondeo: </w:t>
      </w:r>
      <w:r>
        <w:rPr>
          <w:rFonts w:ascii="Calibri" w:hAnsi="Calibri"/>
          <w:i w:val="0"/>
          <w:color w:val="2D3748"/>
          <w:sz w:val="20"/>
        </w:rPr>
        <w:t>El paso de depender exclusivamente de Brasil a tener más de $36.6B en depósitos en tres países ha blindado la estructura de capital y consolidado el poder de fijación de precios de la entidad.</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w:t>
            </w:r>
          </w:p>
          <w:p>
            <w:pPr>
              <w:spacing w:before="40" w:after="40" w:line="276" w:lineRule="auto"/>
            </w:pPr>
            <w:r>
              <w:rPr>
                <w:rFonts w:ascii="Calibri" w:hAnsi="Calibri"/>
                <w:color w:val="2D3748"/>
                <w:sz w:val="19"/>
              </w:rPr>
              <w:t>• Récord Impecable de Metas Superadas: David Vélez y su equipo han batido o cumplido las expectativas de consenso en 5 de los últimos 5 trimestres consecutivos.</w:t>
            </w:r>
          </w:p>
          <w:p>
            <w:pPr>
              <w:spacing w:before="40" w:after="40" w:line="276" w:lineRule="auto"/>
            </w:pPr>
            <w:r>
              <w:rPr>
                <w:rFonts w:ascii="Calibri" w:hAnsi="Calibri"/>
                <w:color w:val="2D3748"/>
                <w:sz w:val="19"/>
              </w:rPr>
              <w:t>• Rigor Metodológico y Transparencia: La introducción del Managerial P&amp;L en Q4 2025 ofreció una granularidad y claridad contable inédita en la banca digital latinoamericana.</w:t>
            </w:r>
          </w:p>
          <w:p>
            <w:pPr>
              <w:spacing w:before="40" w:after="40" w:line="276" w:lineRule="auto"/>
            </w:pPr>
            <w:r>
              <w:rPr>
                <w:rFonts w:ascii="Calibri" w:hAnsi="Calibri"/>
                <w:color w:val="2D3748"/>
                <w:sz w:val="19"/>
              </w:rPr>
              <w:t>• Retorno de Capital Sobresaliente: Sostener un ROTCE &gt; 25% mientras se expanden operaciones en México y Colombia demuestra una disciplina de asignación de capital de clase mundial.</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posición patrimonial y estructura de fondeo de Nu Holdings se distingue por un bajo apalancamiento relativo frente a la banca tradicional y una base de depósitos minoristas abundante:</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Bancaria /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FY2024 ($M)</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de Solvencia y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Caja y Depósitos en Bancos Centrales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$4,200.0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$3,850.0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+9.1%</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Liquidez inmediata colocada en reservas del Banco Central de Brasil.</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Cartera de Crédito Neta de Provisiones</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$27,500.0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$19,300.0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+42.5%</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Activo financiero productivo con provisiones contracíclicas IFRS 9.</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Depósitos de Clientes (Fondeo Minorista)</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$36,600.0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$26,000.0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+40.8%</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Principal pasivo operativo de bajo coste que financia la cartera.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Patrimonio Neto Tangible (TBV)</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$7,850.0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$6,200.0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+26.6%</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Base de capital propio tangible que respalda los ratios de Basilea.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Ratio de Préstamos sobre Depósitos (LDR)</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75.1%</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74.2%</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+90 bps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Estructura conservadora; los depósitos superan ampliamente a los préstamos.</w:t>
            </w:r>
          </w:p>
        </w:tc>
      </w:tr>
    </w:tbl>
    <w:p>
      <w:pPr>
        <w:spacing w:after="120"/>
      </w:pPr>
    </w:p>
    <w:p>
      <w:pPr>
        <w:spacing w:before="40" w:after="80" w:line="276" w:lineRule="auto"/>
      </w:pPr>
      <w:r>
        <w:rPr>
          <w:rFonts w:ascii="Calibri" w:hAnsi="Calibri"/>
          <w:b/>
          <w:color w:val="2D3748"/>
          <w:sz w:val="20"/>
        </w:rPr>
        <w:t xml:space="preserve">• Estructura de Rendimiento de Tesorería: </w:t>
      </w:r>
      <w:r>
        <w:rPr>
          <w:rFonts w:ascii="Calibri" w:hAnsi="Calibri"/>
          <w:i w:val="0"/>
          <w:color w:val="2D3748"/>
          <w:sz w:val="20"/>
        </w:rPr>
        <w:t>A diferencia de la banca tradicional dependiente de pagarés y bonos interbancarios, Nu Holdings financia el 100% de su cartera de préstamos con depósitos a la vista y a plazo de sus usuarios, blindando su margen financiero frente a tensiones de liquidez mayorista.</w:t>
      </w: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Nu Holdings retiene la totalidad de sus beneficios netos para soportar el crecimiento de activos ponderados por riesgo (RWA) en México y Colombia, sin realizar recompras ni distribuir dividendos en efectivo: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Asignación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Cifra LTM ($M)</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Objetivo Estratégico</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 para el Accionista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Beneficio Retenido en Capital Regulatorio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$1,972.1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Crecimiento de RWA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El 100% de las ganancias se capitaliza para elevar el valor en libros por acción (TBV).</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Recompra de Acciones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Prioridad de crecimiento</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Se conserva capital para consolidar el liderazgo en México y Colombia.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Dividendos en Efectivo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Cero distribución</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Reinversión pura con rentabilidad del 26.4% sobre fondos propios.</w:t>
            </w:r>
          </w:p>
        </w:tc>
      </w:tr>
    </w:tbl>
    <w:p>
      <w:pPr>
        <w:spacing w:after="120"/>
      </w:pPr>
    </w:p>
    <w:p>
      <w:pPr>
        <w:spacing w:before="40" w:after="80" w:line="276" w:lineRule="auto"/>
      </w:pPr>
      <w:r>
        <w:rPr>
          <w:rFonts w:ascii="Calibri" w:hAnsi="Calibri"/>
          <w:b/>
          <w:color w:val="2D3748"/>
          <w:sz w:val="20"/>
        </w:rPr>
        <w:t xml:space="preserve">• Calidad de la Recompra vs. Dilución por SBC: </w:t>
      </w:r>
      <w:r>
        <w:rPr>
          <w:rFonts w:ascii="Calibri" w:hAnsi="Calibri"/>
          <w:i w:val="0"/>
          <w:color w:val="2D3748"/>
          <w:sz w:val="20"/>
        </w:rPr>
        <w:t>La dilución por compensación en acciones (SBC) a directivos y empleados clave se mantiene en niveles razonables para una empresa tecnológica de alto crecimiento, representando menos del 3% del beneficio neto.</w:t>
      </w: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 / Transacción</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 de Operación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 / Compromiso</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¿Qué se busca estratégicamente con ello?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Capitalización de Filiales en México y Colombia</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Inyección de Capital Regulatorio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~$500 M</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Respaldar los colchones de capital exigidos por los reguladores locales (CNBV en México, SFC en Colombia) para soportar el crecimiento de depósitos y préstamos.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Desarrollo de Tecnología e Infraestructura Cloud</w:t>
            </w:r>
          </w:p>
        </w:tc>
        <w:tc>
          <w:tcPr>
            <w:tcW w:type="dxa" w:w="1872"/>
            <w:shd w:fill="F7FAFC"/>
            <w:tcMar>
              <w:top w:w="80" w:type="dxa"/>
              <w:bottom w:w="80" w:type="dxa"/>
              <w:left w:w="120" w:type="dxa"/>
              <w:right w:w="120" w:type="dxa"/>
            </w:tcMar>
          </w:tcPr>
          <w:p>
            <w:pPr>
              <w:spacing w:before="0" w:after="0"/>
              <w:jc w:val="left"/>
            </w:pPr>
            <w:r>
              <w:rPr>
                <w:rFonts w:ascii="Calibri" w:hAnsi="Calibri"/>
                <w:color w:val="2D3748"/>
                <w:sz w:val="18"/>
              </w:rPr>
              <w:t>Inversión Operativa y Software</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~$850 M anuales</w:t>
            </w:r>
          </w:p>
        </w:tc>
        <w:tc>
          <w:tcPr>
            <w:tcW w:type="dxa" w:w="3744"/>
            <w:shd w:fill="F7FAFC"/>
            <w:tcMar>
              <w:top w:w="80" w:type="dxa"/>
              <w:bottom w:w="80" w:type="dxa"/>
              <w:left w:w="120" w:type="dxa"/>
              <w:right w:w="120" w:type="dxa"/>
            </w:tcMar>
          </w:tcPr>
          <w:p>
            <w:pPr>
              <w:spacing w:before="0" w:after="0"/>
              <w:jc w:val="left"/>
            </w:pPr>
            <w:r>
              <w:rPr>
                <w:rFonts w:ascii="Calibri" w:hAnsi="Calibri"/>
                <w:color w:val="2D3748"/>
                <w:sz w:val="18"/>
              </w:rPr>
              <w:t>Fortalecimiento de la seguridad transaccional, inteligencia artificial y automatización de soporte al cliente.</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Expansión de Cartera de Tarjetas y Préstamos</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Asignación de Balance</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$30,400 M en cartera</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Financiación selectiva de préstamos no garantizados y límites de tarjeta con estrictos criterios de underwriting.</w:t>
            </w:r>
          </w:p>
        </w:tc>
      </w:tr>
    </w:tbl>
    <w:p>
      <w:pPr>
        <w:spacing w:after="120"/>
      </w:pPr>
    </w:p>
    <w:p>
      <w:pPr>
        <w:keepNext/>
        <w:spacing w:before="200" w:after="80"/>
      </w:pPr>
      <w:r>
        <w:rPr>
          <w:rFonts w:ascii="Calibri" w:hAnsi="Calibri"/>
          <w:b/>
          <w:color w:val="4A5568"/>
          <w:sz w:val="22"/>
        </w:rPr>
        <w:t>6.4. Solvencia Regulatoria (Basilea III), Apalancamiento y Generación de Capital</w:t>
      </w:r>
    </w:p>
    <w:p>
      <w:pPr>
        <w:spacing w:before="40" w:after="80" w:line="276" w:lineRule="auto"/>
      </w:pPr>
      <w:r>
        <w:rPr>
          <w:rFonts w:ascii="Calibri" w:hAnsi="Calibri"/>
          <w:i w:val="0"/>
          <w:color w:val="2D3748"/>
          <w:sz w:val="20"/>
        </w:rPr>
        <w:t>Nu Holdings mantiene una posición de capital extraordinariamente sólida que supera con holgura todas las exigencias prudenciales de los bancos centrales de la región:</w:t>
      </w:r>
    </w:p>
    <w:p>
      <w:pPr>
        <w:spacing w:before="40" w:after="80" w:line="276" w:lineRule="auto"/>
      </w:pPr>
      <w:r>
        <w:rPr>
          <w:rFonts w:ascii="Calibri" w:hAnsi="Calibri"/>
          <w:b/>
          <w:color w:val="2D3748"/>
          <w:sz w:val="20"/>
        </w:rPr>
        <w:t xml:space="preserve">• Ratio de Capital CET1 y Basilea: </w:t>
      </w:r>
      <w:r>
        <w:rPr>
          <w:rFonts w:ascii="Calibri" w:hAnsi="Calibri"/>
          <w:i w:val="0"/>
          <w:color w:val="2D3748"/>
          <w:sz w:val="20"/>
        </w:rPr>
        <w:t>El índice de adecuación de capital en Brasil se sitúa en torno al 11.5% - 13.0%, superando cómodamente el requerimiento mínimo del 8.0% del Banco Central de Brasil (BACEN).</w:t>
      </w:r>
    </w:p>
    <w:p>
      <w:pPr>
        <w:spacing w:before="40" w:after="80" w:line="276" w:lineRule="auto"/>
      </w:pPr>
      <w:r>
        <w:rPr>
          <w:rFonts w:ascii="Calibri" w:hAnsi="Calibri"/>
          <w:b/>
          <w:color w:val="2D3748"/>
          <w:sz w:val="20"/>
        </w:rPr>
        <w:t xml:space="preserve">• Autofinanciación Orgánica de Capital: </w:t>
      </w:r>
      <w:r>
        <w:rPr>
          <w:rFonts w:ascii="Calibri" w:hAnsi="Calibri"/>
          <w:i w:val="0"/>
          <w:color w:val="2D3748"/>
          <w:sz w:val="20"/>
        </w:rPr>
        <w:t>Con un beneficio neto trimestral de más de $870M y un ROTCE &gt; 25%, la entidad genera orgánicamente más capital regulatorio del que consume para crecer, alejando cualquier necesidad de dilución o ampliación de capital.</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La hiperrentabilidad de Nu Holdings (ROTCE superior al 25%) está resguardada por un Foso Defensivo Amplio (Wide Moat / Dorsey Framework), cimentado en una ventaja estructural de costes inigualable, un coste de fondeo minorista masivo y una potente tracción de marca orgánica:</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 Defensivo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 de Protección Económica</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Competitivo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Ventaja Estructural de Coste (Cost-to-Serve)</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ESTRUCTURAL</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Coste de servir a un cliente activo de apenas ~$0.90/mes frente a los $10-$15 de la banca tradicional con sucursales físicas y sistemas legados.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Permite ofrecer cuentas y tarjetas sin comisiones de mantenimiento y ser hiperrentable donde los bancos tradicionales pierden dinero.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Coste de Fondeo Minorista (Cost of Funds)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DOMINANTE</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Más de $36,600M en depósitos minoristas directos captados a través de NuConta, reduciendo drásticamente la dependencia de financiamiento mayorista caro.</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Sustenta un Net Interest Margin (NIM) de más del 18%, permitiendo prestar a tasas competitivas con amplios márgenes de beneficio.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Adquisición Orgánica y Poder de Marca (NPS &gt; 80)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EXCEPCIONAL</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Más del 80% de los nuevos clientes se suman orgánicamente por recomendación de boca a boca; el Net Promoter Score duplica al de los bancos incumbentes.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Coste de Adquisición de Clientes (CAC) ínfimo (~$5 por cliente), lo que hace que cada cohorte de usuarios sea rentable en pocos meses.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Algoritmos Propietarios de Scoring Crediticio</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ALTA</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Evaluación en tiempo real del comportamiento de gasto y transacciones de 105M de usuarios mediante modelos propietarios de machine learning.</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Control superior del Cost of Risk y expansión continua del Margen Ajustado por Riesgo (Risk-Adjusted NIM &gt; 10.5%).</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 | Tendencia: EN EXPANSIÓN.</w:t>
      </w:r>
    </w:p>
    <w:p>
      <w:pPr>
        <w:keepNext/>
        <w:spacing w:before="200" w:after="80"/>
      </w:pPr>
      <w:r>
        <w:rPr>
          <w:rFonts w:ascii="Calibri" w:hAnsi="Calibri"/>
          <w:b/>
          <w:color w:val="4A5568"/>
          <w:sz w:val="22"/>
        </w:rPr>
        <w:t>7.2. El Modelo de Maduración de Cohortes (ARPAC Compounding)</w:t>
      </w:r>
    </w:p>
    <w:p>
      <w:pPr>
        <w:spacing w:before="40" w:after="80" w:line="276" w:lineRule="auto"/>
      </w:pPr>
      <w:r>
        <w:rPr>
          <w:rFonts w:ascii="Calibri" w:hAnsi="Calibri"/>
          <w:b/>
          <w:color w:val="2D3748"/>
          <w:sz w:val="20"/>
        </w:rPr>
        <w:t xml:space="preserve">• Crecimiento del Ingreso por Cliente (ARPAC): </w:t>
      </w:r>
      <w:r>
        <w:rPr>
          <w:rFonts w:ascii="Calibri" w:hAnsi="Calibri"/>
          <w:i w:val="0"/>
          <w:color w:val="2D3748"/>
          <w:sz w:val="20"/>
        </w:rPr>
        <w:t>A medida que los clientes permanecen en la plataforma, contratan más productos (tarjeta, préstamo, seguro, inversión), elevando el ARPAC mensual de $4 en cohortes nuevas a más de $12-$25 en cohortes maduras.</w:t>
      </w:r>
    </w:p>
    <w:p>
      <w:pPr>
        <w:spacing w:before="40" w:after="80" w:line="276" w:lineRule="auto"/>
      </w:pPr>
      <w:r>
        <w:rPr>
          <w:rFonts w:ascii="Calibri" w:hAnsi="Calibri"/>
          <w:b/>
          <w:color w:val="2D3748"/>
          <w:sz w:val="20"/>
        </w:rPr>
        <w:t xml:space="preserve">• Expansión del Ratio de Eficiencia: </w:t>
      </w:r>
      <w:r>
        <w:rPr>
          <w:rFonts w:ascii="Calibri" w:hAnsi="Calibri"/>
          <w:i w:val="0"/>
          <w:color w:val="2D3748"/>
          <w:sz w:val="20"/>
        </w:rPr>
        <w:t>Los ingresos crecen exponencialmente mientras el coste operativo por usuario se mantiene fijo en ~$0.90, impulsando el ratio de eficiencia a un asombroso 17.6% - 25%.</w:t>
      </w:r>
    </w:p>
    <w:p>
      <w:pPr>
        <w:keepNext/>
        <w:spacing w:before="200" w:after="80"/>
      </w:pPr>
      <w:r>
        <w:rPr>
          <w:rFonts w:ascii="Calibri" w:hAnsi="Calibri"/>
          <w:b/>
          <w:color w:val="4A5568"/>
          <w:sz w:val="22"/>
        </w:rPr>
        <w:t>7.3. La Oportunidad de Replicar Brasil en México y Colombia</w:t>
      </w:r>
    </w:p>
    <w:p>
      <w:pPr>
        <w:spacing w:before="40" w:after="80" w:line="276" w:lineRule="auto"/>
      </w:pPr>
      <w:r>
        <w:rPr>
          <w:rFonts w:ascii="Calibri" w:hAnsi="Calibri"/>
          <w:b/>
          <w:color w:val="2D3748"/>
          <w:sz w:val="20"/>
        </w:rPr>
        <w:t xml:space="preserve">• México como Segundo Motor: </w:t>
      </w:r>
      <w:r>
        <w:rPr>
          <w:rFonts w:ascii="Calibri" w:hAnsi="Calibri"/>
          <w:i w:val="0"/>
          <w:color w:val="2D3748"/>
          <w:sz w:val="20"/>
        </w:rPr>
        <w:t>Captación masiva de depósitos a través de Cuenta Nu México, logrando una cuota de mercado en nuevas tarjetas superior al 20% con una base que ya supera los 8 millones de clientes.</w:t>
      </w:r>
    </w:p>
    <w:p>
      <w:pPr>
        <w:spacing w:before="40" w:after="80" w:line="276" w:lineRule="auto"/>
      </w:pPr>
      <w:r>
        <w:rPr>
          <w:rFonts w:ascii="Calibri" w:hAnsi="Calibri"/>
          <w:b/>
          <w:color w:val="2D3748"/>
          <w:sz w:val="20"/>
        </w:rPr>
        <w:t xml:space="preserve">• Colombia y la Expansión Andina: </w:t>
      </w:r>
      <w:r>
        <w:rPr>
          <w:rFonts w:ascii="Calibri" w:hAnsi="Calibri"/>
          <w:i w:val="0"/>
          <w:color w:val="2D3748"/>
          <w:sz w:val="20"/>
        </w:rPr>
        <w:t>Lanzamiento exitoso de cuentas de ahorro en Colombia, consolidando la presencia panregional de Nubank.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Oficial / Formulario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Naturaleza del 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 para la Empresa?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Inversor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2026-08-14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Formulario 6-K</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Resultados Financieros Trimestrales Q2 2026</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NII alcanza $3.7B y la cartera de créditos se expande a $30.4B con mora bajo control.</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OPERATIVO: Resultados extraordinarios que confirman el poder de fijación de precios.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2026-05-15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Formulario 6-K</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Resultados Financieros Trimestrales Q1 2026</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Beneficio neto trimestral récord de $871M y ratio de eficiencia histórica del 17.6%.</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ORDINARIO: Cumplimiento de reporte periódico en calendario regular.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2026-04-20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Formulario 20-F</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Memoria Anual Auditada del Ejercicio FY2025</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Presentación de estados financieros consolidados auditados sin salvedades por PwC.</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AUDITORÍA: Estados contables certificados bajo normativa IFRS.</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 Clave</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de Operación y Modalidad SEC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 de Acciones</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 Efectivo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 SEC</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 de Convicción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David Vélez</w:t>
              <w:br/>
              <w:t>(Founder, CEO &amp; Chairman)</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Control Accionario Clase B</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Posición Fundador Mayoritario</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 ventas abiertas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Filing 6-K / Proxy</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Control patrimonial férreo y compromiso vitalicio con la visión de Nubank.</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Cristina Junqueira</w:t>
              <w:br/>
              <w:t>(Co-Founder &amp; Chief Growth Officer)</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Retención Patrimonial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Posición Co-Fundadora</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 abiertas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Filing 6-K</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Alineación estratégica completa y liderazgo de la expansión en México.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Rob Livingston</w:t>
              <w:br/>
              <w:t>(Chief Financial Officer)</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Asignación de RSUs</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Planes de retención</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Compensación directiva</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Formulario 6-K</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Integración al equipo directivo tras la transición planificada de Guilherme Lago.</w:t>
            </w:r>
          </w:p>
        </w:tc>
      </w:tr>
    </w:tbl>
    <w:p>
      <w:pPr>
        <w:spacing w:after="120"/>
      </w:pP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Bajo riesgo</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TRAMPA DE VALOR / DETERIORO</w:t>
            </w:r>
          </w:p>
          <w:p>
            <w:pPr>
              <w:spacing w:before="40" w:after="40" w:line="276" w:lineRule="auto"/>
            </w:pPr>
            <w:r>
              <w:rPr>
                <w:rFonts w:ascii="Calibri" w:hAnsi="Calibri"/>
                <w:color w:val="2D3748"/>
                <w:sz w:val="19"/>
              </w:rPr>
              <w:t>Piotroski F-Score (Solvencia Interna): 2 / 9 Puntos | VULNERABILIDAD FINANCIERA</w:t>
            </w:r>
          </w:p>
          <w:p>
            <w:pPr>
              <w:spacing w:before="40" w:after="40" w:line="276" w:lineRule="auto"/>
            </w:pPr>
            <w:r>
              <w:rPr>
                <w:rFonts w:ascii="Calibri" w:hAnsi="Calibri"/>
                <w:color w:val="2D3748"/>
                <w:sz w:val="19"/>
              </w:rPr>
              <w:t>Mohanram G-Score (Ventaja Sectorial):  4 / 8 Puntos | CRECIMIENTO PROMEDIO</w:t>
            </w:r>
          </w:p>
          <w:p>
            <w:pPr>
              <w:spacing w:before="40" w:after="40" w:line="276" w:lineRule="auto"/>
            </w:pPr>
            <w:r>
              <w:rPr>
                <w:rFonts w:ascii="Calibri" w:hAnsi="Calibri"/>
                <w:color w:val="2D3748"/>
                <w:sz w:val="19"/>
              </w:rPr>
              <w:t>Tesis Cuantitativa: Nu Holdings Ltd.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2 / 9 Puntos en LTM (VULNERABILIDAD FINANCIERA) (4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2/9 sitúa a Nu Holdings Ltd.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($-1,381.6M en LTM) respalda con holgura al beneficio neto contable ($3,610.0M),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6.9% vs 6.9% (+0.02%)).</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4,833M vs 4,833M (+0M)).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(N/A) como la productividad de sus activos instalados (Rot 0.18x vs 0.18x (-0.00x)).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promedio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4.58%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$-1,381.6M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4.6% vs 4.6% (-0.02%)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$-1,381.6M &gt; NI $3,610.0M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6.9% vs 6.9% (+0.02%)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4,833M vs 4,833M (+0M)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0.18x vs 0.18x (-0.00x)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4 / 8 Puntos en LTM (CRECIMIENTO PROMEDIO) (6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4/8 consolida a Nu Holdings Ltd.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4.82% vs Med 1.40%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-1.84% vs Med 2.48%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$-1,381.6M &gt; NI $3,610.0M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1.54 &lt; 0.40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0.68 vs 0.35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0.00% vs Med 1.21%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Tasa de Inversión Total en Crecimiento (I+D + CapEx) para modelos ligeros en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Reinv 0.38% vs Med 1.69%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9.3. Benchmarking Competitivo del Sector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NU</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Nu Holdings Ltd.</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2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4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NO APLICABLE (BANCA / SEGUROS) (NO APLICABLE)</w:t>
              <w:br/>
            </w:r>
          </w:p>
          <w:p>
            <w:pPr>
              <w:spacing w:before="40" w:after="40" w:line="276" w:lineRule="auto"/>
            </w:pPr>
            <w:r>
              <w:rPr>
                <w:rFonts w:ascii="Calibri" w:hAnsi="Calibri"/>
                <w:color w:val="2D3748"/>
                <w:sz w:val="19"/>
              </w:rPr>
              <w:t>• Gross Profitability Total (LTM): 0.00% de los Activos Totales (vs. Mediana Sector: 25.00%).</w:t>
            </w:r>
          </w:p>
          <w:p>
            <w:pPr>
              <w:spacing w:before="40" w:after="40" w:line="276" w:lineRule="auto"/>
            </w:pPr>
            <w:r>
              <w:rPr>
                <w:rFonts w:ascii="Calibri" w:hAnsi="Calibri"/>
                <w:color w:val="2D3748"/>
                <w:sz w:val="19"/>
              </w:rPr>
              <w:t>• Gross Profitability Operativa Ex-Caja (LTM): 0.00% de los Activos Operativos (vs. Mediana Sector: 28.00%).</w:t>
            </w:r>
          </w:p>
          <w:p>
            <w:pPr>
              <w:spacing w:before="40" w:after="40" w:line="276" w:lineRule="auto"/>
            </w:pPr>
            <w:r>
              <w:rPr>
                <w:rFonts w:ascii="Calibri" w:hAnsi="Calibri"/>
                <w:color w:val="2D3748"/>
                <w:sz w:val="19"/>
              </w:rPr>
              <w:t>• Efecto Arrastre de Caja (Cash Drag): +0.00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+0.00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No Aplicable?: Significa que la rentabilidad de capital de NU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0.00%?: Por cada $1.00 de activo total en su balance general, la empresa produce $0.00 de utilidad bruta pura al año, antes de deducciones operativas, intereses e impuestos.</w:t>
            </w:r>
          </w:p>
          <w:p>
            <w:pPr>
              <w:spacing w:before="40" w:after="40" w:line="276" w:lineRule="auto"/>
            </w:pPr>
            <w:r>
              <w:rPr>
                <w:rFonts w:ascii="Calibri" w:hAnsi="Calibri"/>
                <w:color w:val="2D3748"/>
                <w:sz w:val="19"/>
              </w:rPr>
              <w:t>3. ¿Qué significa Ex-Caja (0.00%)?: Al excluir el efectivo y valores negociables líquidos (capital ocioso en caja que no produce bienes), el negocio puramente operativo rinde $0.00 por cada dólar en activos operativos en funcionamiento.</w:t>
            </w:r>
          </w:p>
          <w:p>
            <w:pPr>
              <w:spacing w:before="40" w:after="40" w:line="276" w:lineRule="auto"/>
            </w:pPr>
            <w:r>
              <w:rPr>
                <w:rFonts w:ascii="Calibri" w:hAnsi="Calibri"/>
                <w:color w:val="2D3748"/>
                <w:sz w:val="19"/>
              </w:rPr>
              <w:t>4. ¿Qué revela el Cash Drag (+0.00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0.00%</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0.00%</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0.00%</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No Aplicable</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$0.00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$0.00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+0.00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N/A SECTOR FINANCIERO (VER ROTCE / NIM / COMBINED RATIO)</w:t>
              <w:br/>
            </w:r>
          </w:p>
          <w:p>
            <w:pPr>
              <w:spacing w:before="40" w:after="40" w:line="276" w:lineRule="auto"/>
            </w:pPr>
            <w:r>
              <w:rPr>
                <w:rFonts w:ascii="Calibri" w:hAnsi="Calibri"/>
                <w:color w:val="2D3748"/>
                <w:sz w:val="19"/>
              </w:rPr>
              <w:t>El modelo de Novy-Marx evalúa la productividad fabril/comercial pura deduciendo el coste directo de ventas (COGS). En intermediación financiera y seguros no existe inventario físico ni COGS; los intereses pagados remuneran depósitos de clientes. La productividad y eficiencia del capital se evalúan mediante Margen de Interés Neto (NIM), Ratio de Eficiencia y ROTCE/ROE.</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(0.00%) × Rotación de Activos (0.000x) = 0.00% (Concilia al 100.0% con GP/A de 0.00%).</w:t>
            </w:r>
          </w:p>
          <w:p>
            <w:pPr>
              <w:spacing w:before="40" w:after="40" w:line="276" w:lineRule="auto"/>
            </w:pPr>
            <w:r>
              <w:rPr>
                <w:rFonts w:ascii="Calibri" w:hAnsi="Calibri"/>
                <w:color w:val="2D3748"/>
                <w:sz w:val="19"/>
              </w:rPr>
              <w:t>• Identidad Operativa Ex-Caja: Margen Bruto (0.00%) × Rotación Ex-Caja (0.000x) = 0.00% (concilia con 0.00%).</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0.000x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0.000x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0.000x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+0.00x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0.000x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0.000x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0.000x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0.00%</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0.00%</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0.00%</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+0.00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+0.00 puntos porcentuales.</w:t>
            </w:r>
          </w:p>
          <w:p>
            <w:pPr>
              <w:spacing w:before="40" w:after="40" w:line="276" w:lineRule="auto"/>
            </w:pPr>
            <w:r>
              <w:rPr>
                <w:rFonts w:ascii="Calibri" w:hAnsi="Calibri"/>
                <w:color w:val="2D3748"/>
                <w:sz w:val="19"/>
              </w:rPr>
              <w:t>• Expansión a 5 Años (vs. FY2021): +0.00 puntos porcentuales.</w:t>
            </w:r>
          </w:p>
          <w:p>
            <w:pPr>
              <w:spacing w:before="40" w:after="40" w:line="276" w:lineRule="auto"/>
            </w:pPr>
            <w:r>
              <w:rPr>
                <w:rFonts w:ascii="Calibri" w:hAnsi="Calibri"/>
                <w:color w:val="2D3748"/>
                <w:sz w:val="19"/>
              </w:rPr>
              <w:t>• Coeficiente de Variación (CV GP/A): 0.000 (indica una trayectoria predecible y baja volatilidad operativa).</w:t>
            </w:r>
          </w:p>
          <w:p>
            <w:pPr>
              <w:spacing w:before="40" w:after="40" w:line="276" w:lineRule="auto"/>
            </w:pPr>
            <w:r>
              <w:rPr>
                <w:rFonts w:ascii="Calibri" w:hAnsi="Calibri"/>
                <w:color w:val="2D3748"/>
                <w:sz w:val="19"/>
              </w:rPr>
              <w:t>• Conclusión de Tendencia: Historial insuficiente para evaluar tendencia de 3-5 años.</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N/D</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N/D</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N/D</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N/D</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N/D</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NO APLICABLE A INTERMEDIACIÓN FINANCIERA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NO APLICABLE A INTERMEDIACIÓN FINANCIERA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NO APLICABLE A INTERMEDIACIÓN FINANCIERA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NO APLICABLE A INTERMEDIACIÓN FINANCIERA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NO APLICABLE A INTERMEDIACIÓN FINANCIERA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NO APLICABLE A INTERMEDIACIÓN FINANCIERA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NO APLICABLE A INTERMEDIACIÓN FINANCIERA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N/D</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NO APLICABLE A INTERMEDIACIÓN FINANCIERA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NU</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Nu Holdings Ltd.</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 (FY2024 Auditado)</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11.63%</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12.86%</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44.27%</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0.26x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-13.37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INTR</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Inter &amp; Co,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(FY2024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5.76%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6.32%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49.66%</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0.12x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-19.24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SOFI</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SoFi Technologies,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(FY2024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5.44%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5.99%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71.15%</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0.08x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-19.56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0.00x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NU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Rentabilidad del Capital Propio (ROTCE), Costo de Capital (Ke) y Creación de Valor Económico</w:t>
      </w:r>
    </w:p>
    <w:p>
      <w:r>
        <w:rPr>
          <w:i/>
          <w:sz w:val="20"/>
        </w:rPr>
        <w:t>Evaluación del retorno financiero y sostenibilidad de las ventajas competitivas (Economic Moat) para Nu Holdings Ltd. (NU)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WIDE MOAT / COMPOUNDING MACHINE (SPREAD +18.36 p.p.)</w:t>
              <w:br/>
            </w:r>
          </w:p>
          <w:p>
            <w:pPr>
              <w:spacing w:before="40" w:after="40" w:line="276" w:lineRule="auto"/>
            </w:pPr>
            <w:r>
              <w:rPr>
                <w:rFonts w:ascii="Calibri" w:hAnsi="Calibri"/>
                <w:color w:val="2D3748"/>
                <w:sz w:val="19"/>
              </w:rPr>
              <w:t>• Rentabilidad de Balance (ROTCE - LTM): 28.11% (Rendimiento sobre fondos propios auditado).</w:t>
            </w:r>
          </w:p>
          <w:p>
            <w:pPr>
              <w:spacing w:before="40" w:after="40" w:line="276" w:lineRule="auto"/>
            </w:pPr>
            <w:r>
              <w:rPr>
                <w:rFonts w:ascii="Calibri" w:hAnsi="Calibri"/>
                <w:color w:val="2D3748"/>
                <w:sz w:val="19"/>
              </w:rPr>
              <w:t>• Costo del Capital Propio (Ke vía CAPM): 9.76% (Tasa de corte mínima exigida por accionistas).</w:t>
            </w:r>
          </w:p>
          <w:p>
            <w:pPr>
              <w:spacing w:before="40" w:after="40" w:line="276" w:lineRule="auto"/>
            </w:pPr>
            <w:r>
              <w:rPr>
                <w:rFonts w:ascii="Calibri" w:hAnsi="Calibri"/>
                <w:color w:val="2D3748"/>
                <w:sz w:val="19"/>
              </w:rPr>
              <w:t>• Spread Económico Neto: +18.36 p.p. de rendimiento por encima del coste del capital propio.</w:t>
            </w:r>
          </w:p>
          <w:p>
            <w:pPr>
              <w:spacing w:before="40" w:after="40" w:line="276" w:lineRule="auto"/>
            </w:pPr>
            <w:r>
              <w:rPr>
                <w:rFonts w:ascii="Calibri" w:hAnsi="Calibri"/>
                <w:color w:val="2D3748"/>
                <w:sz w:val="19"/>
              </w:rPr>
              <w:t>• Inaplicabilidad de WACC: En entidades financieras, depósitos y float son insumos operativos; el retorno se evalúa mediante ROTCE vs Ke.</w:t>
            </w:r>
          </w:p>
          <w:p>
            <w:pPr>
              <w:spacing w:before="40" w:after="40" w:line="276" w:lineRule="auto"/>
            </w:pPr>
            <w:r>
              <w:rPr>
                <w:rFonts w:ascii="Calibri" w:hAnsi="Calibri"/>
                <w:color w:val="2D3748"/>
                <w:sz w:val="19"/>
              </w:rPr>
              <w:t>• Patrimonio Tangible Auditado: $12,840.3M reportados en balances SEC Form 10-K / 20-F.</w:t>
            </w:r>
          </w:p>
          <w:p>
            <w:pPr>
              <w:spacing w:before="40" w:after="40" w:line="276" w:lineRule="auto"/>
            </w:pPr>
            <w:r>
              <w:rPr>
                <w:rFonts w:ascii="Calibri" w:hAnsi="Calibri"/>
                <w:color w:val="2D3748"/>
                <w:sz w:val="19"/>
              </w:rPr>
              <w:t>• Tesis de Foso Defensivo: Spread de Retorno Excedente (ROTCE - Ke) = +18.36 p.p. (ROTCE: 28.11% vs Ke: 9.76%).</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$14.87</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$72,529.2M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5.19%</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0.96</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Bloque B: Coste del Capital Propio (Ke) y Estructura Patrimonial</w:t>
      </w:r>
    </w:p>
    <w:p>
      <w:r>
        <w:rPr>
          <w:sz w:val="19"/>
        </w:rPr>
        <w:t>En instituciones financieras y aseguradoras, el Coste Medio Ponderado de Capital (WACC) es metodológicamente inaplicable. Los depósitos a la vista, pagarés y el float de primas constituyen el inventario operativo del negocio, no un apalancamiento financiero externo. La rentabilidad se evalúa frente al Coste del Capital Propio (Ke vía CAPM) de 9.76%.</w:t>
      </w:r>
    </w:p>
    <w:p>
      <w:pPr>
        <w:pStyle w:val="Heading2"/>
      </w:pPr>
      <w:r>
        <w:t>11.3. Bloque C: Rentabilidad de Balance (ROTCE) vs. Coste de Capital (Ke)</w:t>
      </w:r>
    </w:p>
    <w:p>
      <w:r>
        <w:rPr>
          <w:sz w:val="19"/>
        </w:rPr>
        <w:t>La rentabilidad sobre fondos propios (ROTCE) de 28.11% sobre un patrimonio tangible de $12,840.3M refleja la productividad real del balance sin distorsiones contables de I+D o activos físicos industriales.</w:t>
      </w:r>
    </w:p>
    <w:p>
      <w:pPr>
        <w:pStyle w:val="Heading2"/>
      </w:pPr>
      <w:r>
        <w:t>11.4. Bloque D: Creación de Valor Económico (EVA / Spread) y Durabilidad del Foso Defensivo</w:t>
      </w:r>
    </w:p>
    <w:p>
      <w:r>
        <w:rPr>
          <w:sz w:val="19"/>
        </w:rPr>
        <w:t>Spread Económico = ROTCE (28.11%) − Ke (9.76%) = +18.36 p.p.</w:t>
        <w:br/>
        <w:t>Dictamen: 🏰 WIDE MOAT / COMPOUNDING MACHINE. La compañía supera holgadamente su costo de financiamiento propio, creando valor neto recurrente.</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5.19%</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0.96</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sistemática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Propio</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9.76%</w:t>
            </w:r>
          </w:p>
        </w:tc>
        <w:tc>
          <w:tcPr>
            <w:tcW w:type="dxa" w:w="1958"/>
            <w:tcMar>
              <w:top w:w="60" w:type="dxa"/>
              <w:bottom w:w="60" w:type="dxa"/>
              <w:left w:w="100" w:type="dxa"/>
              <w:right w:w="100" w:type="dxa"/>
            </w:tcMar>
            <w:shd w:fill="F7FAFC"/>
          </w:tcPr>
          <w:p>
            <w:r>
              <w:rPr>
                <w:sz w:val="17"/>
              </w:rPr>
              <w:t>CAPM Benchmark</w:t>
            </w:r>
          </w:p>
        </w:tc>
        <w:tc>
          <w:tcPr>
            <w:tcW w:type="dxa" w:w="1958"/>
            <w:tcMar>
              <w:top w:w="60" w:type="dxa"/>
              <w:bottom w:w="60" w:type="dxa"/>
              <w:left w:w="100" w:type="dxa"/>
              <w:right w:w="100" w:type="dxa"/>
            </w:tcMar>
            <w:shd w:fill="F7FAFC"/>
          </w:tcPr>
          <w:p>
            <w:r>
              <w:rPr>
                <w:sz w:val="17"/>
              </w:rPr>
              <w:t>Retorno anual exigido por los accionistas comunes.</w:t>
            </w:r>
          </w:p>
        </w:tc>
      </w:tr>
      <w:tr>
        <w:tc>
          <w:tcPr>
            <w:tcW w:type="dxa" w:w="1958"/>
            <w:tcMar>
              <w:top w:w="60" w:type="dxa"/>
              <w:bottom w:w="60" w:type="dxa"/>
              <w:left w:w="100" w:type="dxa"/>
              <w:right w:w="100" w:type="dxa"/>
            </w:tcMar>
          </w:tcPr>
          <w:p>
            <w:r>
              <w:rPr>
                <w:sz w:val="17"/>
              </w:rPr>
              <w:t>Costo de Capital Propio</w:t>
            </w:r>
          </w:p>
        </w:tc>
        <w:tc>
          <w:tcPr>
            <w:tcW w:type="dxa" w:w="1958"/>
            <w:tcMar>
              <w:top w:w="60" w:type="dxa"/>
              <w:bottom w:w="60" w:type="dxa"/>
              <w:left w:w="100" w:type="dxa"/>
              <w:right w:w="100" w:type="dxa"/>
            </w:tcMar>
          </w:tcPr>
          <w:p>
            <w:r>
              <w:rPr>
                <w:b/>
                <w:sz w:val="17"/>
              </w:rPr>
              <w:t>WACC Tradicional</w:t>
            </w:r>
          </w:p>
        </w:tc>
        <w:tc>
          <w:tcPr>
            <w:tcW w:type="dxa" w:w="1958"/>
            <w:tcMar>
              <w:top w:w="60" w:type="dxa"/>
              <w:bottom w:w="60" w:type="dxa"/>
              <w:left w:w="100" w:type="dxa"/>
              <w:right w:w="100" w:type="dxa"/>
            </w:tcMar>
          </w:tcPr>
          <w:p>
            <w:r>
              <w:rPr>
                <w:b/>
                <w:sz w:val="17"/>
              </w:rPr>
              <w:t>No Aplicable</w:t>
            </w:r>
          </w:p>
        </w:tc>
        <w:tc>
          <w:tcPr>
            <w:tcW w:type="dxa" w:w="1958"/>
            <w:tcMar>
              <w:top w:w="60" w:type="dxa"/>
              <w:bottom w:w="60" w:type="dxa"/>
              <w:left w:w="100" w:type="dxa"/>
              <w:right w:w="100" w:type="dxa"/>
            </w:tcMar>
          </w:tcPr>
          <w:p>
            <w:r>
              <w:rPr>
                <w:sz w:val="17"/>
              </w:rPr>
              <w:t>Inaplicable</w:t>
            </w:r>
          </w:p>
        </w:tc>
        <w:tc>
          <w:tcPr>
            <w:tcW w:type="dxa" w:w="1958"/>
            <w:tcMar>
              <w:top w:w="60" w:type="dxa"/>
              <w:bottom w:w="60" w:type="dxa"/>
              <w:left w:w="100" w:type="dxa"/>
              <w:right w:w="100" w:type="dxa"/>
            </w:tcMar>
          </w:tcPr>
          <w:p>
            <w:r>
              <w:rPr>
                <w:sz w:val="17"/>
              </w:rPr>
              <w:t>Pasivos operativos (depósitos/float) no computan en WACC.</w:t>
            </w:r>
          </w:p>
        </w:tc>
      </w:tr>
      <w:tr>
        <w:tc>
          <w:tcPr>
            <w:tcW w:type="dxa" w:w="1958"/>
            <w:tcMar>
              <w:top w:w="60" w:type="dxa"/>
              <w:bottom w:w="60" w:type="dxa"/>
              <w:left w:w="100" w:type="dxa"/>
              <w:right w:w="100" w:type="dxa"/>
            </w:tcMar>
            <w:shd w:fill="F7FAFC"/>
            <w:shd w:fill="E2EFDA"/>
          </w:tcPr>
          <w:p>
            <w:r>
              <w:rPr>
                <w:b/>
                <w:sz w:val="17"/>
              </w:rPr>
              <w:t>Rentabilidad de Balance</w:t>
            </w:r>
          </w:p>
        </w:tc>
        <w:tc>
          <w:tcPr>
            <w:tcW w:type="dxa" w:w="1958"/>
            <w:tcMar>
              <w:top w:w="60" w:type="dxa"/>
              <w:bottom w:w="60" w:type="dxa"/>
              <w:left w:w="100" w:type="dxa"/>
              <w:right w:w="100" w:type="dxa"/>
            </w:tcMar>
            <w:shd w:fill="F7FAFC"/>
            <w:shd w:fill="E2EFDA"/>
          </w:tcPr>
          <w:p>
            <w:r>
              <w:rPr>
                <w:b/>
                <w:sz w:val="17"/>
              </w:rPr>
              <w:t>ROTCE Auditado</w:t>
            </w:r>
          </w:p>
        </w:tc>
        <w:tc>
          <w:tcPr>
            <w:tcW w:type="dxa" w:w="1958"/>
            <w:tcMar>
              <w:top w:w="60" w:type="dxa"/>
              <w:bottom w:w="60" w:type="dxa"/>
              <w:left w:w="100" w:type="dxa"/>
              <w:right w:w="100" w:type="dxa"/>
            </w:tcMar>
            <w:shd w:fill="F7FAFC"/>
            <w:shd w:fill="E2EFDA"/>
          </w:tcPr>
          <w:p>
            <w:r>
              <w:rPr>
                <w:b/>
                <w:sz w:val="17"/>
              </w:rPr>
              <w:t>28.11%</w:t>
            </w:r>
          </w:p>
        </w:tc>
        <w:tc>
          <w:tcPr>
            <w:tcW w:type="dxa" w:w="1958"/>
            <w:tcMar>
              <w:top w:w="60" w:type="dxa"/>
              <w:bottom w:w="60" w:type="dxa"/>
              <w:left w:w="100" w:type="dxa"/>
              <w:right w:w="100" w:type="dxa"/>
            </w:tcMar>
            <w:shd w:fill="F7FAFC"/>
            <w:shd w:fill="E2EFDA"/>
          </w:tcPr>
          <w:p>
            <w:r>
              <w:rPr>
                <w:b/>
                <w:sz w:val="17"/>
              </w:rPr>
              <w:t>Benchmark Sectorial</w:t>
            </w:r>
          </w:p>
        </w:tc>
        <w:tc>
          <w:tcPr>
            <w:tcW w:type="dxa" w:w="1958"/>
            <w:tcMar>
              <w:top w:w="60" w:type="dxa"/>
              <w:bottom w:w="60" w:type="dxa"/>
              <w:left w:w="100" w:type="dxa"/>
              <w:right w:w="100" w:type="dxa"/>
            </w:tcMar>
            <w:shd w:fill="F7FAFC"/>
            <w:shd w:fill="E2EFDA"/>
          </w:tcPr>
          <w:p>
            <w:r>
              <w:rPr>
                <w:b/>
                <w:sz w:val="17"/>
              </w:rPr>
              <w:t>Rentabilidad financiera sobre fondos propios tangibles.</w:t>
            </w:r>
          </w:p>
        </w:tc>
      </w:tr>
      <w:tr>
        <w:tc>
          <w:tcPr>
            <w:tcW w:type="dxa" w:w="1958"/>
            <w:tcMar>
              <w:top w:w="60" w:type="dxa"/>
              <w:bottom w:w="60" w:type="dxa"/>
              <w:left w:w="100" w:type="dxa"/>
              <w:right w:w="100" w:type="dxa"/>
            </w:tcMar>
          </w:tcPr>
          <w:p>
            <w:r>
              <w:rPr>
                <w:sz w:val="17"/>
              </w:rPr>
              <w:t>Rentabilidad de Balance</w:t>
            </w:r>
          </w:p>
        </w:tc>
        <w:tc>
          <w:tcPr>
            <w:tcW w:type="dxa" w:w="1958"/>
            <w:tcMar>
              <w:top w:w="60" w:type="dxa"/>
              <w:bottom w:w="60" w:type="dxa"/>
              <w:left w:w="100" w:type="dxa"/>
              <w:right w:w="100" w:type="dxa"/>
            </w:tcMar>
          </w:tcPr>
          <w:p>
            <w:r>
              <w:rPr>
                <w:b/>
                <w:sz w:val="17"/>
              </w:rPr>
              <w:t>Base Patrimonial Tangible</w:t>
            </w:r>
          </w:p>
        </w:tc>
        <w:tc>
          <w:tcPr>
            <w:tcW w:type="dxa" w:w="1958"/>
            <w:tcMar>
              <w:top w:w="60" w:type="dxa"/>
              <w:bottom w:w="60" w:type="dxa"/>
              <w:left w:w="100" w:type="dxa"/>
              <w:right w:w="100" w:type="dxa"/>
            </w:tcMar>
          </w:tcPr>
          <w:p>
            <w:r>
              <w:rPr>
                <w:b/>
                <w:sz w:val="17"/>
              </w:rPr>
              <w:t>$12,840.3M</w:t>
            </w:r>
          </w:p>
        </w:tc>
        <w:tc>
          <w:tcPr>
            <w:tcW w:type="dxa" w:w="1958"/>
            <w:tcMar>
              <w:top w:w="60" w:type="dxa"/>
              <w:bottom w:w="60" w:type="dxa"/>
              <w:left w:w="100" w:type="dxa"/>
              <w:right w:w="100" w:type="dxa"/>
            </w:tcMar>
          </w:tcPr>
          <w:p>
            <w:r>
              <w:rPr>
                <w:sz w:val="17"/>
              </w:rPr>
              <w:t>Balance SEC</w:t>
            </w:r>
          </w:p>
        </w:tc>
        <w:tc>
          <w:tcPr>
            <w:tcW w:type="dxa" w:w="1958"/>
            <w:tcMar>
              <w:top w:w="60" w:type="dxa"/>
              <w:bottom w:w="60" w:type="dxa"/>
              <w:left w:w="100" w:type="dxa"/>
              <w:right w:w="100" w:type="dxa"/>
            </w:tcMar>
          </w:tcPr>
          <w:p>
            <w:r>
              <w:rPr>
                <w:sz w:val="17"/>
              </w:rPr>
              <w:t>Patrimonio neto reportado que sustenta la operación.</w:t>
            </w:r>
          </w:p>
        </w:tc>
      </w:tr>
      <w:tr>
        <w:tc>
          <w:tcPr>
            <w:tcW w:type="dxa" w:w="1958"/>
            <w:tcMar>
              <w:top w:w="60" w:type="dxa"/>
              <w:bottom w:w="60" w:type="dxa"/>
              <w:left w:w="100" w:type="dxa"/>
              <w:right w:w="100" w:type="dxa"/>
            </w:tcMar>
            <w:shd w:fill="F7FAFC"/>
            <w:shd w:fill="E2EFDA"/>
          </w:tcPr>
          <w:p>
            <w:r>
              <w:rPr>
                <w:b/>
                <w:sz w:val="17"/>
              </w:rPr>
              <w:t>Creación de Valor (EVA)</w:t>
            </w:r>
          </w:p>
        </w:tc>
        <w:tc>
          <w:tcPr>
            <w:tcW w:type="dxa" w:w="1958"/>
            <w:tcMar>
              <w:top w:w="60" w:type="dxa"/>
              <w:bottom w:w="60" w:type="dxa"/>
              <w:left w:w="100" w:type="dxa"/>
              <w:right w:w="100" w:type="dxa"/>
            </w:tcMar>
            <w:shd w:fill="F7FAFC"/>
            <w:shd w:fill="E2EFDA"/>
          </w:tcPr>
          <w:p>
            <w:r>
              <w:rPr>
                <w:b/>
                <w:sz w:val="17"/>
              </w:rPr>
              <w:t>Spread Económico (ROTCE − Ke)</w:t>
            </w:r>
          </w:p>
        </w:tc>
        <w:tc>
          <w:tcPr>
            <w:tcW w:type="dxa" w:w="1958"/>
            <w:tcMar>
              <w:top w:w="60" w:type="dxa"/>
              <w:bottom w:w="60" w:type="dxa"/>
              <w:left w:w="100" w:type="dxa"/>
              <w:right w:w="100" w:type="dxa"/>
            </w:tcMar>
            <w:shd w:fill="F7FAFC"/>
            <w:shd w:fill="E2EFDA"/>
          </w:tcPr>
          <w:p>
            <w:r>
              <w:rPr>
                <w:b/>
                <w:sz w:val="17"/>
              </w:rPr>
              <w:t>+18.36 p.p.</w:t>
            </w:r>
          </w:p>
        </w:tc>
        <w:tc>
          <w:tcPr>
            <w:tcW w:type="dxa" w:w="1958"/>
            <w:tcMar>
              <w:top w:w="60" w:type="dxa"/>
              <w:bottom w:w="60" w:type="dxa"/>
              <w:left w:w="100" w:type="dxa"/>
              <w:right w:w="100" w:type="dxa"/>
            </w:tcMar>
            <w:shd w:fill="F7FAFC"/>
            <w:shd w:fill="E2EFDA"/>
          </w:tcPr>
          <w:p>
            <w:r>
              <w:rPr>
                <w:b/>
                <w:sz w:val="17"/>
              </w:rPr>
              <w:t>Hurdle Rate</w:t>
            </w:r>
          </w:p>
        </w:tc>
        <w:tc>
          <w:tcPr>
            <w:tcW w:type="dxa" w:w="1958"/>
            <w:tcMar>
              <w:top w:w="60" w:type="dxa"/>
              <w:bottom w:w="60" w:type="dxa"/>
              <w:left w:w="100" w:type="dxa"/>
              <w:right w:w="100" w:type="dxa"/>
            </w:tcMar>
            <w:shd w:fill="F7FAFC"/>
            <w:shd w:fill="E2EFDA"/>
          </w:tcPr>
          <w:p>
            <w:r>
              <w:rPr>
                <w:b/>
                <w:sz w:val="17"/>
              </w:rPr>
              <w:t>Extraordinaria generación de riqueza neta sobre el coste de capital.</w:t>
            </w:r>
          </w:p>
        </w:tc>
      </w:tr>
      <w:tr>
        <w:tc>
          <w:tcPr>
            <w:tcW w:type="dxa" w:w="1958"/>
            <w:tcMar>
              <w:top w:w="60" w:type="dxa"/>
              <w:bottom w:w="60" w:type="dxa"/>
              <w:left w:w="100" w:type="dxa"/>
              <w:right w:w="100" w:type="dxa"/>
            </w:tcMar>
          </w:tcPr>
          <w:p>
            <w:r>
              <w:rPr>
                <w:sz w:val="17"/>
              </w:rPr>
              <w:t>Creación de Valor (EVA)</w:t>
            </w:r>
          </w:p>
        </w:tc>
        <w:tc>
          <w:tcPr>
            <w:tcW w:type="dxa" w:w="1958"/>
            <w:tcMar>
              <w:top w:w="60" w:type="dxa"/>
              <w:bottom w:w="60" w:type="dxa"/>
              <w:left w:w="100" w:type="dxa"/>
              <w:right w:w="100" w:type="dxa"/>
            </w:tcMar>
          </w:tcPr>
          <w:p>
            <w:r>
              <w:rPr>
                <w:b/>
                <w:sz w:val="17"/>
              </w:rPr>
              <w:t>Dictamen Foso Defensivo</w:t>
            </w:r>
          </w:p>
        </w:tc>
        <w:tc>
          <w:tcPr>
            <w:tcW w:type="dxa" w:w="1958"/>
            <w:tcMar>
              <w:top w:w="60" w:type="dxa"/>
              <w:bottom w:w="60" w:type="dxa"/>
              <w:left w:w="100" w:type="dxa"/>
              <w:right w:w="100" w:type="dxa"/>
            </w:tcMar>
          </w:tcPr>
          <w:p>
            <w:r>
              <w:rPr>
                <w:b/>
                <w:sz w:val="17"/>
              </w:rPr>
              <w:t>🏰 WIDE MOAT / COMPOUNDING MACHINE</w:t>
            </w:r>
          </w:p>
        </w:tc>
        <w:tc>
          <w:tcPr>
            <w:tcW w:type="dxa" w:w="1958"/>
            <w:tcMar>
              <w:top w:w="60" w:type="dxa"/>
              <w:bottom w:w="60" w:type="dxa"/>
              <w:left w:w="100" w:type="dxa"/>
              <w:right w:w="100" w:type="dxa"/>
            </w:tcMar>
          </w:tcPr>
          <w:p>
            <w:r>
              <w:rPr>
                <w:sz w:val="17"/>
              </w:rPr>
              <w:t>Compounding Machine</w:t>
            </w:r>
          </w:p>
        </w:tc>
        <w:tc>
          <w:tcPr>
            <w:tcW w:type="dxa" w:w="1958"/>
            <w:tcMar>
              <w:top w:w="60" w:type="dxa"/>
              <w:bottom w:w="60" w:type="dxa"/>
              <w:left w:w="100" w:type="dxa"/>
              <w:right w:w="100" w:type="dxa"/>
            </w:tcMar>
          </w:tcPr>
          <w:p>
            <w:r>
              <w:rPr>
                <w:sz w:val="17"/>
              </w:rPr>
              <w:t>Fortaleza estructural de intermediación y fondeo.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ANÁLISIS SECTORIAL BANCARIO</w:t>
        <w:br/>
      </w:r>
      <w:r>
        <w:rPr>
          <w:rFonts w:ascii="Calibri" w:hAnsi="Calibri"/>
          <w:color w:val="2D3748"/>
          <w:sz w:val="19"/>
        </w:rPr>
        <w:t>• Ratio Sloan de Devengos: +0.00% [N/A BANCA Y SEGUROS]</w:t>
        <w:br/>
        <w:t>• Montier C-Score: NO APLICABLE [NO APLICABLE]</w:t>
        <w:br/>
        <w:t>• Dictamen: AUDITORÍA FORENSE ADAPTADA (FINANCIAL_BANKING): Los modelos cuantitativos de devengos industriales y Montier C-Score no son aplicables a balances bancarios y aseguradores. La solvencia e integridad contable se evalúan mediante la calidad de cartera (NPLs), ratios de cobertura de provisiones, margen de interés neto (NIM) y solidez de capital regulatorio (CET1).</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$3,610.0M</w:t>
            </w:r>
          </w:p>
        </w:tc>
        <w:tc>
          <w:tcPr>
            <w:tcW w:type="dxa" w:w="1094"/>
            <w:tcMar>
              <w:top w:w="60" w:type="dxa"/>
              <w:bottom w:w="60" w:type="dxa"/>
              <w:left w:w="60" w:type="dxa"/>
              <w:right w:w="60" w:type="dxa"/>
            </w:tcMar>
          </w:tcPr>
          <w:p>
            <w:pPr>
              <w:jc w:val="right"/>
            </w:pPr>
            <w:r>
              <w:rPr>
                <w:rFonts w:ascii="Calibri" w:hAnsi="Calibri"/>
                <w:b w:val="0"/>
                <w:sz w:val="17"/>
              </w:rPr>
              <w:t>$2,871.7M</w:t>
            </w:r>
          </w:p>
        </w:tc>
        <w:tc>
          <w:tcPr>
            <w:tcW w:type="dxa" w:w="1094"/>
            <w:tcMar>
              <w:top w:w="60" w:type="dxa"/>
              <w:bottom w:w="60" w:type="dxa"/>
              <w:left w:w="60" w:type="dxa"/>
              <w:right w:w="60" w:type="dxa"/>
            </w:tcMar>
          </w:tcPr>
          <w:p>
            <w:pPr>
              <w:jc w:val="right"/>
            </w:pPr>
            <w:r>
              <w:rPr>
                <w:rFonts w:ascii="Calibri" w:hAnsi="Calibri"/>
                <w:b w:val="0"/>
                <w:sz w:val="17"/>
              </w:rPr>
              <w:t>$1,972.1M</w:t>
            </w:r>
          </w:p>
        </w:tc>
        <w:tc>
          <w:tcPr>
            <w:tcW w:type="dxa" w:w="1094"/>
            <w:tcMar>
              <w:top w:w="60" w:type="dxa"/>
              <w:bottom w:w="60" w:type="dxa"/>
              <w:left w:w="60" w:type="dxa"/>
              <w:right w:w="60" w:type="dxa"/>
            </w:tcMar>
          </w:tcPr>
          <w:p>
            <w:pPr>
              <w:jc w:val="right"/>
            </w:pPr>
            <w:r>
              <w:rPr>
                <w:rFonts w:ascii="Calibri" w:hAnsi="Calibri"/>
                <w:b w:val="0"/>
                <w:sz w:val="17"/>
              </w:rPr>
              <w:t>$1,030.5M</w:t>
            </w:r>
          </w:p>
        </w:tc>
        <w:tc>
          <w:tcPr>
            <w:tcW w:type="dxa" w:w="1094"/>
            <w:tcMar>
              <w:top w:w="60" w:type="dxa"/>
              <w:bottom w:w="60" w:type="dxa"/>
              <w:left w:w="60" w:type="dxa"/>
              <w:right w:w="60" w:type="dxa"/>
            </w:tcMar>
          </w:tcPr>
          <w:p>
            <w:pPr>
              <w:jc w:val="right"/>
            </w:pPr>
            <w:r>
              <w:rPr>
                <w:rFonts w:ascii="Calibri" w:hAnsi="Calibri"/>
                <w:b w:val="0"/>
                <w:sz w:val="17"/>
              </w:rPr>
              <w:t>$-364.6M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$-1,381.6M</w:t>
            </w:r>
          </w:p>
        </w:tc>
        <w:tc>
          <w:tcPr>
            <w:tcW w:type="dxa" w:w="1094"/>
            <w:tcMar>
              <w:top w:w="60" w:type="dxa"/>
              <w:bottom w:w="60" w:type="dxa"/>
              <w:left w:w="60" w:type="dxa"/>
              <w:right w:w="60" w:type="dxa"/>
            </w:tcMar>
          </w:tcPr>
          <w:p>
            <w:pPr>
              <w:jc w:val="right"/>
            </w:pPr>
            <w:r>
              <w:rPr>
                <w:rFonts w:ascii="Calibri" w:hAnsi="Calibri"/>
                <w:b w:val="0"/>
                <w:sz w:val="17"/>
              </w:rPr>
              <w:t>$3,500.5M</w:t>
            </w:r>
          </w:p>
        </w:tc>
        <w:tc>
          <w:tcPr>
            <w:tcW w:type="dxa" w:w="1094"/>
            <w:tcMar>
              <w:top w:w="60" w:type="dxa"/>
              <w:bottom w:w="60" w:type="dxa"/>
              <w:left w:w="60" w:type="dxa"/>
              <w:right w:w="60" w:type="dxa"/>
            </w:tcMar>
          </w:tcPr>
          <w:p>
            <w:pPr>
              <w:jc w:val="right"/>
            </w:pPr>
            <w:r>
              <w:rPr>
                <w:rFonts w:ascii="Calibri" w:hAnsi="Calibri"/>
                <w:b w:val="0"/>
                <w:sz w:val="17"/>
              </w:rPr>
              <w:t>$2,399.0M</w:t>
            </w:r>
          </w:p>
        </w:tc>
        <w:tc>
          <w:tcPr>
            <w:tcW w:type="dxa" w:w="1094"/>
            <w:tcMar>
              <w:top w:w="60" w:type="dxa"/>
              <w:bottom w:w="60" w:type="dxa"/>
              <w:left w:w="60" w:type="dxa"/>
              <w:right w:w="60" w:type="dxa"/>
            </w:tcMar>
          </w:tcPr>
          <w:p>
            <w:pPr>
              <w:jc w:val="right"/>
            </w:pPr>
            <w:r>
              <w:rPr>
                <w:rFonts w:ascii="Calibri" w:hAnsi="Calibri"/>
                <w:b w:val="0"/>
                <w:sz w:val="17"/>
              </w:rPr>
              <w:t>$1,266.2M</w:t>
            </w:r>
          </w:p>
        </w:tc>
        <w:tc>
          <w:tcPr>
            <w:tcW w:type="dxa" w:w="1094"/>
            <w:tcMar>
              <w:top w:w="60" w:type="dxa"/>
              <w:bottom w:w="60" w:type="dxa"/>
              <w:left w:w="60" w:type="dxa"/>
              <w:right w:w="60" w:type="dxa"/>
            </w:tcMar>
          </w:tcPr>
          <w:p>
            <w:pPr>
              <w:jc w:val="right"/>
            </w:pPr>
            <w:r>
              <w:rPr>
                <w:rFonts w:ascii="Calibri" w:hAnsi="Calibri"/>
                <w:b w:val="0"/>
                <w:sz w:val="17"/>
              </w:rPr>
              <w:t>$755.6M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center"/>
            </w:pPr>
            <w:r>
              <w:rPr>
                <w:rFonts w:ascii="Calibri" w:hAnsi="Calibri"/>
                <w:b/>
                <w:sz w:val="17"/>
              </w:rPr>
              <w:t>-</w:t>
            </w:r>
          </w:p>
        </w:tc>
        <w:tc>
          <w:tcPr>
            <w:tcW w:type="dxa" w:w="1094"/>
            <w:tcMar>
              <w:top w:w="60" w:type="dxa"/>
              <w:bottom w:w="60" w:type="dxa"/>
              <w:left w:w="60" w:type="dxa"/>
              <w:right w:w="60" w:type="dxa"/>
            </w:tcMar>
          </w:tcPr>
          <w:p>
            <w:pPr>
              <w:jc w:val="center"/>
            </w:pPr>
            <w:r>
              <w:rPr>
                <w:rFonts w:ascii="Calibri" w:hAnsi="Calibri"/>
                <w:b/>
                <w:sz w:val="17"/>
              </w:rPr>
              <w:t>-</w:t>
            </w:r>
          </w:p>
        </w:tc>
        <w:tc>
          <w:tcPr>
            <w:tcW w:type="dxa" w:w="1094"/>
            <w:tcMar>
              <w:top w:w="60" w:type="dxa"/>
              <w:bottom w:w="60" w:type="dxa"/>
              <w:left w:w="60" w:type="dxa"/>
              <w:right w:w="60" w:type="dxa"/>
            </w:tcMar>
          </w:tcPr>
          <w:p>
            <w:pPr>
              <w:jc w:val="center"/>
            </w:pPr>
            <w:r>
              <w:rPr>
                <w:rFonts w:ascii="Calibri" w:hAnsi="Calibri"/>
                <w:b/>
                <w:sz w:val="17"/>
              </w:rPr>
              <w:t>-</w:t>
            </w:r>
          </w:p>
        </w:tc>
        <w:tc>
          <w:tcPr>
            <w:tcW w:type="dxa" w:w="1094"/>
            <w:tcMar>
              <w:top w:w="60" w:type="dxa"/>
              <w:bottom w:w="60" w:type="dxa"/>
              <w:left w:w="60" w:type="dxa"/>
              <w:right w:w="60" w:type="dxa"/>
            </w:tcMar>
          </w:tcPr>
          <w:p>
            <w:pPr>
              <w:jc w:val="center"/>
            </w:pPr>
            <w:r>
              <w:rPr>
                <w:rFonts w:ascii="Calibri" w:hAnsi="Calibri"/>
                <w:b/>
                <w:sz w:val="17"/>
              </w:rPr>
              <w:t>-</w:t>
            </w:r>
          </w:p>
        </w:tc>
        <w:tc>
          <w:tcPr>
            <w:tcW w:type="dxa" w:w="1094"/>
            <w:tcMar>
              <w:top w:w="60" w:type="dxa"/>
              <w:bottom w:w="60" w:type="dxa"/>
              <w:left w:w="60" w:type="dxa"/>
              <w:right w:w="60" w:type="dxa"/>
            </w:tcMar>
          </w:tcPr>
          <w:p>
            <w:pPr>
              <w:jc w:val="center"/>
            </w:pPr>
            <w:r>
              <w:rPr>
                <w:rFonts w:ascii="Calibri" w:hAnsi="Calibri"/>
                <w:b/>
                <w:sz w:val="17"/>
              </w:rPr>
              <w:t>-</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$78,823.6M</w:t>
            </w:r>
          </w:p>
        </w:tc>
        <w:tc>
          <w:tcPr>
            <w:tcW w:type="dxa" w:w="1094"/>
            <w:tcMar>
              <w:top w:w="60" w:type="dxa"/>
              <w:bottom w:w="60" w:type="dxa"/>
              <w:left w:w="60" w:type="dxa"/>
              <w:right w:w="60" w:type="dxa"/>
            </w:tcMar>
          </w:tcPr>
          <w:p>
            <w:pPr>
              <w:jc w:val="right"/>
            </w:pPr>
            <w:r>
              <w:rPr>
                <w:rFonts w:ascii="Calibri" w:hAnsi="Calibri"/>
                <w:b w:val="0"/>
                <w:sz w:val="17"/>
              </w:rPr>
              <w:t>$62,412.5M</w:t>
            </w:r>
          </w:p>
        </w:tc>
        <w:tc>
          <w:tcPr>
            <w:tcW w:type="dxa" w:w="1094"/>
            <w:tcMar>
              <w:top w:w="60" w:type="dxa"/>
              <w:bottom w:w="60" w:type="dxa"/>
              <w:left w:w="60" w:type="dxa"/>
              <w:right w:w="60" w:type="dxa"/>
            </w:tcMar>
          </w:tcPr>
          <w:p>
            <w:pPr>
              <w:jc w:val="right"/>
            </w:pPr>
            <w:r>
              <w:rPr>
                <w:rFonts w:ascii="Calibri" w:hAnsi="Calibri"/>
                <w:b w:val="0"/>
                <w:sz w:val="17"/>
              </w:rPr>
              <w:t>$46,638.2M</w:t>
            </w:r>
          </w:p>
        </w:tc>
        <w:tc>
          <w:tcPr>
            <w:tcW w:type="dxa" w:w="1094"/>
            <w:tcMar>
              <w:top w:w="60" w:type="dxa"/>
              <w:bottom w:w="60" w:type="dxa"/>
              <w:left w:w="60" w:type="dxa"/>
              <w:right w:w="60" w:type="dxa"/>
            </w:tcMar>
          </w:tcPr>
          <w:p>
            <w:pPr>
              <w:jc w:val="right"/>
            </w:pPr>
            <w:r>
              <w:rPr>
                <w:rFonts w:ascii="Calibri" w:hAnsi="Calibri"/>
                <w:b w:val="0"/>
                <w:sz w:val="17"/>
              </w:rPr>
              <w:t>$36,640.0M</w:t>
            </w:r>
          </w:p>
        </w:tc>
        <w:tc>
          <w:tcPr>
            <w:tcW w:type="dxa" w:w="1094"/>
            <w:tcMar>
              <w:top w:w="60" w:type="dxa"/>
              <w:bottom w:w="60" w:type="dxa"/>
              <w:left w:w="60" w:type="dxa"/>
              <w:right w:w="60" w:type="dxa"/>
            </w:tcMar>
          </w:tcPr>
          <w:p>
            <w:pPr>
              <w:jc w:val="right"/>
            </w:pPr>
            <w:r>
              <w:rPr>
                <w:rFonts w:ascii="Calibri" w:hAnsi="Calibri"/>
                <w:b w:val="0"/>
                <w:sz w:val="17"/>
              </w:rPr>
              <w:t>$24,896.8M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center"/>
            </w:pPr>
            <w:r>
              <w:rPr>
                <w:rFonts w:ascii="Calibri" w:hAnsi="Calibri"/>
                <w:b/>
                <w:sz w:val="17"/>
              </w:rPr>
              <w:t>-</w:t>
            </w:r>
          </w:p>
        </w:tc>
        <w:tc>
          <w:tcPr>
            <w:tcW w:type="dxa" w:w="1094"/>
            <w:tcMar>
              <w:top w:w="60" w:type="dxa"/>
              <w:bottom w:w="60" w:type="dxa"/>
              <w:left w:w="60" w:type="dxa"/>
              <w:right w:w="60" w:type="dxa"/>
            </w:tcMar>
          </w:tcPr>
          <w:p>
            <w:pPr>
              <w:jc w:val="center"/>
            </w:pPr>
            <w:r>
              <w:rPr>
                <w:rFonts w:ascii="Calibri" w:hAnsi="Calibri"/>
                <w:b/>
                <w:sz w:val="17"/>
              </w:rPr>
              <w:t>-</w:t>
            </w:r>
          </w:p>
        </w:tc>
        <w:tc>
          <w:tcPr>
            <w:tcW w:type="dxa" w:w="1094"/>
            <w:tcMar>
              <w:top w:w="60" w:type="dxa"/>
              <w:bottom w:w="60" w:type="dxa"/>
              <w:left w:w="60" w:type="dxa"/>
              <w:right w:w="60" w:type="dxa"/>
            </w:tcMar>
          </w:tcPr>
          <w:p>
            <w:pPr>
              <w:jc w:val="center"/>
            </w:pPr>
            <w:r>
              <w:rPr>
                <w:rFonts w:ascii="Calibri" w:hAnsi="Calibri"/>
                <w:b/>
                <w:sz w:val="17"/>
              </w:rPr>
              <w:t>-</w:t>
            </w:r>
          </w:p>
        </w:tc>
        <w:tc>
          <w:tcPr>
            <w:tcW w:type="dxa" w:w="1094"/>
            <w:tcMar>
              <w:top w:w="60" w:type="dxa"/>
              <w:bottom w:w="60" w:type="dxa"/>
              <w:left w:w="60" w:type="dxa"/>
              <w:right w:w="60" w:type="dxa"/>
            </w:tcMar>
          </w:tcPr>
          <w:p>
            <w:pPr>
              <w:jc w:val="center"/>
            </w:pPr>
            <w:r>
              <w:rPr>
                <w:rFonts w:ascii="Calibri" w:hAnsi="Calibri"/>
                <w:b/>
                <w:sz w:val="17"/>
              </w:rPr>
              <w:t>-</w:t>
            </w:r>
          </w:p>
        </w:tc>
        <w:tc>
          <w:tcPr>
            <w:tcW w:type="dxa" w:w="1094"/>
            <w:tcMar>
              <w:top w:w="60" w:type="dxa"/>
              <w:bottom w:w="60" w:type="dxa"/>
              <w:left w:w="60" w:type="dxa"/>
              <w:right w:w="60" w:type="dxa"/>
            </w:tcMar>
          </w:tcPr>
          <w:p>
            <w:pPr>
              <w:jc w:val="center"/>
            </w:pPr>
            <w:r>
              <w:rPr>
                <w:rFonts w:ascii="Calibri" w:hAnsi="Calibri"/>
                <w:b/>
                <w:sz w:val="17"/>
              </w:rPr>
              <w:t>-</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NO APLICABLE (SECTOR FINANCIERO)</w:t>
            </w:r>
          </w:p>
        </w:tc>
        <w:tc>
          <w:tcPr>
            <w:tcW w:type="dxa" w:w="1094"/>
            <w:tcMar>
              <w:top w:w="60" w:type="dxa"/>
              <w:bottom w:w="60" w:type="dxa"/>
              <w:left w:w="60" w:type="dxa"/>
              <w:right w:w="60" w:type="dxa"/>
            </w:tcMar>
          </w:tcPr>
          <w:p>
            <w:pPr>
              <w:jc w:val="center"/>
            </w:pPr>
            <w:r>
              <w:rPr>
                <w:rFonts w:ascii="Calibri" w:hAnsi="Calibri"/>
                <w:b w:val="0"/>
                <w:sz w:val="17"/>
              </w:rPr>
              <w:t>NO APLICABLE (SECTOR FINANCIERO)</w:t>
            </w:r>
          </w:p>
        </w:tc>
        <w:tc>
          <w:tcPr>
            <w:tcW w:type="dxa" w:w="1094"/>
            <w:tcMar>
              <w:top w:w="60" w:type="dxa"/>
              <w:bottom w:w="60" w:type="dxa"/>
              <w:left w:w="60" w:type="dxa"/>
              <w:right w:w="60" w:type="dxa"/>
            </w:tcMar>
          </w:tcPr>
          <w:p>
            <w:pPr>
              <w:jc w:val="center"/>
            </w:pPr>
            <w:r>
              <w:rPr>
                <w:rFonts w:ascii="Calibri" w:hAnsi="Calibri"/>
                <w:b w:val="0"/>
                <w:sz w:val="17"/>
              </w:rPr>
              <w:t>NO APLICABLE (SECTOR FINANCIERO)</w:t>
            </w:r>
          </w:p>
        </w:tc>
        <w:tc>
          <w:tcPr>
            <w:tcW w:type="dxa" w:w="1094"/>
            <w:tcMar>
              <w:top w:w="60" w:type="dxa"/>
              <w:bottom w:w="60" w:type="dxa"/>
              <w:left w:w="60" w:type="dxa"/>
              <w:right w:w="60" w:type="dxa"/>
            </w:tcMar>
          </w:tcPr>
          <w:p>
            <w:pPr>
              <w:jc w:val="center"/>
            </w:pPr>
            <w:r>
              <w:rPr>
                <w:rFonts w:ascii="Calibri" w:hAnsi="Calibri"/>
                <w:b w:val="0"/>
                <w:sz w:val="17"/>
              </w:rPr>
              <w:t>NO APLICABLE (SECTOR FINANCIERO)</w:t>
            </w:r>
          </w:p>
        </w:tc>
        <w:tc>
          <w:tcPr>
            <w:tcW w:type="dxa" w:w="1094"/>
            <w:tcMar>
              <w:top w:w="60" w:type="dxa"/>
              <w:bottom w:w="60" w:type="dxa"/>
              <w:left w:w="60" w:type="dxa"/>
              <w:right w:w="60" w:type="dxa"/>
            </w:tcMar>
          </w:tcPr>
          <w:p>
            <w:pPr>
              <w:jc w:val="center"/>
            </w:pPr>
            <w:r>
              <w:rPr>
                <w:rFonts w:ascii="Calibri" w:hAnsi="Calibri"/>
                <w:b w:val="0"/>
                <w:sz w:val="17"/>
              </w:rPr>
              <w:t>NO APLICABLE (SECTOR FINANCIERO)</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Nu Holdings Ltd. generó $-1,381.6M de CFO frente a $3,610.0M de beneficio neto, arrojando una tasa de conversión de caja del -38.3% (cada dólar reportado está respaldado por $-0.38 de efectivo). El Ratio Sloan de +0.00%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+0.0%</w:t>
            </w:r>
          </w:p>
        </w:tc>
        <w:tc>
          <w:tcPr>
            <w:tcW w:type="dxa" w:w="1440"/>
            <w:tcMar>
              <w:top w:w="60" w:type="dxa"/>
              <w:bottom w:w="60" w:type="dxa"/>
              <w:left w:w="80" w:type="dxa"/>
              <w:right w:w="80" w:type="dxa"/>
            </w:tcMar>
          </w:tcPr>
          <w:p>
            <w:pPr>
              <w:jc w:val="center"/>
            </w:pPr>
            <w:r>
              <w:rPr>
                <w:rFonts w:ascii="Calibri" w:hAnsi="Calibri"/>
                <w:sz w:val="17"/>
              </w:rPr>
              <w:t>DSO: 0.0d (+0.0d)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+0.0%</w:t>
            </w:r>
          </w:p>
        </w:tc>
        <w:tc>
          <w:tcPr>
            <w:tcW w:type="dxa" w:w="1440"/>
            <w:tcMar>
              <w:top w:w="60" w:type="dxa"/>
              <w:bottom w:w="60" w:type="dxa"/>
              <w:left w:w="80" w:type="dxa"/>
              <w:right w:w="80" w:type="dxa"/>
            </w:tcMar>
          </w:tcPr>
          <w:p>
            <w:pPr>
              <w:jc w:val="center"/>
            </w:pPr>
            <w:r>
              <w:rPr>
                <w:rFonts w:ascii="Calibri" w:hAnsi="Calibri"/>
                <w:sz w:val="17"/>
              </w:rPr>
              <w:t>DIO: 0.0d (+0.0d)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72.5%</w:t>
            </w:r>
          </w:p>
        </w:tc>
        <w:tc>
          <w:tcPr>
            <w:tcW w:type="dxa" w:w="1440"/>
            <w:tcMar>
              <w:top w:w="60" w:type="dxa"/>
              <w:bottom w:w="60" w:type="dxa"/>
              <w:left w:w="80" w:type="dxa"/>
              <w:right w:w="80" w:type="dxa"/>
            </w:tcMar>
          </w:tcPr>
          <w:p>
            <w:pPr>
              <w:jc w:val="center"/>
            </w:pPr>
            <w:r>
              <w:rPr>
                <w:rFonts w:ascii="Calibri" w:hAnsi="Calibri"/>
                <w:sz w:val="17"/>
              </w:rPr>
              <w:t>Δ: +5.3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(Nu Holdings Ltd.): Entidad del arquetipo 'FINANCIAL_BANKING': no mantiene inventario de existencias ni coste de ventas (COGS).</w:t>
      </w:r>
    </w:p>
    <w:p>
      <w:pPr>
        <w:pStyle w:val="Heading2"/>
      </w:pPr>
      <w:r>
        <w:rPr>
          <w:rFonts w:ascii="Calibri" w:hAnsi="Calibri"/>
          <w:b/>
          <w:color w:val="1B365D"/>
          <w:sz w:val="23"/>
        </w:rPr>
        <w:t>12.3. Desglose Forense Montier C-Score (NO APLICABLE)</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NI &gt; CFO</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No aplicable a intermediación financiera.</w:t>
            </w:r>
          </w:p>
        </w:tc>
      </w:tr>
      <w:tr>
        <w:tc>
          <w:tcPr>
            <w:tcW w:type="dxa" w:w="2160"/>
            <w:tcMar>
              <w:top w:w="60" w:type="dxa"/>
              <w:bottom w:w="60" w:type="dxa"/>
              <w:left w:w="80" w:type="dxa"/>
              <w:right w:w="80" w:type="dxa"/>
            </w:tcMar>
          </w:tcPr>
          <w:p>
            <w:pPr>
              <w:jc w:val="left"/>
            </w:pPr>
            <w:r>
              <w:rPr>
                <w:rFonts w:ascii="Calibri" w:hAnsi="Calibri"/>
                <w:sz w:val="16"/>
              </w:rPr>
              <w:t>2. Cuentas por Cobrar vs. Ventas (DSO)</w:t>
            </w:r>
          </w:p>
        </w:tc>
        <w:tc>
          <w:tcPr>
            <w:tcW w:type="dxa" w:w="2016"/>
            <w:tcMar>
              <w:top w:w="60" w:type="dxa"/>
              <w:bottom w:w="60" w:type="dxa"/>
              <w:left w:w="80" w:type="dxa"/>
              <w:right w:w="80" w:type="dxa"/>
            </w:tcMar>
          </w:tcPr>
          <w:p>
            <w:pPr>
              <w:jc w:val="left"/>
            </w:pPr>
            <w:r>
              <w:rPr>
                <w:rFonts w:ascii="Calibri" w:hAnsi="Calibri"/>
                <w:sz w:val="16"/>
              </w:rPr>
              <w:t>Δ DSO &gt; 0 (o %Δ AR &gt; %Δ Ventas)</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Entidades financieras no operan con cuentas comerciales a cobrar.</w:t>
            </w:r>
          </w:p>
        </w:tc>
      </w:tr>
      <w:tr>
        <w:tc>
          <w:tcPr>
            <w:tcW w:type="dxa" w:w="2160"/>
            <w:tcMar>
              <w:top w:w="60" w:type="dxa"/>
              <w:bottom w:w="60" w:type="dxa"/>
              <w:left w:w="80" w:type="dxa"/>
              <w:right w:w="80" w:type="dxa"/>
            </w:tcMar>
          </w:tcPr>
          <w:p>
            <w:pPr>
              <w:jc w:val="left"/>
            </w:pPr>
            <w:r>
              <w:rPr>
                <w:rFonts w:ascii="Calibri" w:hAnsi="Calibri"/>
                <w:sz w:val="16"/>
              </w:rPr>
              <w:t>3. Inventarios vs. Coste de Ventas (DIO)</w:t>
            </w:r>
          </w:p>
        </w:tc>
        <w:tc>
          <w:tcPr>
            <w:tcW w:type="dxa" w:w="2016"/>
            <w:tcMar>
              <w:top w:w="60" w:type="dxa"/>
              <w:bottom w:w="60" w:type="dxa"/>
              <w:left w:w="80" w:type="dxa"/>
              <w:right w:w="80" w:type="dxa"/>
            </w:tcMar>
          </w:tcPr>
          <w:p>
            <w:pPr>
              <w:jc w:val="left"/>
            </w:pPr>
            <w:r>
              <w:rPr>
                <w:rFonts w:ascii="Calibri" w:hAnsi="Calibri"/>
                <w:sz w:val="16"/>
              </w:rPr>
              <w:t>Δ DIO &gt; 0 (o %Δ Inv &gt; %Δ COGS)</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Entidades financieras no mantienen existencias de mercancía ni COGS.</w:t>
            </w:r>
          </w:p>
        </w:tc>
      </w:tr>
      <w:tr>
        <w:tc>
          <w:tcPr>
            <w:tcW w:type="dxa" w:w="2160"/>
            <w:tcMar>
              <w:top w:w="60" w:type="dxa"/>
              <w:bottom w:w="60" w:type="dxa"/>
              <w:left w:w="80" w:type="dxa"/>
              <w:right w:w="80" w:type="dxa"/>
            </w:tcMar>
          </w:tcPr>
          <w:p>
            <w:pPr>
              <w:jc w:val="left"/>
            </w:pPr>
            <w:r>
              <w:rPr>
                <w:rFonts w:ascii="Calibri" w:hAnsi="Calibri"/>
                <w:sz w:val="16"/>
              </w:rPr>
              <w:t>4. Otros Activos Corrientes vs. Ventas</w:t>
            </w:r>
          </w:p>
        </w:tc>
        <w:tc>
          <w:tcPr>
            <w:tcW w:type="dxa" w:w="2016"/>
            <w:tcMar>
              <w:top w:w="60" w:type="dxa"/>
              <w:bottom w:w="60" w:type="dxa"/>
              <w:left w:w="80" w:type="dxa"/>
              <w:right w:w="80" w:type="dxa"/>
            </w:tcMar>
          </w:tcPr>
          <w:p>
            <w:pPr>
              <w:jc w:val="left"/>
            </w:pPr>
            <w:r>
              <w:rPr>
                <w:rFonts w:ascii="Calibri" w:hAnsi="Calibri"/>
                <w:sz w:val="16"/>
              </w:rPr>
              <w:t>Ratio Otros Act. Ctes/Ventas_t &gt; Ratio Otros Act. Ctes/Ventas_t-1</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Estructura de balance sin clasificación corriente/no corriente.</w:t>
            </w:r>
          </w:p>
        </w:tc>
      </w:tr>
      <w:tr>
        <w:tc>
          <w:tcPr>
            <w:tcW w:type="dxa" w:w="2160"/>
            <w:tcMar>
              <w:top w:w="60" w:type="dxa"/>
              <w:bottom w:w="60" w:type="dxa"/>
              <w:left w:w="80" w:type="dxa"/>
              <w:right w:w="80" w:type="dxa"/>
            </w:tcMar>
          </w:tcPr>
          <w:p>
            <w:pPr>
              <w:jc w:val="left"/>
            </w:pPr>
            <w:r>
              <w:rPr>
                <w:rFonts w:ascii="Calibri" w:hAnsi="Calibri"/>
                <w:sz w:val="16"/>
              </w:rPr>
              <w:t>5.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PP&amp;E tangible inmaterial frente al activo financiero total.</w:t>
            </w:r>
          </w:p>
        </w:tc>
      </w:tr>
      <w:tr>
        <w:tc>
          <w:tcPr>
            <w:tcW w:type="dxa" w:w="2160"/>
            <w:tcMar>
              <w:top w:w="60" w:type="dxa"/>
              <w:bottom w:w="60" w:type="dxa"/>
              <w:left w:w="80" w:type="dxa"/>
              <w:right w:w="80" w:type="dxa"/>
            </w:tcMar>
          </w:tcPr>
          <w:p>
            <w:pPr>
              <w:jc w:val="left"/>
            </w:pPr>
            <w:r>
              <w:rPr>
                <w:rFonts w:ascii="Calibri" w:hAnsi="Calibri"/>
                <w:sz w:val="16"/>
              </w:rPr>
              <w:t>6. Crecimiento Excesivo de Activos Totales</w:t>
            </w:r>
          </w:p>
        </w:tc>
        <w:tc>
          <w:tcPr>
            <w:tcW w:type="dxa" w:w="2016"/>
            <w:tcMar>
              <w:top w:w="60" w:type="dxa"/>
              <w:bottom w:w="60" w:type="dxa"/>
              <w:left w:w="80" w:type="dxa"/>
              <w:right w:w="80" w:type="dxa"/>
            </w:tcMar>
          </w:tcPr>
          <w:p>
            <w:pPr>
              <w:jc w:val="left"/>
            </w:pPr>
            <w:r>
              <w:rPr>
                <w:rFonts w:ascii="Calibri" w:hAnsi="Calibri"/>
                <w:sz w:val="16"/>
              </w:rPr>
              <w:t>%Δ Activos Totales &gt; 10.0%</w:t>
            </w:r>
          </w:p>
        </w:tc>
        <w:tc>
          <w:tcPr>
            <w:tcW w:type="dxa" w:w="1872"/>
            <w:tcMar>
              <w:top w:w="60" w:type="dxa"/>
              <w:bottom w:w="60" w:type="dxa"/>
              <w:left w:w="80" w:type="dxa"/>
              <w:right w:w="80" w:type="dxa"/>
            </w:tcMar>
          </w:tcPr>
          <w:p>
            <w:pPr>
              <w:jc w:val="left"/>
            </w:pPr>
            <w:r>
              <w:rPr>
                <w:rFonts w:ascii="Calibri" w:hAnsi="Calibri"/>
                <w:sz w:val="16"/>
              </w:rPr>
              <w:t>N/A</w:t>
            </w:r>
          </w:p>
        </w:tc>
        <w:tc>
          <w:tcPr>
            <w:tcW w:type="dxa" w:w="1152"/>
            <w:tcMar>
              <w:top w:w="60" w:type="dxa"/>
              <w:bottom w:w="60" w:type="dxa"/>
              <w:left w:w="80" w:type="dxa"/>
              <w:right w:w="80" w:type="dxa"/>
            </w:tcMar>
          </w:tcPr>
          <w:p>
            <w:pPr>
              <w:jc w:val="center"/>
            </w:pPr>
            <w:r>
              <w:rPr>
                <w:rFonts w:ascii="Calibri" w:hAnsi="Calibri"/>
                <w:b/>
                <w:color w:val="2D3748"/>
                <w:sz w:val="16"/>
              </w:rPr>
              <w:t>➖ N/A</w:t>
            </w:r>
          </w:p>
        </w:tc>
        <w:tc>
          <w:tcPr>
            <w:tcW w:type="dxa" w:w="2592"/>
            <w:tcMar>
              <w:top w:w="60" w:type="dxa"/>
              <w:bottom w:w="60" w:type="dxa"/>
              <w:left w:w="80" w:type="dxa"/>
              <w:right w:w="80" w:type="dxa"/>
            </w:tcMar>
          </w:tcPr>
          <w:p>
            <w:pPr>
              <w:jc w:val="left"/>
            </w:pPr>
            <w:r>
              <w:rPr>
                <w:rFonts w:ascii="Calibri" w:hAnsi="Calibri"/>
                <w:sz w:val="16"/>
              </w:rPr>
              <w:t>La expansión de balance bancario responde a depósitos y política monetaria.</w:t>
            </w:r>
          </w:p>
        </w:tc>
      </w:tr>
    </w:tbl>
    <w:p>
      <w:pPr>
        <w:spacing w:before="80" w:after="160"/>
      </w:pPr>
      <w:r>
        <w:rPr>
          <w:rFonts w:ascii="Calibri" w:hAnsi="Calibri"/>
          <w:b/>
          <w:color w:val="1B365D"/>
          <w:sz w:val="17"/>
        </w:rPr>
        <w:t>Dictamen Montier: NO APLICABLE — NO APLICABLE. Montier C-Score NO APLICABLE para entidades del arquetipo 'FINANCIAL_BANKING'. El modelo de James Montier (Cooking the Books) evalúa partidas de capital de trabajo, inventarios (DIO), cuentas a cobrar comerciales (DSO), otros activos corrientes y depreciación física de PP&amp;E, conceptos ajenos a la estructura operativa de intermediación financiera y balances bancarios/aseguradores.</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+0.00%</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Sincronización natural y armónica entre facturación y cobros de efectivo.</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-38.3%</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Alerta (-38.3%): Caja operativa significativamente inferior a la utilidad.</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+0.0%</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0.0d);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0.0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(0.0d);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+5.3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Aumento moderado (+5.3 pp); balance sano con activos blandos bajo 75% (72.5%).</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NO APLICABLE</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No aplicable a modelo financiero o pendiente de ejercicio comparativo (t-1).</w:t>
            </w:r>
          </w:p>
        </w:tc>
      </w:tr>
    </w:tbl>
    <w:p>
      <w:pPr>
        <w:spacing w:after="160"/>
      </w:pPr>
    </w:p>
    <w:p>
      <w:pPr>
        <w:pStyle w:val="Heading1"/>
      </w:pPr>
      <w:r>
        <w:t>13. Solvencia, Deuda y Adecuación de Capital (Banking Solvency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Y CAPITAL (LTM): SOLVENCIA REGULATORIA BASILEA III</w:t>
              <w:br/>
            </w:r>
            <w:r>
              <w:rPr>
                <w:color w:val="2D3748"/>
                <w:sz w:val="19"/>
              </w:rPr>
              <w:t>Rating Sintético: AA- (SOLVENCIA BANCARIA DE PRIMER NIVEL (AA-)) | Loan-to-Deposit Ratio: 83.1%</w:t>
              <w:br/>
              <w:t>Cobertura de Provisiones: N/D | Retorno sobre Patrimonio Tangible (ROTCE): 26.40%</w:t>
              <w:br/>
              <w:br/>
              <w:t>En instituciones financieras, los depósitos de clientes son materia prima operativa y no deuda corporativa. Nu Holdings Ltd. presenta solvencia prudencial respaldada por depósitos y capitalización conforme a Basilea III.</w:t>
            </w:r>
          </w:p>
        </w:tc>
      </w:tr>
    </w:tbl>
    <w:p/>
    <w:p>
      <w:pPr>
        <w:pStyle w:val="Heading2"/>
      </w:pPr>
      <w:r>
        <w:t>13.1. Estructura de Balance, Cartera de Crédito y Fondeo (LTM)</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 Parámetro Bancario</w:t>
            </w:r>
          </w:p>
        </w:tc>
        <w:tc>
          <w:tcPr>
            <w:tcW w:type="dxa" w:w="2448"/>
            <w:shd w:fill="1B365D"/>
          </w:tcPr>
          <w:p>
            <w:r>
              <w:rPr>
                <w:b/>
                <w:color w:val="FFFFFF"/>
                <w:sz w:val="18"/>
              </w:rPr>
              <w:t>Definición / Fórmula Contable</w:t>
            </w:r>
          </w:p>
        </w:tc>
        <w:tc>
          <w:tcPr>
            <w:tcW w:type="dxa" w:w="2448"/>
            <w:shd w:fill="1B365D"/>
          </w:tcPr>
          <w:p>
            <w:r>
              <w:rPr>
                <w:b/>
                <w:color w:val="FFFFFF"/>
                <w:sz w:val="18"/>
              </w:rPr>
              <w:t>Valor LTM</w:t>
            </w:r>
          </w:p>
        </w:tc>
        <w:tc>
          <w:tcPr>
            <w:tcW w:type="dxa" w:w="2448"/>
            <w:shd w:fill="1B365D"/>
          </w:tcPr>
          <w:p>
            <w:r>
              <w:rPr>
                <w:b/>
                <w:color w:val="FFFFFF"/>
                <w:sz w:val="18"/>
              </w:rPr>
              <w:t>Diagnóstico de Estructura</w:t>
            </w:r>
          </w:p>
        </w:tc>
      </w:tr>
      <w:tr>
        <w:tc>
          <w:tcPr>
            <w:tcW w:type="dxa" w:w="2448"/>
          </w:tcPr>
          <w:p>
            <w:r>
              <w:rPr>
                <w:b/>
                <w:sz w:val="17"/>
              </w:rPr>
              <w:t>Cartera de Crédito (Gross Loans)</w:t>
            </w:r>
          </w:p>
        </w:tc>
        <w:tc>
          <w:tcPr>
            <w:tcW w:type="dxa" w:w="2448"/>
          </w:tcPr>
          <w:p>
            <w:r>
              <w:rPr>
                <w:sz w:val="17"/>
              </w:rPr>
              <w:t>Saldo Bruto de Préstamos y Créditos</w:t>
            </w:r>
          </w:p>
        </w:tc>
        <w:tc>
          <w:tcPr>
            <w:tcW w:type="dxa" w:w="2448"/>
          </w:tcPr>
          <w:p>
            <w:r>
              <w:rPr>
                <w:b/>
                <w:sz w:val="17"/>
              </w:rPr>
              <w:t>$30,400.0 M</w:t>
            </w:r>
          </w:p>
        </w:tc>
        <w:tc>
          <w:tcPr>
            <w:tcW w:type="dxa" w:w="2448"/>
          </w:tcPr>
          <w:p>
            <w:r>
              <w:rPr>
                <w:sz w:val="17"/>
              </w:rPr>
              <w:t>Cartera de activos productivos de crédito.</w:t>
            </w:r>
          </w:p>
        </w:tc>
      </w:tr>
      <w:tr>
        <w:tc>
          <w:tcPr>
            <w:tcW w:type="dxa" w:w="2448"/>
            <w:shd w:fill="F7FAFC"/>
          </w:tcPr>
          <w:p>
            <w:r>
              <w:rPr>
                <w:b/>
                <w:sz w:val="17"/>
              </w:rPr>
              <w:t>Depósitos Totales de Clientes</w:t>
            </w:r>
          </w:p>
        </w:tc>
        <w:tc>
          <w:tcPr>
            <w:tcW w:type="dxa" w:w="2448"/>
            <w:shd w:fill="F7FAFC"/>
          </w:tcPr>
          <w:p>
            <w:r>
              <w:rPr>
                <w:sz w:val="17"/>
              </w:rPr>
              <w:t>Cuentas Corrientes y de Ahorro</w:t>
            </w:r>
          </w:p>
        </w:tc>
        <w:tc>
          <w:tcPr>
            <w:tcW w:type="dxa" w:w="2448"/>
            <w:shd w:fill="F7FAFC"/>
          </w:tcPr>
          <w:p>
            <w:r>
              <w:rPr>
                <w:b/>
                <w:sz w:val="17"/>
              </w:rPr>
              <w:t>$36,600.0 M</w:t>
            </w:r>
          </w:p>
        </w:tc>
        <w:tc>
          <w:tcPr>
            <w:tcW w:type="dxa" w:w="2448"/>
            <w:shd w:fill="F7FAFC"/>
          </w:tcPr>
          <w:p>
            <w:r>
              <w:rPr>
                <w:sz w:val="17"/>
              </w:rPr>
              <w:t>Base de captación y fondeo de clientes.</w:t>
            </w:r>
          </w:p>
        </w:tc>
      </w:tr>
      <w:tr>
        <w:tc>
          <w:tcPr>
            <w:tcW w:type="dxa" w:w="2448"/>
          </w:tcPr>
          <w:p>
            <w:r>
              <w:rPr>
                <w:b/>
                <w:sz w:val="17"/>
              </w:rPr>
              <w:t>Loan-to-Deposit Ratio (LDR)</w:t>
            </w:r>
          </w:p>
        </w:tc>
        <w:tc>
          <w:tcPr>
            <w:tcW w:type="dxa" w:w="2448"/>
          </w:tcPr>
          <w:p>
            <w:r>
              <w:rPr>
                <w:sz w:val="17"/>
              </w:rPr>
              <w:t>Cartera de Préstamos / Depósitos</w:t>
            </w:r>
          </w:p>
        </w:tc>
        <w:tc>
          <w:tcPr>
            <w:tcW w:type="dxa" w:w="2448"/>
          </w:tcPr>
          <w:p>
            <w:r>
              <w:rPr>
                <w:b/>
                <w:sz w:val="17"/>
              </w:rPr>
              <w:t>83.1%</w:t>
            </w:r>
          </w:p>
        </w:tc>
        <w:tc>
          <w:tcPr>
            <w:tcW w:type="dxa" w:w="2448"/>
          </w:tcPr>
          <w:p>
            <w:r>
              <w:rPr>
                <w:sz w:val="17"/>
              </w:rPr>
              <w:t>Proporción de fondeo con pasivos de clientes.</w:t>
            </w:r>
          </w:p>
        </w:tc>
      </w:tr>
      <w:tr>
        <w:tc>
          <w:tcPr>
            <w:tcW w:type="dxa" w:w="2448"/>
            <w:shd w:fill="F7FAFC"/>
          </w:tcPr>
          <w:p>
            <w:r>
              <w:rPr>
                <w:b/>
                <w:sz w:val="17"/>
              </w:rPr>
              <w:t>Tesorería y Fondos en Banco Central</w:t>
            </w:r>
          </w:p>
        </w:tc>
        <w:tc>
          <w:tcPr>
            <w:tcW w:type="dxa" w:w="2448"/>
            <w:shd w:fill="F7FAFC"/>
          </w:tcPr>
          <w:p>
            <w:r>
              <w:rPr>
                <w:sz w:val="17"/>
              </w:rPr>
              <w:t>Efectivo y Reservas Líquidas</w:t>
            </w:r>
          </w:p>
        </w:tc>
        <w:tc>
          <w:tcPr>
            <w:tcW w:type="dxa" w:w="2448"/>
            <w:shd w:fill="F7FAFC"/>
          </w:tcPr>
          <w:p>
            <w:r>
              <w:rPr>
                <w:b/>
                <w:sz w:val="17"/>
              </w:rPr>
              <w:t>$22,700.7M</w:t>
            </w:r>
          </w:p>
        </w:tc>
        <w:tc>
          <w:tcPr>
            <w:tcW w:type="dxa" w:w="2448"/>
            <w:shd w:fill="F7FAFC"/>
          </w:tcPr>
          <w:p>
            <w:r>
              <w:rPr>
                <w:sz w:val="17"/>
              </w:rPr>
              <w:t>Colchón de reserva ante fluctuaciones de pasivo.</w:t>
            </w:r>
          </w:p>
        </w:tc>
      </w:tr>
      <w:tr>
        <w:tc>
          <w:tcPr>
            <w:tcW w:type="dxa" w:w="2448"/>
          </w:tcPr>
          <w:p>
            <w:r>
              <w:rPr>
                <w:b/>
                <w:sz w:val="17"/>
              </w:rPr>
              <w:t>Deuda Corporativa Emitida</w:t>
            </w:r>
          </w:p>
        </w:tc>
        <w:tc>
          <w:tcPr>
            <w:tcW w:type="dxa" w:w="2448"/>
          </w:tcPr>
          <w:p>
            <w:r>
              <w:rPr>
                <w:sz w:val="17"/>
              </w:rPr>
              <w:t>Bonos y Préstamos de Mercado</w:t>
            </w:r>
          </w:p>
        </w:tc>
        <w:tc>
          <w:tcPr>
            <w:tcW w:type="dxa" w:w="2448"/>
          </w:tcPr>
          <w:p>
            <w:r>
              <w:rPr>
                <w:b/>
                <w:sz w:val="17"/>
              </w:rPr>
              <w:t>$5,740.6M</w:t>
            </w:r>
          </w:p>
        </w:tc>
        <w:tc>
          <w:tcPr>
            <w:tcW w:type="dxa" w:w="2448"/>
          </w:tcPr>
          <w:p>
            <w:r>
              <w:rPr>
                <w:sz w:val="17"/>
              </w:rPr>
              <w:t>Pasivos financieros de mercado emitidos.</w:t>
            </w:r>
          </w:p>
        </w:tc>
      </w:tr>
    </w:tbl>
    <w:p/>
    <w:p>
      <w:pPr>
        <w:pStyle w:val="Heading2"/>
      </w:pPr>
      <w:r>
        <w:t>13.2. Calidad de Cartera, Morosidad y Cobertura de Provisiones</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Parámetro de Calidad de Activos</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Dictamen de Riesgo Crediticio</w:t>
            </w:r>
          </w:p>
        </w:tc>
      </w:tr>
      <w:tr>
        <w:tc>
          <w:tcPr>
            <w:tcW w:type="dxa" w:w="2448"/>
          </w:tcPr>
          <w:p>
            <w:r>
              <w:rPr>
                <w:b/>
                <w:sz w:val="17"/>
              </w:rPr>
              <w:t>Morosidad Temprana (15-90 días)</w:t>
            </w:r>
          </w:p>
        </w:tc>
        <w:tc>
          <w:tcPr>
            <w:tcW w:type="dxa" w:w="2448"/>
          </w:tcPr>
          <w:p>
            <w:r>
              <w:rPr>
                <w:sz w:val="17"/>
              </w:rPr>
              <w:t>Préstamos Mora 15-90d / Cartera</w:t>
            </w:r>
          </w:p>
        </w:tc>
        <w:tc>
          <w:tcPr>
            <w:tcW w:type="dxa" w:w="2448"/>
          </w:tcPr>
          <w:p>
            <w:r>
              <w:rPr>
                <w:b/>
                <w:sz w:val="17"/>
              </w:rPr>
              <w:t>4.20%</w:t>
            </w:r>
          </w:p>
        </w:tc>
        <w:tc>
          <w:tcPr>
            <w:tcW w:type="dxa" w:w="2448"/>
          </w:tcPr>
          <w:p>
            <w:r>
              <w:rPr>
                <w:sz w:val="17"/>
              </w:rPr>
              <w:t>Control de mora en tramos iniciales.</w:t>
            </w:r>
          </w:p>
        </w:tc>
      </w:tr>
      <w:tr>
        <w:tc>
          <w:tcPr>
            <w:tcW w:type="dxa" w:w="2448"/>
            <w:shd w:fill="F7FAFC"/>
          </w:tcPr>
          <w:p>
            <w:r>
              <w:rPr>
                <w:b/>
                <w:sz w:val="17"/>
              </w:rPr>
              <w:t>Morosidad Tardía (&gt;90 días / NPL)</w:t>
            </w:r>
          </w:p>
        </w:tc>
        <w:tc>
          <w:tcPr>
            <w:tcW w:type="dxa" w:w="2448"/>
            <w:shd w:fill="F7FAFC"/>
          </w:tcPr>
          <w:p>
            <w:r>
              <w:rPr>
                <w:sz w:val="17"/>
              </w:rPr>
              <w:t>Préstamos Mora &gt;90d / Cartera</w:t>
            </w:r>
          </w:p>
        </w:tc>
        <w:tc>
          <w:tcPr>
            <w:tcW w:type="dxa" w:w="2448"/>
            <w:shd w:fill="F7FAFC"/>
          </w:tcPr>
          <w:p>
            <w:r>
              <w:rPr>
                <w:b/>
                <w:sz w:val="17"/>
              </w:rPr>
              <w:t>6.80%</w:t>
            </w:r>
          </w:p>
        </w:tc>
        <w:tc>
          <w:tcPr>
            <w:tcW w:type="dxa" w:w="2448"/>
            <w:shd w:fill="F7FAFC"/>
          </w:tcPr>
          <w:p>
            <w:r>
              <w:rPr>
                <w:sz w:val="17"/>
              </w:rPr>
              <w:t>Cartera dudosa en mora madura.</w:t>
            </w:r>
          </w:p>
        </w:tc>
      </w:tr>
      <w:tr>
        <w:tc>
          <w:tcPr>
            <w:tcW w:type="dxa" w:w="2448"/>
          </w:tcPr>
          <w:p>
            <w:r>
              <w:rPr>
                <w:b/>
                <w:sz w:val="17"/>
              </w:rPr>
              <w:t>Ratio de Cobertura de Provisiones</w:t>
            </w:r>
          </w:p>
        </w:tc>
        <w:tc>
          <w:tcPr>
            <w:tcW w:type="dxa" w:w="2448"/>
          </w:tcPr>
          <w:p>
            <w:r>
              <w:rPr>
                <w:sz w:val="17"/>
              </w:rPr>
              <w:t>Provisiones / Saldo NPL &gt;90d</w:t>
            </w:r>
          </w:p>
        </w:tc>
        <w:tc>
          <w:tcPr>
            <w:tcW w:type="dxa" w:w="2448"/>
          </w:tcPr>
          <w:p>
            <w:r>
              <w:rPr>
                <w:b/>
                <w:sz w:val="17"/>
              </w:rPr>
              <w:t>N/D</w:t>
            </w:r>
          </w:p>
        </w:tc>
        <w:tc>
          <w:tcPr>
            <w:tcW w:type="dxa" w:w="2448"/>
          </w:tcPr>
          <w:p>
            <w:r>
              <w:rPr>
                <w:sz w:val="17"/>
              </w:rPr>
              <w:t>Cobertura de reservas sobre saldo dudoso.</w:t>
            </w:r>
          </w:p>
        </w:tc>
      </w:tr>
      <w:tr>
        <w:tc>
          <w:tcPr>
            <w:tcW w:type="dxa" w:w="2448"/>
            <w:shd w:fill="F7FAFC"/>
          </w:tcPr>
          <w:p>
            <w:r>
              <w:rPr>
                <w:b/>
                <w:sz w:val="17"/>
              </w:rPr>
              <w:t>Cost of Risk Anualizado</w:t>
            </w:r>
          </w:p>
        </w:tc>
        <w:tc>
          <w:tcPr>
            <w:tcW w:type="dxa" w:w="2448"/>
            <w:shd w:fill="F7FAFC"/>
          </w:tcPr>
          <w:p>
            <w:r>
              <w:rPr>
                <w:sz w:val="17"/>
              </w:rPr>
              <w:t>Gasto en Provisiones / Cartera Media</w:t>
            </w:r>
          </w:p>
        </w:tc>
        <w:tc>
          <w:tcPr>
            <w:tcW w:type="dxa" w:w="2448"/>
            <w:shd w:fill="F7FAFC"/>
          </w:tcPr>
          <w:p>
            <w:r>
              <w:rPr>
                <w:b/>
                <w:sz w:val="17"/>
              </w:rPr>
              <w:t>N/D</w:t>
            </w:r>
          </w:p>
        </w:tc>
        <w:tc>
          <w:tcPr>
            <w:tcW w:type="dxa" w:w="2448"/>
            <w:shd w:fill="F7FAFC"/>
          </w:tcPr>
          <w:p>
            <w:r>
              <w:rPr>
                <w:sz w:val="17"/>
              </w:rPr>
              <w:t>Coste de riesgo asumido en la cartera.</w:t>
            </w:r>
          </w:p>
        </w:tc>
      </w:tr>
      <w:tr>
        <w:tc>
          <w:tcPr>
            <w:tcW w:type="dxa" w:w="2448"/>
          </w:tcPr>
          <w:p>
            <w:r>
              <w:rPr>
                <w:b/>
                <w:sz w:val="17"/>
              </w:rPr>
              <w:t>Margen de Interés Neto (NIM)</w:t>
            </w:r>
          </w:p>
        </w:tc>
        <w:tc>
          <w:tcPr>
            <w:tcW w:type="dxa" w:w="2448"/>
          </w:tcPr>
          <w:p>
            <w:r>
              <w:rPr>
                <w:sz w:val="17"/>
              </w:rPr>
              <w:t>NII sobre Activos Medios</w:t>
            </w:r>
          </w:p>
        </w:tc>
        <w:tc>
          <w:tcPr>
            <w:tcW w:type="dxa" w:w="2448"/>
          </w:tcPr>
          <w:p>
            <w:r>
              <w:rPr>
                <w:b/>
                <w:sz w:val="17"/>
              </w:rPr>
              <w:t>13.45%</w:t>
            </w:r>
          </w:p>
        </w:tc>
        <w:tc>
          <w:tcPr>
            <w:tcW w:type="dxa" w:w="2448"/>
          </w:tcPr>
          <w:p>
            <w:r>
              <w:rPr>
                <w:sz w:val="17"/>
              </w:rPr>
              <w:t>Margen de intermediación financiera.</w:t>
            </w:r>
          </w:p>
        </w:tc>
      </w:tr>
    </w:tbl>
    <w:p/>
    <w:p>
      <w:pPr>
        <w:pStyle w:val="Heading2"/>
      </w:pPr>
      <w:r>
        <w:t>13.3. Solvencia Regulatoria (Basilea III), Rating y Metodología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Indicador Prudencial</w:t>
            </w:r>
          </w:p>
        </w:tc>
        <w:tc>
          <w:tcPr>
            <w:tcW w:type="dxa" w:w="2448"/>
            <w:shd w:fill="1B365D"/>
          </w:tcPr>
          <w:p>
            <w:r>
              <w:rPr>
                <w:b/>
                <w:color w:val="FFFFFF"/>
                <w:sz w:val="18"/>
              </w:rPr>
              <w:t>Resultado Auditado</w:t>
            </w:r>
          </w:p>
        </w:tc>
        <w:tc>
          <w:tcPr>
            <w:tcW w:type="dxa" w:w="2448"/>
            <w:shd w:fill="1B365D"/>
          </w:tcPr>
          <w:p>
            <w:r>
              <w:rPr>
                <w:b/>
                <w:color w:val="FFFFFF"/>
                <w:sz w:val="18"/>
              </w:rPr>
              <w:t>Exigencia / Benchmark</w:t>
            </w:r>
          </w:p>
        </w:tc>
        <w:tc>
          <w:tcPr>
            <w:tcW w:type="dxa" w:w="2448"/>
            <w:shd w:fill="1B365D"/>
          </w:tcPr>
          <w:p>
            <w:r>
              <w:rPr>
                <w:b/>
                <w:color w:val="FFFFFF"/>
                <w:sz w:val="18"/>
              </w:rPr>
              <w:t>Diagnóstico Institucional</w:t>
            </w:r>
          </w:p>
        </w:tc>
      </w:tr>
      <w:tr>
        <w:tc>
          <w:tcPr>
            <w:tcW w:type="dxa" w:w="2448"/>
          </w:tcPr>
          <w:p>
            <w:r>
              <w:rPr>
                <w:b/>
                <w:sz w:val="17"/>
              </w:rPr>
              <w:t>Capital Regulatorio / Basilea III</w:t>
            </w:r>
          </w:p>
        </w:tc>
        <w:tc>
          <w:tcPr>
            <w:tcW w:type="dxa" w:w="2448"/>
          </w:tcPr>
          <w:p>
            <w:r>
              <w:rPr>
                <w:b/>
                <w:sz w:val="17"/>
              </w:rPr>
              <w:t>Conforme</w:t>
            </w:r>
          </w:p>
        </w:tc>
        <w:tc>
          <w:tcPr>
            <w:tcW w:type="dxa" w:w="2448"/>
          </w:tcPr>
          <w:p>
            <w:r>
              <w:rPr>
                <w:sz w:val="17"/>
              </w:rPr>
              <w:t>Requerimientos Internacionales</w:t>
            </w:r>
          </w:p>
        </w:tc>
        <w:tc>
          <w:tcPr>
            <w:tcW w:type="dxa" w:w="2448"/>
          </w:tcPr>
          <w:p>
            <w:r>
              <w:rPr>
                <w:sz w:val="17"/>
              </w:rPr>
              <w:t>Supervisión prudencial de solvencia bancaria.</w:t>
            </w:r>
          </w:p>
        </w:tc>
      </w:tr>
      <w:tr>
        <w:tc>
          <w:tcPr>
            <w:tcW w:type="dxa" w:w="2448"/>
            <w:shd w:fill="F7FAFC"/>
          </w:tcPr>
          <w:p>
            <w:r>
              <w:rPr>
                <w:b/>
                <w:sz w:val="17"/>
              </w:rPr>
              <w:t>Rating Sintético Damodaran</w:t>
            </w:r>
          </w:p>
        </w:tc>
        <w:tc>
          <w:tcPr>
            <w:tcW w:type="dxa" w:w="2448"/>
            <w:shd w:fill="F7FAFC"/>
          </w:tcPr>
          <w:p>
            <w:r>
              <w:rPr>
                <w:b/>
                <w:sz w:val="17"/>
              </w:rPr>
              <w:t>AA-</w:t>
            </w:r>
          </w:p>
        </w:tc>
        <w:tc>
          <w:tcPr>
            <w:tcW w:type="dxa" w:w="2448"/>
            <w:shd w:fill="F7FAFC"/>
          </w:tcPr>
          <w:p>
            <w:r>
              <w:rPr>
                <w:sz w:val="17"/>
              </w:rPr>
              <w:t>Metodología Damodaran</w:t>
            </w:r>
          </w:p>
        </w:tc>
        <w:tc>
          <w:tcPr>
            <w:tcW w:type="dxa" w:w="2448"/>
            <w:shd w:fill="F7FAFC"/>
          </w:tcPr>
          <w:p>
            <w:r>
              <w:rPr>
                <w:sz w:val="17"/>
              </w:rPr>
              <w:t>SOLVENCIA BANCARIA DE PRIMER NIVEL (AA-)</w:t>
            </w:r>
          </w:p>
        </w:tc>
      </w:tr>
      <w:tr>
        <w:tc>
          <w:tcPr>
            <w:tcW w:type="dxa" w:w="2448"/>
          </w:tcPr>
          <w:p>
            <w:r>
              <w:rPr>
                <w:b/>
                <w:sz w:val="17"/>
              </w:rPr>
              <w:t>Altman Z''-Score (Nota Explicativa)</w:t>
            </w:r>
          </w:p>
        </w:tc>
        <w:tc>
          <w:tcPr>
            <w:tcW w:type="dxa" w:w="2448"/>
          </w:tcPr>
          <w:p>
            <w:r>
              <w:rPr>
                <w:b/>
                <w:sz w:val="17"/>
              </w:rPr>
              <w:t>NO APLICA A LA BANCA</w:t>
            </w:r>
          </w:p>
        </w:tc>
        <w:tc>
          <w:tcPr>
            <w:tcW w:type="dxa" w:w="2448"/>
          </w:tcPr>
          <w:p>
            <w:r>
              <w:rPr>
                <w:sz w:val="17"/>
              </w:rPr>
              <w:t>Guía Metodológica</w:t>
            </w:r>
          </w:p>
        </w:tc>
        <w:tc>
          <w:tcPr>
            <w:tcW w:type="dxa" w:w="2448"/>
          </w:tcPr>
          <w:p>
            <w:r>
              <w:rPr>
                <w:sz w:val="17"/>
              </w:rPr>
              <w:t>Inaplicable a balances financieros por carecer de fondo de maniobra.</w:t>
            </w:r>
          </w:p>
        </w:tc>
      </w:tr>
    </w:tbl>
    <w:p/>
    <w:tbl>
      <w:tblPr>
        <w:tblW w:type="auto" w:w="0"/>
        <w:jc w:val="center"/>
        <w:tblLook w:firstColumn="1" w:firstRow="1" w:lastColumn="0" w:lastRow="0" w:noHBand="0" w:noVBand="1" w:val="04A0"/>
      </w:tblPr>
      <w:tblGrid>
        <w:gridCol w:w="9792"/>
      </w:tblGrid>
      <w:tr>
        <w:tc>
          <w:tcPr>
            <w:tcW w:type="dxa" w:w="9792"/>
            <w:shd w:fill="FFF2CC"/>
            <w:tcMar>
              <w:top w:w="120" w:type="dxa"/>
              <w:bottom w:w="120" w:type="dxa"/>
              <w:left w:w="150" w:type="dxa"/>
              <w:right w:w="150" w:type="dxa"/>
            </w:tcMar>
          </w:tcPr>
          <w:p>
            <w:r>
              <w:rPr>
                <w:b/>
                <w:color w:val="1B365D"/>
                <w:sz w:val="19"/>
              </w:rPr>
              <w:t>GUÍA PEDAGÓGICA CONTABLE: ¿POR QUÉ EL ALTMAN Z'' NO APLICA A LA BANCA?</w:t>
              <w:br/>
            </w:r>
            <w:r>
              <w:rPr>
                <w:color w:val="2D3748"/>
                <w:sz w:val="17"/>
              </w:rPr>
              <w:t>El modelo Altman Z'' fue diseñado exclusivamente para empresas industriales y de servicios no financieros. En un banco, los depósitos se computan como pasivos y los créditos como activos sin desglose corriente/no corriente. El modelo arroja un Fondo de Maniobra nulo y una baja proporción Patrimonio/Pasivos, produciendo falsos positivos de insolvencia ('Distress'). La solvencia bancaria se audita formalmente mediante el Ratio CET1 de Basilea III, el ratio LDR y la Cobertura de Provisiones.</w:t>
            </w:r>
          </w:p>
        </w:tc>
      </w:tr>
    </w:tbl>
    <w:p/>
    <w:p>
      <w:pPr>
        <w:pStyle w:val="Heading1"/>
        <w:spacing w:before="280" w:after="80"/>
      </w:pPr>
      <w:r>
        <w:rPr>
          <w:rFonts w:ascii="Calibri" w:hAnsi="Calibri"/>
          <w:b/>
          <w:color w:val="1B365D"/>
          <w:sz w:val="28"/>
        </w:rPr>
        <w:t>14. Modelado Financiero y Valoración Bancaria (Excess Return &amp; P/TBV)</w:t>
      </w:r>
    </w:p>
    <w:p>
      <w:pPr>
        <w:spacing w:before="80" w:after="160"/>
        <w:ind w:left="288" w:right="288"/>
      </w:pPr>
      <w:r>
        <w:rPr>
          <w:rFonts w:ascii="Calibri" w:hAnsi="Calibri"/>
          <w:b/>
          <w:color w:val="1B365D"/>
          <w:sz w:val="21"/>
        </w:rPr>
        <w:t>DICTAMEN DE VALORACIÓN FINANCIERA: MODELO DE RETORNO EXCEDENTE (P/TBV)</w:t>
        <w:br/>
      </w:r>
      <w:r>
        <w:rPr>
          <w:rFonts w:ascii="Calibri" w:hAnsi="Calibri"/>
          <w:color w:val="2D3748"/>
          <w:sz w:val="19"/>
        </w:rPr>
        <w:t>• Cotización: $14.87  |  Valor en Libros por Acción: $2.63  |  P/TBV Mercado: 5.65x</w:t>
        <w:br/>
        <w:t>• Rentabilidad de Balance (ROTCE): 28.11% vs. Coste Capital (Ke): 9.76%  -&gt;  Spread: +18.4 pp</w:t>
        <w:br/>
        <w:t>• P/TBV Justificado Teórico: 5.02x (Precio Teórico Justo: $13.2)</w:t>
        <w:br/>
        <w:t>• Veredicto: El mercado descuenta sostener un ROTCE del ~41.2% o expansión con retornos sobre fondos propios.</w:t>
      </w:r>
    </w:p>
    <w:p>
      <w:pPr>
        <w:pStyle w:val="Heading2"/>
      </w:pPr>
      <w:r>
        <w:rPr>
          <w:rFonts w:ascii="Calibri" w:hAnsi="Calibri"/>
          <w:b/>
          <w:color w:val="1B365D"/>
          <w:sz w:val="23"/>
        </w:rPr>
        <w:t>14.1. Parámetros Maestros de Valoración Financiera (Gordon-Shapiro &amp; CAPM)</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3264"/>
        <w:gridCol w:w="3264"/>
        <w:gridCol w:w="3264"/>
      </w:tblGrid>
      <w:tr>
        <w:tc>
          <w:tcPr>
            <w:tcW w:type="dxa" w:w="3264"/>
            <w:shd w:fill="1B365D"/>
          </w:tcPr>
          <w:p>
            <w:r>
              <w:rPr>
                <w:b/>
                <w:color w:val="FFFFFF"/>
                <w:sz w:val="18"/>
              </w:rPr>
              <w:t>Parámetro Financiero</w:t>
            </w:r>
          </w:p>
        </w:tc>
        <w:tc>
          <w:tcPr>
            <w:tcW w:type="dxa" w:w="3264"/>
            <w:shd w:fill="1B365D"/>
          </w:tcPr>
          <w:p>
            <w:r>
              <w:rPr>
                <w:b/>
                <w:color w:val="FFFFFF"/>
                <w:sz w:val="18"/>
              </w:rPr>
              <w:t>Valor Auditado</w:t>
            </w:r>
          </w:p>
        </w:tc>
        <w:tc>
          <w:tcPr>
            <w:tcW w:type="dxa" w:w="3264"/>
            <w:shd w:fill="1B365D"/>
          </w:tcPr>
          <w:p>
            <w:r>
              <w:rPr>
                <w:b/>
                <w:color w:val="FFFFFF"/>
                <w:sz w:val="18"/>
              </w:rPr>
              <w:t>Interpretación y Racional Técnico</w:t>
            </w:r>
          </w:p>
        </w:tc>
      </w:tr>
      <w:tr>
        <w:tc>
          <w:tcPr>
            <w:tcW w:type="dxa" w:w="3264"/>
          </w:tcPr>
          <w:p>
            <w:r>
              <w:rPr>
                <w:b/>
                <w:sz w:val="17"/>
              </w:rPr>
              <w:t>Patrimonio Contable Total</w:t>
            </w:r>
          </w:p>
        </w:tc>
        <w:tc>
          <w:tcPr>
            <w:tcW w:type="dxa" w:w="3264"/>
          </w:tcPr>
          <w:p>
            <w:r>
              <w:rPr>
                <w:b/>
                <w:sz w:val="17"/>
              </w:rPr>
              <w:t>$12,840.3 M</w:t>
            </w:r>
          </w:p>
        </w:tc>
        <w:tc>
          <w:tcPr>
            <w:tcW w:type="dxa" w:w="3264"/>
          </w:tcPr>
          <w:p>
            <w:r>
              <w:rPr>
                <w:sz w:val="17"/>
              </w:rPr>
              <w:t>Fondos propios auditados en el último balance oficial SEC.</w:t>
            </w:r>
          </w:p>
        </w:tc>
      </w:tr>
      <w:tr>
        <w:tc>
          <w:tcPr>
            <w:tcW w:type="dxa" w:w="3264"/>
            <w:shd w:fill="F7FAFC"/>
          </w:tcPr>
          <w:p>
            <w:r>
              <w:rPr>
                <w:b/>
                <w:sz w:val="17"/>
              </w:rPr>
              <w:t>Valor Contable por Acción</w:t>
            </w:r>
          </w:p>
        </w:tc>
        <w:tc>
          <w:tcPr>
            <w:tcW w:type="dxa" w:w="3264"/>
            <w:shd w:fill="F7FAFC"/>
          </w:tcPr>
          <w:p>
            <w:r>
              <w:rPr>
                <w:b/>
                <w:sz w:val="17"/>
              </w:rPr>
              <w:t>$2.63</w:t>
            </w:r>
          </w:p>
        </w:tc>
        <w:tc>
          <w:tcPr>
            <w:tcW w:type="dxa" w:w="3264"/>
            <w:shd w:fill="F7FAFC"/>
          </w:tcPr>
          <w:p>
            <w:r>
              <w:rPr>
                <w:sz w:val="17"/>
              </w:rPr>
              <w:t>Valor en libros por título en circulación.</w:t>
            </w:r>
          </w:p>
        </w:tc>
      </w:tr>
      <w:tr>
        <w:tc>
          <w:tcPr>
            <w:tcW w:type="dxa" w:w="3264"/>
          </w:tcPr>
          <w:p>
            <w:r>
              <w:rPr>
                <w:b/>
                <w:sz w:val="17"/>
              </w:rPr>
              <w:t>Rentabilidad de Balance (ROTCE)</w:t>
            </w:r>
          </w:p>
        </w:tc>
        <w:tc>
          <w:tcPr>
            <w:tcW w:type="dxa" w:w="3264"/>
          </w:tcPr>
          <w:p>
            <w:r>
              <w:rPr>
                <w:b/>
                <w:sz w:val="17"/>
              </w:rPr>
              <w:t>28.11%</w:t>
            </w:r>
          </w:p>
        </w:tc>
        <w:tc>
          <w:tcPr>
            <w:tcW w:type="dxa" w:w="3264"/>
          </w:tcPr>
          <w:p>
            <w:r>
              <w:rPr>
                <w:sz w:val="17"/>
              </w:rPr>
              <w:t>Capacidad de generar utilidad neta sobre capital propio.</w:t>
            </w:r>
          </w:p>
        </w:tc>
      </w:tr>
      <w:tr>
        <w:tc>
          <w:tcPr>
            <w:tcW w:type="dxa" w:w="3264"/>
            <w:shd w:fill="F7FAFC"/>
          </w:tcPr>
          <w:p>
            <w:r>
              <w:rPr>
                <w:b/>
                <w:sz w:val="17"/>
              </w:rPr>
              <w:t>Coste del Capital Propio (Ke)</w:t>
            </w:r>
          </w:p>
        </w:tc>
        <w:tc>
          <w:tcPr>
            <w:tcW w:type="dxa" w:w="3264"/>
            <w:shd w:fill="F7FAFC"/>
          </w:tcPr>
          <w:p>
            <w:r>
              <w:rPr>
                <w:b/>
                <w:sz w:val="17"/>
              </w:rPr>
              <w:t>9.76%</w:t>
            </w:r>
          </w:p>
        </w:tc>
        <w:tc>
          <w:tcPr>
            <w:tcW w:type="dxa" w:w="3264"/>
            <w:shd w:fill="F7FAFC"/>
          </w:tcPr>
          <w:p>
            <w:r>
              <w:rPr>
                <w:sz w:val="17"/>
              </w:rPr>
              <w:t>Tasa de descuento de corte según modelo CAPM.</w:t>
            </w:r>
          </w:p>
        </w:tc>
      </w:tr>
      <w:tr>
        <w:tc>
          <w:tcPr>
            <w:tcW w:type="dxa" w:w="3264"/>
          </w:tcPr>
          <w:p>
            <w:r>
              <w:rPr>
                <w:b/>
                <w:sz w:val="17"/>
              </w:rPr>
              <w:t>Spread de Creación de Valor</w:t>
            </w:r>
          </w:p>
        </w:tc>
        <w:tc>
          <w:tcPr>
            <w:tcW w:type="dxa" w:w="3264"/>
          </w:tcPr>
          <w:p>
            <w:r>
              <w:rPr>
                <w:b/>
                <w:sz w:val="17"/>
              </w:rPr>
              <w:t>+18.4 pp</w:t>
            </w:r>
          </w:p>
        </w:tc>
        <w:tc>
          <w:tcPr>
            <w:tcW w:type="dxa" w:w="3264"/>
          </w:tcPr>
          <w:p>
            <w:r>
              <w:rPr>
                <w:sz w:val="17"/>
              </w:rPr>
              <w:t>Excedente de retorno que genera renta residual positiva.</w:t>
            </w:r>
          </w:p>
        </w:tc>
      </w:tr>
      <w:tr>
        <w:tc>
          <w:tcPr>
            <w:tcW w:type="dxa" w:w="3264"/>
            <w:shd w:fill="F7FAFC"/>
          </w:tcPr>
          <w:p>
            <w:r>
              <w:rPr>
                <w:b/>
                <w:sz w:val="17"/>
              </w:rPr>
              <w:t>Ratio P/TBV Justificado</w:t>
            </w:r>
          </w:p>
        </w:tc>
        <w:tc>
          <w:tcPr>
            <w:tcW w:type="dxa" w:w="3264"/>
            <w:shd w:fill="F7FAFC"/>
          </w:tcPr>
          <w:p>
            <w:r>
              <w:rPr>
                <w:b/>
                <w:sz w:val="17"/>
              </w:rPr>
              <w:t>5.02x</w:t>
            </w:r>
          </w:p>
        </w:tc>
        <w:tc>
          <w:tcPr>
            <w:tcW w:type="dxa" w:w="3264"/>
            <w:shd w:fill="F7FAFC"/>
          </w:tcPr>
          <w:p>
            <w:r>
              <w:rPr>
                <w:sz w:val="17"/>
              </w:rPr>
              <w:t>Múltiplo teórico derivado de: (ROTCE - g) / (Ke - g).</w:t>
            </w:r>
          </w:p>
        </w:tc>
      </w:tr>
      <w:tr>
        <w:tc>
          <w:tcPr>
            <w:tcW w:type="dxa" w:w="3264"/>
          </w:tcPr>
          <w:p>
            <w:r>
              <w:rPr>
                <w:b/>
                <w:sz w:val="17"/>
              </w:rPr>
              <w:t>Valor Intrínseco Fundamental</w:t>
            </w:r>
          </w:p>
        </w:tc>
        <w:tc>
          <w:tcPr>
            <w:tcW w:type="dxa" w:w="3264"/>
          </w:tcPr>
          <w:p>
            <w:r>
              <w:rPr>
                <w:b/>
                <w:sz w:val="17"/>
              </w:rPr>
              <w:t>$13.2</w:t>
            </w:r>
          </w:p>
        </w:tc>
        <w:tc>
          <w:tcPr>
            <w:tcW w:type="dxa" w:w="3264"/>
          </w:tcPr>
          <w:p>
            <w:r>
              <w:rPr>
                <w:sz w:val="17"/>
              </w:rPr>
              <w:t>Precio teórico fundamental por modelo de retorno excedente.</w:t>
            </w:r>
          </w:p>
        </w:tc>
      </w:tr>
    </w:tbl>
    <w:p/>
    <w:p>
      <w:pPr>
        <w:pStyle w:val="Heading2"/>
      </w:pPr>
      <w:r>
        <w:rPr>
          <w:rFonts w:ascii="Calibri" w:hAnsi="Calibri"/>
          <w:b/>
          <w:color w:val="1B365D"/>
          <w:sz w:val="23"/>
        </w:rPr>
        <w:t>14.2. Matriz Bidimensional de Sensibilidad (Ke vs. ROTCE)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Coste Ke \ ROTCE</w:t>
            </w:r>
          </w:p>
        </w:tc>
        <w:tc>
          <w:tcPr>
            <w:tcW w:type="dxa" w:w="1224"/>
            <w:shd w:fill="1B365D"/>
          </w:tcPr>
          <w:p>
            <w:r>
              <w:rPr>
                <w:b/>
                <w:color w:val="FFFFFF"/>
                <w:sz w:val="17"/>
              </w:rPr>
              <w:t>22.1%</w:t>
            </w:r>
          </w:p>
        </w:tc>
        <w:tc>
          <w:tcPr>
            <w:tcW w:type="dxa" w:w="1224"/>
            <w:shd w:fill="1B365D"/>
          </w:tcPr>
          <w:p>
            <w:r>
              <w:rPr>
                <w:b/>
                <w:color w:val="FFFFFF"/>
                <w:sz w:val="17"/>
              </w:rPr>
              <w:t>24.1%</w:t>
            </w:r>
          </w:p>
        </w:tc>
        <w:tc>
          <w:tcPr>
            <w:tcW w:type="dxa" w:w="1224"/>
            <w:shd w:fill="1B365D"/>
          </w:tcPr>
          <w:p>
            <w:r>
              <w:rPr>
                <w:b/>
                <w:color w:val="FFFFFF"/>
                <w:sz w:val="17"/>
              </w:rPr>
              <w:t>26.1%</w:t>
            </w:r>
          </w:p>
        </w:tc>
        <w:tc>
          <w:tcPr>
            <w:tcW w:type="dxa" w:w="1224"/>
            <w:shd w:fill="1B365D"/>
          </w:tcPr>
          <w:p>
            <w:r>
              <w:rPr>
                <w:b/>
                <w:color w:val="FFFFFF"/>
                <w:sz w:val="17"/>
              </w:rPr>
              <w:t>28.1%</w:t>
            </w:r>
          </w:p>
        </w:tc>
        <w:tc>
          <w:tcPr>
            <w:tcW w:type="dxa" w:w="1224"/>
            <w:shd w:fill="1B365D"/>
          </w:tcPr>
          <w:p>
            <w:r>
              <w:rPr>
                <w:b/>
                <w:color w:val="FFFFFF"/>
                <w:sz w:val="17"/>
              </w:rPr>
              <w:t>30.1%</w:t>
            </w:r>
          </w:p>
        </w:tc>
        <w:tc>
          <w:tcPr>
            <w:tcW w:type="dxa" w:w="1224"/>
            <w:shd w:fill="1B365D"/>
          </w:tcPr>
          <w:p>
            <w:r>
              <w:rPr>
                <w:b/>
                <w:color w:val="FFFFFF"/>
                <w:sz w:val="17"/>
              </w:rPr>
              <w:t>32.1%</w:t>
            </w:r>
          </w:p>
        </w:tc>
        <w:tc>
          <w:tcPr>
            <w:tcW w:type="dxa" w:w="1224"/>
            <w:shd w:fill="1B365D"/>
          </w:tcPr>
          <w:p>
            <w:r>
              <w:rPr>
                <w:b/>
                <w:color w:val="FFFFFF"/>
                <w:sz w:val="17"/>
              </w:rPr>
              <w:t>Diagnóstico</w:t>
            </w:r>
          </w:p>
        </w:tc>
      </w:tr>
      <w:tr>
        <w:tc>
          <w:tcPr>
            <w:tcW w:type="dxa" w:w="1224"/>
          </w:tcPr>
          <w:p>
            <w:r>
              <w:rPr>
                <w:sz w:val="16"/>
              </w:rPr>
              <w:t>8.76% (Bajo / Optimista)</w:t>
            </w:r>
          </w:p>
        </w:tc>
        <w:tc>
          <w:tcPr>
            <w:tcW w:type="dxa" w:w="1224"/>
          </w:tcPr>
          <w:p>
            <w:r>
              <w:rPr>
                <w:sz w:val="16"/>
              </w:rPr>
              <w:t>$12.86</w:t>
            </w:r>
          </w:p>
        </w:tc>
        <w:tc>
          <w:tcPr>
            <w:tcW w:type="dxa" w:w="1224"/>
          </w:tcPr>
          <w:p>
            <w:r>
              <w:rPr>
                <w:sz w:val="16"/>
              </w:rPr>
              <w:t>$14.25</w:t>
            </w:r>
          </w:p>
        </w:tc>
        <w:tc>
          <w:tcPr>
            <w:tcW w:type="dxa" w:w="1224"/>
          </w:tcPr>
          <w:p>
            <w:r>
              <w:rPr>
                <w:sz w:val="16"/>
              </w:rPr>
              <w:t>$14.62</w:t>
            </w:r>
          </w:p>
        </w:tc>
        <w:tc>
          <w:tcPr>
            <w:tcW w:type="dxa" w:w="1224"/>
          </w:tcPr>
          <w:p>
            <w:r>
              <w:rPr>
                <w:b/>
                <w:sz w:val="16"/>
              </w:rPr>
              <w:t>$15.02</w:t>
            </w:r>
          </w:p>
        </w:tc>
        <w:tc>
          <w:tcPr>
            <w:tcW w:type="dxa" w:w="1224"/>
          </w:tcPr>
          <w:p>
            <w:r>
              <w:rPr>
                <w:sz w:val="16"/>
              </w:rPr>
              <w:t>$15.41</w:t>
            </w:r>
          </w:p>
        </w:tc>
        <w:tc>
          <w:tcPr>
            <w:tcW w:type="dxa" w:w="1224"/>
          </w:tcPr>
          <w:p>
            <w:r>
              <w:rPr>
                <w:sz w:val="16"/>
              </w:rPr>
              <w:t>$15.81</w:t>
            </w:r>
          </w:p>
        </w:tc>
        <w:tc>
          <w:tcPr>
            <w:tcW w:type="dxa" w:w="1224"/>
          </w:tcPr>
          <w:p>
            <w:r>
              <w:rPr>
                <w:sz w:val="16"/>
              </w:rPr>
              <w:t>Favorable: Expansión de múltiplos por menor prima de riesgo.</w:t>
            </w:r>
          </w:p>
        </w:tc>
      </w:tr>
      <w:tr>
        <w:tc>
          <w:tcPr>
            <w:tcW w:type="dxa" w:w="1224"/>
            <w:shd w:fill="F7FAFC"/>
          </w:tcPr>
          <w:p>
            <w:r>
              <w:rPr>
                <w:sz w:val="16"/>
              </w:rPr>
              <w:t>9.26% (Favorable)</w:t>
            </w:r>
          </w:p>
        </w:tc>
        <w:tc>
          <w:tcPr>
            <w:tcW w:type="dxa" w:w="1224"/>
            <w:shd w:fill="F7FAFC"/>
          </w:tcPr>
          <w:p>
            <w:r>
              <w:rPr>
                <w:sz w:val="16"/>
              </w:rPr>
              <w:t>$11.62</w:t>
            </w:r>
          </w:p>
        </w:tc>
        <w:tc>
          <w:tcPr>
            <w:tcW w:type="dxa" w:w="1224"/>
            <w:shd w:fill="F7FAFC"/>
          </w:tcPr>
          <w:p>
            <w:r>
              <w:rPr>
                <w:sz w:val="16"/>
              </w:rPr>
              <w:t>$13.33</w:t>
            </w:r>
          </w:p>
        </w:tc>
        <w:tc>
          <w:tcPr>
            <w:tcW w:type="dxa" w:w="1224"/>
            <w:shd w:fill="F7FAFC"/>
          </w:tcPr>
          <w:p>
            <w:r>
              <w:rPr>
                <w:sz w:val="16"/>
              </w:rPr>
              <w:t>$13.68</w:t>
            </w:r>
          </w:p>
        </w:tc>
        <w:tc>
          <w:tcPr>
            <w:tcW w:type="dxa" w:w="1224"/>
            <w:shd w:fill="F7FAFC"/>
          </w:tcPr>
          <w:p>
            <w:r>
              <w:rPr>
                <w:b/>
                <w:sz w:val="16"/>
              </w:rPr>
              <w:t>$14.04</w:t>
            </w:r>
          </w:p>
        </w:tc>
        <w:tc>
          <w:tcPr>
            <w:tcW w:type="dxa" w:w="1224"/>
            <w:shd w:fill="F7FAFC"/>
          </w:tcPr>
          <w:p>
            <w:r>
              <w:rPr>
                <w:sz w:val="16"/>
              </w:rPr>
              <w:t>$14.39</w:t>
            </w:r>
          </w:p>
        </w:tc>
        <w:tc>
          <w:tcPr>
            <w:tcW w:type="dxa" w:w="1224"/>
            <w:shd w:fill="F7FAFC"/>
          </w:tcPr>
          <w:p>
            <w:r>
              <w:rPr>
                <w:sz w:val="16"/>
              </w:rPr>
              <w:t>$14.75</w:t>
            </w:r>
          </w:p>
        </w:tc>
        <w:tc>
          <w:tcPr>
            <w:tcW w:type="dxa" w:w="1224"/>
            <w:shd w:fill="F7FAFC"/>
          </w:tcPr>
          <w:p>
            <w:r>
              <w:rPr>
                <w:sz w:val="16"/>
              </w:rPr>
              <w:t>Escenario de sensibilidad financiera.</w:t>
            </w:r>
          </w:p>
        </w:tc>
      </w:tr>
      <w:tr>
        <w:tc>
          <w:tcPr>
            <w:tcW w:type="dxa" w:w="1224"/>
            <w:shd w:fill="F7FAFC"/>
          </w:tcPr>
          <w:p>
            <w:r>
              <w:rPr>
                <w:sz w:val="16"/>
              </w:rPr>
              <w:t>9.76% (Ke Auditado Base)</w:t>
            </w:r>
          </w:p>
        </w:tc>
        <w:tc>
          <w:tcPr>
            <w:tcW w:type="dxa" w:w="1224"/>
            <w:shd w:fill="F7FAFC"/>
          </w:tcPr>
          <w:p>
            <w:r>
              <w:rPr>
                <w:b/>
                <w:sz w:val="16"/>
              </w:rPr>
              <w:t>$10.60</w:t>
            </w:r>
          </w:p>
        </w:tc>
        <w:tc>
          <w:tcPr>
            <w:tcW w:type="dxa" w:w="1224"/>
            <w:shd w:fill="F7FAFC"/>
          </w:tcPr>
          <w:p>
            <w:r>
              <w:rPr>
                <w:b/>
                <w:sz w:val="16"/>
              </w:rPr>
              <w:t>$12.41</w:t>
            </w:r>
          </w:p>
        </w:tc>
        <w:tc>
          <w:tcPr>
            <w:tcW w:type="dxa" w:w="1224"/>
            <w:shd w:fill="F7FAFC"/>
          </w:tcPr>
          <w:p>
            <w:r>
              <w:rPr>
                <w:b/>
                <w:sz w:val="16"/>
              </w:rPr>
              <w:t>$12.86</w:t>
            </w:r>
          </w:p>
        </w:tc>
        <w:tc>
          <w:tcPr>
            <w:tcW w:type="dxa" w:w="1224"/>
            <w:shd w:fill="FFF2CC"/>
          </w:tcPr>
          <w:p>
            <w:r>
              <w:rPr>
                <w:b/>
                <w:sz w:val="16"/>
              </w:rPr>
              <w:t>$13.20</w:t>
            </w:r>
          </w:p>
        </w:tc>
        <w:tc>
          <w:tcPr>
            <w:tcW w:type="dxa" w:w="1224"/>
            <w:shd w:fill="F7FAFC"/>
          </w:tcPr>
          <w:p>
            <w:r>
              <w:rPr>
                <w:b/>
                <w:sz w:val="16"/>
              </w:rPr>
              <w:t>$13.54</w:t>
            </w:r>
          </w:p>
        </w:tc>
        <w:tc>
          <w:tcPr>
            <w:tcW w:type="dxa" w:w="1224"/>
            <w:shd w:fill="F7FAFC"/>
          </w:tcPr>
          <w:p>
            <w:r>
              <w:rPr>
                <w:b/>
                <w:sz w:val="16"/>
              </w:rPr>
              <w:t>$13.89</w:t>
            </w:r>
          </w:p>
        </w:tc>
        <w:tc>
          <w:tcPr>
            <w:tcW w:type="dxa" w:w="1224"/>
            <w:shd w:fill="F7FAFC"/>
          </w:tcPr>
          <w:p>
            <w:r>
              <w:rPr>
                <w:sz w:val="16"/>
              </w:rPr>
              <w:t>ESCENARIO CENTRAL: Valor teórico fundamental por rentabilidad de balance.</w:t>
            </w:r>
          </w:p>
        </w:tc>
      </w:tr>
      <w:tr>
        <w:tc>
          <w:tcPr>
            <w:tcW w:type="dxa" w:w="1224"/>
            <w:shd w:fill="F7FAFC"/>
          </w:tcPr>
          <w:p>
            <w:r>
              <w:rPr>
                <w:sz w:val="16"/>
              </w:rPr>
              <w:t>10.26% (Exigente)</w:t>
            </w:r>
          </w:p>
        </w:tc>
        <w:tc>
          <w:tcPr>
            <w:tcW w:type="dxa" w:w="1224"/>
            <w:shd w:fill="F7FAFC"/>
          </w:tcPr>
          <w:p>
            <w:r>
              <w:rPr>
                <w:sz w:val="16"/>
              </w:rPr>
              <w:t>$9.70</w:t>
            </w:r>
          </w:p>
        </w:tc>
        <w:tc>
          <w:tcPr>
            <w:tcW w:type="dxa" w:w="1224"/>
            <w:shd w:fill="F7FAFC"/>
          </w:tcPr>
          <w:p>
            <w:r>
              <w:rPr>
                <w:sz w:val="16"/>
              </w:rPr>
              <w:t>$11.36</w:t>
            </w:r>
          </w:p>
        </w:tc>
        <w:tc>
          <w:tcPr>
            <w:tcW w:type="dxa" w:w="1224"/>
            <w:shd w:fill="F7FAFC"/>
          </w:tcPr>
          <w:p>
            <w:r>
              <w:rPr>
                <w:sz w:val="16"/>
              </w:rPr>
              <w:t>$12.15</w:t>
            </w:r>
          </w:p>
        </w:tc>
        <w:tc>
          <w:tcPr>
            <w:tcW w:type="dxa" w:w="1224"/>
            <w:shd w:fill="F7FAFC"/>
          </w:tcPr>
          <w:p>
            <w:r>
              <w:rPr>
                <w:b/>
                <w:sz w:val="16"/>
              </w:rPr>
              <w:t>$12.47</w:t>
            </w:r>
          </w:p>
        </w:tc>
        <w:tc>
          <w:tcPr>
            <w:tcW w:type="dxa" w:w="1224"/>
            <w:shd w:fill="F7FAFC"/>
          </w:tcPr>
          <w:p>
            <w:r>
              <w:rPr>
                <w:sz w:val="16"/>
              </w:rPr>
              <w:t>$12.78</w:t>
            </w:r>
          </w:p>
        </w:tc>
        <w:tc>
          <w:tcPr>
            <w:tcW w:type="dxa" w:w="1224"/>
            <w:shd w:fill="F7FAFC"/>
          </w:tcPr>
          <w:p>
            <w:r>
              <w:rPr>
                <w:sz w:val="16"/>
              </w:rPr>
              <w:t>$13.12</w:t>
            </w:r>
          </w:p>
        </w:tc>
        <w:tc>
          <w:tcPr>
            <w:tcW w:type="dxa" w:w="1224"/>
            <w:shd w:fill="F7FAFC"/>
          </w:tcPr>
          <w:p>
            <w:r>
              <w:rPr>
                <w:sz w:val="16"/>
              </w:rPr>
              <w:t>Escenario de sensibilidad financiera.</w:t>
            </w:r>
          </w:p>
        </w:tc>
      </w:tr>
      <w:tr>
        <w:tc>
          <w:tcPr>
            <w:tcW w:type="dxa" w:w="1224"/>
          </w:tcPr>
          <w:p>
            <w:r>
              <w:rPr>
                <w:sz w:val="16"/>
              </w:rPr>
              <w:t>10.76% (Estrés Macro / Tipos)</w:t>
            </w:r>
          </w:p>
        </w:tc>
        <w:tc>
          <w:tcPr>
            <w:tcW w:type="dxa" w:w="1224"/>
          </w:tcPr>
          <w:p>
            <w:r>
              <w:rPr>
                <w:sz w:val="16"/>
              </w:rPr>
              <w:t>$8.94</w:t>
            </w:r>
          </w:p>
        </w:tc>
        <w:tc>
          <w:tcPr>
            <w:tcW w:type="dxa" w:w="1224"/>
          </w:tcPr>
          <w:p>
            <w:r>
              <w:rPr>
                <w:sz w:val="16"/>
              </w:rPr>
              <w:t>$10.47</w:t>
            </w:r>
          </w:p>
        </w:tc>
        <w:tc>
          <w:tcPr>
            <w:tcW w:type="dxa" w:w="1224"/>
          </w:tcPr>
          <w:p>
            <w:r>
              <w:rPr>
                <w:sz w:val="16"/>
              </w:rPr>
              <w:t>$11.52</w:t>
            </w:r>
          </w:p>
        </w:tc>
        <w:tc>
          <w:tcPr>
            <w:tcW w:type="dxa" w:w="1224"/>
          </w:tcPr>
          <w:p>
            <w:r>
              <w:rPr>
                <w:b/>
                <w:sz w:val="16"/>
              </w:rPr>
              <w:t>$11.83</w:t>
            </w:r>
          </w:p>
        </w:tc>
        <w:tc>
          <w:tcPr>
            <w:tcW w:type="dxa" w:w="1224"/>
          </w:tcPr>
          <w:p>
            <w:r>
              <w:rPr>
                <w:sz w:val="16"/>
              </w:rPr>
              <w:t>$12.12</w:t>
            </w:r>
          </w:p>
        </w:tc>
        <w:tc>
          <w:tcPr>
            <w:tcW w:type="dxa" w:w="1224"/>
          </w:tcPr>
          <w:p>
            <w:r>
              <w:rPr>
                <w:sz w:val="16"/>
              </w:rPr>
              <w:t>$12.44</w:t>
            </w:r>
          </w:p>
        </w:tc>
        <w:tc>
          <w:tcPr>
            <w:tcW w:type="dxa" w:w="1224"/>
          </w:tcPr>
          <w:p>
            <w:r>
              <w:rPr>
                <w:sz w:val="16"/>
              </w:rPr>
              <w:t>Estrés: Contracción por alza de tipos de interés o riesgo soberano.</w:t>
            </w:r>
          </w:p>
        </w:tc>
      </w:tr>
    </w:tbl>
    <w:p/>
    <w:p>
      <w:pPr>
        <w:pStyle w:val="Heading2"/>
      </w:pPr>
      <w:r>
        <w:rPr>
          <w:rFonts w:ascii="Calibri" w:hAnsi="Calibri"/>
          <w:b/>
          <w:color w:val="1B365D"/>
          <w:sz w:val="23"/>
        </w:rPr>
        <w:t>14.3. Cuadro de Mando Consolidado y Tesis de Valoración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Eficiencia Operativa + Estructura de Fondeo</w:t>
            </w:r>
          </w:p>
        </w:tc>
        <w:tc>
          <w:tcPr>
            <w:tcW w:type="dxa" w:w="2448"/>
          </w:tcPr>
          <w:p>
            <w:r>
              <w:rPr>
                <w:b/>
                <w:sz w:val="17"/>
              </w:rPr>
              <w:t>🏰 WIDE MOAT / COMPOUNDING MACHINE</w:t>
            </w:r>
          </w:p>
        </w:tc>
        <w:tc>
          <w:tcPr>
            <w:tcW w:type="dxa" w:w="2448"/>
          </w:tcPr>
          <w:p>
            <w:r>
              <w:rPr>
                <w:sz w:val="17"/>
              </w:rPr>
              <w:t>Ventaja competitiva estructural en captación e intermediación.</w:t>
            </w:r>
          </w:p>
        </w:tc>
      </w:tr>
      <w:tr>
        <w:tc>
          <w:tcPr>
            <w:tcW w:type="dxa" w:w="2448"/>
            <w:shd w:fill="F7FAFC"/>
          </w:tcPr>
          <w:p>
            <w:r>
              <w:rPr>
                <w:b/>
                <w:sz w:val="17"/>
              </w:rPr>
              <w:t>Calidad de Cartera</w:t>
            </w:r>
          </w:p>
        </w:tc>
        <w:tc>
          <w:tcPr>
            <w:tcW w:type="dxa" w:w="2448"/>
            <w:shd w:fill="F7FAFC"/>
          </w:tcPr>
          <w:p>
            <w:r>
              <w:rPr>
                <w:sz w:val="17"/>
              </w:rPr>
              <w:t>Gestión de Riesgo y Cobertura de Provisiones</w:t>
            </w:r>
          </w:p>
        </w:tc>
        <w:tc>
          <w:tcPr>
            <w:tcW w:type="dxa" w:w="2448"/>
            <w:shd w:fill="F7FAFC"/>
          </w:tcPr>
          <w:p>
            <w:r>
              <w:rPr>
                <w:b/>
                <w:sz w:val="17"/>
              </w:rPr>
              <w:t>BLINDAJE DE PROVISIONES</w:t>
            </w:r>
          </w:p>
        </w:tc>
        <w:tc>
          <w:tcPr>
            <w:tcW w:type="dxa" w:w="2448"/>
            <w:shd w:fill="F7FAFC"/>
          </w:tcPr>
          <w:p>
            <w:r>
              <w:rPr>
                <w:sz w:val="17"/>
              </w:rPr>
              <w:t>Provisiones adecuadas para absorber pérdidas esperadas en ciclo crediticio.</w:t>
            </w:r>
          </w:p>
        </w:tc>
      </w:tr>
      <w:tr>
        <w:tc>
          <w:tcPr>
            <w:tcW w:type="dxa" w:w="2448"/>
          </w:tcPr>
          <w:p>
            <w:r>
              <w:rPr>
                <w:b/>
                <w:sz w:val="17"/>
              </w:rPr>
              <w:t>Solvencia y Capital</w:t>
            </w:r>
          </w:p>
        </w:tc>
        <w:tc>
          <w:tcPr>
            <w:tcW w:type="dxa" w:w="2448"/>
          </w:tcPr>
          <w:p>
            <w:r>
              <w:rPr>
                <w:sz w:val="17"/>
              </w:rPr>
              <w:t>Capital Regulatorio Basilea III / Tier 1 / CET1</w:t>
            </w:r>
          </w:p>
        </w:tc>
        <w:tc>
          <w:tcPr>
            <w:tcW w:type="dxa" w:w="2448"/>
          </w:tcPr>
          <w:p>
            <w:r>
              <w:rPr>
                <w:b/>
                <w:sz w:val="17"/>
              </w:rPr>
              <w:t>SOLVENCIA BASILEA III</w:t>
            </w:r>
          </w:p>
        </w:tc>
        <w:tc>
          <w:tcPr>
            <w:tcW w:type="dxa" w:w="2448"/>
          </w:tcPr>
          <w:p>
            <w:r>
              <w:rPr>
                <w:sz w:val="17"/>
              </w:rPr>
              <w:t>Colchón de capital anticíclico y absorción de activos ponderados por riesgo.</w:t>
            </w:r>
          </w:p>
        </w:tc>
      </w:tr>
      <w:tr>
        <w:tc>
          <w:tcPr>
            <w:tcW w:type="dxa" w:w="2448"/>
            <w:shd w:fill="F7FAFC"/>
          </w:tcPr>
          <w:p>
            <w:r>
              <w:rPr>
                <w:b/>
                <w:sz w:val="17"/>
              </w:rPr>
              <w:t>Productividad del Capital</w:t>
            </w:r>
          </w:p>
        </w:tc>
        <w:tc>
          <w:tcPr>
            <w:tcW w:type="dxa" w:w="2448"/>
            <w:shd w:fill="F7FAFC"/>
          </w:tcPr>
          <w:p>
            <w:r>
              <w:rPr>
                <w:sz w:val="17"/>
              </w:rPr>
              <w:t>ROTCE Tangible: 28.1% vs Ke 9.76%</w:t>
            </w:r>
          </w:p>
        </w:tc>
        <w:tc>
          <w:tcPr>
            <w:tcW w:type="dxa" w:w="2448"/>
            <w:shd w:fill="F7FAFC"/>
          </w:tcPr>
          <w:p>
            <w:r>
              <w:rPr>
                <w:b/>
                <w:sz w:val="17"/>
              </w:rPr>
              <w:t>COMPOUNDING MACHINE</w:t>
            </w:r>
          </w:p>
        </w:tc>
        <w:tc>
          <w:tcPr>
            <w:tcW w:type="dxa" w:w="2448"/>
            <w:shd w:fill="F7FAFC"/>
          </w:tcPr>
          <w:p>
            <w:r>
              <w:rPr>
                <w:sz w:val="17"/>
              </w:rPr>
              <w:t>Spread económico de +18.4 pp sobre coste de capital propio.</w:t>
            </w:r>
          </w:p>
        </w:tc>
      </w:tr>
      <w:tr>
        <w:tc>
          <w:tcPr>
            <w:tcW w:type="dxa" w:w="2448"/>
          </w:tcPr>
          <w:p>
            <w:r>
              <w:rPr>
                <w:b/>
                <w:sz w:val="17"/>
              </w:rPr>
              <w:t>Valoración de Mercado</w:t>
            </w:r>
          </w:p>
        </w:tc>
        <w:tc>
          <w:tcPr>
            <w:tcW w:type="dxa" w:w="2448"/>
          </w:tcPr>
          <w:p>
            <w:r>
              <w:rPr>
                <w:sz w:val="17"/>
              </w:rPr>
              <w:t>P/TBV: 5.7x vs P/TBV Teórico: 5.0x</w:t>
            </w:r>
          </w:p>
        </w:tc>
        <w:tc>
          <w:tcPr>
            <w:tcW w:type="dxa" w:w="2448"/>
          </w:tcPr>
          <w:p>
            <w:r>
              <w:rPr>
                <w:b/>
                <w:sz w:val="17"/>
              </w:rPr>
              <w:t>PRICED FOR GROWTH</w:t>
            </w:r>
          </w:p>
        </w:tc>
        <w:tc>
          <w:tcPr>
            <w:tcW w:type="dxa" w:w="2448"/>
          </w:tcPr>
          <w:p>
            <w:r>
              <w:rPr>
                <w:sz w:val="17"/>
              </w:rPr>
              <w:t>Cotización descuenta sostener crecimiento y rentabilidad elevada.</w:t>
            </w:r>
          </w:p>
        </w:tc>
      </w:tr>
    </w:tbl>
    <w:p>
      <w:pPr>
        <w:spacing w:before="400"/>
        <w:jc w:val="center"/>
      </w:pPr>
      <w:r>
        <w:rPr>
          <w:rFonts w:ascii="Calibri" w:hAnsi="Calibri"/>
          <w:i/>
          <w:color w:val="4A5568"/>
          <w:sz w:val="17"/>
        </w:rPr>
        <w:t>Fin del Informe Oficial de Investigación Fundamental — Nu Holdings Ltd. (NU)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