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792"/>
            <w:shd w:fill="1B365D"/>
            <w:tcMar>
              <w:top w:w="180" w:type="dxa"/>
              <w:bottom w:w="180" w:type="dxa"/>
              <w:left w:w="200" w:type="dxa"/>
              <w:right w:w="200" w:type="dxa"/>
            </w:tcMar>
          </w:tcPr>
          <w:p>
            <w:pPr>
              <w:spacing w:before="0" w:after="40"/>
            </w:pPr>
            <w:r>
              <w:rPr>
                <w:rFonts w:ascii="Calibri" w:hAnsi="Calibri"/>
                <w:b/>
                <w:color w:val="A0BEEB"/>
                <w:sz w:val="18"/>
              </w:rPr>
              <w:t>INFORME EJECUTIVO DE INVESTIGACIÓN FUNDAMENTAL | WALL STREET EQUITY RESEARCH</w:t>
            </w:r>
          </w:p>
          <w:p>
            <w:pPr>
              <w:spacing w:before="40" w:after="80"/>
            </w:pPr>
            <w:r>
              <w:rPr>
                <w:rFonts w:ascii="Calibri" w:hAnsi="Calibri"/>
                <w:b/>
                <w:color w:val="FFFFFF"/>
                <w:sz w:val="34"/>
              </w:rPr>
              <w:t>APPLE INC. (NASDAQ: AAPL)</w:t>
              <w:br/>
              <w:t>Resultados Trimestrales Q3 FY2026, Earnings Call &amp; Análisis de Gobernanza</w:t>
            </w:r>
          </w:p>
          <w:p>
            <w:pPr>
              <w:spacing w:before="0" w:after="0"/>
            </w:pPr>
            <w:r>
              <w:rPr>
                <w:rFonts w:ascii="Calibri" w:hAnsi="Calibri"/>
                <w:i/>
                <w:color w:val="D1DFF5"/>
                <w:sz w:val="17"/>
              </w:rPr>
              <w:t>Fecha de Análisis: 28 de Septiembre de 2026 | Período Contable: 27 de Junio de 2026</w:t>
              <w:br/>
              <w:t>Fuente Oficial: Formulario 10-Q, Formularios 8-K, Form 4, Form 144 (SEC EDGAR) &amp; Q3 FY26 Earnings Call Transcript</w:t>
            </w:r>
          </w:p>
        </w:tc>
      </w:tr>
    </w:tbl>
    <w:p>
      <w:pPr>
        <w:spacing w:after="120"/>
      </w:pPr>
    </w:p>
    <w:p>
      <w:pPr>
        <w:keepNext/>
        <w:spacing w:before="320" w:after="120"/>
      </w:pPr>
      <w:r>
        <w:rPr>
          <w:rFonts w:ascii="Calibri" w:hAnsi="Calibri"/>
          <w:b/>
          <w:color w:val="1B365D"/>
          <w:sz w:val="26"/>
        </w:rPr>
        <w:t>1. Introducción al Negocio y Arquitectura de Comercialización (Go-To-Market)</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RESUMEN DEL MODELO DE NEGOCIO Y PROPUESTA DE VALOR</w:t>
            </w:r>
          </w:p>
          <w:p>
            <w:pPr>
              <w:spacing w:before="40" w:after="40" w:line="276" w:lineRule="auto"/>
            </w:pPr>
            <w:r>
              <w:rPr>
                <w:rFonts w:ascii="Calibri" w:hAnsi="Calibri"/>
                <w:color w:val="2D3748"/>
                <w:sz w:val="19"/>
              </w:rPr>
              <w:t>Apple Inc. diseña, fabrica y comercializa smartphones, computadoras personales, tablets, dispositivos corporales (wearables) y accesorios, integrando verticalmente hardware de alta gama con sistemas operativos propios (iOS, macOS, iPadOS, watchOS) y microprocesadores propietarios de silicio (Apple Silicon).</w:t>
            </w:r>
          </w:p>
          <w:p>
            <w:pPr>
              <w:spacing w:before="40" w:after="40" w:line="276" w:lineRule="auto"/>
            </w:pPr>
            <w:r>
              <w:rPr>
                <w:rFonts w:ascii="Calibri" w:hAnsi="Calibri"/>
                <w:color w:val="2D3748"/>
                <w:sz w:val="19"/>
              </w:rPr>
              <w:t>Su modelo de negocio opera como un ecosistema de fidelización (flywheel): la venta de hardware de vanguardia actúa como puerta de entrada para capturar usuarios en una plataforma cerrada, que luego monetiza de manera recurrente a través de una división de Servicios de altísimo margen (App Store, iCloud, Apple Pay, Apple Music, suscripciones y publicidad).</w:t>
            </w:r>
          </w:p>
        </w:tc>
      </w:tr>
    </w:tbl>
    <w:p>
      <w:pPr>
        <w:spacing w:after="80"/>
      </w:pPr>
    </w:p>
    <w:p>
      <w:pPr>
        <w:keepNext/>
        <w:spacing w:before="200" w:after="80"/>
      </w:pPr>
      <w:r>
        <w:rPr>
          <w:rFonts w:ascii="Calibri" w:hAnsi="Calibri"/>
          <w:b/>
          <w:color w:val="4A5568"/>
          <w:sz w:val="22"/>
        </w:rPr>
        <w:t>Estructura de Canales de Comercialización (Go-To-Market):</w:t>
      </w:r>
    </w:p>
    <w:p>
      <w:pPr>
        <w:spacing w:before="40" w:after="80" w:line="276" w:lineRule="auto"/>
      </w:pPr>
      <w:r>
        <w:rPr>
          <w:rFonts w:ascii="Calibri" w:hAnsi="Calibri"/>
          <w:i w:val="0"/>
          <w:color w:val="2D3748"/>
          <w:sz w:val="20"/>
        </w:rPr>
        <w:t>De acuerdo con la información auditada del Formulario 10-K ante la SEC, Apple distribuye sus productos y servicios a nivel global a través de dos grandes vías de acceso al mercado:</w:t>
      </w:r>
    </w:p>
    <w:p>
      <w:pPr>
        <w:spacing w:before="40" w:after="80" w:line="276" w:lineRule="auto"/>
      </w:pPr>
      <w:r>
        <w:rPr>
          <w:rFonts w:ascii="Calibri" w:hAnsi="Calibri"/>
          <w:b/>
          <w:color w:val="2D3748"/>
          <w:sz w:val="20"/>
        </w:rPr>
        <w:t xml:space="preserve">• Canal Directo (~40% de las ventas netas): </w:t>
      </w:r>
      <w:r>
        <w:rPr>
          <w:rFonts w:ascii="Calibri" w:hAnsi="Calibri"/>
          <w:i w:val="0"/>
          <w:color w:val="2D3748"/>
          <w:sz w:val="20"/>
        </w:rPr>
        <w:t>Operado mediante su red propia de más de 525 tiendas físicas (Apple Stores) en distritos comerciales prime de todo el mundo, su tienda digital en línea (apple.com) y equipos comerciales directos dedicados a empresas (B2B), educación y administraciones públicas. Aporta aproximadamente el 40% de las ventas netas.</w:t>
      </w:r>
    </w:p>
    <w:p>
      <w:pPr>
        <w:spacing w:before="40" w:after="80" w:line="276" w:lineRule="auto"/>
      </w:pPr>
      <w:r>
        <w:rPr>
          <w:rFonts w:ascii="Calibri" w:hAnsi="Calibri"/>
          <w:b/>
          <w:color w:val="2D3748"/>
          <w:sz w:val="20"/>
        </w:rPr>
        <w:t xml:space="preserve">• Canal Indirecto (~60% de las ventas netas): </w:t>
      </w:r>
      <w:r>
        <w:rPr>
          <w:rFonts w:ascii="Calibri" w:hAnsi="Calibri"/>
          <w:i w:val="0"/>
          <w:color w:val="2D3748"/>
          <w:sz w:val="20"/>
        </w:rPr>
        <w:t>Red internacional de distribución compuesta por las principales operadoras de telefonía celular (AT&amp;T, Verizon, Vodafone, China Mobile), grandes cadenas minoristas de electrónica, distribuidores mayoristas y revendedores autorizados (Apple Authorised Resellers). Aporta aproximadamente el 60% de las ventas netas.</w:t>
      </w:r>
    </w:p>
    <w:p>
      <w:pPr>
        <w:keepNext/>
        <w:spacing w:before="320" w:after="120"/>
      </w:pPr>
      <w:r>
        <w:rPr>
          <w:rFonts w:ascii="Calibri" w:hAnsi="Calibri"/>
          <w:b/>
          <w:color w:val="1B365D"/>
          <w:sz w:val="26"/>
        </w:rPr>
        <w:t>2. Desglose de Ventas por Línea de Productos y Servicios (Comparativa Interanual)</w:t>
      </w:r>
    </w:p>
    <w:p>
      <w:pPr>
        <w:spacing w:before="40" w:after="80" w:line="276" w:lineRule="auto"/>
      </w:pPr>
      <w:r>
        <w:rPr>
          <w:rFonts w:ascii="Calibri" w:hAnsi="Calibri"/>
          <w:i w:val="0"/>
          <w:color w:val="2D3748"/>
          <w:sz w:val="20"/>
        </w:rPr>
        <w:t>A continuación se audita el desempeño y la mezcla de ingresos de las líneas de producto y marcas clave de Apple Inc. a partir de las notas de segmentación oficial presentadas ante la SEC:</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Línea de Negocio / Producto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FY2025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Margen / Mix</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Lectura Estratégica y Catalizador Operativo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Products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$346,345.0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$307,003.0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+12.8%</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Subtotal</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Subtotal consolidado de canal/categoría (+12.8% YoY).</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iPhone</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$245,540.0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$209,586.0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+17.2%</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52.6%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Crecimiento orgánico sostenido (+17.2% YoY); demanda sólida y volumen favorable.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Mac</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$35,863.0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$33,708.0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+6.4%</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7.7%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Crecimiento orgánico sostenido (+6.4% YoY); demanda sólida y volumen favorable.</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iPad</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$28,652.0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$28,023.0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+2.2%</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6.1%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Desempeño estable (+2.2% YoY); consolidación en mercados y canales core.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Wearables, Home and Accessories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$36,290.0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$35,686.0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+1.7%</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7.8% Mix</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Desempeño estable (+1.7% YoY); consolidación en mercados y canales core.</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Services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$120,478.0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$109,158.0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+10.4%</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25.8% Mix</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Crecimiento orgánico sostenido (+10.4% YoY); demanda sólida y volumen favorable.</w:t>
            </w:r>
          </w:p>
        </w:tc>
      </w:tr>
    </w:tbl>
    <w:p>
      <w:pPr>
        <w:spacing w:after="120"/>
      </w:pPr>
    </w:p>
    <w:p>
      <w:pPr>
        <w:keepNext/>
        <w:spacing w:before="200" w:after="80"/>
      </w:pPr>
      <w:r>
        <w:rPr>
          <w:rFonts w:ascii="Calibri" w:hAnsi="Calibri"/>
          <w:b/>
          <w:color w:val="4A5568"/>
          <w:sz w:val="22"/>
        </w:rPr>
        <w:t>Análisis Cualitativo de las Líneas de Negocio:</w:t>
      </w:r>
    </w:p>
    <w:p>
      <w:pPr>
        <w:spacing w:before="40" w:after="80" w:line="276" w:lineRule="auto"/>
      </w:pPr>
      <w:r>
        <w:rPr>
          <w:rFonts w:ascii="Calibri" w:hAnsi="Calibri"/>
          <w:b/>
          <w:color w:val="2D3748"/>
          <w:sz w:val="20"/>
        </w:rPr>
        <w:t xml:space="preserve">• iPhone (52.6% de facturación): </w:t>
      </w:r>
      <w:r>
        <w:rPr>
          <w:rFonts w:ascii="Calibri" w:hAnsi="Calibri"/>
          <w:i w:val="0"/>
          <w:color w:val="2D3748"/>
          <w:sz w:val="20"/>
        </w:rPr>
        <w:t>Genera $245,540.0 M (+17.2% YoY), consolidándose como pilar operativo clave de Apple Inc..</w:t>
      </w:r>
    </w:p>
    <w:p>
      <w:pPr>
        <w:spacing w:before="40" w:after="80" w:line="276" w:lineRule="auto"/>
      </w:pPr>
      <w:r>
        <w:rPr>
          <w:rFonts w:ascii="Calibri" w:hAnsi="Calibri"/>
          <w:b/>
          <w:color w:val="2D3748"/>
          <w:sz w:val="20"/>
        </w:rPr>
        <w:t xml:space="preserve">• Mac (7.7% de facturación): </w:t>
      </w:r>
      <w:r>
        <w:rPr>
          <w:rFonts w:ascii="Calibri" w:hAnsi="Calibri"/>
          <w:i w:val="0"/>
          <w:color w:val="2D3748"/>
          <w:sz w:val="20"/>
        </w:rPr>
        <w:t>Genera $35,863.0 M (+6.4% YoY), consolidándose como pilar operativo clave de Apple Inc..</w:t>
      </w:r>
    </w:p>
    <w:p>
      <w:pPr>
        <w:spacing w:before="40" w:after="80" w:line="276" w:lineRule="auto"/>
      </w:pPr>
      <w:r>
        <w:rPr>
          <w:rFonts w:ascii="Calibri" w:hAnsi="Calibri"/>
          <w:b/>
          <w:color w:val="2D3748"/>
          <w:sz w:val="20"/>
        </w:rPr>
        <w:t xml:space="preserve">• iPad (6.1% de facturación): </w:t>
      </w:r>
      <w:r>
        <w:rPr>
          <w:rFonts w:ascii="Calibri" w:hAnsi="Calibri"/>
          <w:i w:val="0"/>
          <w:color w:val="2D3748"/>
          <w:sz w:val="20"/>
        </w:rPr>
        <w:t>Genera $28,652.0 M (+2.2% YoY), consolidándose como pilar operativo clave de Apple Inc..</w:t>
      </w:r>
    </w:p>
    <w:p>
      <w:pPr>
        <w:spacing w:before="40" w:after="80" w:line="276" w:lineRule="auto"/>
      </w:pPr>
      <w:r>
        <w:rPr>
          <w:rFonts w:ascii="Calibri" w:hAnsi="Calibri"/>
          <w:b/>
          <w:color w:val="2D3748"/>
          <w:sz w:val="20"/>
        </w:rPr>
        <w:t xml:space="preserve">• Wearables, Home and Accessories (7.8% de facturación): </w:t>
      </w:r>
      <w:r>
        <w:rPr>
          <w:rFonts w:ascii="Calibri" w:hAnsi="Calibri"/>
          <w:i w:val="0"/>
          <w:color w:val="2D3748"/>
          <w:sz w:val="20"/>
        </w:rPr>
        <w:t>Genera $36,290.0 M (+1.7% YoY), consolidándose como pilar operativo clave de Apple Inc..</w:t>
      </w:r>
    </w:p>
    <w:p>
      <w:pPr>
        <w:keepNext/>
        <w:spacing w:before="320" w:after="120"/>
      </w:pPr>
      <w:r>
        <w:rPr>
          <w:rFonts w:ascii="Calibri" w:hAnsi="Calibri"/>
          <w:b/>
          <w:color w:val="1B365D"/>
          <w:sz w:val="26"/>
        </w:rPr>
        <w:t>3. Desglose Geográfico: Mercados y Países de Comercialización (Comparativa Interanual)</w:t>
      </w:r>
    </w:p>
    <w:p>
      <w:pPr>
        <w:spacing w:before="40" w:after="80" w:line="276" w:lineRule="auto"/>
      </w:pPr>
      <w:r>
        <w:rPr>
          <w:rFonts w:ascii="Calibri" w:hAnsi="Calibri"/>
          <w:i w:val="0"/>
          <w:color w:val="2D3748"/>
          <w:sz w:val="20"/>
        </w:rPr>
        <w:t>Apple Inc. reporta sus ingresos desglosados en macro-regiones mundiales, reflejando una diversificación balanceada y expansión global: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Región Geográfica</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LTM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FY2025 ($M)</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Peso en Ventas %</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Dinámica del Mercado y Países Clave</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Americas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$193,595.0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$178,353.0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+8.5%</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41.5%</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estratégico consolidado (+8.5% YoY); estabilidad operativa.</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Europe</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$124,299.0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$111,032.0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+11.9%</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26.6%</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 estratégico consolidado (+11.9% YoY); estabilidad operativa.</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Greater China</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$79,332.0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$64,377.0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+23.2%</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17.0%</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en fuerte expansión (+23.2% YoY); tracción de demanda local.</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Japan</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$31,004.0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$28,703.0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+8.0%</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6.6%</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 estratégico consolidado (+8.0% YoY); estabilidad operativa.</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Rest of Asia Pacific</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$38,593.0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$33,696.0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+14.5%</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8.3%</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estratégico consolidado (+14.5% YoY); estabilidad operativa.</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U.S.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$151,790.0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-100.0%</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 en ajuste (-100.0% YoY); presión macroeconómica o vientos cambiarios (FX).</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China</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$64,377.0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-100.0%</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Mercado en ajuste (-100.0% YoY); presión macroeconómica o vientos cambiarios (FX).</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Other countries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$199,994.0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-100.0%</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0.0%</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Mercado en ajuste (-100.0% YoY); presión macroeconómica o vientos cambiarios (FX).</w:t>
            </w:r>
          </w:p>
        </w:tc>
      </w:tr>
    </w:tbl>
    <w:p>
      <w:pPr>
        <w:spacing w:after="120"/>
      </w:pPr>
    </w:p>
    <w:p>
      <w:pPr>
        <w:keepNext/>
        <w:spacing w:before="200" w:after="80"/>
      </w:pPr>
      <w:r>
        <w:rPr>
          <w:rFonts w:ascii="Calibri" w:hAnsi="Calibri"/>
          <w:b/>
          <w:color w:val="4A5568"/>
          <w:sz w:val="22"/>
        </w:rPr>
        <w:t>Conclusión sobre Exposición Geográfica y Riesgo Cambiario (FX):</w:t>
      </w:r>
    </w:p>
    <w:p>
      <w:pPr>
        <w:spacing w:before="40" w:after="80" w:line="276" w:lineRule="auto"/>
      </w:pPr>
      <w:r>
        <w:rPr>
          <w:rFonts w:ascii="Calibri" w:hAnsi="Calibri"/>
          <w:b/>
          <w:color w:val="2D3748"/>
          <w:sz w:val="20"/>
        </w:rPr>
        <w:t xml:space="preserve">• Mercado Americas (41.5% del total): </w:t>
      </w:r>
      <w:r>
        <w:rPr>
          <w:rFonts w:ascii="Calibri" w:hAnsi="Calibri"/>
          <w:i w:val="0"/>
          <w:color w:val="2D3748"/>
          <w:sz w:val="20"/>
        </w:rPr>
        <w:t>Aporta $193,595.0 M con variación YoY de +8.5%, diversificando la exposición geográfica de Apple Inc..</w:t>
      </w:r>
    </w:p>
    <w:p>
      <w:pPr>
        <w:spacing w:before="40" w:after="80" w:line="276" w:lineRule="auto"/>
      </w:pPr>
      <w:r>
        <w:rPr>
          <w:rFonts w:ascii="Calibri" w:hAnsi="Calibri"/>
          <w:b/>
          <w:color w:val="2D3748"/>
          <w:sz w:val="20"/>
        </w:rPr>
        <w:t xml:space="preserve">• Mercado Europe (26.6% del total): </w:t>
      </w:r>
      <w:r>
        <w:rPr>
          <w:rFonts w:ascii="Calibri" w:hAnsi="Calibri"/>
          <w:i w:val="0"/>
          <w:color w:val="2D3748"/>
          <w:sz w:val="20"/>
        </w:rPr>
        <w:t>Aporta $124,299.0 M con variación YoY de +11.9%, diversificando la exposición geográfica de Apple Inc..</w:t>
      </w:r>
    </w:p>
    <w:p>
      <w:pPr>
        <w:spacing w:before="40" w:after="80" w:line="276" w:lineRule="auto"/>
      </w:pPr>
      <w:r>
        <w:rPr>
          <w:rFonts w:ascii="Calibri" w:hAnsi="Calibri"/>
          <w:b/>
          <w:color w:val="2D3748"/>
          <w:sz w:val="20"/>
        </w:rPr>
        <w:t xml:space="preserve">• Mercado Greater China (17.0% del total): </w:t>
      </w:r>
      <w:r>
        <w:rPr>
          <w:rFonts w:ascii="Calibri" w:hAnsi="Calibri"/>
          <w:i w:val="0"/>
          <w:color w:val="2D3748"/>
          <w:sz w:val="20"/>
        </w:rPr>
        <w:t>Aporta $79,332.0 M con variación YoY de +23.2%, diversificando la exposición geográfica de Apple Inc..</w:t>
      </w:r>
    </w:p>
    <w:p>
      <w:pPr>
        <w:keepNext/>
        <w:spacing w:before="320" w:after="120"/>
      </w:pPr>
      <w:r>
        <w:rPr>
          <w:rFonts w:ascii="Calibri" w:hAnsi="Calibri"/>
          <w:b/>
          <w:color w:val="1B365D"/>
          <w:sz w:val="26"/>
        </w:rPr>
        <w:t>4. Resumen Ejecutivo y Cuadro de Mando Financiero (Scorecard)</w:t>
      </w:r>
    </w:p>
    <w:p>
      <w:pPr>
        <w:spacing w:before="40" w:after="80" w:line="276" w:lineRule="auto"/>
      </w:pPr>
      <w:r>
        <w:rPr>
          <w:rFonts w:ascii="Calibri" w:hAnsi="Calibri"/>
          <w:i w:val="0"/>
          <w:color w:val="2D3748"/>
          <w:sz w:val="20"/>
        </w:rPr>
        <w:t>Apple Inc. ha presentado unos resultados correspondientes al tercer trimestre del ejercicio fiscal 2026 (Q3 FY26) que superaron ampliamente las previsiones de consenso en ingresos y beneficio por acción, estableciendo nuevos récords históricos para un trimestre de junio a nivel global. El período estuvo marcado por una sólida expansión de márgenes en hardware y servicios y una excepcional conversión de beneficios contables en efectivo real disponible para los accionistas: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Métrica Financiera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Q3 FY26 (Reportado)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Q3 FY25 (Previo)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Variación YoY</w:t>
            </w:r>
          </w:p>
        </w:tc>
        <w:tc>
          <w:tcPr>
            <w:tcW w:type="dxa" w:w="3024"/>
            <w:shd w:fill="1B365D"/>
            <w:tcMar>
              <w:top w:w="100" w:type="dxa"/>
              <w:bottom w:w="100" w:type="dxa"/>
              <w:left w:w="120" w:type="dxa"/>
              <w:right w:w="120" w:type="dxa"/>
            </w:tcMar>
          </w:tcPr>
          <w:p>
            <w:pPr>
              <w:spacing w:before="0" w:after="0"/>
              <w:jc w:val="center"/>
            </w:pPr>
            <w:r>
              <w:rPr>
                <w:rFonts w:ascii="Calibri" w:hAnsi="Calibri"/>
                <w:b/>
                <w:color w:val="FFFFFF"/>
                <w:sz w:val="19"/>
              </w:rPr>
              <w:t>Diagnóstico Fundamental y Salud Operativa</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Ingresos Netos Totales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$109,417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$94,036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+16.4%</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Récord histórico de junio; crecimiento acelerado de doble dígito en hardware y servicios.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Margen Bruto ($M)</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$54,770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$43,718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+25.3%</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Fuerte poder de fijación de precios y mix favorable hacia gamas Pro y Servicios.</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Margen Bruto (%)</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50.06%</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46.49%</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+357 bps</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Expansión estructural de rentabilidad (incluye +200 bps de créditos arancelarios; subyacente ~48.1%).</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Gastos Operativos (OpEx)</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$19,075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$15,516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+22.9%</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Inversión estratégica controlada; aceleración selectiva en I+D (+32.3% YoY) por infraestructura de IA.</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Beneficio Operativo (EBIT)</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$35,695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$28,202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+26.6%</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Evidencia de apalancamiento operativo positivo: el beneficio crece 1.6x más rápido que los ingresos.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Margen Operativo (%)</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32.62%</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29.99%</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+263 bps</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Eficiencia de escala de primer nivel en la industria tecnológica global.</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Beneficio Neto ($M)</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$29,789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$23,434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+27.1%</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Máximo histórico de utilidades netas para un tercer trimestre fiscal.</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Margen Neto (%)</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27.23%</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24.92%</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+231 bps</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Extraordinaria capacidad de retención de valor: más de 27 centavos limpios por cada dólar ingresado.</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Flujo de Caja Operativo (CFO)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$34,400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$28,900 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+19.0%</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Solidez de cobros y sincronización de capital de trabajo operativo.</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Flujo de Caja Libre (FCF)</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$31,500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$26,200 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+20.2%</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Métrica reina de creación de valor; capital disponible tras financiar todo el CapEx ($2,900 M).</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Margen FCF (%)</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28.79%</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27.86%</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+93 bps</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Generación de caja pura superior al propio margen neto, confirmando ganancias de alta calidad.</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Conversión FCF / Beneficio Neto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105.7%</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111.8%</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Óptima</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Tasa &gt; 100% certifica ausencia de devengos agresivos: los beneficios son 100% dinero contante y sonante.</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Beneficio por Acción (EPS Diluido)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$2.02</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$1.57</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+28.7%</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El crecimiento del EPS supera al beneficio neto (+27.1%) gracias a la recompra activa de acciones.</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Base Instalada de Dispositivos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&gt; 2,500 Millones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~2,200 Millones</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+13.6%</w:t>
            </w:r>
          </w:p>
        </w:tc>
        <w:tc>
          <w:tcPr>
            <w:tcW w:type="dxa" w:w="3024"/>
            <w:shd w:fill="F7FAFC"/>
            <w:tcMar>
              <w:top w:w="80" w:type="dxa"/>
              <w:bottom w:w="80" w:type="dxa"/>
              <w:left w:w="120" w:type="dxa"/>
              <w:right w:w="120" w:type="dxa"/>
            </w:tcMar>
          </w:tcPr>
          <w:p>
            <w:pPr>
              <w:spacing w:before="0" w:after="0"/>
              <w:jc w:val="center"/>
            </w:pPr>
            <w:r>
              <w:rPr>
                <w:rFonts w:ascii="Calibri" w:hAnsi="Calibri"/>
                <w:color w:val="2D3748"/>
                <w:sz w:val="18"/>
              </w:rPr>
              <w:t>Ecosistema en expansión récord que ensancha el foso defensivo (economic moat).</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Suscripciones Pagadas (Servicios)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&gt; 1,500 Millones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&gt; 1,000 Millones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+50.0%</w:t>
            </w:r>
          </w:p>
        </w:tc>
        <w:tc>
          <w:tcPr>
            <w:tcW w:type="dxa" w:w="3024"/>
            <w:shd w:fill="FFFFFF"/>
            <w:tcMar>
              <w:top w:w="80" w:type="dxa"/>
              <w:bottom w:w="80" w:type="dxa"/>
              <w:left w:w="120" w:type="dxa"/>
              <w:right w:w="120" w:type="dxa"/>
            </w:tcMar>
          </w:tcPr>
          <w:p>
            <w:pPr>
              <w:spacing w:before="0" w:after="0"/>
              <w:jc w:val="center"/>
            </w:pPr>
            <w:r>
              <w:rPr>
                <w:rFonts w:ascii="Calibri" w:hAnsi="Calibri"/>
                <w:color w:val="2D3748"/>
                <w:sz w:val="18"/>
              </w:rPr>
              <w:t>Pilar de ingresos recurrentes de altísimo margen (75.6% margen bruto).</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GUÍA DE DIAGNÓSTICO FUNDAMENTAL: ¿QUÉ EVALÚA CADA PARÁMETRO CLAVE?</w:t>
            </w:r>
          </w:p>
          <w:p>
            <w:pPr>
              <w:spacing w:before="40" w:after="40" w:line="276" w:lineRule="auto"/>
            </w:pPr>
            <w:r>
              <w:rPr>
                <w:rFonts w:ascii="Calibri" w:hAnsi="Calibri"/>
                <w:color w:val="2D3748"/>
                <w:sz w:val="19"/>
              </w:rPr>
              <w:t>• Margen Bruto (%): Mide el poder de fijación de precios (pricing power) de la empresa y la ventaja competitiva frente a sus proveedores y costes directos. Un margen en expansión indica que el cliente está dispuesto a pagar por el valor de la marca o que la compañía tiene economías de escala superiores.</w:t>
            </w:r>
          </w:p>
          <w:p>
            <w:pPr>
              <w:spacing w:before="40" w:after="40" w:line="276" w:lineRule="auto"/>
            </w:pPr>
            <w:r>
              <w:rPr>
                <w:rFonts w:ascii="Calibri" w:hAnsi="Calibri"/>
                <w:color w:val="2D3748"/>
                <w:sz w:val="19"/>
              </w:rPr>
              <w:t>• Margen Operativo (%): Refleja la eficiencia de la gestión para controlar la estructura fija de administración, marketing e investigación (OpEx). Demuestra si la compañía goza de apalancamiento operativo positivo.</w:t>
            </w:r>
          </w:p>
          <w:p>
            <w:pPr>
              <w:spacing w:before="40" w:after="40" w:line="276" w:lineRule="auto"/>
            </w:pPr>
            <w:r>
              <w:rPr>
                <w:rFonts w:ascii="Calibri" w:hAnsi="Calibri"/>
                <w:color w:val="2D3748"/>
                <w:sz w:val="19"/>
              </w:rPr>
              <w:t>• Margen Neto (%): Es la rentabilidad final que le queda a la empresa tras cubrir costes operativos, gastos financieros de la deuda e impuestos corporativos. Proporción de los ingresos que termina directamente en el bolsillo de los accionistas.</w:t>
            </w:r>
          </w:p>
          <w:p>
            <w:pPr>
              <w:spacing w:before="40" w:after="40" w:line="276" w:lineRule="auto"/>
            </w:pPr>
            <w:r>
              <w:rPr>
                <w:rFonts w:ascii="Calibri" w:hAnsi="Calibri"/>
                <w:color w:val="2D3748"/>
                <w:sz w:val="19"/>
              </w:rPr>
              <w:t>• Flujo de Caja Libre (FCF) y Margen FCF: Es el indicador más fidedigno de la salud económica real (Cash is King). Mide los dólares reales que ingresan a la caja tras pagar todas las inversiones de mantenimiento y expansión (CapEx). Capital disponible para recomprar acciones, pagar dividendos o desendeudarse.</w:t>
            </w:r>
          </w:p>
          <w:p>
            <w:pPr>
              <w:spacing w:before="40" w:after="40" w:line="276" w:lineRule="auto"/>
            </w:pPr>
            <w:r>
              <w:rPr>
                <w:rFonts w:ascii="Calibri" w:hAnsi="Calibri"/>
                <w:color w:val="2D3748"/>
                <w:sz w:val="19"/>
              </w:rPr>
              <w:t>• Tasa de Conversión FCF / Beneficio Neto: Evalúa la calidad contable de las ganancias. Ratios consistentes en torno o por encima del 100% garantizan que la empresa no está inflando sus resultados con devengos agresivos.</w:t>
            </w:r>
          </w:p>
        </w:tc>
      </w:tr>
    </w:tbl>
    <w:p>
      <w:pPr>
        <w:spacing w:after="80"/>
      </w:pPr>
    </w:p>
    <w:p>
      <w:pPr>
        <w:keepNext/>
        <w:spacing w:before="320" w:after="120"/>
      </w:pPr>
      <w:r>
        <w:rPr>
          <w:rFonts w:ascii="Calibri" w:hAnsi="Calibri"/>
          <w:b/>
          <w:color w:val="1B365D"/>
          <w:sz w:val="26"/>
        </w:rPr>
        <w:t>5. Análisis Exhaustivo de Conferencia de Resultados (Earnings Calls) y Auditoría del Discurso Directivo</w:t>
      </w:r>
    </w:p>
    <w:p>
      <w:pPr>
        <w:keepNext/>
        <w:spacing w:before="200" w:after="80"/>
      </w:pPr>
      <w:r>
        <w:rPr>
          <w:rFonts w:ascii="Calibri" w:hAnsi="Calibri"/>
          <w:b/>
          <w:color w:val="4A5568"/>
          <w:sz w:val="22"/>
        </w:rPr>
        <w:t>BLOQUE A: Análisis del Trimestre Más Reciente (Q3 FY2026)</w:t>
      </w:r>
    </w:p>
    <w:p>
      <w:pPr>
        <w:spacing w:before="40" w:after="80" w:line="276" w:lineRule="auto"/>
      </w:pPr>
      <w:r>
        <w:rPr>
          <w:rFonts w:ascii="Calibri" w:hAnsi="Calibri"/>
          <w:i w:val="0"/>
          <w:color w:val="2D3748"/>
          <w:sz w:val="20"/>
        </w:rPr>
        <w:t>Durante la conferencia de resultados del tercer trimestre fiscal de 2026 (concluida el 27 de junio de 2026), el equipo directivo de Apple Inc.—encabezado por Tim Cook (CEO saliente), Kevan Parekh (CFO) y John Ternus (CEO entrante)—transmitió un tono de máxima confianza operativa y validación estratégica. Los resultados marcaron un récord histórico de facturación para un trimestre de junio ($109,417 M, +16.4% YoY) con crecimiento sincronizado de doble dígito en todas las geografías. No obstante, la dirección combinó el optimismo con una postura de cautela pragmática ante restricciones físicas en nodos avanzados de silicio e inflación severa en componentes de memoria.</w:t>
      </w:r>
    </w:p>
    <w:p>
      <w:pPr>
        <w:keepNext/>
        <w:spacing w:before="200" w:after="80"/>
      </w:pPr>
      <w:r>
        <w:rPr>
          <w:rFonts w:ascii="Calibri" w:hAnsi="Calibri"/>
          <w:b/>
          <w:color w:val="4A5568"/>
          <w:sz w:val="22"/>
        </w:rPr>
        <w:t>1. Proyecciones Oficiales y Guidance del Management:</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Métrica / Parámetro Proyectado</w:t>
            </w:r>
          </w:p>
        </w:tc>
        <w:tc>
          <w:tcPr>
            <w:tcW w:type="dxa" w:w="2592"/>
            <w:shd w:fill="1B365D"/>
            <w:tcMar>
              <w:top w:w="100" w:type="dxa"/>
              <w:bottom w:w="100" w:type="dxa"/>
              <w:left w:w="120" w:type="dxa"/>
              <w:right w:w="120" w:type="dxa"/>
            </w:tcMar>
          </w:tcPr>
          <w:p>
            <w:pPr>
              <w:spacing w:before="0" w:after="0"/>
              <w:jc w:val="center"/>
            </w:pPr>
            <w:r>
              <w:rPr>
                <w:rFonts w:ascii="Calibri" w:hAnsi="Calibri"/>
                <w:b/>
                <w:color w:val="FFFFFF"/>
                <w:sz w:val="19"/>
              </w:rPr>
              <w:t>Rango de Guidance Oficial (Q4 FY26)</w:t>
            </w:r>
          </w:p>
        </w:tc>
        <w:tc>
          <w:tcPr>
            <w:tcW w:type="dxa" w:w="4320"/>
            <w:shd w:fill="1B365D"/>
            <w:tcMar>
              <w:top w:w="100" w:type="dxa"/>
              <w:bottom w:w="100" w:type="dxa"/>
              <w:left w:w="120" w:type="dxa"/>
              <w:right w:w="120" w:type="dxa"/>
            </w:tcMar>
          </w:tcPr>
          <w:p>
            <w:pPr>
              <w:spacing w:before="0" w:after="0"/>
              <w:jc w:val="left"/>
            </w:pPr>
            <w:r>
              <w:rPr>
                <w:rFonts w:ascii="Calibri" w:hAnsi="Calibri"/>
                <w:b/>
                <w:color w:val="FFFFFF"/>
                <w:sz w:val="19"/>
              </w:rPr>
              <w:t>Lectura Estratégica y Factores Clave</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Crecimiento de Ingresos Totales</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+9.0% a +11.0% YoY</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Desaceleración técnica de ~500 bps explicada por -2.5 pp de viento cambiario (FX) y restricciones de suministro.</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Ingresos por iPhone</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Rango 'Mid-Teens' (~14% a 16% YoY)</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Fuerte demanda estructural de la familia iPhone 17; sujeta a disponibilidad de chips en nodos avanzados.</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Ingresos por Servicios</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~12.0% YoY (Tasa similar a Q3)</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Tras neutralizar el impacto cambiario adverso de -2.5 pp, la línea mantiene su solidez recurrente.</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Margen Bruto Consolidado</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47.0% a 48.0%</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Incluye ~1.0 pp de beneficio por devoluciones arancelarias (margen subyacente de 46.0% a 47.0%).</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Gastos Operativos (OpEx)</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$19,100 M a $19,400 M</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Inversión sostenida en I+D (+32% YoY) destinada a silicio propietario e infraestructura de IA.</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Otros Ingresos / Gastos (OIE)</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~$350 M positivos</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Excluyendo variaciones por valoración a mercado de participaciones minoritarias.</w:t>
            </w:r>
          </w:p>
        </w:tc>
      </w:tr>
      <w:tr>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Tasa Impositiva Efectiva</w:t>
            </w:r>
          </w:p>
        </w:tc>
        <w:tc>
          <w:tcPr>
            <w:tcW w:type="dxa" w:w="2592"/>
            <w:shd w:fill="FFFFFF"/>
            <w:tcMar>
              <w:top w:w="80" w:type="dxa"/>
              <w:bottom w:w="80" w:type="dxa"/>
              <w:left w:w="120" w:type="dxa"/>
              <w:right w:w="120" w:type="dxa"/>
            </w:tcMar>
          </w:tcPr>
          <w:p>
            <w:pPr>
              <w:spacing w:before="0" w:after="0"/>
              <w:jc w:val="center"/>
            </w:pPr>
            <w:r>
              <w:rPr>
                <w:rFonts w:ascii="Calibri" w:hAnsi="Calibri"/>
                <w:color w:val="2D3748"/>
                <w:sz w:val="18"/>
              </w:rPr>
              <w:t>~16.5%</w:t>
            </w:r>
          </w:p>
        </w:tc>
        <w:tc>
          <w:tcPr>
            <w:tcW w:type="dxa" w:w="4320"/>
            <w:shd w:fill="FFFFFF"/>
            <w:tcMar>
              <w:top w:w="80" w:type="dxa"/>
              <w:bottom w:w="80" w:type="dxa"/>
              <w:left w:w="120" w:type="dxa"/>
              <w:right w:w="120" w:type="dxa"/>
            </w:tcMar>
          </w:tcPr>
          <w:p>
            <w:pPr>
              <w:spacing w:before="0" w:after="0"/>
              <w:jc w:val="left"/>
            </w:pPr>
            <w:r>
              <w:rPr>
                <w:rFonts w:ascii="Calibri" w:hAnsi="Calibri"/>
                <w:color w:val="2D3748"/>
                <w:sz w:val="18"/>
              </w:rPr>
              <w:t>Tasa corporativa global prevista para el cierre del ejercicio fiscal 2026.</w:t>
            </w:r>
          </w:p>
        </w:tc>
      </w:tr>
      <w:tr>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Retorno al Accionista (Dividendo)</w:t>
            </w:r>
          </w:p>
        </w:tc>
        <w:tc>
          <w:tcPr>
            <w:tcW w:type="dxa" w:w="2592"/>
            <w:shd w:fill="F7FAFC"/>
            <w:tcMar>
              <w:top w:w="80" w:type="dxa"/>
              <w:bottom w:w="80" w:type="dxa"/>
              <w:left w:w="120" w:type="dxa"/>
              <w:right w:w="120" w:type="dxa"/>
            </w:tcMar>
          </w:tcPr>
          <w:p>
            <w:pPr>
              <w:spacing w:before="0" w:after="0"/>
              <w:jc w:val="center"/>
            </w:pPr>
            <w:r>
              <w:rPr>
                <w:rFonts w:ascii="Calibri" w:hAnsi="Calibri"/>
                <w:color w:val="2D3748"/>
                <w:sz w:val="18"/>
              </w:rPr>
              <w:t>$0.27 por acción</w:t>
            </w:r>
          </w:p>
        </w:tc>
        <w:tc>
          <w:tcPr>
            <w:tcW w:type="dxa" w:w="4320"/>
            <w:shd w:fill="F7FAFC"/>
            <w:tcMar>
              <w:top w:w="80" w:type="dxa"/>
              <w:bottom w:w="80" w:type="dxa"/>
              <w:left w:w="120" w:type="dxa"/>
              <w:right w:w="120" w:type="dxa"/>
            </w:tcMar>
          </w:tcPr>
          <w:p>
            <w:pPr>
              <w:spacing w:before="0" w:after="0"/>
              <w:jc w:val="left"/>
            </w:pPr>
            <w:r>
              <w:rPr>
                <w:rFonts w:ascii="Calibri" w:hAnsi="Calibri"/>
                <w:color w:val="2D3748"/>
                <w:sz w:val="18"/>
              </w:rPr>
              <w:t>Declarado por el Consejo de Administración, pagadero el 13 de agosto de 2026.</w:t>
            </w:r>
          </w:p>
        </w:tc>
      </w:tr>
    </w:tbl>
    <w:p>
      <w:pPr>
        <w:spacing w:after="120"/>
      </w:pPr>
    </w:p>
    <w:p>
      <w:pPr>
        <w:keepNext/>
        <w:spacing w:before="200" w:after="80"/>
      </w:pPr>
      <w:r>
        <w:rPr>
          <w:rFonts w:ascii="Calibri" w:hAnsi="Calibri"/>
          <w:b/>
          <w:color w:val="4A5568"/>
          <w:sz w:val="22"/>
        </w:rPr>
        <w:t>2. Hitos Más Importantes y Catalizadores Clave del Trimestre:</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3264"/>
        <w:gridCol w:w="3264"/>
        <w:gridCol w:w="3264"/>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Hito Estratégico</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Declaración Clave de la Dirección</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Impacto en la Tesis de Inversión</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Relevo Histórico en el Liderazgo (CEO)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"Este será mi último earnings call. La transición se está dando de forma impecable y estoy entusiasmado de que John Ternus lidere a Apple en su próxima era..." — Tim Cook.</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Continuidad estratégica total y foco de largo plazo en ingeniería de silicio e inferencia local de IA.</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Superciclo de Silicio en iPhone y Mac</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Crecimiento de +21.7% en iPhone y +28.7% en Mac (récord histórico de junio). Cuota de mercado ganada globalmente según IDC.</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El nuevo MacBook Neo y los chips A19/M5 aceleran la tasa de renovación de hardware a niveles récord.</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Expansión del Foso Defensivo (Moat)</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Base instalada activa supera los 2,500 millones de dispositivos; más de 1,500 millones de suscripciones de pago en Servicios.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Mayor recurrencia y monetización cautiva de altísimo margen bruto (75.6%).</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Compromiso Industrial en EE.UU.</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Acuerdo plurianual con Broadcom superior a $30,000 M y apertura del Advanced Manufacturing Center en Houston.</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Mitigación geopolítica e internalización de la cadena de suministro de silicio en territorio estadounidense.</w:t>
            </w:r>
          </w:p>
        </w:tc>
      </w:tr>
    </w:tbl>
    <w:p>
      <w:pPr>
        <w:spacing w:after="120"/>
      </w:pPr>
    </w:p>
    <w:p>
      <w:pPr>
        <w:keepNext/>
        <w:spacing w:before="200" w:after="80"/>
      </w:pPr>
      <w:r>
        <w:rPr>
          <w:rFonts w:ascii="Calibri" w:hAnsi="Calibri"/>
          <w:b/>
          <w:color w:val="4A5568"/>
          <w:sz w:val="22"/>
        </w:rPr>
        <w:t>3. Matriz de Riesgos, Advertencias y Desafíos Operativos Detectados: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Riesgo / Advertencia</w:t>
            </w:r>
          </w:p>
        </w:tc>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Comentario Textual del Management</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Impacto Cuantitativo Proyectado</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Estrategia de Mitigación</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Cuellos de Botella en Silicio (TSMC)</w:t>
            </w:r>
          </w:p>
        </w:tc>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"El problema principal son los nodos avanzados donde corren nuestros SoCs... La cadena tiene menos flexibilidad que la habitual."</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Restricción en oferta de iPhone, Mac e iPad en Q4 FY26.</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Adelanto de compras de capacidad y aceleración en TSMC Arizona (&gt;100M chips).</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Inflación en Memorias DRAM</w:t>
            </w:r>
          </w:p>
        </w:tc>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"Estamos en lo que caracterizaría como una 'crecida de 100 años' en precios de memoria, con aumentos exponenciales."</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Presión sobre margen bruto de hardware para fin de FY26 y FY27.</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Subidas selectivas de precios y uso de inventarios de bajo coste (carry-in).</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Viento Cambiario Adverso (FX)</w:t>
            </w:r>
          </w:p>
        </w:tc>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"El tipo de cambio supondrá un viento en contra secuencial de 2.5 puntos porcentuales en la tasa de crecimiento."</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-250 bps de menor crecimiento reportado en dólares para Q4 FY26.</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Coberturas financieras activas y fijación de precios en divisas fuertes.</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Presión Regulatoria (UE y App Store)</w:t>
            </w:r>
          </w:p>
        </w:tc>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Restricciones de la DMA impiden el despliegue pleno de Siri AI en iPhone/iPad en Europa; apelación de App Store ante Tribunal Supremo.</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Ralentización de Servicios a un dígito en Europa si no se adaptan enlaces.</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Negociaciones regulatorias activas y diversificación hacia Cloud y Pagos.</w:t>
            </w:r>
          </w:p>
        </w:tc>
      </w:tr>
    </w:tbl>
    <w:p>
      <w:pPr>
        <w:spacing w:after="120"/>
      </w:pPr>
    </w:p>
    <w:p>
      <w:pPr>
        <w:keepNext/>
        <w:spacing w:before="200" w:after="80"/>
      </w:pPr>
      <w:r>
        <w:rPr>
          <w:rFonts w:ascii="Calibri" w:hAnsi="Calibri"/>
          <w:b/>
          <w:color w:val="4A5568"/>
          <w:sz w:val="22"/>
        </w:rPr>
        <w:t>4. Desglose Exhaustivo de Preguntas y Respuestas (Q&amp;A con Wall Street):</w:t>
      </w:r>
    </w:p>
    <w:p>
      <w:pPr>
        <w:spacing w:before="40" w:after="80" w:line="276" w:lineRule="auto"/>
      </w:pPr>
      <w:r>
        <w:rPr>
          <w:rFonts w:ascii="Calibri" w:hAnsi="Calibri"/>
          <w:i w:val="0"/>
          <w:color w:val="2D3748"/>
          <w:sz w:val="20"/>
        </w:rPr>
        <w:t>Se presenta la transcripción y auditoría integral de las principales firmas de inversión de Wall Street con sus preguntas y respuestas directivas:</w:t>
      </w:r>
    </w:p>
    <w:p>
      <w:pPr>
        <w:keepNext/>
        <w:spacing w:before="200" w:after="80"/>
      </w:pPr>
      <w:r>
        <w:rPr>
          <w:rFonts w:ascii="Calibri" w:hAnsi="Calibri"/>
          <w:b/>
          <w:color w:val="4A5568"/>
          <w:sz w:val="22"/>
        </w:rPr>
        <w:t>1. Evercore ISI — Amit Daryanani</w:t>
      </w:r>
    </w:p>
    <w:p>
      <w:pPr>
        <w:spacing w:before="40" w:after="80" w:line="276" w:lineRule="auto"/>
      </w:pPr>
      <w:r>
        <w:rPr>
          <w:rFonts w:ascii="Calibri" w:hAnsi="Calibri"/>
          <w:b/>
          <w:color w:val="2D3748"/>
          <w:sz w:val="20"/>
        </w:rPr>
        <w:t xml:space="preserve">• Pregunta 1 (Desaceleración de Guidance vs. Oferta): </w:t>
      </w:r>
      <w:r>
        <w:rPr>
          <w:rFonts w:ascii="Calibri" w:hAnsi="Calibri"/>
          <w:i w:val="0"/>
          <w:color w:val="2D3748"/>
          <w:sz w:val="20"/>
        </w:rPr>
        <w:t>El guidance de 9%-11% implica una desaceleración de ~500 bps frente al 16% de junio. ¿Cuánto responde a restricciones reales de suministro frente a una moderación en la demanda?</w:t>
      </w:r>
    </w:p>
    <w:p>
      <w:pPr>
        <w:spacing w:before="40" w:after="80" w:line="276" w:lineRule="auto"/>
      </w:pPr>
      <w:r>
        <w:rPr>
          <w:rFonts w:ascii="Calibri" w:hAnsi="Calibri"/>
          <w:b/>
          <w:color w:val="2D3748"/>
          <w:sz w:val="20"/>
        </w:rPr>
        <w:t xml:space="preserve">• Respuesta (Kevan Parekh y Tim Cook): </w:t>
      </w:r>
      <w:r>
        <w:rPr>
          <w:rFonts w:ascii="Calibri" w:hAnsi="Calibri"/>
          <w:i w:val="0"/>
          <w:color w:val="2D3748"/>
          <w:sz w:val="20"/>
        </w:rPr>
        <w:t>Parekh explicó que 2.5 pp corresponden puramente a divisa (FX) y el resto a restricciones de suministro. Cook enfatizó: "No es un problema de proveedores defectuosos; es un desborde de demanda donde iPhone (+22%) y Mac (+29%) superaron por mucho nuestras proyecciones y agotaron la capacidad de los nodos avanzados de silicio."</w:t>
      </w:r>
    </w:p>
    <w:p>
      <w:pPr>
        <w:spacing w:before="40" w:after="80" w:line="276" w:lineRule="auto"/>
      </w:pPr>
      <w:r>
        <w:rPr>
          <w:rFonts w:ascii="Calibri" w:hAnsi="Calibri"/>
          <w:b/>
          <w:color w:val="2D3748"/>
          <w:sz w:val="20"/>
        </w:rPr>
        <w:t xml:space="preserve">• Pregunta 2 (Inflación de Memorias DRAM y Política de Precios): </w:t>
      </w:r>
      <w:r>
        <w:rPr>
          <w:rFonts w:ascii="Calibri" w:hAnsi="Calibri"/>
          <w:i w:val="0"/>
          <w:color w:val="2D3748"/>
          <w:sz w:val="20"/>
        </w:rPr>
        <w:t>Históricamente Apple trasladó poco coste al cliente; ante la inflación de componentes, ¿cómo gestionarán los precios de cara al consumidor?</w:t>
      </w:r>
    </w:p>
    <w:p>
      <w:pPr>
        <w:spacing w:before="40" w:after="80" w:line="276" w:lineRule="auto"/>
      </w:pPr>
      <w:r>
        <w:rPr>
          <w:rFonts w:ascii="Calibri" w:hAnsi="Calibri"/>
          <w:b/>
          <w:color w:val="2D3748"/>
          <w:sz w:val="20"/>
        </w:rPr>
        <w:t xml:space="preserve">• Respuesta (Tim Cook): </w:t>
      </w:r>
      <w:r>
        <w:rPr>
          <w:rFonts w:ascii="Calibri" w:hAnsi="Calibri"/>
          <w:i w:val="0"/>
          <w:color w:val="2D3748"/>
          <w:sz w:val="20"/>
        </w:rPr>
        <w:t>Confirmó que los costes de memoria crecieron secuencialmente en marzo y junio y subirán más en septiembre. Apple subió precios de forma reluctante por esta "crecida de 100 años" en DRAM, balanceando unidades, ingresos y márgenes a largo plazo y no en un horizonte de 90 días.</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Fuerte poder de fijación de precios (pricing power); la demanda no decayó tras los ajustes selectivos.</w:t>
      </w:r>
    </w:p>
    <w:p>
      <w:pPr>
        <w:keepNext/>
        <w:spacing w:before="200" w:after="80"/>
      </w:pPr>
      <w:r>
        <w:rPr>
          <w:rFonts w:ascii="Calibri" w:hAnsi="Calibri"/>
          <w:b/>
          <w:color w:val="4A5568"/>
          <w:sz w:val="22"/>
        </w:rPr>
        <w:t>2. Goldman Sachs — Michael Ng</w:t>
      </w:r>
    </w:p>
    <w:p>
      <w:pPr>
        <w:spacing w:before="40" w:after="80" w:line="276" w:lineRule="auto"/>
      </w:pPr>
      <w:r>
        <w:rPr>
          <w:rFonts w:ascii="Calibri" w:hAnsi="Calibri"/>
          <w:b/>
          <w:color w:val="2D3748"/>
          <w:sz w:val="20"/>
        </w:rPr>
        <w:t xml:space="preserve">• Pregunta 1 (Apple Upgrade Program y Base Instalada): </w:t>
      </w:r>
      <w:r>
        <w:rPr>
          <w:rFonts w:ascii="Calibri" w:hAnsi="Calibri"/>
          <w:i w:val="0"/>
          <w:color w:val="2D3748"/>
          <w:sz w:val="20"/>
        </w:rPr>
        <w:t>¿Cómo impacta el programa de renovación en la base de 2,500M de dispositivos y cuánto acorta el ciclo de vida del iPhone?</w:t>
      </w:r>
    </w:p>
    <w:p>
      <w:pPr>
        <w:spacing w:before="40" w:after="80" w:line="276" w:lineRule="auto"/>
      </w:pPr>
      <w:r>
        <w:rPr>
          <w:rFonts w:ascii="Calibri" w:hAnsi="Calibri"/>
          <w:b/>
          <w:color w:val="2D3748"/>
          <w:sz w:val="20"/>
        </w:rPr>
        <w:t xml:space="preserve">• Respuesta (Tim Cook): </w:t>
      </w:r>
      <w:r>
        <w:rPr>
          <w:rFonts w:ascii="Calibri" w:hAnsi="Calibri"/>
          <w:i w:val="0"/>
          <w:color w:val="2D3748"/>
          <w:sz w:val="20"/>
        </w:rPr>
        <w:t>El programa facilita planes de pago accesibles apalancándose en que el valor residual (residual value) de los productos Apple es muy superior al de la competencia, acelerando el recambio hacia gamas Pro.</w:t>
      </w:r>
    </w:p>
    <w:p>
      <w:pPr>
        <w:spacing w:before="40" w:after="80" w:line="276" w:lineRule="auto"/>
      </w:pPr>
      <w:r>
        <w:rPr>
          <w:rFonts w:ascii="Calibri" w:hAnsi="Calibri"/>
          <w:b/>
          <w:color w:val="2D3748"/>
          <w:sz w:val="20"/>
        </w:rPr>
        <w:t xml:space="preserve">• Pregunta 2 (Siri AI, Beta de iOS 27 y Costes de Cómputo): </w:t>
      </w:r>
      <w:r>
        <w:rPr>
          <w:rFonts w:ascii="Calibri" w:hAnsi="Calibri"/>
          <w:i w:val="0"/>
          <w:color w:val="2D3748"/>
          <w:sz w:val="20"/>
        </w:rPr>
        <w:t>¿Qué aprendizajes dejó la beta pública y cómo afectará el coste de inferencia de IA a los márgenes?</w:t>
      </w:r>
    </w:p>
    <w:p>
      <w:pPr>
        <w:spacing w:before="40" w:after="80" w:line="276" w:lineRule="auto"/>
      </w:pPr>
      <w:r>
        <w:rPr>
          <w:rFonts w:ascii="Calibri" w:hAnsi="Calibri"/>
          <w:b/>
          <w:color w:val="2D3748"/>
          <w:sz w:val="20"/>
        </w:rPr>
        <w:t xml:space="preserve">• Respuesta (Tim Cook): </w:t>
      </w:r>
      <w:r>
        <w:rPr>
          <w:rFonts w:ascii="Calibri" w:hAnsi="Calibri"/>
          <w:i w:val="0"/>
          <w:color w:val="2D3748"/>
          <w:sz w:val="20"/>
        </w:rPr>
        <w:t>La recepción de desarrolladores y usuarios ha sido "fuera de serie". El modelo de inferencia privada en el chip local (NPU) reduce drásticamente el gasto en servidores de nube, otorgando una gran ventaja de costes frente a competidores.</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Modelo híbrido de IA altamente eficiente con estructura de costes de inferencia controlada.</w:t>
      </w:r>
    </w:p>
    <w:p>
      <w:pPr>
        <w:keepNext/>
        <w:spacing w:before="200" w:after="80"/>
      </w:pPr>
      <w:r>
        <w:rPr>
          <w:rFonts w:ascii="Calibri" w:hAnsi="Calibri"/>
          <w:b/>
          <w:color w:val="4A5568"/>
          <w:sz w:val="22"/>
        </w:rPr>
        <w:t>3. Melius Research — Ben Reitzes</w:t>
      </w:r>
    </w:p>
    <w:p>
      <w:pPr>
        <w:spacing w:before="40" w:after="80" w:line="276" w:lineRule="auto"/>
      </w:pPr>
      <w:r>
        <w:rPr>
          <w:rFonts w:ascii="Calibri" w:hAnsi="Calibri"/>
          <w:b/>
          <w:color w:val="2D3748"/>
          <w:sz w:val="20"/>
        </w:rPr>
        <w:t xml:space="preserve">• Pregunta 1 (Desbalance Demanda vs. Silicio): </w:t>
      </w:r>
      <w:r>
        <w:rPr>
          <w:rFonts w:ascii="Calibri" w:hAnsi="Calibri"/>
          <w:i w:val="0"/>
          <w:color w:val="2D3748"/>
          <w:sz w:val="20"/>
        </w:rPr>
        <w:t>¿Por qué la cadena no pudo prever el volumen si la industria anticipaba un ciclo fuerte?</w:t>
      </w:r>
    </w:p>
    <w:p>
      <w:pPr>
        <w:spacing w:before="40" w:after="80" w:line="276" w:lineRule="auto"/>
      </w:pPr>
      <w:r>
        <w:rPr>
          <w:rFonts w:ascii="Calibri" w:hAnsi="Calibri"/>
          <w:b/>
          <w:color w:val="2D3748"/>
          <w:sz w:val="20"/>
        </w:rPr>
        <w:t xml:space="preserve">• Respuesta (Tim Cook): </w:t>
      </w:r>
      <w:r>
        <w:rPr>
          <w:rFonts w:ascii="Calibri" w:hAnsi="Calibri"/>
          <w:i w:val="0"/>
          <w:color w:val="2D3748"/>
          <w:sz w:val="20"/>
        </w:rPr>
        <w:t>El crecimiento sostenido del 22% en iPhone y 29% en Mac superó incluso previsiones muy optimistas. Se estuvo adelantando inventario, pero las líneas de nodos de vanguardia alcanzaron su límite físico.</w:t>
      </w:r>
    </w:p>
    <w:p>
      <w:pPr>
        <w:spacing w:before="40" w:after="80" w:line="276" w:lineRule="auto"/>
      </w:pPr>
      <w:r>
        <w:rPr>
          <w:rFonts w:ascii="Calibri" w:hAnsi="Calibri"/>
          <w:b/>
          <w:color w:val="2D3748"/>
          <w:sz w:val="20"/>
        </w:rPr>
        <w:t xml:space="preserve">• Pregunta 2 (Fábrica de TSMC en Arizona y Proveedores Alternativos): </w:t>
      </w:r>
      <w:r>
        <w:rPr>
          <w:rFonts w:ascii="Calibri" w:hAnsi="Calibri"/>
          <w:i w:val="0"/>
          <w:color w:val="2D3748"/>
          <w:sz w:val="20"/>
        </w:rPr>
        <w:t>¿Podría Apple diversificar proveedores de fundición o recurrir más a Arizona para sortear el cuello de botella?</w:t>
      </w:r>
    </w:p>
    <w:p>
      <w:pPr>
        <w:spacing w:before="40" w:after="80" w:line="276" w:lineRule="auto"/>
      </w:pPr>
      <w:r>
        <w:rPr>
          <w:rFonts w:ascii="Calibri" w:hAnsi="Calibri"/>
          <w:b/>
          <w:color w:val="2D3748"/>
          <w:sz w:val="20"/>
        </w:rPr>
        <w:t xml:space="preserve">• Respuesta (Tim Cook): </w:t>
      </w:r>
      <w:r>
        <w:rPr>
          <w:rFonts w:ascii="Calibri" w:hAnsi="Calibri"/>
          <w:i w:val="0"/>
          <w:color w:val="2D3748"/>
          <w:sz w:val="20"/>
        </w:rPr>
        <w:t>Descartó problemas con socios. Destacó que la planta de TSMC Arizona abastecerá más de 100 millones de componentes para Apple este año dentro de su compromiso de $600B en EE.UU., mostrando un rendimiento excelente.</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Descentralización geográfica progresiva de la producción de microprocesadores hacia territorio estadounidense.</w:t>
      </w:r>
    </w:p>
    <w:p>
      <w:pPr>
        <w:keepNext/>
        <w:spacing w:before="200" w:after="80"/>
      </w:pPr>
      <w:r>
        <w:rPr>
          <w:rFonts w:ascii="Calibri" w:hAnsi="Calibri"/>
          <w:b/>
          <w:color w:val="4A5568"/>
          <w:sz w:val="22"/>
        </w:rPr>
        <w:t>4. Morgan Stanley — Erik Woodring</w:t>
      </w:r>
    </w:p>
    <w:p>
      <w:pPr>
        <w:spacing w:before="40" w:after="80" w:line="276" w:lineRule="auto"/>
      </w:pPr>
      <w:r>
        <w:rPr>
          <w:rFonts w:ascii="Calibri" w:hAnsi="Calibri"/>
          <w:b/>
          <w:color w:val="2D3748"/>
          <w:sz w:val="20"/>
        </w:rPr>
        <w:t xml:space="preserve">• Pregunta 1 (Acuerdos de Suministro LTA y Memoria): </w:t>
      </w:r>
      <w:r>
        <w:rPr>
          <w:rFonts w:ascii="Calibri" w:hAnsi="Calibri"/>
          <w:i w:val="0"/>
          <w:color w:val="2D3748"/>
          <w:sz w:val="20"/>
        </w:rPr>
        <w:t>Ante la volatilidad de DRAM, ¿buscará Apple contratos plurianuales de precio cerrado (Long Term Agreements)?</w:t>
      </w:r>
    </w:p>
    <w:p>
      <w:pPr>
        <w:spacing w:before="40" w:after="80" w:line="276" w:lineRule="auto"/>
      </w:pPr>
      <w:r>
        <w:rPr>
          <w:rFonts w:ascii="Calibri" w:hAnsi="Calibri"/>
          <w:b/>
          <w:color w:val="2D3748"/>
          <w:sz w:val="20"/>
        </w:rPr>
        <w:t xml:space="preserve">• Respuesta (Tim Cook): </w:t>
      </w:r>
      <w:r>
        <w:rPr>
          <w:rFonts w:ascii="Calibri" w:hAnsi="Calibri"/>
          <w:i w:val="0"/>
          <w:color w:val="2D3748"/>
          <w:sz w:val="20"/>
        </w:rPr>
        <w:t>Reiteró que el mercado de memoria está hiperconcentrado en tres fabricantes mundiales. Apple combina inventarios estratégicos de bajo coste (carry-in inventory) con negociaciones continuas, evitando compromisos rígidos desfavorables.</w:t>
      </w:r>
    </w:p>
    <w:p>
      <w:pPr>
        <w:spacing w:before="40" w:after="80" w:line="276" w:lineRule="auto"/>
      </w:pPr>
      <w:r>
        <w:rPr>
          <w:rFonts w:ascii="Calibri" w:hAnsi="Calibri"/>
          <w:b/>
          <w:color w:val="2D3748"/>
          <w:sz w:val="20"/>
        </w:rPr>
        <w:t xml:space="preserve">• Pregunta 2 (Desaceleración de Servicios y Litigios de App Store): </w:t>
      </w:r>
      <w:r>
        <w:rPr>
          <w:rFonts w:ascii="Calibri" w:hAnsi="Calibri"/>
          <w:i w:val="0"/>
          <w:color w:val="2D3748"/>
          <w:sz w:val="20"/>
        </w:rPr>
        <w:t>Servicios creció 12% (por debajo de previsiones) y la guía implícita ronda un dígito. ¿Obedece a vientos regulatorios en App Store o efectos de IA?</w:t>
      </w:r>
    </w:p>
    <w:p>
      <w:pPr>
        <w:spacing w:before="40" w:after="80" w:line="276" w:lineRule="auto"/>
      </w:pPr>
      <w:r>
        <w:rPr>
          <w:rFonts w:ascii="Calibri" w:hAnsi="Calibri"/>
          <w:b/>
          <w:color w:val="2D3748"/>
          <w:sz w:val="20"/>
        </w:rPr>
        <w:t xml:space="preserve">• Respuesta (Kevan Parekh): </w:t>
      </w:r>
      <w:r>
        <w:rPr>
          <w:rFonts w:ascii="Calibri" w:hAnsi="Calibri"/>
          <w:i w:val="0"/>
          <w:color w:val="2D3748"/>
          <w:sz w:val="20"/>
        </w:rPr>
        <w:t>El CFO detalló que el impacto cambiario acumulado en Servicios fue de 5 puntos porcentuales, sumado a la comparativa dura frente a la recaudación de la película F1 en cines el trimestre anterior; Cloud y Apple Pay marcaron récords absolutos.</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La desaceleración de Servicios es coyuntural por divisa y calendario; la base recurrente de suscripciones sigue intacta.</w:t>
      </w:r>
    </w:p>
    <w:p>
      <w:pPr>
        <w:keepNext/>
        <w:spacing w:before="200" w:after="80"/>
      </w:pPr>
      <w:r>
        <w:rPr>
          <w:rFonts w:ascii="Calibri" w:hAnsi="Calibri"/>
          <w:b/>
          <w:color w:val="4A5568"/>
          <w:sz w:val="22"/>
        </w:rPr>
        <w:t>5. Wells Fargo — Aaron Rakers</w:t>
      </w:r>
    </w:p>
    <w:p>
      <w:pPr>
        <w:spacing w:before="40" w:after="80" w:line="276" w:lineRule="auto"/>
      </w:pPr>
      <w:r>
        <w:rPr>
          <w:rFonts w:ascii="Calibri" w:hAnsi="Calibri"/>
          <w:b/>
          <w:color w:val="2D3748"/>
          <w:sz w:val="20"/>
        </w:rPr>
        <w:t xml:space="preserve">• Pregunta 1 (Adelanto Artificial de Demanda): </w:t>
      </w:r>
      <w:r>
        <w:rPr>
          <w:rFonts w:ascii="Calibri" w:hAnsi="Calibri"/>
          <w:i w:val="0"/>
          <w:color w:val="2D3748"/>
          <w:sz w:val="20"/>
        </w:rPr>
        <w:t>¿Hubo compras anticipadas por miedo a futuras subidas de precios o aranceles en consumo o educación?</w:t>
      </w:r>
    </w:p>
    <w:p>
      <w:pPr>
        <w:spacing w:before="40" w:after="80" w:line="276" w:lineRule="auto"/>
      </w:pPr>
      <w:r>
        <w:rPr>
          <w:rFonts w:ascii="Calibri" w:hAnsi="Calibri"/>
          <w:b/>
          <w:color w:val="2D3748"/>
          <w:sz w:val="20"/>
        </w:rPr>
        <w:t xml:space="preserve">• Respuesta (Tim Cook): </w:t>
      </w:r>
      <w:r>
        <w:rPr>
          <w:rFonts w:ascii="Calibri" w:hAnsi="Calibri"/>
          <w:i w:val="0"/>
          <w:color w:val="2D3748"/>
          <w:sz w:val="20"/>
        </w:rPr>
        <w:t>Negó compras anticipadas artificiales. El impulso en educación y empresas se debe a que el MacBook Neo desplazó directamente dispositivos Windows y Chromebooks en más del 50% de las licitaciones.</w:t>
      </w:r>
    </w:p>
    <w:p>
      <w:pPr>
        <w:spacing w:before="40" w:after="80" w:line="276" w:lineRule="auto"/>
      </w:pPr>
      <w:r>
        <w:rPr>
          <w:rFonts w:ascii="Calibri" w:hAnsi="Calibri"/>
          <w:b/>
          <w:color w:val="2D3748"/>
          <w:sz w:val="20"/>
        </w:rPr>
        <w:t xml:space="preserve">• Pregunta 2 (Proliferación de IA en el Edge y Nuevo Mercado Potencial - TAM): </w:t>
      </w:r>
      <w:r>
        <w:rPr>
          <w:rFonts w:ascii="Calibri" w:hAnsi="Calibri"/>
          <w:i w:val="0"/>
          <w:color w:val="2D3748"/>
          <w:sz w:val="20"/>
        </w:rPr>
        <w:t>¿Abre la IA en el dispositivo nuevas categorías de productos para Apple a largo plazo?</w:t>
      </w:r>
    </w:p>
    <w:p>
      <w:pPr>
        <w:spacing w:before="40" w:after="80" w:line="276" w:lineRule="auto"/>
      </w:pPr>
      <w:r>
        <w:rPr>
          <w:rFonts w:ascii="Calibri" w:hAnsi="Calibri"/>
          <w:b/>
          <w:color w:val="2D3748"/>
          <w:sz w:val="20"/>
        </w:rPr>
        <w:t xml:space="preserve">• Respuesta (Tim Cook): </w:t>
      </w:r>
      <w:r>
        <w:rPr>
          <w:rFonts w:ascii="Calibri" w:hAnsi="Calibri"/>
          <w:i w:val="0"/>
          <w:color w:val="2D3748"/>
          <w:sz w:val="20"/>
        </w:rPr>
        <w:t>Confirmó que la ejecución de IA local en terminales amplía exponencialmente las oportunidades de mercado y posiciona al hardware de Apple como el nodo neurálgico para usuarios y empresas.</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Demanda orgánica sólida con viento de cola secular en el segmento corporativo y educativo.</w:t>
      </w:r>
    </w:p>
    <w:p>
      <w:pPr>
        <w:keepNext/>
        <w:spacing w:before="200" w:after="80"/>
      </w:pPr>
      <w:r>
        <w:rPr>
          <w:rFonts w:ascii="Calibri" w:hAnsi="Calibri"/>
          <w:b/>
          <w:color w:val="4A5568"/>
          <w:sz w:val="22"/>
        </w:rPr>
        <w:t>6. Bank of America — Wamsi Mohan</w:t>
      </w:r>
    </w:p>
    <w:p>
      <w:pPr>
        <w:spacing w:before="40" w:after="80" w:line="276" w:lineRule="auto"/>
      </w:pPr>
      <w:r>
        <w:rPr>
          <w:rFonts w:ascii="Calibri" w:hAnsi="Calibri"/>
          <w:b/>
          <w:color w:val="2D3748"/>
          <w:sz w:val="20"/>
        </w:rPr>
        <w:t xml:space="preserve">• Pregunta 1 (Intensidad de Capital y CapEx por Siri AI): </w:t>
      </w:r>
      <w:r>
        <w:rPr>
          <w:rFonts w:ascii="Calibri" w:hAnsi="Calibri"/>
          <w:i w:val="0"/>
          <w:color w:val="2D3748"/>
          <w:sz w:val="20"/>
        </w:rPr>
        <w:t>Con procesamiento distribuido entre el dispositivo y centros de datos propios y de terceros, ¿aumentará la intensidad de capital (CapEx) de Apple en el futuro?</w:t>
      </w:r>
    </w:p>
    <w:p>
      <w:pPr>
        <w:spacing w:before="40" w:after="80" w:line="276" w:lineRule="auto"/>
      </w:pPr>
      <w:r>
        <w:rPr>
          <w:rFonts w:ascii="Calibri" w:hAnsi="Calibri"/>
          <w:b/>
          <w:color w:val="2D3748"/>
          <w:sz w:val="20"/>
        </w:rPr>
        <w:t xml:space="preserve">• Respuesta (Tim Cook): </w:t>
      </w:r>
      <w:r>
        <w:rPr>
          <w:rFonts w:ascii="Calibri" w:hAnsi="Calibri"/>
          <w:i w:val="0"/>
          <w:color w:val="2D3748"/>
          <w:sz w:val="20"/>
        </w:rPr>
        <w:t>Apple opera un modelo híbrido eficiente. Aunque el gasto en I+D ha crecido significativamente, la mayor parte de las consultas corren localmente. Además, el uso intensivo de IA impulsa a los usuarios a contratar planes superiores de iCloud, generando ingresos compensatorios.</w:t>
      </w:r>
    </w:p>
    <w:p>
      <w:pPr>
        <w:spacing w:before="40" w:after="80" w:line="276" w:lineRule="auto"/>
      </w:pPr>
      <w:r>
        <w:rPr>
          <w:rFonts w:ascii="Calibri" w:hAnsi="Calibri"/>
          <w:b/>
          <w:color w:val="2D3748"/>
          <w:sz w:val="20"/>
        </w:rPr>
        <w:t xml:space="preserve">• Pregunta 2 (Pregunta Directa a John Ternus sobre Competencia de OpenAI y SpaceX): </w:t>
      </w:r>
      <w:r>
        <w:rPr>
          <w:rFonts w:ascii="Calibri" w:hAnsi="Calibri"/>
          <w:i w:val="0"/>
          <w:color w:val="2D3748"/>
          <w:sz w:val="20"/>
        </w:rPr>
        <w:t>¿Cómo ve la cúpula directiva el riesgo de que firmas como OpenAI diseñen dispositivos de IA propios o que SpaceX cree teléfonos satelitales que eludan a las operadoras?</w:t>
      </w:r>
    </w:p>
    <w:p>
      <w:pPr>
        <w:spacing w:before="40" w:after="80" w:line="276" w:lineRule="auto"/>
      </w:pPr>
      <w:r>
        <w:rPr>
          <w:rFonts w:ascii="Calibri" w:hAnsi="Calibri"/>
          <w:b/>
          <w:color w:val="2D3748"/>
          <w:sz w:val="20"/>
        </w:rPr>
        <w:t xml:space="preserve">• Respuesta (John Ternus, Incoming CEO): </w:t>
      </w:r>
      <w:r>
        <w:rPr>
          <w:rFonts w:ascii="Calibri" w:hAnsi="Calibri"/>
          <w:i w:val="0"/>
          <w:color w:val="2D3748"/>
          <w:sz w:val="20"/>
        </w:rPr>
        <w:t>"Vemos una oportunidad inmensa con todo lo que está sucediendo en este espacio. Estamos profundamente enfocados en nuestros planes de integración de hardware y software y muy entusiasmados con lo que viene."</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La respuesta del nuevo CEO ratifica que Apple no teme a los nuevos entrantes gracias a la inexpugnable barrera de entrada de su ecosistema de 2,500M de terminales.</w:t>
      </w:r>
    </w:p>
    <w:p>
      <w:pPr>
        <w:keepNext/>
        <w:spacing w:before="200" w:after="80"/>
      </w:pPr>
      <w:r>
        <w:rPr>
          <w:rFonts w:ascii="Calibri" w:hAnsi="Calibri"/>
          <w:b/>
          <w:color w:val="4A5568"/>
          <w:sz w:val="22"/>
        </w:rPr>
        <w:t>7. JPMorgan — Samik Chatterjee</w:t>
      </w:r>
    </w:p>
    <w:p>
      <w:pPr>
        <w:spacing w:before="40" w:after="80" w:line="276" w:lineRule="auto"/>
      </w:pPr>
      <w:r>
        <w:rPr>
          <w:rFonts w:ascii="Calibri" w:hAnsi="Calibri"/>
          <w:b/>
          <w:color w:val="2D3748"/>
          <w:sz w:val="20"/>
        </w:rPr>
        <w:t xml:space="preserve">• Pregunta 1 (Obstáculos Regulatorios para Siri AI en Europa y China): </w:t>
      </w:r>
      <w:r>
        <w:rPr>
          <w:rFonts w:ascii="Calibri" w:hAnsi="Calibri"/>
          <w:i w:val="0"/>
          <w:color w:val="2D3748"/>
          <w:sz w:val="20"/>
        </w:rPr>
        <w:t>¿Qué barreras concretas impiden el lanzamiento simultáneo en la UE y cuándo llegará a China?</w:t>
      </w:r>
    </w:p>
    <w:p>
      <w:pPr>
        <w:spacing w:before="40" w:after="80" w:line="276" w:lineRule="auto"/>
      </w:pPr>
      <w:r>
        <w:rPr>
          <w:rFonts w:ascii="Calibri" w:hAnsi="Calibri"/>
          <w:b/>
          <w:color w:val="2D3748"/>
          <w:sz w:val="20"/>
        </w:rPr>
        <w:t xml:space="preserve">• Respuesta (Tim Cook): </w:t>
      </w:r>
      <w:r>
        <w:rPr>
          <w:rFonts w:ascii="Calibri" w:hAnsi="Calibri"/>
          <w:i w:val="0"/>
          <w:color w:val="2D3748"/>
          <w:sz w:val="20"/>
        </w:rPr>
        <w:t>En la Unión Europea, la Ley de Mercados Digitales (DMA) impone restricciones sobre el iPhone y el iPad, aunque Siri AI sí se ofrecerá en Mac (no regulado bajo las mismas normas). En China, se obtuvo aprobación para funciones base de Apple Intelligence y se negocian los permisos para Siri AI.</w:t>
      </w:r>
    </w:p>
    <w:p>
      <w:pPr>
        <w:spacing w:before="40" w:after="80" w:line="276" w:lineRule="auto"/>
      </w:pPr>
      <w:r>
        <w:rPr>
          <w:rFonts w:ascii="Calibri" w:hAnsi="Calibri"/>
          <w:b/>
          <w:color w:val="2D3748"/>
          <w:sz w:val="20"/>
        </w:rPr>
        <w:t xml:space="preserve">• Pregunta 2 (Deconstrucción del Margen Bruto y Peso de la Memoria DRAM): </w:t>
      </w:r>
      <w:r>
        <w:rPr>
          <w:rFonts w:ascii="Calibri" w:hAnsi="Calibri"/>
          <w:i w:val="0"/>
          <w:color w:val="2D3748"/>
          <w:sz w:val="20"/>
        </w:rPr>
        <w:t>El margen bruto ajustado pasa de 49.3% en marzo a 48.1% en junio y a una guía de 46.5% en septiembre. ¿Cuánto responde a divisas y cuánto a materias primas?</w:t>
      </w:r>
    </w:p>
    <w:p>
      <w:pPr>
        <w:spacing w:before="40" w:after="80" w:line="276" w:lineRule="auto"/>
      </w:pPr>
      <w:r>
        <w:rPr>
          <w:rFonts w:ascii="Calibri" w:hAnsi="Calibri"/>
          <w:b/>
          <w:color w:val="2D3748"/>
          <w:sz w:val="20"/>
        </w:rPr>
        <w:t xml:space="preserve">• Respuesta (Kevan Parekh): </w:t>
      </w:r>
      <w:r>
        <w:rPr>
          <w:rFonts w:ascii="Calibri" w:hAnsi="Calibri"/>
          <w:i w:val="0"/>
          <w:color w:val="2D3748"/>
          <w:sz w:val="20"/>
        </w:rPr>
        <w:t>El CFO reveló con total precisión que más del 100% de la contracción de 120 bps en junio y de 160 bps proyectada para septiembre se explica únicamente por el encarecimiento de la memoria DRAM, el cual fue parcialmente atenuado por inventarios previos y menores costes en otros componentes.</w:t>
      </w:r>
    </w:p>
    <w:p>
      <w:pPr>
        <w:spacing w:before="40" w:after="80" w:line="276" w:lineRule="auto"/>
      </w:pPr>
      <w:r>
        <w:rPr>
          <w:rFonts w:ascii="Calibri" w:hAnsi="Calibri"/>
          <w:b/>
          <w:color w:val="2D3748"/>
          <w:sz w:val="20"/>
        </w:rPr>
        <w:t xml:space="preserve">• Diagnóstico Fundamental: </w:t>
      </w:r>
      <w:r>
        <w:rPr>
          <w:rFonts w:ascii="Calibri" w:hAnsi="Calibri"/>
          <w:i w:val="0"/>
          <w:color w:val="2D3748"/>
          <w:sz w:val="20"/>
        </w:rPr>
        <w:t>Revelación crítica: el margen bruto de Apple se mantiene en niveles récord a pesar de absorber el peor ciclo inflacionario de memoria de la última década.</w:t>
      </w:r>
    </w:p>
    <w:p>
      <w:pPr>
        <w:keepNext/>
        <w:spacing w:before="200" w:after="80"/>
      </w:pPr>
      <w:r>
        <w:rPr>
          <w:rFonts w:ascii="Calibri" w:hAnsi="Calibri"/>
          <w:b/>
          <w:color w:val="4A5568"/>
          <w:sz w:val="22"/>
        </w:rPr>
        <w:t>BLOQUE B: Análisis Longitudinal y Auditoría de Discurso Directivo (Q3 FY25 a Q3 FY26)</w:t>
      </w:r>
    </w:p>
    <w:p>
      <w:pPr>
        <w:spacing w:before="40" w:after="80" w:line="276" w:lineRule="auto"/>
      </w:pPr>
      <w:r>
        <w:rPr>
          <w:rFonts w:ascii="Calibri" w:hAnsi="Calibri"/>
          <w:i w:val="0"/>
          <w:color w:val="2D3748"/>
          <w:sz w:val="20"/>
        </w:rPr>
        <w:t>A partir del análisis de las transcripciones de cinco trimestres consecutivos disponibles en Google Drive, se audita el Say-Do Ratio (tasa de cumplimiento de promesas) y la consistencia estratégica del equipo gestor:</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152"/>
            <w:shd w:fill="1B365D"/>
            <w:tcMar>
              <w:top w:w="100" w:type="dxa"/>
              <w:bottom w:w="100" w:type="dxa"/>
              <w:left w:w="120" w:type="dxa"/>
              <w:right w:w="120" w:type="dxa"/>
            </w:tcMar>
          </w:tcPr>
          <w:p>
            <w:pPr>
              <w:spacing w:before="0" w:after="0"/>
              <w:jc w:val="center"/>
            </w:pPr>
            <w:r>
              <w:rPr>
                <w:rFonts w:ascii="Calibri" w:hAnsi="Calibri"/>
                <w:b/>
                <w:color w:val="FFFFFF"/>
                <w:sz w:val="19"/>
              </w:rPr>
              <w:t>Trimestre</w:t>
            </w:r>
          </w:p>
        </w:tc>
        <w:tc>
          <w:tcPr>
            <w:tcW w:type="dxa" w:w="2880"/>
            <w:shd w:fill="1B365D"/>
            <w:tcMar>
              <w:top w:w="100" w:type="dxa"/>
              <w:bottom w:w="100" w:type="dxa"/>
              <w:left w:w="120" w:type="dxa"/>
              <w:right w:w="120" w:type="dxa"/>
            </w:tcMar>
          </w:tcPr>
          <w:p>
            <w:pPr>
              <w:spacing w:before="0" w:after="0"/>
              <w:jc w:val="left"/>
            </w:pPr>
            <w:r>
              <w:rPr>
                <w:rFonts w:ascii="Calibri" w:hAnsi="Calibri"/>
                <w:b/>
                <w:color w:val="FFFFFF"/>
                <w:sz w:val="19"/>
              </w:rPr>
              <w:t>Discurso Central &amp; Promesas del CEO / CFO</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Desafíos y Riesgos Advertidos</w:t>
            </w:r>
          </w:p>
        </w:tc>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Desempeño Real Registrado en Siguientes Períodos</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Say-Do Ratio</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Q3 FY25</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Prometieron doble dígito en Servicios y estabilización en China; preparación para Apple Intelligence.</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Incertidumbre macro y comparativa dura en iPad.</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Ingresos de $94.0B (+10%); Servicios creció al 15% y sentó las bases del nuevo ciclo.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 (Over-delivered)</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Q4 FY25</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Proyectaron que el iPhone 17 abriría un nuevo estándar y anunciaron récord en base instalada.</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Volatilidad cambiaria (FX) y presión regulatoria europea (DMA).</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Ingresos récord de $102.5B (+8%); Servicios alcanzó $28.8B y margen bruto subió a 46.5%.</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CUMPLIDO (En línea)</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Q1 FY26</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Vislumbraron el mejor trimestre de la historia impulsado por temporada navideña y chips M5.</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Riesgo de inventarios insuficientes y tiempos de espera en tiendas.</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Récord histórico absoluto de $143.8B (+16% YoY), pulverizando previsiones de consenso.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SUPERADO CON CRECES</w:t>
            </w:r>
          </w:p>
        </w:tc>
      </w:tr>
      <w:tr>
        <w:tc>
          <w:tcPr>
            <w:tcW w:type="dxa" w:w="1152"/>
            <w:shd w:fill="F7FAFC"/>
            <w:tcMar>
              <w:top w:w="80" w:type="dxa"/>
              <w:bottom w:w="80" w:type="dxa"/>
              <w:left w:w="120" w:type="dxa"/>
              <w:right w:w="120" w:type="dxa"/>
            </w:tcMar>
          </w:tcPr>
          <w:p>
            <w:pPr>
              <w:spacing w:before="0" w:after="0"/>
              <w:jc w:val="center"/>
            </w:pPr>
            <w:r>
              <w:rPr>
                <w:rFonts w:ascii="Calibri" w:hAnsi="Calibri"/>
                <w:color w:val="2D3748"/>
                <w:sz w:val="18"/>
              </w:rPr>
              <w:t>Q2 FY26</w:t>
            </w:r>
          </w:p>
        </w:tc>
        <w:tc>
          <w:tcPr>
            <w:tcW w:type="dxa" w:w="2880"/>
            <w:shd w:fill="F7FAFC"/>
            <w:tcMar>
              <w:top w:w="80" w:type="dxa"/>
              <w:bottom w:w="80" w:type="dxa"/>
              <w:left w:w="120" w:type="dxa"/>
              <w:right w:w="120" w:type="dxa"/>
            </w:tcMar>
          </w:tcPr>
          <w:p>
            <w:pPr>
              <w:spacing w:before="0" w:after="0"/>
              <w:jc w:val="left"/>
            </w:pPr>
            <w:r>
              <w:rPr>
                <w:rFonts w:ascii="Calibri" w:hAnsi="Calibri"/>
                <w:color w:val="2D3748"/>
                <w:sz w:val="18"/>
              </w:rPr>
              <w:t>Anunciaron la transición de Tim Cook a John Ternus; proyectaron resiliencia de margen en ~47%.</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Primera alerta seria: encarecimiento de DRAM y tensiones en TSMC.</w:t>
            </w:r>
          </w:p>
        </w:tc>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Ingresos batieron previsiones; margen bruto superó la guía gracias a créditos arancelarios.</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CUMPLIDO (Relevo impecable)</w:t>
            </w:r>
          </w:p>
        </w:tc>
      </w:tr>
      <w:tr>
        <w:tc>
          <w:tcPr>
            <w:tcW w:type="dxa" w:w="1152"/>
            <w:shd w:fill="FFFFFF"/>
            <w:tcMar>
              <w:top w:w="80" w:type="dxa"/>
              <w:bottom w:w="80" w:type="dxa"/>
              <w:left w:w="120" w:type="dxa"/>
              <w:right w:w="120" w:type="dxa"/>
            </w:tcMar>
          </w:tcPr>
          <w:p>
            <w:pPr>
              <w:spacing w:before="0" w:after="0"/>
              <w:jc w:val="center"/>
            </w:pPr>
            <w:r>
              <w:rPr>
                <w:rFonts w:ascii="Calibri" w:hAnsi="Calibri"/>
                <w:color w:val="2D3748"/>
                <w:sz w:val="18"/>
              </w:rPr>
              <w:t>Q3 FY26</w:t>
            </w:r>
          </w:p>
        </w:tc>
        <w:tc>
          <w:tcPr>
            <w:tcW w:type="dxa" w:w="2880"/>
            <w:shd w:fill="FFFFFF"/>
            <w:tcMar>
              <w:top w:w="80" w:type="dxa"/>
              <w:bottom w:w="80" w:type="dxa"/>
              <w:left w:w="120" w:type="dxa"/>
              <w:right w:w="120" w:type="dxa"/>
            </w:tcMar>
          </w:tcPr>
          <w:p>
            <w:pPr>
              <w:spacing w:before="0" w:after="0"/>
              <w:jc w:val="left"/>
            </w:pPr>
            <w:r>
              <w:rPr>
                <w:rFonts w:ascii="Calibri" w:hAnsi="Calibri"/>
                <w:color w:val="2D3748"/>
                <w:sz w:val="18"/>
              </w:rPr>
              <w:t>Récord de junio con $109.4B (+16.4%) y margen de 50.1%; guidance prudente de 9%-11% para Q4.</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Alerta máxima por cuellos de botella en silicio avanzado e inflación de memorias DRAM.</w:t>
            </w:r>
          </w:p>
        </w:tc>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En curso: cartera de pedidos supera la capacidad productiva de los proveedores.</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EN OBSERVACIÓN (Riesgo TSMC/DRAM)</w:t>
            </w:r>
          </w:p>
        </w:tc>
      </w:tr>
    </w:tbl>
    <w:p>
      <w:pPr>
        <w:spacing w:after="120"/>
      </w:pPr>
    </w:p>
    <w:p>
      <w:pPr>
        <w:keepNext/>
        <w:spacing w:before="200" w:after="80"/>
      </w:pPr>
      <w:r>
        <w:rPr>
          <w:rFonts w:ascii="Calibri" w:hAnsi="Calibri"/>
          <w:b/>
          <w:color w:val="4A5568"/>
          <w:sz w:val="22"/>
        </w:rPr>
        <w:t>Cronología y Mutación Dinámica de los Riesgos Operativos (5 Trimestres):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Período Fiscal</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Riesgo Dominante Señalado por la Dirección</w:t>
            </w:r>
          </w:p>
        </w:tc>
        <w:tc>
          <w:tcPr>
            <w:tcW w:type="dxa" w:w="1728"/>
            <w:shd w:fill="1B365D"/>
            <w:tcMar>
              <w:top w:w="100" w:type="dxa"/>
              <w:bottom w:w="100" w:type="dxa"/>
              <w:left w:w="120" w:type="dxa"/>
              <w:right w:w="120" w:type="dxa"/>
            </w:tcMar>
          </w:tcPr>
          <w:p>
            <w:pPr>
              <w:spacing w:before="0" w:after="0"/>
              <w:jc w:val="center"/>
            </w:pPr>
            <w:r>
              <w:rPr>
                <w:rFonts w:ascii="Calibri" w:hAnsi="Calibri"/>
                <w:b/>
                <w:color w:val="FFFFFF"/>
                <w:sz w:val="19"/>
              </w:rPr>
              <w:t>Severidad / Semáforo</w:t>
            </w:r>
          </w:p>
        </w:tc>
        <w:tc>
          <w:tcPr>
            <w:tcW w:type="dxa" w:w="3456"/>
            <w:shd w:fill="1B365D"/>
            <w:tcMar>
              <w:top w:w="100" w:type="dxa"/>
              <w:bottom w:w="100" w:type="dxa"/>
              <w:left w:w="120" w:type="dxa"/>
              <w:right w:w="120" w:type="dxa"/>
            </w:tcMar>
          </w:tcPr>
          <w:p>
            <w:pPr>
              <w:spacing w:before="0" w:after="0"/>
              <w:jc w:val="left"/>
            </w:pPr>
            <w:r>
              <w:rPr>
                <w:rFonts w:ascii="Calibri" w:hAnsi="Calibri"/>
                <w:b/>
                <w:color w:val="FFFFFF"/>
                <w:sz w:val="19"/>
              </w:rPr>
              <w:t>Evolución Posterior y Desenlace Real en el Negocio</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Q3 FY25</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Demanda en China y Macroeconomía: Dudas de Wall Street sobre pérdida de cuota ante rivales locales.</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Mitigado exitosamente: Para Q3 FY26, Gran China rebotó con un crecimiento interanual del +22.4%.</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Q4 FY25</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Cumplimiento DMA en Europa: Restricciones antimonopolio que amenazaban el modelo de la App Store.</w:t>
            </w:r>
          </w:p>
        </w:tc>
        <w:tc>
          <w:tcPr>
            <w:tcW w:type="dxa" w:w="1728"/>
            <w:shd w:fill="F7FAFC"/>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7FAFC"/>
            <w:tcMar>
              <w:top w:w="80" w:type="dxa"/>
              <w:bottom w:w="80" w:type="dxa"/>
              <w:left w:w="120" w:type="dxa"/>
              <w:right w:w="120" w:type="dxa"/>
            </w:tcMar>
          </w:tcPr>
          <w:p>
            <w:pPr>
              <w:spacing w:before="0" w:after="0"/>
              <w:jc w:val="left"/>
            </w:pPr>
            <w:r>
              <w:rPr>
                <w:rFonts w:ascii="Calibri" w:hAnsi="Calibri"/>
                <w:color w:val="2D3748"/>
                <w:sz w:val="18"/>
              </w:rPr>
              <w:t>Adaptación operativa: Apple segmentó distribución de software en la UE; margen global absorbido por EE.UU.</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Q1 FY26</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Riesgo Logístico Navideño: Despachar $143.8B en hardware en un trimestre récord sin rotura de stock.</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Riesgo Controlado</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Ejecución impecable: Mejor trimestre histórico con entregas a tiempo y mínima fricción en retail.</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Q2 FY26</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Relevo en C-Suite y Costes de DRAM: Salida de Tim Cook y primeros indicios de subida de precios en RAM.</w:t>
            </w:r>
          </w:p>
        </w:tc>
        <w:tc>
          <w:tcPr>
            <w:tcW w:type="dxa" w:w="1728"/>
            <w:shd w:fill="F7FAFC"/>
            <w:tcMar>
              <w:top w:w="80" w:type="dxa"/>
              <w:bottom w:w="80" w:type="dxa"/>
              <w:left w:w="120" w:type="dxa"/>
              <w:right w:w="120" w:type="dxa"/>
            </w:tcMar>
          </w:tcPr>
          <w:p>
            <w:pPr>
              <w:spacing w:before="0" w:after="0"/>
              <w:jc w:val="center"/>
            </w:pPr>
            <w:r>
              <w:rPr>
                <w:rFonts w:ascii="Calibri" w:hAnsi="Calibri"/>
                <w:color w:val="2D3748"/>
                <w:sz w:val="18"/>
              </w:rPr>
              <w:t>Alerta Media</w:t>
            </w:r>
          </w:p>
        </w:tc>
        <w:tc>
          <w:tcPr>
            <w:tcW w:type="dxa" w:w="3456"/>
            <w:shd w:fill="F7FAFC"/>
            <w:tcMar>
              <w:top w:w="80" w:type="dxa"/>
              <w:bottom w:w="80" w:type="dxa"/>
              <w:left w:w="120" w:type="dxa"/>
              <w:right w:w="120" w:type="dxa"/>
            </w:tcMar>
          </w:tcPr>
          <w:p>
            <w:pPr>
              <w:spacing w:before="0" w:after="0"/>
              <w:jc w:val="left"/>
            </w:pPr>
            <w:r>
              <w:rPr>
                <w:rFonts w:ascii="Calibri" w:hAnsi="Calibri"/>
                <w:color w:val="2D3748"/>
                <w:sz w:val="18"/>
              </w:rPr>
              <w:t>Transición fluida: Relevo comunicado sin sobresaltos. Costes mitigados por inventarios estratégicos.</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Q3 FY26</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Cuellos de Botella en Silicio e Inflación de DRAM: TSMC al límite en nodos avanzados y DRAM exponencial.</w:t>
            </w:r>
          </w:p>
        </w:tc>
        <w:tc>
          <w:tcPr>
            <w:tcW w:type="dxa" w:w="1728"/>
            <w:shd w:fill="FFFFFF"/>
            <w:tcMar>
              <w:top w:w="80" w:type="dxa"/>
              <w:bottom w:w="80" w:type="dxa"/>
              <w:left w:w="120" w:type="dxa"/>
              <w:right w:w="120" w:type="dxa"/>
            </w:tcMar>
          </w:tcPr>
          <w:p>
            <w:pPr>
              <w:spacing w:before="0" w:after="0"/>
              <w:jc w:val="center"/>
            </w:pPr>
            <w:r>
              <w:rPr>
                <w:rFonts w:ascii="Calibri" w:hAnsi="Calibri"/>
                <w:color w:val="2D3748"/>
                <w:sz w:val="18"/>
              </w:rPr>
              <w:t>Alerta Alta</w:t>
            </w:r>
          </w:p>
        </w:tc>
        <w:tc>
          <w:tcPr>
            <w:tcW w:type="dxa" w:w="3456"/>
            <w:shd w:fill="FFFFFF"/>
            <w:tcMar>
              <w:top w:w="80" w:type="dxa"/>
              <w:bottom w:w="80" w:type="dxa"/>
              <w:left w:w="120" w:type="dxa"/>
              <w:right w:w="120" w:type="dxa"/>
            </w:tcMar>
          </w:tcPr>
          <w:p>
            <w:pPr>
              <w:spacing w:before="0" w:after="0"/>
              <w:jc w:val="left"/>
            </w:pPr>
            <w:r>
              <w:rPr>
                <w:rFonts w:ascii="Calibri" w:hAnsi="Calibri"/>
                <w:color w:val="2D3748"/>
                <w:sz w:val="18"/>
              </w:rPr>
              <w:t>Riesgo Activo: Subidas selectivas de precios y advertencia de oferta de hardware restringida en Q4 FY26.</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Conclusiones sobre la Mutación de Riesgos:</w:t>
      </w:r>
    </w:p>
    <w:p>
      <w:pPr>
        <w:spacing w:before="40" w:after="80" w:line="276" w:lineRule="auto"/>
      </w:pPr>
      <w:r>
        <w:rPr>
          <w:rFonts w:ascii="Calibri" w:hAnsi="Calibri"/>
          <w:b/>
          <w:color w:val="2D3748"/>
          <w:sz w:val="20"/>
        </w:rPr>
        <w:t xml:space="preserve">• De la incertidumbre de demanda a la crisis de exceso de demanda: </w:t>
      </w:r>
      <w:r>
        <w:rPr>
          <w:rFonts w:ascii="Calibri" w:hAnsi="Calibri"/>
          <w:i w:val="0"/>
          <w:color w:val="2D3748"/>
          <w:sz w:val="20"/>
        </w:rPr>
        <w:t>En 2025 el mercado dudaba si los clientes renovarían sus dispositivos. En 2026, la demanda fue tan masiva que el problema se transformó en la imposibilidad física de fabricar suficientes microchips para abastecer los pedidos.</w:t>
      </w:r>
    </w:p>
    <w:p>
      <w:pPr>
        <w:spacing w:before="40" w:after="80" w:line="276" w:lineRule="auto"/>
      </w:pPr>
      <w:r>
        <w:rPr>
          <w:rFonts w:ascii="Calibri" w:hAnsi="Calibri"/>
          <w:b/>
          <w:color w:val="2D3748"/>
          <w:sz w:val="20"/>
        </w:rPr>
        <w:t xml:space="preserve">• Poder de fijación de precios frente a la inflación de costes: </w:t>
      </w:r>
      <w:r>
        <w:rPr>
          <w:rFonts w:ascii="Calibri" w:hAnsi="Calibri"/>
          <w:i w:val="0"/>
          <w:color w:val="2D3748"/>
          <w:sz w:val="20"/>
        </w:rPr>
        <w:t>A pesar de que los precios de memoria se dispararon ('crecida de 100 años'), el margen bruto consolidado alcanzó el 50.1%, demostrando que la empresa puede trasladar aumentos de costes sin sacrificar volumen ni cuota de mercado.</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CALIFICACIÓN DE CREDIBILIDAD DEL MANAGEMENT: EXCEPCIONAL (TIER 1)</w:t>
            </w:r>
          </w:p>
          <w:p>
            <w:pPr>
              <w:spacing w:before="40" w:after="40" w:line="276" w:lineRule="auto"/>
            </w:pPr>
            <w:r>
              <w:rPr>
                <w:rFonts w:ascii="Calibri" w:hAnsi="Calibri"/>
                <w:color w:val="2D3748"/>
                <w:sz w:val="19"/>
              </w:rPr>
              <w:t>• Consistencia Histórica: El equipo directivo ha demostrado un patrón sistemático de fijar guías prudentes para luego superarlas (Under-promise and Over-deliver) en 4 de los últimos 5 trimestres.</w:t>
            </w:r>
          </w:p>
          <w:p>
            <w:pPr>
              <w:spacing w:before="40" w:after="40" w:line="276" w:lineRule="auto"/>
            </w:pPr>
            <w:r>
              <w:rPr>
                <w:rFonts w:ascii="Calibri" w:hAnsi="Calibri"/>
                <w:color w:val="2D3748"/>
                <w:sz w:val="19"/>
              </w:rPr>
              <w:t>• Transparencia en Riesgos: Los directivos alertaron proactivamente sobre el impacto cambiario y los costes de DRAM con dos trimestres de anticipación antes de que golpearan los estados contables.</w:t>
            </w:r>
          </w:p>
          <w:p>
            <w:pPr>
              <w:spacing w:before="40" w:after="40" w:line="276" w:lineRule="auto"/>
            </w:pPr>
            <w:r>
              <w:rPr>
                <w:rFonts w:ascii="Calibri" w:hAnsi="Calibri"/>
                <w:color w:val="2D3748"/>
                <w:sz w:val="19"/>
              </w:rPr>
              <w:t>• Transición Ordenada: La designación de John Ternus asegura la continuidad técnica y aleja el riesgo de desviaciones estratégicas o aventuras destructoras de capital.</w:t>
            </w:r>
          </w:p>
        </w:tc>
      </w:tr>
    </w:tbl>
    <w:p>
      <w:pPr>
        <w:spacing w:after="80"/>
      </w:pPr>
    </w:p>
    <w:p>
      <w:pPr>
        <w:keepNext/>
        <w:spacing w:before="320" w:after="120"/>
      </w:pPr>
      <w:r>
        <w:rPr>
          <w:rFonts w:ascii="Calibri" w:hAnsi="Calibri"/>
          <w:b/>
          <w:color w:val="1B365D"/>
          <w:sz w:val="26"/>
        </w:rPr>
        <w:t>6. Posición Patrimonial, Estructura de Capital y Asignación de Recursos (Capital Allocation)</w:t>
      </w:r>
    </w:p>
    <w:p>
      <w:pPr>
        <w:spacing w:before="40" w:after="80" w:line="276" w:lineRule="auto"/>
      </w:pPr>
      <w:r>
        <w:rPr>
          <w:rFonts w:ascii="Calibri" w:hAnsi="Calibri"/>
          <w:i w:val="0"/>
          <w:color w:val="2D3748"/>
          <w:sz w:val="20"/>
        </w:rPr>
        <w:t>La estructura financiera de Apple Inc. se mantiene en una posición de solidez incuestionable, operando prácticamente como un 'banco de inversión de alta calificación' dentro del sector tecnológico global. La directiva combina una política de apalancamiento conservadora con un programa agresivo de retorno de capital hacia los accionistas, enmarcado dentro de su objetivo formal de alcanzar una posición de Caja Neta Neutral (Net Cash Neutral).</w:t>
      </w:r>
    </w:p>
    <w:p>
      <w:pPr>
        <w:keepNext/>
        <w:spacing w:before="200" w:after="80"/>
      </w:pPr>
      <w:r>
        <w:rPr>
          <w:rFonts w:ascii="Calibri" w:hAnsi="Calibri"/>
          <w:b/>
          <w:color w:val="4A5568"/>
          <w:sz w:val="22"/>
        </w:rPr>
        <w:t>6.1. Cuadro de Mando de Liquidez, Deuda y Posición Neta de Caja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Métrica Patrimonial</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Q3 FY26 ($M)</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Q3 FY25 ($M)</w:t>
            </w:r>
          </w:p>
        </w:tc>
        <w:tc>
          <w:tcPr>
            <w:tcW w:type="dxa" w:w="1584"/>
            <w:shd w:fill="1B365D"/>
            <w:tcMar>
              <w:top w:w="100" w:type="dxa"/>
              <w:bottom w:w="100" w:type="dxa"/>
              <w:left w:w="120" w:type="dxa"/>
              <w:right w:w="120" w:type="dxa"/>
            </w:tcMar>
          </w:tcPr>
          <w:p>
            <w:pPr>
              <w:spacing w:before="0" w:after="0"/>
              <w:jc w:val="right"/>
            </w:pPr>
            <w:r>
              <w:rPr>
                <w:rFonts w:ascii="Calibri" w:hAnsi="Calibri"/>
                <w:b/>
                <w:color w:val="FFFFFF"/>
                <w:sz w:val="19"/>
              </w:rPr>
              <w:t>Variación YoY</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 de Solvencia y Balance</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Efectivo y Equivalentes Líquidos</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$39,544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$31,850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+24.2%</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Liquidez operativa de disponibilidad inmediata para pagos y tesorería.</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Valores Negociables (Corto Plazo)</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$22,855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$27,410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-16.6%</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Letras del tesoro y pagarés corporativos AAA con vencimiento &lt; 12 meses.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Valores Negociables (Largo Plazo)</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$84,118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$93,950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-10.5%</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Cartera de bonos soberanos y corporativos líquidos de alto rendimiento.</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LIQUIDEZ TOTAL DISPONIBLE (Cash &amp; Securities)</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$146,517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$153,210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-4.4%</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Enorme 'caja de guerra' (war chest) que blinda a la empresa ante cualquier crisis.</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Papel Comercial (Commercial Paper)</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$1,997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$3,980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-49.8%</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Financiación circulante de bajísimo coste para sincronizar pagos de corto plazo.</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Deuda Financiera a Corto Plazo</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$11,007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$9,850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+11.7%</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Vencimientos corrientes de bonos que serán refinanciados o amortizados en el año.</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Deuda Financiera a Largo Plazo</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$71,340 M</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$86,450 M</w:t>
            </w:r>
          </w:p>
        </w:tc>
        <w:tc>
          <w:tcPr>
            <w:tcW w:type="dxa" w:w="1584"/>
            <w:shd w:fill="FFFFFF"/>
            <w:tcMar>
              <w:top w:w="80" w:type="dxa"/>
              <w:bottom w:w="80" w:type="dxa"/>
              <w:left w:w="120" w:type="dxa"/>
              <w:right w:w="120" w:type="dxa"/>
            </w:tcMar>
          </w:tcPr>
          <w:p>
            <w:pPr>
              <w:spacing w:before="0" w:after="0"/>
              <w:jc w:val="right"/>
            </w:pPr>
            <w:r>
              <w:rPr>
                <w:rFonts w:ascii="Calibri" w:hAnsi="Calibri"/>
                <w:color w:val="2D3748"/>
                <w:sz w:val="18"/>
              </w:rPr>
              <w:t>-17.5%</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Bonos sénior no garantizados emitidos a tipos fijos históricamente bajos (2.5% - 3.5%).</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DEUDA BRUTA TOTAL</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$84,344 M</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$100,280 M</w:t>
            </w:r>
          </w:p>
        </w:tc>
        <w:tc>
          <w:tcPr>
            <w:tcW w:type="dxa" w:w="1584"/>
            <w:shd w:fill="F7FAFC"/>
            <w:tcMar>
              <w:top w:w="80" w:type="dxa"/>
              <w:bottom w:w="80" w:type="dxa"/>
              <w:left w:w="120" w:type="dxa"/>
              <w:right w:w="120" w:type="dxa"/>
            </w:tcMar>
          </w:tcPr>
          <w:p>
            <w:pPr>
              <w:spacing w:before="0" w:after="0"/>
              <w:jc w:val="right"/>
            </w:pPr>
            <w:r>
              <w:rPr>
                <w:rFonts w:ascii="Calibri" w:hAnsi="Calibri"/>
                <w:color w:val="2D3748"/>
                <w:sz w:val="18"/>
              </w:rPr>
              <w:t>-15.9%</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Reducción activa del pasivo financiero total (-$15,936 M amortizados YoY).</w:t>
            </w:r>
          </w:p>
        </w:tc>
      </w:tr>
      <w:tr>
        <w:tc>
          <w:tcPr>
            <w:tcW w:type="dxa" w:w="2592"/>
            <w:shd w:fill="E2E8F0"/>
            <w:tcMar>
              <w:top w:w="80" w:type="dxa"/>
              <w:bottom w:w="80" w:type="dxa"/>
              <w:left w:w="120" w:type="dxa"/>
              <w:right w:w="120" w:type="dxa"/>
            </w:tcMar>
          </w:tcPr>
          <w:p>
            <w:pPr>
              <w:spacing w:before="0" w:after="0"/>
              <w:jc w:val="left"/>
            </w:pPr>
            <w:r>
              <w:rPr>
                <w:rFonts w:ascii="Calibri" w:hAnsi="Calibri"/>
                <w:b/>
                <w:color w:val="2D3748"/>
                <w:sz w:val="18"/>
              </w:rPr>
              <w:t>POSICIÓN NETA DE CAJA (NET CASH)</w:t>
            </w:r>
          </w:p>
        </w:tc>
        <w:tc>
          <w:tcPr>
            <w:tcW w:type="dxa" w:w="1440"/>
            <w:shd w:fill="E2E8F0"/>
            <w:tcMar>
              <w:top w:w="80" w:type="dxa"/>
              <w:bottom w:w="80" w:type="dxa"/>
              <w:left w:w="120" w:type="dxa"/>
              <w:right w:w="120" w:type="dxa"/>
            </w:tcMar>
          </w:tcPr>
          <w:p>
            <w:pPr>
              <w:spacing w:before="0" w:after="0"/>
              <w:jc w:val="right"/>
            </w:pPr>
            <w:r>
              <w:rPr>
                <w:rFonts w:ascii="Calibri" w:hAnsi="Calibri"/>
                <w:b/>
                <w:color w:val="2D3748"/>
                <w:sz w:val="18"/>
              </w:rPr>
              <w:t>+$62,173 M</w:t>
            </w:r>
          </w:p>
        </w:tc>
        <w:tc>
          <w:tcPr>
            <w:tcW w:type="dxa" w:w="1440"/>
            <w:shd w:fill="E2E8F0"/>
            <w:tcMar>
              <w:top w:w="80" w:type="dxa"/>
              <w:bottom w:w="80" w:type="dxa"/>
              <w:left w:w="120" w:type="dxa"/>
              <w:right w:w="120" w:type="dxa"/>
            </w:tcMar>
          </w:tcPr>
          <w:p>
            <w:pPr>
              <w:spacing w:before="0" w:after="0"/>
              <w:jc w:val="right"/>
            </w:pPr>
            <w:r>
              <w:rPr>
                <w:rFonts w:ascii="Calibri" w:hAnsi="Calibri"/>
                <w:b/>
                <w:color w:val="2D3748"/>
                <w:sz w:val="18"/>
              </w:rPr>
              <w:t>+$52,930 M</w:t>
            </w:r>
          </w:p>
        </w:tc>
        <w:tc>
          <w:tcPr>
            <w:tcW w:type="dxa" w:w="1584"/>
            <w:shd w:fill="E2E8F0"/>
            <w:tcMar>
              <w:top w:w="80" w:type="dxa"/>
              <w:bottom w:w="80" w:type="dxa"/>
              <w:left w:w="120" w:type="dxa"/>
              <w:right w:w="120" w:type="dxa"/>
            </w:tcMar>
          </w:tcPr>
          <w:p>
            <w:pPr>
              <w:spacing w:before="0" w:after="0"/>
              <w:jc w:val="right"/>
            </w:pPr>
            <w:r>
              <w:rPr>
                <w:rFonts w:ascii="Calibri" w:hAnsi="Calibri"/>
                <w:b/>
                <w:color w:val="2D3748"/>
                <w:sz w:val="18"/>
              </w:rPr>
              <w:t>+$9,243 M</w:t>
            </w:r>
          </w:p>
        </w:tc>
        <w:tc>
          <w:tcPr>
            <w:tcW w:type="dxa" w:w="2736"/>
            <w:shd w:fill="E2E8F0"/>
            <w:tcMar>
              <w:top w:w="80" w:type="dxa"/>
              <w:bottom w:w="80" w:type="dxa"/>
              <w:left w:w="120" w:type="dxa"/>
              <w:right w:w="120" w:type="dxa"/>
            </w:tcMar>
          </w:tcPr>
          <w:p>
            <w:pPr>
              <w:spacing w:before="0" w:after="0"/>
              <w:jc w:val="left"/>
            </w:pPr>
            <w:r>
              <w:rPr>
                <w:rFonts w:ascii="Calibri" w:hAnsi="Calibri"/>
                <w:b/>
                <w:color w:val="2D3748"/>
                <w:sz w:val="18"/>
              </w:rPr>
              <w:t>Posición de acreedor neto: la liquidez total supera a toda la deuda en más de $62B.</w:t>
            </w:r>
          </w:p>
        </w:tc>
      </w:tr>
    </w:tbl>
    <w:p>
      <w:pPr>
        <w:spacing w:after="120"/>
      </w:pPr>
    </w:p>
    <w:p>
      <w:pPr>
        <w:spacing w:before="40" w:after="80" w:line="276" w:lineRule="auto"/>
      </w:pPr>
      <w:r>
        <w:rPr>
          <w:rFonts w:ascii="Calibri" w:hAnsi="Calibri"/>
          <w:b/>
          <w:color w:val="2D3748"/>
          <w:sz w:val="20"/>
        </w:rPr>
        <w:t xml:space="preserve">• Estructura de Rendimiento de Tesorería: </w:t>
      </w:r>
      <w:r>
        <w:rPr>
          <w:rFonts w:ascii="Calibri" w:hAnsi="Calibri"/>
          <w:i w:val="0"/>
          <w:color w:val="2D3748"/>
          <w:sz w:val="20"/>
        </w:rPr>
        <w:t>Apple mantiene $84,344 M en deuda emitida a tipos de interés fijos muy reducidos (promedio ~3.0%), mientras que su liquidez de $146,517 M está colocada en bonos del tesoro con rentabilidades superiores al 4.5%, lo que genera ingresos financieros netos positivos (OIE positivo de ~$350 M por trimestre).</w:t>
      </w:r>
    </w:p>
    <w:p>
      <w:pPr>
        <w:keepNext/>
        <w:spacing w:before="200" w:after="80"/>
      </w:pPr>
      <w:r>
        <w:rPr>
          <w:rFonts w:ascii="Calibri" w:hAnsi="Calibri"/>
          <w:b/>
          <w:color w:val="4A5568"/>
          <w:sz w:val="22"/>
        </w:rPr>
        <w:t>6.2. Política de Retorno al Accionista: Recompra de Acciones y Dividendos</w:t>
      </w:r>
    </w:p>
    <w:p>
      <w:pPr>
        <w:spacing w:before="40" w:after="80" w:line="276" w:lineRule="auto"/>
      </w:pPr>
      <w:r>
        <w:rPr>
          <w:rFonts w:ascii="Calibri" w:hAnsi="Calibri"/>
          <w:i w:val="0"/>
          <w:color w:val="2D3748"/>
          <w:sz w:val="20"/>
        </w:rPr>
        <w:t>Apple mantiene el programa de asignación de capital más masivo de la historia corporativa moderna, utilizando su Flujo de Caja Libre para recomprar sus propias acciones y distribuir dividendos crecientes:</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024"/>
            <w:shd w:fill="1B365D"/>
            <w:tcMar>
              <w:top w:w="100" w:type="dxa"/>
              <w:bottom w:w="100" w:type="dxa"/>
              <w:left w:w="120" w:type="dxa"/>
              <w:right w:w="120" w:type="dxa"/>
            </w:tcMar>
          </w:tcPr>
          <w:p>
            <w:pPr>
              <w:spacing w:before="0" w:after="0"/>
              <w:jc w:val="left"/>
            </w:pPr>
            <w:r>
              <w:rPr>
                <w:rFonts w:ascii="Calibri" w:hAnsi="Calibri"/>
                <w:b/>
                <w:color w:val="FFFFFF"/>
                <w:sz w:val="19"/>
              </w:rPr>
              <w:t>Componente de Retorno</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Trimestre Q3 FY26</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Acumulado 9M FY26</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Impacto en la Tesis del Accionista</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Recompra Neta de Acciones Comunes</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$25,800 M</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$62,094 M</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Retiro acelerado de títulos en el mercado abierto bajo el plan autorizado.</w:t>
            </w:r>
          </w:p>
        </w:tc>
      </w:tr>
      <w:tr>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Dividendos en Efectivo Distribuidos</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$4,000 M</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$11,778 M</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$0.27 por acción declarado en Q3 (payout sostenible de ~13% del FCF).</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RETORNO TOTAL DE CAPITAL</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$33,000 M</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$73,872 M</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El 104.7% del FCF del trimestre ($31,500 M) se devolvió íntegramente al accionista.</w:t>
            </w:r>
          </w:p>
        </w:tc>
      </w:tr>
      <w:tr>
        <w:tc>
          <w:tcPr>
            <w:tcW w:type="dxa" w:w="3024"/>
            <w:shd w:fill="F7FAFC"/>
            <w:tcMar>
              <w:top w:w="80" w:type="dxa"/>
              <w:bottom w:w="80" w:type="dxa"/>
              <w:left w:w="120" w:type="dxa"/>
              <w:right w:w="120" w:type="dxa"/>
            </w:tcMar>
          </w:tcPr>
          <w:p>
            <w:pPr>
              <w:spacing w:before="0" w:after="0"/>
              <w:jc w:val="left"/>
            </w:pPr>
            <w:r>
              <w:rPr>
                <w:rFonts w:ascii="Calibri" w:hAnsi="Calibri"/>
                <w:color w:val="2D3748"/>
                <w:sz w:val="18"/>
              </w:rPr>
              <w:t>Acciones en Circulación (Diluted Float)</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15,266 Millones</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15,499 Millones</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-233.5 Millones de acciones retiradas en los últimos 12 meses (-1.51%).</w:t>
            </w:r>
          </w:p>
        </w:tc>
      </w:tr>
      <w:tr>
        <w:tc>
          <w:tcPr>
            <w:tcW w:type="dxa" w:w="3024"/>
            <w:shd w:fill="FFFFFF"/>
            <w:tcMar>
              <w:top w:w="80" w:type="dxa"/>
              <w:bottom w:w="80" w:type="dxa"/>
              <w:left w:w="120" w:type="dxa"/>
              <w:right w:w="120" w:type="dxa"/>
            </w:tcMar>
          </w:tcPr>
          <w:p>
            <w:pPr>
              <w:spacing w:before="0" w:after="0"/>
              <w:jc w:val="left"/>
            </w:pPr>
            <w:r>
              <w:rPr>
                <w:rFonts w:ascii="Calibri" w:hAnsi="Calibri"/>
                <w:color w:val="2D3748"/>
                <w:sz w:val="18"/>
              </w:rPr>
              <w:t>Efecto Turbo en Beneficio por Acción (EPS)</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+28.7% YoY</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vs. +27.1% Net Inc.</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La reducción neta de acciones acelera el crecimiento del EPS en +160 bps adicionales.</w:t>
            </w:r>
          </w:p>
        </w:tc>
      </w:tr>
    </w:tbl>
    <w:p>
      <w:pPr>
        <w:spacing w:after="120"/>
      </w:pPr>
    </w:p>
    <w:p>
      <w:pPr>
        <w:spacing w:before="40" w:after="80" w:line="276" w:lineRule="auto"/>
      </w:pPr>
      <w:r>
        <w:rPr>
          <w:rFonts w:ascii="Calibri" w:hAnsi="Calibri"/>
          <w:b/>
          <w:color w:val="2D3748"/>
          <w:sz w:val="20"/>
        </w:rPr>
        <w:t xml:space="preserve">• Calidad de la Recompra vs. Dilución por SBC: </w:t>
      </w:r>
      <w:r>
        <w:rPr>
          <w:rFonts w:ascii="Calibri" w:hAnsi="Calibri"/>
          <w:i w:val="0"/>
          <w:color w:val="2D3748"/>
          <w:sz w:val="20"/>
        </w:rPr>
        <w:t>Frente a los $25,800 M destinados a recompras, la compensación en acciones a empleados (Stock-Based Compensation) sumó $3,100 M en el trimestre. Por lo tanto, el 88% de la recompra es creación neta de valor real, reduciendo efectivamente el número de acciones en circulación y aumentando la participación patrimonial de cada accionista restante.</w:t>
      </w:r>
    </w:p>
    <w:p>
      <w:pPr>
        <w:keepNext/>
        <w:spacing w:before="200" w:after="80"/>
      </w:pPr>
      <w:r>
        <w:rPr>
          <w:rFonts w:ascii="Calibri" w:hAnsi="Calibri"/>
          <w:b/>
          <w:color w:val="4A5568"/>
          <w:sz w:val="22"/>
        </w:rPr>
        <w:t>6.3. Inversiones Estratégicas, Adquisiciones (M&amp;A) y Expansión Productiva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Iniciativa / Transacción</w:t>
            </w:r>
          </w:p>
        </w:tc>
        <w:tc>
          <w:tcPr>
            <w:tcW w:type="dxa" w:w="1872"/>
            <w:shd w:fill="1B365D"/>
            <w:tcMar>
              <w:top w:w="100" w:type="dxa"/>
              <w:bottom w:w="100" w:type="dxa"/>
              <w:left w:w="120" w:type="dxa"/>
              <w:right w:w="120" w:type="dxa"/>
            </w:tcMar>
          </w:tcPr>
          <w:p>
            <w:pPr>
              <w:spacing w:before="0" w:after="0"/>
              <w:jc w:val="left"/>
            </w:pPr>
            <w:r>
              <w:rPr>
                <w:rFonts w:ascii="Calibri" w:hAnsi="Calibri"/>
                <w:b/>
                <w:color w:val="FFFFFF"/>
                <w:sz w:val="19"/>
              </w:rPr>
              <w:t>Tipo de Operación</w:t>
            </w:r>
          </w:p>
        </w:tc>
        <w:tc>
          <w:tcPr>
            <w:tcW w:type="dxa" w:w="1728"/>
            <w:shd w:fill="1B365D"/>
            <w:tcMar>
              <w:top w:w="100" w:type="dxa"/>
              <w:bottom w:w="100" w:type="dxa"/>
              <w:left w:w="120" w:type="dxa"/>
              <w:right w:w="120" w:type="dxa"/>
            </w:tcMar>
          </w:tcPr>
          <w:p>
            <w:pPr>
              <w:spacing w:before="0" w:after="0"/>
              <w:jc w:val="right"/>
            </w:pPr>
            <w:r>
              <w:rPr>
                <w:rFonts w:ascii="Calibri" w:hAnsi="Calibri"/>
                <w:b/>
                <w:color w:val="FFFFFF"/>
                <w:sz w:val="19"/>
              </w:rPr>
              <w:t>Capital / Compromiso</w:t>
            </w:r>
          </w:p>
        </w:tc>
        <w:tc>
          <w:tcPr>
            <w:tcW w:type="dxa" w:w="3744"/>
            <w:shd w:fill="1B365D"/>
            <w:tcMar>
              <w:top w:w="100" w:type="dxa"/>
              <w:bottom w:w="100" w:type="dxa"/>
              <w:left w:w="120" w:type="dxa"/>
              <w:right w:w="120" w:type="dxa"/>
            </w:tcMar>
          </w:tcPr>
          <w:p>
            <w:pPr>
              <w:spacing w:before="0" w:after="0"/>
              <w:jc w:val="left"/>
            </w:pPr>
            <w:r>
              <w:rPr>
                <w:rFonts w:ascii="Calibri" w:hAnsi="Calibri"/>
                <w:b/>
                <w:color w:val="FFFFFF"/>
                <w:sz w:val="19"/>
              </w:rPr>
              <w:t>¿Qué se busca estratégicamente con ello?</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Acuerdo Plurianual con Broadcom</w:t>
            </w:r>
          </w:p>
        </w:tc>
        <w:tc>
          <w:tcPr>
            <w:tcW w:type="dxa" w:w="1872"/>
            <w:shd w:fill="FFFFFF"/>
            <w:tcMar>
              <w:top w:w="80" w:type="dxa"/>
              <w:bottom w:w="80" w:type="dxa"/>
              <w:left w:w="120" w:type="dxa"/>
              <w:right w:w="120" w:type="dxa"/>
            </w:tcMar>
          </w:tcPr>
          <w:p>
            <w:pPr>
              <w:spacing w:before="0" w:after="0"/>
              <w:jc w:val="left"/>
            </w:pPr>
            <w:r>
              <w:rPr>
                <w:rFonts w:ascii="Calibri" w:hAnsi="Calibri"/>
                <w:color w:val="2D3748"/>
                <w:sz w:val="18"/>
              </w:rPr>
              <w:t>Alianza Industrial Estratégica</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&gt; $30,000 M</w:t>
            </w:r>
          </w:p>
        </w:tc>
        <w:tc>
          <w:tcPr>
            <w:tcW w:type="dxa" w:w="3744"/>
            <w:shd w:fill="FFFFFF"/>
            <w:tcMar>
              <w:top w:w="80" w:type="dxa"/>
              <w:bottom w:w="80" w:type="dxa"/>
              <w:left w:w="120" w:type="dxa"/>
              <w:right w:w="120" w:type="dxa"/>
            </w:tcMar>
          </w:tcPr>
          <w:p>
            <w:pPr>
              <w:spacing w:before="0" w:after="0"/>
              <w:jc w:val="left"/>
            </w:pPr>
            <w:r>
              <w:rPr>
                <w:rFonts w:ascii="Calibri" w:hAnsi="Calibri"/>
                <w:color w:val="2D3748"/>
                <w:sz w:val="18"/>
              </w:rPr>
              <w:t>Co-desarrollo y suministro garantizado de módulos de radiofrecuencia (FBAR) y conectividad 5G/Wi-Fi en EE.UU., acelerando la integración del módem propietario.</w:t>
            </w:r>
          </w:p>
        </w:tc>
      </w:tr>
      <w:tr>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Advanced Manufacturing Center (Houston)</w:t>
            </w:r>
          </w:p>
        </w:tc>
        <w:tc>
          <w:tcPr>
            <w:tcW w:type="dxa" w:w="1872"/>
            <w:shd w:fill="F7FAFC"/>
            <w:tcMar>
              <w:top w:w="80" w:type="dxa"/>
              <w:bottom w:w="80" w:type="dxa"/>
              <w:left w:w="120" w:type="dxa"/>
              <w:right w:w="120" w:type="dxa"/>
            </w:tcMar>
          </w:tcPr>
          <w:p>
            <w:pPr>
              <w:spacing w:before="0" w:after="0"/>
              <w:jc w:val="left"/>
            </w:pPr>
            <w:r>
              <w:rPr>
                <w:rFonts w:ascii="Calibri" w:hAnsi="Calibri"/>
                <w:color w:val="2D3748"/>
                <w:sz w:val="18"/>
              </w:rPr>
              <w:t>Inversión en CapEx Directo</w:t>
            </w:r>
          </w:p>
        </w:tc>
        <w:tc>
          <w:tcPr>
            <w:tcW w:type="dxa" w:w="1728"/>
            <w:shd w:fill="F7FAFC"/>
            <w:tcMar>
              <w:top w:w="80" w:type="dxa"/>
              <w:bottom w:w="80" w:type="dxa"/>
              <w:left w:w="120" w:type="dxa"/>
              <w:right w:w="120" w:type="dxa"/>
            </w:tcMar>
          </w:tcPr>
          <w:p>
            <w:pPr>
              <w:spacing w:before="0" w:after="0"/>
              <w:jc w:val="right"/>
            </w:pPr>
            <w:r>
              <w:rPr>
                <w:rFonts w:ascii="Calibri" w:hAnsi="Calibri"/>
                <w:color w:val="2D3748"/>
                <w:sz w:val="18"/>
              </w:rPr>
              <w:t>Planta Industrial Propia</w:t>
            </w:r>
          </w:p>
        </w:tc>
        <w:tc>
          <w:tcPr>
            <w:tcW w:type="dxa" w:w="3744"/>
            <w:shd w:fill="F7FAFC"/>
            <w:tcMar>
              <w:top w:w="80" w:type="dxa"/>
              <w:bottom w:w="80" w:type="dxa"/>
              <w:left w:w="120" w:type="dxa"/>
              <w:right w:w="120" w:type="dxa"/>
            </w:tcMar>
          </w:tcPr>
          <w:p>
            <w:pPr>
              <w:spacing w:before="0" w:after="0"/>
              <w:jc w:val="left"/>
            </w:pPr>
            <w:r>
              <w:rPr>
                <w:rFonts w:ascii="Calibri" w:hAnsi="Calibri"/>
                <w:color w:val="2D3748"/>
                <w:sz w:val="18"/>
              </w:rPr>
              <w:t>Mitigación del riesgo geopolítico y arancelario mediante relocalización productiva (onshoring), asegurando líneas de ensamblaje automatizado y servidores de IA.</w:t>
            </w:r>
          </w:p>
        </w:tc>
      </w:tr>
      <w:tr>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Adquisiciones 'Bolt-on' de IA</w:t>
            </w:r>
          </w:p>
        </w:tc>
        <w:tc>
          <w:tcPr>
            <w:tcW w:type="dxa" w:w="1872"/>
            <w:shd w:fill="FFFFFF"/>
            <w:tcMar>
              <w:top w:w="80" w:type="dxa"/>
              <w:bottom w:w="80" w:type="dxa"/>
              <w:left w:w="120" w:type="dxa"/>
              <w:right w:w="120" w:type="dxa"/>
            </w:tcMar>
          </w:tcPr>
          <w:p>
            <w:pPr>
              <w:spacing w:before="0" w:after="0"/>
              <w:jc w:val="left"/>
            </w:pPr>
            <w:r>
              <w:rPr>
                <w:rFonts w:ascii="Calibri" w:hAnsi="Calibri"/>
                <w:color w:val="2D3748"/>
                <w:sz w:val="18"/>
              </w:rPr>
              <w:t>M&amp;A Tecnológico (Startups IA)</w:t>
            </w:r>
          </w:p>
        </w:tc>
        <w:tc>
          <w:tcPr>
            <w:tcW w:type="dxa" w:w="1728"/>
            <w:shd w:fill="FFFFFF"/>
            <w:tcMar>
              <w:top w:w="80" w:type="dxa"/>
              <w:bottom w:w="80" w:type="dxa"/>
              <w:left w:w="120" w:type="dxa"/>
              <w:right w:w="120" w:type="dxa"/>
            </w:tcMar>
          </w:tcPr>
          <w:p>
            <w:pPr>
              <w:spacing w:before="0" w:after="0"/>
              <w:jc w:val="right"/>
            </w:pPr>
            <w:r>
              <w:rPr>
                <w:rFonts w:ascii="Calibri" w:hAnsi="Calibri"/>
                <w:color w:val="2D3748"/>
                <w:sz w:val="18"/>
              </w:rPr>
              <w:t>~$50M - $200M c/u</w:t>
            </w:r>
          </w:p>
        </w:tc>
        <w:tc>
          <w:tcPr>
            <w:tcW w:type="dxa" w:w="3744"/>
            <w:shd w:fill="FFFFFF"/>
            <w:tcMar>
              <w:top w:w="80" w:type="dxa"/>
              <w:bottom w:w="80" w:type="dxa"/>
              <w:left w:w="120" w:type="dxa"/>
              <w:right w:w="120" w:type="dxa"/>
            </w:tcMar>
          </w:tcPr>
          <w:p>
            <w:pPr>
              <w:spacing w:before="0" w:after="0"/>
              <w:jc w:val="left"/>
            </w:pPr>
            <w:r>
              <w:rPr>
                <w:rFonts w:ascii="Calibri" w:hAnsi="Calibri"/>
                <w:color w:val="2D3748"/>
                <w:sz w:val="18"/>
              </w:rPr>
              <w:t>Compra de equipos y patentes de compresión de modelos de lenguaje (LLM pruning/quantization) para optimizar la ejecución de IA local en NPUs con bajo consumo.</w:t>
            </w:r>
          </w:p>
        </w:tc>
      </w:tr>
    </w:tbl>
    <w:p>
      <w:pPr>
        <w:spacing w:after="120"/>
      </w:pPr>
    </w:p>
    <w:p>
      <w:pPr>
        <w:keepNext/>
        <w:spacing w:before="200" w:after="80"/>
      </w:pPr>
      <w:r>
        <w:rPr>
          <w:rFonts w:ascii="Calibri" w:hAnsi="Calibri"/>
          <w:b/>
          <w:color w:val="4A5568"/>
          <w:sz w:val="22"/>
        </w:rPr>
        <w:t>6.4. CapEx de Vanguardia y Avances Revolucionarios en Hardware y Silicio</w:t>
      </w:r>
    </w:p>
    <w:p>
      <w:pPr>
        <w:spacing w:before="40" w:after="80" w:line="276" w:lineRule="auto"/>
      </w:pPr>
      <w:r>
        <w:rPr>
          <w:rFonts w:ascii="Calibri" w:hAnsi="Calibri"/>
          <w:i w:val="0"/>
          <w:color w:val="2D3748"/>
          <w:sz w:val="20"/>
        </w:rPr>
        <w:t>El gasto de capital (CapEx) trimestral de $2,900 M ($6,800 M acumulado en 9 meses) se enfoca en activos críticos de ingeniería y maquinaria de litografía avanzada:</w:t>
      </w:r>
    </w:p>
    <w:p>
      <w:pPr>
        <w:spacing w:before="40" w:after="80" w:line="276" w:lineRule="auto"/>
      </w:pPr>
      <w:r>
        <w:rPr>
          <w:rFonts w:ascii="Calibri" w:hAnsi="Calibri"/>
          <w:b/>
          <w:color w:val="2D3748"/>
          <w:sz w:val="20"/>
        </w:rPr>
        <w:t xml:space="preserve">• Salto a la Litografía de 2 Nanómetros (2nm): </w:t>
      </w:r>
      <w:r>
        <w:rPr>
          <w:rFonts w:ascii="Calibri" w:hAnsi="Calibri"/>
          <w:i w:val="0"/>
          <w:color w:val="2D3748"/>
          <w:sz w:val="20"/>
        </w:rPr>
        <w:t>En colaboración exclusiva con TSMC, Apple asegura la primera hornada de producción en masa en 2nm para sus procesadores propietarios A19 / A19 Pro (familia iPhone 17) y M5 (línea Mac), garantizando una ventaja competitiva de más de 18 meses frente a competidores de Android y PC x86 en eficiencia energética y densidad de transistores.</w:t>
      </w:r>
    </w:p>
    <w:p>
      <w:pPr>
        <w:spacing w:before="40" w:after="80" w:line="276" w:lineRule="auto"/>
      </w:pPr>
      <w:r>
        <w:rPr>
          <w:rFonts w:ascii="Calibri" w:hAnsi="Calibri"/>
          <w:b/>
          <w:color w:val="2D3748"/>
          <w:sz w:val="20"/>
        </w:rPr>
        <w:t xml:space="preserve">• Inferencia Neural en el Dispositivo (On-Device NPU): </w:t>
      </w:r>
      <w:r>
        <w:rPr>
          <w:rFonts w:ascii="Calibri" w:hAnsi="Calibri"/>
          <w:i w:val="0"/>
          <w:color w:val="2D3748"/>
          <w:sz w:val="20"/>
        </w:rPr>
        <w:t>La arquitectura de silicio propietario ejecuta modelos multimodales localmente en memoria unificada, eliminando los costes de tokens y latencia de servidores cloud.</w:t>
      </w:r>
    </w:p>
    <w:p>
      <w:pPr>
        <w:spacing w:before="40" w:after="80" w:line="276" w:lineRule="auto"/>
      </w:pPr>
      <w:r>
        <w:rPr>
          <w:rFonts w:ascii="Calibri" w:hAnsi="Calibri"/>
          <w:b/>
          <w:color w:val="2D3748"/>
          <w:sz w:val="20"/>
        </w:rPr>
        <w:t xml:space="preserve">• Nuevos Factores de Forma Disruptivos: </w:t>
      </w:r>
      <w:r>
        <w:rPr>
          <w:rFonts w:ascii="Calibri" w:hAnsi="Calibri"/>
          <w:i w:val="0"/>
          <w:color w:val="2D3748"/>
          <w:sz w:val="20"/>
        </w:rPr>
        <w:t>Desarrollo del nuevo MacBook Neo (diseñado para ganar cuota en el segmento educativo/corporativo desplazando a Chromebooks y Windows) y el factor de forma ultradelgado iPhone Air.</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BALANCE Y LA ASIGNACIÓN DE CAPITAL?</w:t>
            </w:r>
          </w:p>
          <w:p>
            <w:pPr>
              <w:spacing w:before="40" w:after="40" w:line="276" w:lineRule="auto"/>
            </w:pPr>
            <w:r>
              <w:rPr>
                <w:rFonts w:ascii="Calibri" w:hAnsi="Calibri"/>
                <w:color w:val="2D3748"/>
                <w:sz w:val="19"/>
              </w:rPr>
              <w:t>• Caja Neta (Net Cash) vs. Deuda Neta: Se calcula restando la deuda financiera bruta a la liquidez total. Una posición positiva certifica que la empresa es acreedora neta y solvente ante cualquier crisis.</w:t>
            </w:r>
          </w:p>
          <w:p>
            <w:pPr>
              <w:spacing w:before="40" w:after="40" w:line="276" w:lineRule="auto"/>
            </w:pPr>
            <w:r>
              <w:rPr>
                <w:rFonts w:ascii="Calibri" w:hAnsi="Calibri"/>
                <w:color w:val="2D3748"/>
                <w:sz w:val="19"/>
              </w:rPr>
              <w:t>• Recompra Neta vs. Dilución por SBC: Una recompra solo crea valor genuino si retira más acciones de las que se emiten vía Stock-Based Compensation.</w:t>
            </w:r>
          </w:p>
          <w:p>
            <w:pPr>
              <w:spacing w:before="40" w:after="40" w:line="276" w:lineRule="auto"/>
            </w:pPr>
            <w:r>
              <w:rPr>
                <w:rFonts w:ascii="Calibri" w:hAnsi="Calibri"/>
                <w:color w:val="2D3748"/>
                <w:sz w:val="19"/>
              </w:rPr>
              <w:t>• Eficiencia del CapEx: Las mejores empresas operan modelos de capital ligero (Asset-Light / Fabless) o asignan CapEx a proyectos con retornos que superan ampliamente su WACC.</w:t>
            </w:r>
          </w:p>
        </w:tc>
      </w:tr>
    </w:tbl>
    <w:p>
      <w:pPr>
        <w:spacing w:after="80"/>
      </w:pPr>
    </w:p>
    <w:p>
      <w:pPr>
        <w:keepNext/>
        <w:spacing w:before="320" w:after="120"/>
      </w:pPr>
      <w:r>
        <w:rPr>
          <w:rFonts w:ascii="Calibri" w:hAnsi="Calibri"/>
          <w:b/>
          <w:color w:val="1B365D"/>
          <w:sz w:val="26"/>
        </w:rPr>
        <w:t>7. Estrategia Tecnológica, Fosos Defensivos (Economic Moat) y Ventajas Competitivas</w:t>
      </w:r>
    </w:p>
    <w:p>
      <w:pPr>
        <w:spacing w:before="40" w:after="80" w:line="276" w:lineRule="auto"/>
      </w:pPr>
      <w:r>
        <w:rPr>
          <w:rFonts w:ascii="Calibri" w:hAnsi="Calibri"/>
          <w:i w:val="0"/>
          <w:color w:val="2D3748"/>
          <w:sz w:val="20"/>
        </w:rPr>
        <w:t>Un análisis fundamental riguroso exige determinar si los extraordinarios márgenes de una compañía están protegidos por barreras de entrada duraderas o si corren el riesgo de ser erosionados por la competencia. Apple Inc. ostenta uno de los fosos defensivos más formidables del capitalismo moderno (Wide Moat / Foso Defensivo Amplio), cimentado en la integración simbiótica entre hardware propietario, sistemas operativos exclusivos y una plataforma de servicios cautiva.</w:t>
      </w:r>
    </w:p>
    <w:p>
      <w:pPr>
        <w:keepNext/>
        <w:spacing w:before="200" w:after="80"/>
      </w:pPr>
      <w:r>
        <w:rPr>
          <w:rFonts w:ascii="Calibri" w:hAnsi="Calibri"/>
          <w:b/>
          <w:color w:val="4A5568"/>
          <w:sz w:val="22"/>
        </w:rPr>
        <w:t>7.1. Cuadro de Mando de Fosos Defensivos (Dorsey / Morningstar Framework)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Fuente del Foso Defensivo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Intensidad</w:t>
            </w:r>
          </w:p>
        </w:tc>
        <w:tc>
          <w:tcPr>
            <w:tcW w:type="dxa" w:w="3312"/>
            <w:shd w:fill="1B365D"/>
            <w:tcMar>
              <w:top w:w="100" w:type="dxa"/>
              <w:bottom w:w="100" w:type="dxa"/>
              <w:left w:w="120" w:type="dxa"/>
              <w:right w:w="120" w:type="dxa"/>
            </w:tcMar>
          </w:tcPr>
          <w:p>
            <w:pPr>
              <w:spacing w:before="0" w:after="0"/>
              <w:jc w:val="left"/>
            </w:pPr>
            <w:r>
              <w:rPr>
                <w:rFonts w:ascii="Calibri" w:hAnsi="Calibri"/>
                <w:b/>
                <w:color w:val="FFFFFF"/>
                <w:sz w:val="19"/>
              </w:rPr>
              <w:t>Mecanismo de Protección Económica</w:t>
            </w:r>
          </w:p>
        </w:tc>
        <w:tc>
          <w:tcPr>
            <w:tcW w:type="dxa" w:w="2736"/>
            <w:shd w:fill="1B365D"/>
            <w:tcMar>
              <w:top w:w="100" w:type="dxa"/>
              <w:bottom w:w="100" w:type="dxa"/>
              <w:left w:w="120" w:type="dxa"/>
              <w:right w:w="120" w:type="dxa"/>
            </w:tcMar>
          </w:tcPr>
          <w:p>
            <w:pPr>
              <w:spacing w:before="0" w:after="0"/>
              <w:jc w:val="left"/>
            </w:pPr>
            <w:r>
              <w:rPr>
                <w:rFonts w:ascii="Calibri" w:hAnsi="Calibri"/>
                <w:b/>
                <w:color w:val="FFFFFF"/>
                <w:sz w:val="19"/>
              </w:rPr>
              <w:t>Diagnóstico Competitivo</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Costes de Cambio (Switching Costs)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 CRÍTICA</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La retención del usuario en iOS supera el 98%. Abandonar el ecosistema implica perder sincronización con Watch, Mac, contraseñas, iCloud y compras de apps, generando una fricción prohibitiva.</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Los clientes no se van por diferencias marginales de precio; la base instalada cautiva actúa como una anualidad.</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Activos Intangibles y Marca</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 EXCEPCIONAL</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Marca sinónimo de estatus, fiabilidad y privacidad. Otorga un poder de fijación de precios (pricing power) casi inelástico que le permite sostener un margen bruto superior al 50%.</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Capacidad demostrada de aumentar los Precios Medios de Venta (ASP) de hardware sin sacrificar cuota.</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Efectos de Red (Network Effects)</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 ROBUSTO</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Con &gt;2,500M de dispositivos activos, la App Store atrae preferentemente a los mejores desarrolladores. La optimización para Metal e iOS crea una experiencia superior que retroalimenta el flywheel.</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Barrera insalvable para sistemas operativos rivales; imposible replicar un catálogo optimizado a esta escala.</w:t>
            </w:r>
          </w:p>
        </w:tc>
      </w:tr>
      <w:tr>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Ventajas de Coste y Silicio</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 ESTRUCTURAL</w:t>
            </w:r>
          </w:p>
        </w:tc>
        <w:tc>
          <w:tcPr>
            <w:tcW w:type="dxa" w:w="3312"/>
            <w:shd w:fill="F7FAFC"/>
            <w:tcMar>
              <w:top w:w="80" w:type="dxa"/>
              <w:bottom w:w="80" w:type="dxa"/>
              <w:left w:w="120" w:type="dxa"/>
              <w:right w:w="120" w:type="dxa"/>
            </w:tcMar>
          </w:tcPr>
          <w:p>
            <w:pPr>
              <w:spacing w:before="0" w:after="0"/>
              <w:jc w:val="left"/>
            </w:pPr>
            <w:r>
              <w:rPr>
                <w:rFonts w:ascii="Calibri" w:hAnsi="Calibri"/>
                <w:color w:val="2D3748"/>
                <w:sz w:val="18"/>
              </w:rPr>
              <w:t>El diseño propio de chips (Apple Silicon) ahorra miles de millones al eliminar márgenes de terceros. Además, la inferencia local en A19/M5 reduce a cero el coste marginal por consulta.</w:t>
            </w:r>
          </w:p>
        </w:tc>
        <w:tc>
          <w:tcPr>
            <w:tcW w:type="dxa" w:w="2736"/>
            <w:shd w:fill="F7FAFC"/>
            <w:tcMar>
              <w:top w:w="80" w:type="dxa"/>
              <w:bottom w:w="80" w:type="dxa"/>
              <w:left w:w="120" w:type="dxa"/>
              <w:right w:w="120" w:type="dxa"/>
            </w:tcMar>
          </w:tcPr>
          <w:p>
            <w:pPr>
              <w:spacing w:before="0" w:after="0"/>
              <w:jc w:val="left"/>
            </w:pPr>
            <w:r>
              <w:rPr>
                <w:rFonts w:ascii="Calibri" w:hAnsi="Calibri"/>
                <w:color w:val="2D3748"/>
                <w:sz w:val="18"/>
              </w:rPr>
              <w:t>Asimetría: Apple gana dinero vendiendo hardware con IA, mientras sus rivales consumen margen pagando centros de datos.</w:t>
            </w:r>
          </w:p>
        </w:tc>
      </w:tr>
      <w:tr>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Escala Eficiente y Distribución</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 ALTA</w:t>
            </w:r>
          </w:p>
        </w:tc>
        <w:tc>
          <w:tcPr>
            <w:tcW w:type="dxa" w:w="3312"/>
            <w:shd w:fill="FFFFFF"/>
            <w:tcMar>
              <w:top w:w="80" w:type="dxa"/>
              <w:bottom w:w="80" w:type="dxa"/>
              <w:left w:w="120" w:type="dxa"/>
              <w:right w:w="120" w:type="dxa"/>
            </w:tcMar>
          </w:tcPr>
          <w:p>
            <w:pPr>
              <w:spacing w:before="0" w:after="0"/>
              <w:jc w:val="left"/>
            </w:pPr>
            <w:r>
              <w:rPr>
                <w:rFonts w:ascii="Calibri" w:hAnsi="Calibri"/>
                <w:color w:val="2D3748"/>
                <w:sz w:val="18"/>
              </w:rPr>
              <w:t>Red de &gt;525 tiendas Apple Store en ubicaciones prime globales de máxima facturación/m2, sumada a una relación preferente de volumen exclusivo con TSMC para nodos avanzados (2nm).</w:t>
            </w:r>
          </w:p>
        </w:tc>
        <w:tc>
          <w:tcPr>
            <w:tcW w:type="dxa" w:w="2736"/>
            <w:shd w:fill="FFFFFF"/>
            <w:tcMar>
              <w:top w:w="80" w:type="dxa"/>
              <w:bottom w:w="80" w:type="dxa"/>
              <w:left w:w="120" w:type="dxa"/>
              <w:right w:w="120" w:type="dxa"/>
            </w:tcMar>
          </w:tcPr>
          <w:p>
            <w:pPr>
              <w:spacing w:before="0" w:after="0"/>
              <w:jc w:val="left"/>
            </w:pPr>
            <w:r>
              <w:rPr>
                <w:rFonts w:ascii="Calibri" w:hAnsi="Calibri"/>
                <w:color w:val="2D3748"/>
                <w:sz w:val="18"/>
              </w:rPr>
              <w:t>Monopolio de capacidad en litografía extrema que deja a los rivales esperando hasta 18 meses para acceder a tecnología equivalente.</w:t>
            </w:r>
          </w:p>
        </w:tc>
      </w:tr>
    </w:tbl>
    <w:p>
      <w:pPr>
        <w:spacing w:after="120"/>
      </w:pPr>
    </w:p>
    <w:p>
      <w:pPr>
        <w:spacing w:before="40" w:after="80" w:line="276" w:lineRule="auto"/>
      </w:pPr>
      <w:r>
        <w:rPr>
          <w:rFonts w:ascii="Calibri" w:hAnsi="Calibri"/>
          <w:b/>
          <w:color w:val="2D3748"/>
          <w:sz w:val="20"/>
        </w:rPr>
        <w:t xml:space="preserve">• </w:t>
      </w:r>
      <w:r>
        <w:rPr>
          <w:rFonts w:ascii="Calibri" w:hAnsi="Calibri"/>
          <w:i w:val="0"/>
          <w:color w:val="2D3748"/>
          <w:sz w:val="20"/>
        </w:rPr>
        <w:t>Dictamen Estratégico Global: WIDE MOAT | Tendencia: EN EXPANSIÓN.</w:t>
      </w:r>
    </w:p>
    <w:p>
      <w:pPr>
        <w:keepNext/>
        <w:spacing w:before="200" w:after="80"/>
      </w:pPr>
      <w:r>
        <w:rPr>
          <w:rFonts w:ascii="Calibri" w:hAnsi="Calibri"/>
          <w:b/>
          <w:color w:val="4A5568"/>
          <w:sz w:val="22"/>
        </w:rPr>
        <w:t>7.2. Estrategia de IA: Inferencia en Dispositivo (On-Device) vs. Costes en la Nube</w:t>
      </w:r>
    </w:p>
    <w:p>
      <w:pPr>
        <w:spacing w:before="40" w:after="80" w:line="276" w:lineRule="auto"/>
      </w:pPr>
      <w:r>
        <w:rPr>
          <w:rFonts w:ascii="Calibri" w:hAnsi="Calibri"/>
          <w:b/>
          <w:color w:val="2D3748"/>
          <w:sz w:val="20"/>
        </w:rPr>
        <w:t xml:space="preserve">• Asimetría del Coste Marginal por Petición: </w:t>
      </w:r>
      <w:r>
        <w:rPr>
          <w:rFonts w:ascii="Calibri" w:hAnsi="Calibri"/>
          <w:i w:val="0"/>
          <w:color w:val="2D3748"/>
          <w:sz w:val="20"/>
        </w:rPr>
        <w:t>Mientras gigantes como Microsoft, Google o Meta incurren en enormes gastos operativos en centros de datos para procesar cada consulta en servidores GPU centralizados, Apple delega más del 80% de las tareas de IA directamente a los motores neuronales (NPU) de los procesadores A19 y M5 de sus dispositivos. El coste computacional marginal para Apple es de $0.00 por token.</w:t>
      </w:r>
    </w:p>
    <w:p>
      <w:pPr>
        <w:spacing w:before="40" w:after="80" w:line="276" w:lineRule="auto"/>
      </w:pPr>
      <w:r>
        <w:rPr>
          <w:rFonts w:ascii="Calibri" w:hAnsi="Calibri"/>
          <w:b/>
          <w:color w:val="2D3748"/>
          <w:sz w:val="20"/>
        </w:rPr>
        <w:t xml:space="preserve">• La Privacidad como Activo Estratégico (Private Cloud Compute): </w:t>
      </w:r>
      <w:r>
        <w:rPr>
          <w:rFonts w:ascii="Calibri" w:hAnsi="Calibri"/>
          <w:i w:val="0"/>
          <w:color w:val="2D3748"/>
          <w:sz w:val="20"/>
        </w:rPr>
        <w:t>Para consultas complejas que superan la capacidad local, Apple utiliza servidores propios equipados con Apple Silicon bajo un protocolo criptográfico inviolable. Ningún dato del usuario se almacena ni se indexa, convirtiendo la privacidad en un argumento de venta comercial inaccesible para empresas basadas en la venta de publicidad.</w:t>
      </w:r>
    </w:p>
    <w:p>
      <w:pPr>
        <w:spacing w:before="40" w:after="80" w:line="276" w:lineRule="auto"/>
      </w:pPr>
      <w:r>
        <w:rPr>
          <w:rFonts w:ascii="Calibri" w:hAnsi="Calibri"/>
          <w:b/>
          <w:color w:val="2D3748"/>
          <w:sz w:val="20"/>
        </w:rPr>
        <w:t xml:space="preserve">• Ahorro Operativo para Clientes Corporativos: </w:t>
      </w:r>
      <w:r>
        <w:rPr>
          <w:rFonts w:ascii="Calibri" w:hAnsi="Calibri"/>
          <w:i w:val="0"/>
          <w:color w:val="2D3748"/>
          <w:sz w:val="20"/>
        </w:rPr>
        <w:t>Grandes corporaciones (como Disney y Crédit Agricole) han comenzado a migrar flujos de trabajo de análisis de datos a ordenadores Mac con chips M-series para eliminar las suscripciones y peajes recurrentes de IA en la nube.</w:t>
      </w:r>
    </w:p>
    <w:p>
      <w:pPr>
        <w:keepNext/>
        <w:spacing w:before="200" w:after="80"/>
      </w:pPr>
      <w:r>
        <w:rPr>
          <w:rFonts w:ascii="Calibri" w:hAnsi="Calibri"/>
          <w:b/>
          <w:color w:val="4A5568"/>
          <w:sz w:val="22"/>
        </w:rPr>
        <w:t>7.3. Modelo de Monetización de la Innovación: El Acelerador del Ciclo de Reemplazo</w:t>
      </w:r>
    </w:p>
    <w:p>
      <w:pPr>
        <w:spacing w:before="40" w:after="80" w:line="276" w:lineRule="auto"/>
      </w:pPr>
      <w:r>
        <w:rPr>
          <w:rFonts w:ascii="Calibri" w:hAnsi="Calibri"/>
          <w:b/>
          <w:color w:val="2D3748"/>
          <w:sz w:val="20"/>
        </w:rPr>
        <w:t xml:space="preserve">1. Tracción de Hardware Premium: </w:t>
      </w:r>
      <w:r>
        <w:rPr>
          <w:rFonts w:ascii="Calibri" w:hAnsi="Calibri"/>
          <w:i w:val="0"/>
          <w:color w:val="2D3748"/>
          <w:sz w:val="20"/>
        </w:rPr>
        <w:t>Las funcionalidades avanzadas de IA exigen un mínimo de memoria unificada y potencia de NPU, volviendo obsoletos a terminales antiguos e impulsando el superciclo de renovación hacia gamas Pro y Pro Max de mayor margen.</w:t>
      </w:r>
    </w:p>
    <w:p>
      <w:pPr>
        <w:spacing w:before="40" w:after="80" w:line="276" w:lineRule="auto"/>
      </w:pPr>
      <w:r>
        <w:rPr>
          <w:rFonts w:ascii="Calibri" w:hAnsi="Calibri"/>
          <w:b/>
          <w:color w:val="2D3748"/>
          <w:sz w:val="20"/>
        </w:rPr>
        <w:t xml:space="preserve">2. Peaje en Servicios de Terceros: </w:t>
      </w:r>
      <w:r>
        <w:rPr>
          <w:rFonts w:ascii="Calibri" w:hAnsi="Calibri"/>
          <w:i w:val="0"/>
          <w:color w:val="2D3748"/>
          <w:sz w:val="20"/>
        </w:rPr>
        <w:t>Al integrar modelos fundacionales externos (como ChatGPT o Gemini) dentro de Siri y del sistema operativo, Apple actúa como el guardián de acceso (gatekeeper), cobrando comisiones por compras integradas y suscripciones intermediadas sin asumir el riesgo ni el coste de infraestructura.</w:t>
      </w:r>
    </w:p>
    <w:p>
      <w:pPr>
        <w:keepNext/>
        <w:spacing w:before="200" w:after="80"/>
      </w:pPr>
      <w:r>
        <w:rPr>
          <w:rFonts w:ascii="Calibri" w:hAnsi="Calibri"/>
          <w:b/>
          <w:color w:val="4A5568"/>
          <w:sz w:val="22"/>
        </w:rPr>
        <w:t>7.4. Intensidad de I+D y Productividad de la Innovación</w:t>
      </w:r>
    </w:p>
    <w:p>
      <w:pPr>
        <w:spacing w:before="40" w:after="80" w:line="276" w:lineRule="auto"/>
      </w:pPr>
      <w:r>
        <w:rPr>
          <w:rFonts w:ascii="Calibri" w:hAnsi="Calibri"/>
          <w:b/>
          <w:color w:val="2D3748"/>
          <w:sz w:val="20"/>
        </w:rPr>
        <w:t xml:space="preserve">• Enfoque en Silicio Propietario e Infraestructura: </w:t>
      </w:r>
      <w:r>
        <w:rPr>
          <w:rFonts w:ascii="Calibri" w:hAnsi="Calibri"/>
          <w:i w:val="0"/>
          <w:color w:val="2D3748"/>
          <w:sz w:val="20"/>
        </w:rPr>
        <w:t>El incremento del gasto en I+D no responde a experimentos dispersos, sino a la internalización de componentes clave: el módem de conectividad propio (C1), la arquitectura de litografía en 2nm con TSMC y la optimización de pesos neuronales.</w:t>
      </w:r>
    </w:p>
    <w:p>
      <w:pPr>
        <w:spacing w:before="40" w:after="80" w:line="276" w:lineRule="auto"/>
      </w:pPr>
      <w:r>
        <w:rPr>
          <w:rFonts w:ascii="Calibri" w:hAnsi="Calibri"/>
          <w:b/>
          <w:color w:val="2D3748"/>
          <w:sz w:val="20"/>
        </w:rPr>
        <w:t xml:space="preserve">• Retorno del Capital Invertido en Innovación: </w:t>
      </w:r>
      <w:r>
        <w:rPr>
          <w:rFonts w:ascii="Calibri" w:hAnsi="Calibri"/>
          <w:i w:val="0"/>
          <w:color w:val="2D3748"/>
          <w:sz w:val="20"/>
        </w:rPr>
        <w:t>A diferencia de proyectos especulativos de la industria, cada dólar invertido por Apple en I+D ($8,700 M en Q3 FY26, +32.3% YoY, 8.0% de las ventas) se traduce en patentes aplicadas a productos de consumo masivo con márgenes operativos del 32.6%.</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DE DIAGNÓSTICO FUNDAMENTAL: ¿CÓMO AUDITAR EL FOSO DEFENSIVO (ECONOMIC MOAT)?</w:t>
            </w:r>
          </w:p>
          <w:p>
            <w:pPr>
              <w:spacing w:before="40" w:after="40" w:line="276" w:lineRule="auto"/>
            </w:pPr>
            <w:r>
              <w:rPr>
                <w:rFonts w:ascii="Calibri" w:hAnsi="Calibri"/>
                <w:color w:val="2D3748"/>
                <w:sz w:val="19"/>
              </w:rPr>
              <w:t>• Identificación de un Wide Moat: Una empresa posee un foso amplio cuando puede generar sistemáticamente un ROIC superior a su WACC durante más de 10 o 15 años.</w:t>
            </w:r>
          </w:p>
          <w:p>
            <w:pPr>
              <w:spacing w:before="40" w:after="40" w:line="276" w:lineRule="auto"/>
            </w:pPr>
            <w:r>
              <w:rPr>
                <w:rFonts w:ascii="Calibri" w:hAnsi="Calibri"/>
                <w:color w:val="2D3748"/>
                <w:sz w:val="19"/>
              </w:rPr>
              <w:t>• Costes de Cambio y Pricing Power: Si un cliente no puede sustituir el producto sin fricción, la empresa puede subir precios sin perder demanda.</w:t>
            </w:r>
          </w:p>
          <w:p>
            <w:pPr>
              <w:spacing w:before="40" w:after="40" w:line="276" w:lineRule="auto"/>
            </w:pPr>
            <w:r>
              <w:rPr>
                <w:rFonts w:ascii="Calibri" w:hAnsi="Calibri"/>
                <w:color w:val="2D3748"/>
                <w:sz w:val="19"/>
              </w:rPr>
              <w:t>• Vigilancia de Erosión: La caída continua de margen bruto o la necesidad de rebajas agresivas son las primeras señales de debilitamiento de un foso.</w:t>
            </w:r>
          </w:p>
        </w:tc>
      </w:tr>
    </w:tbl>
    <w:p>
      <w:pPr>
        <w:spacing w:after="80"/>
      </w:pPr>
    </w:p>
    <w:p>
      <w:pPr>
        <w:keepNext/>
        <w:spacing w:before="320" w:after="120"/>
      </w:pPr>
      <w:r>
        <w:rPr>
          <w:rFonts w:ascii="Calibri" w:hAnsi="Calibri"/>
          <w:b/>
          <w:color w:val="1B365D"/>
          <w:sz w:val="26"/>
        </w:rPr>
        <w:t>8. Gobernanza Corporativa, Sentimiento Insider (Form 4 y 144) y Alertas 8-K</w:t>
      </w: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left w:val="single" w:sz="24" w:space="0" w:color="0A3641"/>
              <w:top w:val="none"/>
              <w:right w:val="none"/>
              <w:bottom w:val="none"/>
            </w:tcBorders>
          </w:tcPr>
          <w:p>
            <w:pPr>
              <w:spacing w:before="0" w:after="80"/>
            </w:pPr>
            <w:r>
              <w:rPr>
                <w:rFonts w:ascii="Segoe UI Emoji" w:hAnsi="Segoe UI Emoji"/>
                <w:sz w:val="21"/>
              </w:rPr>
              <w:t xml:space="preserve">📌  </w:t>
            </w:r>
            <w:r>
              <w:rPr>
                <w:rFonts w:ascii="Calibri" w:hAnsi="Calibri"/>
                <w:b/>
                <w:color w:val="0A3641"/>
                <w:sz w:val="21"/>
              </w:rPr>
              <w:t>GUÍA PEDAGÓGICA PARA EL INVERSOR: LA CADENA DE TRAZABILIDAD DE LA SEC</w:t>
            </w:r>
          </w:p>
          <w:p>
            <w:pPr>
              <w:spacing w:before="40" w:after="40" w:line="276" w:lineRule="auto"/>
            </w:pPr>
            <w:r>
              <w:rPr>
                <w:rFonts w:ascii="Calibri" w:hAnsi="Calibri"/>
                <w:color w:val="2D3748"/>
                <w:sz w:val="19"/>
              </w:rPr>
              <w:t>• Formulario 8-K (La Empresa Habla): Notifica eventos materiales corporativos en tiempo real (relevo del CEO, cambios de auditor o acuerdos clave).</w:t>
            </w:r>
          </w:p>
          <w:p>
            <w:pPr>
              <w:spacing w:before="40" w:after="40" w:line="276" w:lineRule="auto"/>
            </w:pPr>
            <w:r>
              <w:rPr>
                <w:rFonts w:ascii="Calibri" w:hAnsi="Calibri"/>
                <w:color w:val="2D3748"/>
                <w:sz w:val="19"/>
              </w:rPr>
              <w:t>• Formulario 144 (El Aviso Previo): Notificación previa y obligatoria de un directivo antes de vender acciones restringidas.</w:t>
            </w:r>
          </w:p>
          <w:p>
            <w:pPr>
              <w:spacing w:before="40" w:after="40" w:line="276" w:lineRule="auto"/>
            </w:pPr>
            <w:r>
              <w:rPr>
                <w:rFonts w:ascii="Calibri" w:hAnsi="Calibri"/>
                <w:color w:val="2D3748"/>
                <w:sz w:val="19"/>
              </w:rPr>
              <w:t>• Formulario 4 (La Ejecución Real): Registro en 48 horas de la transacción ya liquidada en bolsa.</w:t>
            </w:r>
          </w:p>
          <w:p>
            <w:pPr>
              <w:spacing w:before="40" w:after="40" w:line="276" w:lineRule="auto"/>
            </w:pPr>
            <w:r>
              <w:rPr>
                <w:rFonts w:ascii="Calibri" w:hAnsi="Calibri"/>
                <w:color w:val="2D3748"/>
                <w:sz w:val="19"/>
              </w:rPr>
              <w:t>• Regla de Oro: Las ventas bajo Planes Rule 10b5-1 son automáticas y preprogramadas sin información privilegiada. Las ventas discrecionales reflejan decisiones activas.</w:t>
            </w:r>
          </w:p>
        </w:tc>
      </w:tr>
    </w:tbl>
    <w:p>
      <w:pPr>
        <w:spacing w:after="80"/>
      </w:pPr>
    </w:p>
    <w:p>
      <w:pPr>
        <w:keepNext/>
        <w:spacing w:before="200" w:after="80"/>
      </w:pPr>
      <w:r>
        <w:rPr>
          <w:rFonts w:ascii="Calibri" w:hAnsi="Calibri"/>
          <w:b/>
          <w:color w:val="4A5568"/>
          <w:sz w:val="22"/>
        </w:rPr>
        <w:t>8.1. Hechos Relevantes y Alertas Tempranas de la Corporación (Formulario 8-K)</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958"/>
        <w:gridCol w:w="1958"/>
        <w:gridCol w:w="1958"/>
        <w:gridCol w:w="1958"/>
        <w:gridCol w:w="1958"/>
      </w:tblGrid>
      <w:tr>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Fecha SEC</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Ítem Oficial 8-K</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Naturaleza del Evento</w:t>
            </w:r>
          </w:p>
        </w:tc>
        <w:tc>
          <w:tcPr>
            <w:tcW w:type="dxa" w:w="2448"/>
            <w:shd w:fill="1B365D"/>
            <w:tcMar>
              <w:top w:w="100" w:type="dxa"/>
              <w:bottom w:w="100" w:type="dxa"/>
              <w:left w:w="120" w:type="dxa"/>
              <w:right w:w="120" w:type="dxa"/>
            </w:tcMar>
          </w:tcPr>
          <w:p>
            <w:pPr>
              <w:spacing w:before="0" w:after="0"/>
              <w:jc w:val="left"/>
            </w:pPr>
            <w:r>
              <w:rPr>
                <w:rFonts w:ascii="Calibri" w:hAnsi="Calibri"/>
                <w:b/>
                <w:color w:val="FFFFFF"/>
                <w:sz w:val="19"/>
              </w:rPr>
              <w:t>¿Qué significa para la Empresa?</w:t>
            </w:r>
          </w:p>
        </w:tc>
        <w:tc>
          <w:tcPr>
            <w:tcW w:type="dxa" w:w="2304"/>
            <w:shd w:fill="1B365D"/>
            <w:tcMar>
              <w:top w:w="100" w:type="dxa"/>
              <w:bottom w:w="100" w:type="dxa"/>
              <w:left w:w="120" w:type="dxa"/>
              <w:right w:w="120" w:type="dxa"/>
            </w:tcMar>
          </w:tcPr>
          <w:p>
            <w:pPr>
              <w:spacing w:before="0" w:after="0"/>
              <w:jc w:val="left"/>
            </w:pPr>
            <w:r>
              <w:rPr>
                <w:rFonts w:ascii="Calibri" w:hAnsi="Calibri"/>
                <w:b/>
                <w:color w:val="FFFFFF"/>
                <w:sz w:val="19"/>
              </w:rPr>
              <w:t>Diagnóstico para el Inversor</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2026-09-01</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Item 5.02</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Sucesión Ejecutiva en el C-Suite</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Formalización de la renuncia de Tim Cook como CEO y designación oficial de John Ternus.</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 RELEVO PLANIFICADO: Transición técnica ordenada sin vacíos de poder; foco en silicio.</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2026-07-30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Item 2.02</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Resultados Financieros Trimestrales</w:t>
            </w:r>
          </w:p>
        </w:tc>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Avance formal de cifras oficiales auditadas correspondientes al trimestre Q3 FY26.</w:t>
            </w:r>
          </w:p>
        </w:tc>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 TRÁMITE ORDINARIO: Cumplimiento regular del calendario financiero ante los mercados.</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2026-04-20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Item 5.02</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Acuerdos de Compensación Ejecutiva</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Actualización de paquetes de incentivos en acciones restringidas (RSUs) para directores.</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 ALINEACIÓN: Remuneración ligada a métricas operativas y de retorno de largo plazo.</w:t>
            </w:r>
          </w:p>
        </w:tc>
      </w:tr>
      <w:tr>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Últimos 12M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Item 4.01</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Auditoría Externa Independiente</w:t>
            </w:r>
          </w:p>
        </w:tc>
        <w:tc>
          <w:tcPr>
            <w:tcW w:type="dxa" w:w="2448"/>
            <w:shd w:fill="F7FAFC"/>
            <w:tcMar>
              <w:top w:w="80" w:type="dxa"/>
              <w:bottom w:w="80" w:type="dxa"/>
              <w:left w:w="120" w:type="dxa"/>
              <w:right w:w="120" w:type="dxa"/>
            </w:tcMar>
          </w:tcPr>
          <w:p>
            <w:pPr>
              <w:spacing w:before="0" w:after="0"/>
              <w:jc w:val="left"/>
            </w:pPr>
            <w:r>
              <w:rPr>
                <w:rFonts w:ascii="Calibri" w:hAnsi="Calibri"/>
                <w:color w:val="2D3748"/>
                <w:sz w:val="18"/>
              </w:rPr>
              <w:t>Sin registros. PricewaterhouseCoopers (PwC) continúa como auditor principal sin discrepancias.</w:t>
            </w:r>
          </w:p>
        </w:tc>
        <w:tc>
          <w:tcPr>
            <w:tcW w:type="dxa" w:w="2304"/>
            <w:shd w:fill="F7FAFC"/>
            <w:tcMar>
              <w:top w:w="80" w:type="dxa"/>
              <w:bottom w:w="80" w:type="dxa"/>
              <w:left w:w="120" w:type="dxa"/>
              <w:right w:w="120" w:type="dxa"/>
            </w:tcMar>
          </w:tcPr>
          <w:p>
            <w:pPr>
              <w:spacing w:before="0" w:after="0"/>
              <w:jc w:val="left"/>
            </w:pPr>
            <w:r>
              <w:rPr>
                <w:rFonts w:ascii="Calibri" w:hAnsi="Calibri"/>
                <w:color w:val="2D3748"/>
                <w:sz w:val="18"/>
              </w:rPr>
              <w:t>🟢 MÁXIMA ESTABILIDAD: Cero banderas rojas contables o disputas sobre criterios contables.</w:t>
            </w:r>
          </w:p>
        </w:tc>
      </w:tr>
      <w:tr>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Últimos 12M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Item 2.04</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Eventos de Insolvencia o Impago</w:t>
            </w:r>
          </w:p>
        </w:tc>
        <w:tc>
          <w:tcPr>
            <w:tcW w:type="dxa" w:w="2448"/>
            <w:shd w:fill="FFFFFF"/>
            <w:tcMar>
              <w:top w:w="80" w:type="dxa"/>
              <w:bottom w:w="80" w:type="dxa"/>
              <w:left w:w="120" w:type="dxa"/>
              <w:right w:w="120" w:type="dxa"/>
            </w:tcMar>
          </w:tcPr>
          <w:p>
            <w:pPr>
              <w:spacing w:before="0" w:after="0"/>
              <w:jc w:val="left"/>
            </w:pPr>
            <w:r>
              <w:rPr>
                <w:rFonts w:ascii="Calibri" w:hAnsi="Calibri"/>
                <w:color w:val="2D3748"/>
                <w:sz w:val="18"/>
              </w:rPr>
              <w:t>Sin registros. Ninguna aceleración de vencimientos ni cláusulas de penalización de deuda.</w:t>
            </w:r>
          </w:p>
        </w:tc>
        <w:tc>
          <w:tcPr>
            <w:tcW w:type="dxa" w:w="2304"/>
            <w:shd w:fill="FFFFFF"/>
            <w:tcMar>
              <w:top w:w="80" w:type="dxa"/>
              <w:bottom w:w="80" w:type="dxa"/>
              <w:left w:w="120" w:type="dxa"/>
              <w:right w:w="120" w:type="dxa"/>
            </w:tcMar>
          </w:tcPr>
          <w:p>
            <w:pPr>
              <w:spacing w:before="0" w:after="0"/>
              <w:jc w:val="left"/>
            </w:pPr>
            <w:r>
              <w:rPr>
                <w:rFonts w:ascii="Calibri" w:hAnsi="Calibri"/>
                <w:color w:val="2D3748"/>
                <w:sz w:val="18"/>
              </w:rPr>
              <w:t>🟢 RIESGO CREDITICIO NULO: Solvencia intacta con posición de caja neta de +$62.2B.</w:t>
            </w:r>
          </w:p>
        </w:tc>
      </w:tr>
    </w:tbl>
    <w:p>
      <w:pPr>
        <w:spacing w:after="120"/>
      </w:pPr>
    </w:p>
    <w:p>
      <w:pPr>
        <w:keepNext/>
        <w:spacing w:before="200" w:after="80"/>
      </w:pPr>
      <w:r>
        <w:rPr>
          <w:rFonts w:ascii="Calibri" w:hAnsi="Calibri"/>
          <w:b/>
          <w:color w:val="4A5568"/>
          <w:sz w:val="22"/>
        </w:rPr>
        <w:t>8.2. Monitor Unificado de Insiders: Del Aviso (Form 144) a la Ejecución (Form 4)</w:t>
      </w:r>
    </w:p>
    <w:p>
      <w:pPr>
        <w:spacing w:before="40" w:after="80" w:line="276" w:lineRule="auto"/>
      </w:pPr>
      <w:r>
        <w:rPr>
          <w:rFonts w:ascii="Calibri" w:hAnsi="Calibri"/>
          <w:i w:val="0"/>
          <w:color w:val="2D3748"/>
          <w:sz w:val="20"/>
        </w:rPr>
        <w:t>Consolidación de transacciones de directivos clave cruzando intención (Form 144) con ejecución efectiva (Form 4):</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Directivo / Cargo Clave</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Tipo de Operación y Modalidad SEC</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Volumen de Acciones</w:t>
            </w:r>
          </w:p>
        </w:tc>
        <w:tc>
          <w:tcPr>
            <w:tcW w:type="dxa" w:w="1440"/>
            <w:shd w:fill="1B365D"/>
            <w:tcMar>
              <w:top w:w="100" w:type="dxa"/>
              <w:bottom w:w="100" w:type="dxa"/>
              <w:left w:w="120" w:type="dxa"/>
              <w:right w:w="120" w:type="dxa"/>
            </w:tcMar>
          </w:tcPr>
          <w:p>
            <w:pPr>
              <w:spacing w:before="0" w:after="0"/>
              <w:jc w:val="right"/>
            </w:pPr>
            <w:r>
              <w:rPr>
                <w:rFonts w:ascii="Calibri" w:hAnsi="Calibri"/>
                <w:b/>
                <w:color w:val="FFFFFF"/>
                <w:sz w:val="19"/>
              </w:rPr>
              <w:t>Importe Efectivo ($)</w:t>
            </w:r>
          </w:p>
        </w:tc>
        <w:tc>
          <w:tcPr>
            <w:tcW w:type="dxa" w:w="1296"/>
            <w:shd w:fill="1B365D"/>
            <w:tcMar>
              <w:top w:w="100" w:type="dxa"/>
              <w:bottom w:w="100" w:type="dxa"/>
              <w:left w:w="120" w:type="dxa"/>
              <w:right w:w="120" w:type="dxa"/>
            </w:tcMar>
          </w:tcPr>
          <w:p>
            <w:pPr>
              <w:spacing w:before="0" w:after="0"/>
              <w:jc w:val="center"/>
            </w:pPr>
            <w:r>
              <w:rPr>
                <w:rFonts w:ascii="Calibri" w:hAnsi="Calibri"/>
                <w:b/>
                <w:color w:val="FFFFFF"/>
                <w:sz w:val="19"/>
              </w:rPr>
              <w:t>Trazabilidad SEC (144 ➔ 4)</w:t>
            </w:r>
          </w:p>
        </w:tc>
        <w:tc>
          <w:tcPr>
            <w:tcW w:type="dxa" w:w="1584"/>
            <w:shd w:fill="1B365D"/>
            <w:tcMar>
              <w:top w:w="100" w:type="dxa"/>
              <w:bottom w:w="100" w:type="dxa"/>
              <w:left w:w="120" w:type="dxa"/>
              <w:right w:w="120" w:type="dxa"/>
            </w:tcMar>
          </w:tcPr>
          <w:p>
            <w:pPr>
              <w:spacing w:before="0" w:after="0"/>
              <w:jc w:val="left"/>
            </w:pPr>
            <w:r>
              <w:rPr>
                <w:rFonts w:ascii="Calibri" w:hAnsi="Calibri"/>
                <w:b/>
                <w:color w:val="FFFFFF"/>
                <w:sz w:val="19"/>
              </w:rPr>
              <w:t>Diagnóstico de Convicción</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Timothy D. Cook</w:t>
              <w:br/>
              <w:t>(Chief Executive Officer)</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Venta Automática (Plan 10b5-1)</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-194,912</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-$49,887,921</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4 Liquidado</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Venta programada con 9 meses de antelación; diversificación en su salida.</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John Ternus</w:t>
              <w:br/>
              <w:t>(CEO Entrante)</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Cero Ventas (Retención Total)</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0</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$0</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Sin avisos 144</w:t>
            </w:r>
          </w:p>
        </w:tc>
        <w:tc>
          <w:tcPr>
            <w:tcW w:type="dxa" w:w="1584"/>
            <w:shd w:fill="F7FAFC"/>
            <w:tcMar>
              <w:top w:w="80" w:type="dxa"/>
              <w:bottom w:w="80" w:type="dxa"/>
              <w:left w:w="120" w:type="dxa"/>
              <w:right w:w="120" w:type="dxa"/>
            </w:tcMar>
          </w:tcPr>
          <w:p>
            <w:pPr>
              <w:spacing w:before="0" w:after="0"/>
              <w:jc w:val="left"/>
            </w:pPr>
            <w:r>
              <w:rPr>
                <w:rFonts w:ascii="Calibri" w:hAnsi="Calibri"/>
                <w:color w:val="2D3748"/>
                <w:sz w:val="18"/>
              </w:rPr>
              <w:t>Retención patrimonial íntegra tras su designación como CEO.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Arthur D. Levinson</w:t>
              <w:br/>
              <w:t>(Presidente del Consejo)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Venta Discrecional</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-300,000</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-$86,740,722</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144 (May) ➔ Form 4</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Toma de beneficios voluntaria en máximos históricos. No utilizó plan 10b5-1.</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Deirdre O'Brien</w:t>
              <w:br/>
              <w:t>(Senior Vice President)</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Venta Automática (Plan 10b5-1)</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-73,015</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-$18,731,954</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Form 144 (Abr) ➔ Form 4</w:t>
            </w:r>
          </w:p>
        </w:tc>
        <w:tc>
          <w:tcPr>
            <w:tcW w:type="dxa" w:w="1584"/>
            <w:shd w:fill="F7FAFC"/>
            <w:tcMar>
              <w:top w:w="80" w:type="dxa"/>
              <w:bottom w:w="80" w:type="dxa"/>
              <w:left w:w="120" w:type="dxa"/>
              <w:right w:w="120" w:type="dxa"/>
            </w:tcMar>
          </w:tcPr>
          <w:p>
            <w:pPr>
              <w:spacing w:before="0" w:after="0"/>
              <w:jc w:val="left"/>
            </w:pPr>
            <w:r>
              <w:rPr>
                <w:rFonts w:ascii="Calibri" w:hAnsi="Calibri"/>
                <w:color w:val="2D3748"/>
                <w:sz w:val="18"/>
              </w:rPr>
              <w:t>Venta 100% ciega y programada; ejecución rutinaria de opciones sobre acciones.</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Katherine L. Adams</w:t>
              <w:br/>
              <w:t>(SVP &amp; General Counsel)</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Venta Mixta / Retención</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-47,125</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-$12,101,154</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144 (May) ➔ Form 4</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Desinversión parcial tras vencimiento de RSUs y cobertura fiscal.</w:t>
            </w:r>
          </w:p>
        </w:tc>
      </w:tr>
      <w:tr>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Jennifer Newstead</w:t>
              <w:br/>
              <w:t>(SVP Government Affairs)</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Venta Automática (Plan 10b5-1)</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-7,194</w:t>
            </w:r>
          </w:p>
        </w:tc>
        <w:tc>
          <w:tcPr>
            <w:tcW w:type="dxa" w:w="1440"/>
            <w:shd w:fill="F7FAFC"/>
            <w:tcMar>
              <w:top w:w="80" w:type="dxa"/>
              <w:bottom w:w="80" w:type="dxa"/>
              <w:left w:w="120" w:type="dxa"/>
              <w:right w:w="120" w:type="dxa"/>
            </w:tcMar>
          </w:tcPr>
          <w:p>
            <w:pPr>
              <w:spacing w:before="0" w:after="0"/>
              <w:jc w:val="right"/>
            </w:pPr>
            <w:r>
              <w:rPr>
                <w:rFonts w:ascii="Calibri" w:hAnsi="Calibri"/>
                <w:color w:val="2D3748"/>
                <w:sz w:val="18"/>
              </w:rPr>
              <w:t>-$2,245,142</w:t>
            </w:r>
          </w:p>
        </w:tc>
        <w:tc>
          <w:tcPr>
            <w:tcW w:type="dxa" w:w="1296"/>
            <w:shd w:fill="F7FAFC"/>
            <w:tcMar>
              <w:top w:w="80" w:type="dxa"/>
              <w:bottom w:w="80" w:type="dxa"/>
              <w:left w:w="120" w:type="dxa"/>
              <w:right w:w="120" w:type="dxa"/>
            </w:tcMar>
          </w:tcPr>
          <w:p>
            <w:pPr>
              <w:spacing w:before="0" w:after="0"/>
              <w:jc w:val="center"/>
            </w:pPr>
            <w:r>
              <w:rPr>
                <w:rFonts w:ascii="Calibri" w:hAnsi="Calibri"/>
                <w:color w:val="2D3748"/>
                <w:sz w:val="18"/>
              </w:rPr>
              <w:t>Form 144 (Ago) ➔ Form 4</w:t>
            </w:r>
          </w:p>
        </w:tc>
        <w:tc>
          <w:tcPr>
            <w:tcW w:type="dxa" w:w="1584"/>
            <w:shd w:fill="F7FAFC"/>
            <w:tcMar>
              <w:top w:w="80" w:type="dxa"/>
              <w:bottom w:w="80" w:type="dxa"/>
              <w:left w:w="120" w:type="dxa"/>
              <w:right w:w="120" w:type="dxa"/>
            </w:tcMar>
          </w:tcPr>
          <w:p>
            <w:pPr>
              <w:spacing w:before="0" w:after="0"/>
              <w:jc w:val="left"/>
            </w:pPr>
            <w:r>
              <w:rPr>
                <w:rFonts w:ascii="Calibri" w:hAnsi="Calibri"/>
                <w:color w:val="2D3748"/>
                <w:sz w:val="18"/>
              </w:rPr>
              <w:t>Venta menor rutinaria y programada bajo plan preestablecido.</w:t>
            </w:r>
          </w:p>
        </w:tc>
      </w:tr>
      <w:tr>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Kevan Parekh</w:t>
              <w:br/>
              <w:t>(Senior VP &amp; CFO)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Venta Automática (Plan 10b5-1)</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-5,733</w:t>
            </w:r>
          </w:p>
        </w:tc>
        <w:tc>
          <w:tcPr>
            <w:tcW w:type="dxa" w:w="1440"/>
            <w:shd w:fill="FFFFFF"/>
            <w:tcMar>
              <w:top w:w="80" w:type="dxa"/>
              <w:bottom w:w="80" w:type="dxa"/>
              <w:left w:w="120" w:type="dxa"/>
              <w:right w:w="120" w:type="dxa"/>
            </w:tcMar>
          </w:tcPr>
          <w:p>
            <w:pPr>
              <w:spacing w:before="0" w:after="0"/>
              <w:jc w:val="right"/>
            </w:pPr>
            <w:r>
              <w:rPr>
                <w:rFonts w:ascii="Calibri" w:hAnsi="Calibri"/>
                <w:color w:val="2D3748"/>
                <w:sz w:val="18"/>
              </w:rPr>
              <w:t>-$1,460,637</w:t>
            </w:r>
          </w:p>
        </w:tc>
        <w:tc>
          <w:tcPr>
            <w:tcW w:type="dxa" w:w="1296"/>
            <w:shd w:fill="FFFFFF"/>
            <w:tcMar>
              <w:top w:w="80" w:type="dxa"/>
              <w:bottom w:w="80" w:type="dxa"/>
              <w:left w:w="120" w:type="dxa"/>
              <w:right w:w="120" w:type="dxa"/>
            </w:tcMar>
          </w:tcPr>
          <w:p>
            <w:pPr>
              <w:spacing w:before="0" w:after="0"/>
              <w:jc w:val="center"/>
            </w:pPr>
            <w:r>
              <w:rPr>
                <w:rFonts w:ascii="Calibri" w:hAnsi="Calibri"/>
                <w:color w:val="2D3748"/>
                <w:sz w:val="18"/>
              </w:rPr>
              <w:t>Form 144 (Abr) ➔ Form 4</w:t>
            </w:r>
          </w:p>
        </w:tc>
        <w:tc>
          <w:tcPr>
            <w:tcW w:type="dxa" w:w="1584"/>
            <w:shd w:fill="FFFFFF"/>
            <w:tcMar>
              <w:top w:w="80" w:type="dxa"/>
              <w:bottom w:w="80" w:type="dxa"/>
              <w:left w:w="120" w:type="dxa"/>
              <w:right w:w="120" w:type="dxa"/>
            </w:tcMar>
          </w:tcPr>
          <w:p>
            <w:pPr>
              <w:spacing w:before="0" w:after="0"/>
              <w:jc w:val="left"/>
            </w:pPr>
            <w:r>
              <w:rPr>
                <w:rFonts w:ascii="Calibri" w:hAnsi="Calibri"/>
                <w:color w:val="2D3748"/>
                <w:sz w:val="18"/>
              </w:rPr>
              <w:t>Venta menor de diversificación personal del nuevo director financiero.</w:t>
            </w:r>
          </w:p>
        </w:tc>
      </w:tr>
    </w:tbl>
    <w:p>
      <w:pPr>
        <w:spacing w:after="120"/>
      </w:pPr>
    </w:p>
    <w:p>
      <w:pPr>
        <w:spacing w:before="40" w:after="80" w:line="276" w:lineRule="auto"/>
      </w:pPr>
      <w:r>
        <w:rPr>
          <w:rFonts w:ascii="Calibri" w:hAnsi="Calibri"/>
          <w:b/>
          <w:color w:val="2D3748"/>
          <w:sz w:val="20"/>
        </w:rPr>
        <w:t xml:space="preserve">• Dictamen de Convicción Interna: </w:t>
      </w:r>
      <w:r>
        <w:rPr>
          <w:rFonts w:ascii="Calibri" w:hAnsi="Calibri"/>
          <w:i w:val="0"/>
          <w:color w:val="2D3748"/>
          <w:sz w:val="20"/>
        </w:rPr>
        <w:t>El equipo operativo directo (CEO, CFO y Vicepresidentes Sénior) opera con una disciplina institucional del 100% bajo planes preprogramados Rule 10b5-1, descartando cualquier arbitraje con información no pública. La única presión vendedora discrecional provino del Presidente del Consejo (Arthur Levinson), con $86.7M en toma de beneficios de acciones acumuladas históricamente.</w:t>
      </w:r>
    </w:p>
    <w:p>
      <w:pPr>
        <w:keepNext/>
        <w:spacing w:before="200" w:after="80"/>
      </w:pPr>
      <w:r>
        <w:rPr>
          <w:rFonts w:ascii="Calibri" w:hAnsi="Calibri"/>
          <w:b/>
          <w:color w:val="4A5568"/>
          <w:sz w:val="22"/>
        </w:rPr>
        <w:t>8.3. Cuadro de Mando y Calificación Global de Gobernanza</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2592"/>
            <w:shd w:fill="1B365D"/>
            <w:tcMar>
              <w:top w:w="100" w:type="dxa"/>
              <w:bottom w:w="100" w:type="dxa"/>
              <w:left w:w="120" w:type="dxa"/>
              <w:right w:w="120" w:type="dxa"/>
            </w:tcMar>
          </w:tcPr>
          <w:p>
            <w:pPr>
              <w:spacing w:before="0" w:after="0"/>
              <w:jc w:val="left"/>
            </w:pPr>
            <w:r>
              <w:rPr>
                <w:rFonts w:ascii="Calibri" w:hAnsi="Calibri"/>
                <w:b/>
                <w:color w:val="FFFFFF"/>
                <w:sz w:val="19"/>
              </w:rPr>
              <w:t>Dimensión de Gobernanza</w:t>
            </w:r>
          </w:p>
        </w:tc>
        <w:tc>
          <w:tcPr>
            <w:tcW w:type="dxa" w:w="2016"/>
            <w:shd w:fill="1B365D"/>
            <w:tcMar>
              <w:top w:w="100" w:type="dxa"/>
              <w:bottom w:w="100" w:type="dxa"/>
              <w:left w:w="120" w:type="dxa"/>
              <w:right w:w="120" w:type="dxa"/>
            </w:tcMar>
          </w:tcPr>
          <w:p>
            <w:pPr>
              <w:spacing w:before="0" w:after="0"/>
              <w:jc w:val="left"/>
            </w:pPr>
            <w:r>
              <w:rPr>
                <w:rFonts w:ascii="Calibri" w:hAnsi="Calibri"/>
                <w:b/>
                <w:color w:val="FFFFFF"/>
                <w:sz w:val="19"/>
              </w:rPr>
              <w:t>Resultado Detectado</w:t>
            </w:r>
          </w:p>
        </w:tc>
        <w:tc>
          <w:tcPr>
            <w:tcW w:type="dxa" w:w="2016"/>
            <w:shd w:fill="1B365D"/>
            <w:tcMar>
              <w:top w:w="100" w:type="dxa"/>
              <w:bottom w:w="100" w:type="dxa"/>
              <w:left w:w="120" w:type="dxa"/>
              <w:right w:w="120" w:type="dxa"/>
            </w:tcMar>
          </w:tcPr>
          <w:p>
            <w:pPr>
              <w:spacing w:before="0" w:after="0"/>
              <w:jc w:val="center"/>
            </w:pPr>
            <w:r>
              <w:rPr>
                <w:rFonts w:ascii="Calibri" w:hAnsi="Calibri"/>
                <w:b/>
                <w:color w:val="FFFFFF"/>
                <w:sz w:val="19"/>
              </w:rPr>
              <w:t>Calificación / Semáforo</w:t>
            </w:r>
          </w:p>
        </w:tc>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Diagnóstico para el Accionista</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Puntuación Global de Gobernanza</w:t>
            </w:r>
          </w:p>
        </w:tc>
        <w:tc>
          <w:tcPr>
            <w:tcW w:type="dxa" w:w="2016"/>
            <w:shd w:fill="FFFFFF"/>
            <w:tcMar>
              <w:top w:w="80" w:type="dxa"/>
              <w:bottom w:w="80" w:type="dxa"/>
              <w:left w:w="120" w:type="dxa"/>
              <w:right w:w="120" w:type="dxa"/>
            </w:tcMar>
          </w:tcPr>
          <w:p>
            <w:pPr>
              <w:spacing w:before="0" w:after="0"/>
              <w:jc w:val="left"/>
            </w:pPr>
            <w:r>
              <w:rPr>
                <w:rFonts w:ascii="Calibri" w:hAnsi="Calibri"/>
                <w:color w:val="2D3748"/>
                <w:sz w:val="18"/>
              </w:rPr>
              <w:t>SÓLIDA / BAJO RIESGO</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85 / 100</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Controles contables limpios, sucesión ordenada y alta transparencia informativa.</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Auditoría Externa (PwC)</w:t>
            </w:r>
          </w:p>
        </w:tc>
        <w:tc>
          <w:tcPr>
            <w:tcW w:type="dxa" w:w="2016"/>
            <w:shd w:fill="F7FAFC"/>
            <w:tcMar>
              <w:top w:w="80" w:type="dxa"/>
              <w:bottom w:w="80" w:type="dxa"/>
              <w:left w:w="120" w:type="dxa"/>
              <w:right w:w="120" w:type="dxa"/>
            </w:tcMar>
          </w:tcPr>
          <w:p>
            <w:pPr>
              <w:spacing w:before="0" w:after="0"/>
              <w:jc w:val="left"/>
            </w:pPr>
            <w:r>
              <w:rPr>
                <w:rFonts w:ascii="Calibri" w:hAnsi="Calibri"/>
                <w:color w:val="2D3748"/>
                <w:sz w:val="18"/>
              </w:rPr>
              <w:t>Más de 20 años de continuidad</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ESTABILIDAD TOTAL</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Sin salvedades ni discrepancias contables en informes históricos ante la SEC.</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Estructura del Consejo y Sucesión</w:t>
            </w:r>
          </w:p>
        </w:tc>
        <w:tc>
          <w:tcPr>
            <w:tcW w:type="dxa" w:w="2016"/>
            <w:shd w:fill="FFFFFF"/>
            <w:tcMar>
              <w:top w:w="80" w:type="dxa"/>
              <w:bottom w:w="80" w:type="dxa"/>
              <w:left w:w="120" w:type="dxa"/>
              <w:right w:w="120" w:type="dxa"/>
            </w:tcMar>
          </w:tcPr>
          <w:p>
            <w:pPr>
              <w:spacing w:before="0" w:after="0"/>
              <w:jc w:val="left"/>
            </w:pPr>
            <w:r>
              <w:rPr>
                <w:rFonts w:ascii="Calibri" w:hAnsi="Calibri"/>
                <w:color w:val="2D3748"/>
                <w:sz w:val="18"/>
              </w:rPr>
              <w:t>Relevo formalizado en Form 8-K</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CONTINUIDAD PROBADA</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Transición interna que mitiga el riesgo de choque cultural o giros estratégicos erráticos.</w:t>
            </w:r>
          </w:p>
        </w:tc>
      </w:tr>
      <w:tr>
        <w:tc>
          <w:tcPr>
            <w:tcW w:type="dxa" w:w="2592"/>
            <w:shd w:fill="F7FAFC"/>
            <w:tcMar>
              <w:top w:w="80" w:type="dxa"/>
              <w:bottom w:w="80" w:type="dxa"/>
              <w:left w:w="120" w:type="dxa"/>
              <w:right w:w="120" w:type="dxa"/>
            </w:tcMar>
          </w:tcPr>
          <w:p>
            <w:pPr>
              <w:spacing w:before="0" w:after="0"/>
              <w:jc w:val="left"/>
            </w:pPr>
            <w:r>
              <w:rPr>
                <w:rFonts w:ascii="Calibri" w:hAnsi="Calibri"/>
                <w:color w:val="2D3748"/>
                <w:sz w:val="18"/>
              </w:rPr>
              <w:t>Disciplina en Ventas de Insiders</w:t>
            </w:r>
          </w:p>
        </w:tc>
        <w:tc>
          <w:tcPr>
            <w:tcW w:type="dxa" w:w="2016"/>
            <w:shd w:fill="F7FAFC"/>
            <w:tcMar>
              <w:top w:w="80" w:type="dxa"/>
              <w:bottom w:w="80" w:type="dxa"/>
              <w:left w:w="120" w:type="dxa"/>
              <w:right w:w="120" w:type="dxa"/>
            </w:tcMar>
          </w:tcPr>
          <w:p>
            <w:pPr>
              <w:spacing w:before="0" w:after="0"/>
              <w:jc w:val="left"/>
            </w:pPr>
            <w:r>
              <w:rPr>
                <w:rFonts w:ascii="Calibri" w:hAnsi="Calibri"/>
                <w:color w:val="2D3748"/>
                <w:sz w:val="18"/>
              </w:rPr>
              <w:t>100% C-Suite en Planes 10b5-1</w:t>
            </w:r>
          </w:p>
        </w:tc>
        <w:tc>
          <w:tcPr>
            <w:tcW w:type="dxa" w:w="2016"/>
            <w:shd w:fill="F7FAFC"/>
            <w:tcMar>
              <w:top w:w="80" w:type="dxa"/>
              <w:bottom w:w="80" w:type="dxa"/>
              <w:left w:w="120" w:type="dxa"/>
              <w:right w:w="120" w:type="dxa"/>
            </w:tcMar>
          </w:tcPr>
          <w:p>
            <w:pPr>
              <w:spacing w:before="0" w:after="0"/>
              <w:jc w:val="center"/>
            </w:pPr>
            <w:r>
              <w:rPr>
                <w:rFonts w:ascii="Calibri" w:hAnsi="Calibri"/>
                <w:color w:val="2D3748"/>
                <w:sz w:val="18"/>
              </w:rPr>
              <w:t>🟢 ALTA PROTECCIÓN</w:t>
            </w:r>
          </w:p>
        </w:tc>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Prácticas impecables de cumplimiento normativo frente a acusaciones de insider trading.</w:t>
            </w:r>
          </w:p>
        </w:tc>
      </w:tr>
      <w:tr>
        <w:tc>
          <w:tcPr>
            <w:tcW w:type="dxa" w:w="2592"/>
            <w:shd w:fill="FFFFFF"/>
            <w:tcMar>
              <w:top w:w="80" w:type="dxa"/>
              <w:bottom w:w="80" w:type="dxa"/>
              <w:left w:w="120" w:type="dxa"/>
              <w:right w:w="120" w:type="dxa"/>
            </w:tcMar>
          </w:tcPr>
          <w:p>
            <w:pPr>
              <w:spacing w:before="0" w:after="0"/>
              <w:jc w:val="left"/>
            </w:pPr>
            <w:r>
              <w:rPr>
                <w:rFonts w:ascii="Calibri" w:hAnsi="Calibri"/>
                <w:color w:val="2D3748"/>
                <w:sz w:val="18"/>
              </w:rPr>
              <w:t>Compras en Mercado Abierto (Cod. P)</w:t>
            </w:r>
          </w:p>
        </w:tc>
        <w:tc>
          <w:tcPr>
            <w:tcW w:type="dxa" w:w="2016"/>
            <w:shd w:fill="FFFFFF"/>
            <w:tcMar>
              <w:top w:w="80" w:type="dxa"/>
              <w:bottom w:w="80" w:type="dxa"/>
              <w:left w:w="120" w:type="dxa"/>
              <w:right w:w="120" w:type="dxa"/>
            </w:tcMar>
          </w:tcPr>
          <w:p>
            <w:pPr>
              <w:spacing w:before="0" w:after="0"/>
              <w:jc w:val="left"/>
            </w:pPr>
            <w:r>
              <w:rPr>
                <w:rFonts w:ascii="Calibri" w:hAnsi="Calibri"/>
                <w:color w:val="2D3748"/>
                <w:sz w:val="18"/>
              </w:rPr>
              <w:t>$0.0 M con fondos propios</w:t>
            </w:r>
          </w:p>
        </w:tc>
        <w:tc>
          <w:tcPr>
            <w:tcW w:type="dxa" w:w="2016"/>
            <w:shd w:fill="FFFFFF"/>
            <w:tcMar>
              <w:top w:w="80" w:type="dxa"/>
              <w:bottom w:w="80" w:type="dxa"/>
              <w:left w:w="120" w:type="dxa"/>
              <w:right w:w="120" w:type="dxa"/>
            </w:tcMar>
          </w:tcPr>
          <w:p>
            <w:pPr>
              <w:spacing w:before="0" w:after="0"/>
              <w:jc w:val="center"/>
            </w:pPr>
            <w:r>
              <w:rPr>
                <w:rFonts w:ascii="Calibri" w:hAnsi="Calibri"/>
                <w:color w:val="2D3748"/>
                <w:sz w:val="18"/>
              </w:rPr>
              <w:t>⚪ NEUTRAL TÍPICO</w:t>
            </w:r>
          </w:p>
        </w:tc>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Estándar en mega-caps donde la remuneración directiva se realiza vía incentivos en acciones (RSUs).</w:t>
            </w:r>
          </w:p>
        </w:tc>
      </w:tr>
    </w:tbl>
    <w:p>
      <w:pPr>
        <w:spacing w:after="120"/>
      </w:pPr>
    </w:p>
    <w:p>
      <w:pPr>
        <w:keepNext/>
        <w:spacing w:before="320" w:after="120"/>
      </w:pPr>
      <w:r>
        <w:rPr>
          <w:rFonts w:ascii="Calibri" w:hAnsi="Calibri"/>
          <w:b/>
          <w:color w:val="1B365D"/>
          <w:sz w:val="26"/>
        </w:rPr>
        <w:t>9. Diagnóstico Cuantitativo de Resiliencia y Crecimiento (Piotroski &amp; Mohanram)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left w:val="single" w:sz="24" w:space="0" w:color="1B365D"/>
              <w:top w:val="none"/>
              <w:right w:val="none"/>
              <w:bottom w:val="none"/>
            </w:tcBorders>
          </w:tcPr>
          <w:p>
            <w:pPr>
              <w:spacing w:before="0" w:after="80"/>
            </w:pPr>
            <w:r>
              <w:rPr>
                <w:rFonts w:ascii="Segoe UI Emoji" w:hAnsi="Segoe UI Emoji"/>
                <w:sz w:val="21"/>
              </w:rPr>
              <w:t xml:space="preserve">📌  </w:t>
            </w:r>
            <w:r>
              <w:rPr>
                <w:rFonts w:ascii="Calibri" w:hAnsi="Calibri"/>
                <w:b/>
                <w:color w:val="1B365D"/>
                <w:sz w:val="21"/>
              </w:rPr>
              <w:t>CLASIFICACIÓN ESTRATÉGICA EN MATRIZ FUNDAMENTAL</w:t>
            </w:r>
          </w:p>
          <w:p>
            <w:pPr>
              <w:spacing w:before="40" w:after="40" w:line="276" w:lineRule="auto"/>
            </w:pPr>
            <w:r>
              <w:rPr>
                <w:rFonts w:ascii="Calibri" w:hAnsi="Calibri"/>
                <w:color w:val="2D3748"/>
                <w:sz w:val="19"/>
              </w:rPr>
              <w:t>Posición Cuantitativa: 💎 COMPOUNDER DE ÉLITE</w:t>
            </w:r>
          </w:p>
          <w:p>
            <w:pPr>
              <w:spacing w:before="40" w:after="40" w:line="276" w:lineRule="auto"/>
            </w:pPr>
            <w:r>
              <w:rPr>
                <w:rFonts w:ascii="Calibri" w:hAnsi="Calibri"/>
                <w:color w:val="2D3748"/>
                <w:sz w:val="19"/>
              </w:rPr>
              <w:t>Piotroski F-Score (Solvencia Interna): 9 / 9 Puntos | SALUD EXCEPCIONAL</w:t>
            </w:r>
          </w:p>
          <w:p>
            <w:pPr>
              <w:spacing w:before="40" w:after="40" w:line="276" w:lineRule="auto"/>
            </w:pPr>
            <w:r>
              <w:rPr>
                <w:rFonts w:ascii="Calibri" w:hAnsi="Calibri"/>
                <w:color w:val="2D3748"/>
                <w:sz w:val="19"/>
              </w:rPr>
              <w:t>Mohanram G-Score (Ventaja Sectorial):  7 / 8 Puntos | CRECIMIENTO DE ÉLITE</w:t>
            </w:r>
          </w:p>
          <w:p>
            <w:pPr>
              <w:spacing w:before="40" w:after="40" w:line="276" w:lineRule="auto"/>
            </w:pPr>
            <w:r>
              <w:rPr>
                <w:rFonts w:ascii="Calibri" w:hAnsi="Calibri"/>
                <w:color w:val="2D3748"/>
                <w:sz w:val="19"/>
              </w:rPr>
              <w:t>Tesis Cuantitativa: Apple Inc. combina una salud financiera interna intachable con una superioridad competitiva sectorial demostrada frente a sus pares de la industria.</w:t>
            </w:r>
          </w:p>
        </w:tc>
      </w:tr>
    </w:tbl>
    <w:p>
      <w:pPr>
        <w:spacing w:after="80"/>
      </w:pPr>
    </w:p>
    <w:p>
      <w:pPr>
        <w:keepNext/>
        <w:spacing w:before="200" w:after="80"/>
      </w:pPr>
      <w:r>
        <w:rPr>
          <w:rFonts w:ascii="Calibri" w:hAnsi="Calibri"/>
          <w:b/>
          <w:color w:val="4A5568"/>
          <w:sz w:val="22"/>
        </w:rPr>
        <w:t>9.1. Piotroski F-Score: Salud Financiera y Calidad Contable Interna</w:t>
      </w:r>
    </w:p>
    <w:p>
      <w:pPr>
        <w:spacing w:before="40" w:after="80" w:line="276" w:lineRule="auto"/>
      </w:pPr>
      <w:r>
        <w:rPr>
          <w:rFonts w:ascii="Calibri" w:hAnsi="Calibri"/>
          <w:i w:val="0"/>
          <w:color w:val="2D3748"/>
          <w:sz w:val="20"/>
        </w:rPr>
        <w:t>Desarrollado por el profesor Joseph Piotroski (Universidad de Stanford), este modelo evalúa la solidez económica interna de la empresa a través de 9 señales contables distribuidas en tres dimensiones críticas: Rentabilidad (ROA positivo y creciente, CFO positivo, calidad de devengos Sloan), Apalancamiento y Liquidez (desendeudamiento financiero total, mejora de razón corriente y cero dilución por emisión de acciones) y Eficiencia Operativa (expansión de margen bruto y mayor rotación de activos).</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9 / 9 Puntos en LTM (SALUD EXCEPCIONAL) (8 / 9 en FY2025).</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calificación de 9/9 sitúa a Apple Inc. en el percentil superior del mercado global. Certifica que la compañía:</w:t>
      </w:r>
    </w:p>
    <w:p>
      <w:pPr>
        <w:spacing w:before="40" w:after="80" w:line="276" w:lineRule="auto"/>
      </w:pPr>
      <w:r>
        <w:rPr>
          <w:rFonts w:ascii="Calibri" w:hAnsi="Calibri"/>
          <w:b/>
          <w:color w:val="2D3748"/>
          <w:sz w:val="20"/>
        </w:rPr>
        <w:t xml:space="preserve">1. Genera beneficios respaldados por caja líquida: </w:t>
      </w:r>
      <w:r>
        <w:rPr>
          <w:rFonts w:ascii="Calibri" w:hAnsi="Calibri"/>
          <w:i w:val="0"/>
          <w:color w:val="2D3748"/>
          <w:sz w:val="20"/>
        </w:rPr>
        <w:t>La caja operativa ($146,724.0M en LTM) respalda con holgura al beneficio neto contable ($128,930.0M), descartando manipulación de inventarios o ventas a crédito ficticias.</w:t>
      </w:r>
    </w:p>
    <w:p>
      <w:pPr>
        <w:spacing w:before="40" w:after="80" w:line="276" w:lineRule="auto"/>
      </w:pPr>
      <w:r>
        <w:rPr>
          <w:rFonts w:ascii="Calibri" w:hAnsi="Calibri"/>
          <w:b/>
          <w:color w:val="2D3748"/>
          <w:sz w:val="20"/>
        </w:rPr>
        <w:t xml:space="preserve">2. Reduce o controla su apalancamiento financiero real: </w:t>
      </w:r>
      <w:r>
        <w:rPr>
          <w:rFonts w:ascii="Calibri" w:hAnsi="Calibri"/>
          <w:i w:val="0"/>
          <w:color w:val="2D3748"/>
          <w:sz w:val="20"/>
        </w:rPr>
        <w:t>Mantiene una estructura financiera solvente con disciplina en el endeudamiento (Deuda 21.5% vs 25.2% (-3.76%)).</w:t>
      </w:r>
    </w:p>
    <w:p>
      <w:pPr>
        <w:spacing w:before="40" w:after="80" w:line="276" w:lineRule="auto"/>
      </w:pPr>
      <w:r>
        <w:rPr>
          <w:rFonts w:ascii="Calibri" w:hAnsi="Calibri"/>
          <w:b/>
          <w:color w:val="2D3748"/>
          <w:sz w:val="20"/>
        </w:rPr>
        <w:t xml:space="preserve">3. Protege al accionista minoritario: </w:t>
      </w:r>
      <w:r>
        <w:rPr>
          <w:rFonts w:ascii="Calibri" w:hAnsi="Calibri"/>
          <w:i w:val="0"/>
          <w:color w:val="2D3748"/>
          <w:sz w:val="20"/>
        </w:rPr>
        <w:t>No financia sus operaciones emitiendo nuevas acciones dilutivas, priorizando la retención o recompra de títulos (Acc 14,723M vs 14,948M (-225M)).</w:t>
      </w:r>
    </w:p>
    <w:p>
      <w:pPr>
        <w:spacing w:before="40" w:after="80" w:line="276" w:lineRule="auto"/>
      </w:pPr>
      <w:r>
        <w:rPr>
          <w:rFonts w:ascii="Calibri" w:hAnsi="Calibri"/>
          <w:b/>
          <w:color w:val="2D3748"/>
          <w:sz w:val="20"/>
        </w:rPr>
        <w:t xml:space="preserve">4. Expande su eficiencia operativa: </w:t>
      </w:r>
      <w:r>
        <w:rPr>
          <w:rFonts w:ascii="Calibri" w:hAnsi="Calibri"/>
          <w:i w:val="0"/>
          <w:color w:val="2D3748"/>
          <w:sz w:val="20"/>
        </w:rPr>
        <w:t>Optimiza tanto su margen comercial (MB 48.7% vs 46.9% (+1.75%)) como la productividad de sus activos instalados (Rot 1.26x vs 1.15x (+0.11x)).</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Dimensión / Criterio Piotroski</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Contable Evaluada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ROA Positivo</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Utilidad neta positiva sobre la base de activos promedio instalados.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34.73% &gt; 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CFO Positivo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Flujo de caja operativo neto positivo.</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$146,724.0M &gt; $0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Rentabilidad: Mejora de ROA (Delta ROA)</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Aceleración de la rentabilidad sobre activos frente al año previo.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34.7% vs 30.9% (+3.80%)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Rentabilidad: Calidad Contable (CFO &gt; NI)</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Beneficios respaldados por efectivo contante (bajos devengos contables).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CFO $146,724.0M &gt; NI $128,930.0M</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Desendeudamiento Total</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Reducción o estabilidad del apalancamiento financiero total sobre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Deuda 21.5% vs 25.2% (-3.76%)</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y Liquidez: Mejora de Razón Corriente</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cobertura de pasivos a corto plazo con activos corrientes.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CR 1.00x vs 0.89x (+0.11x)</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Apalancamiento y Liquidez: Cero Dilución (Acciones Básicas)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Sin emisión neta dilutiva de capital; recompra de acciones o estabilidad.</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Acc 14,723M vs 14,948M (-225M)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Eficiencia Operativa: Expansión de Margen Bruto</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Mayor poder de fijación de precios o menor coste unitario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MB 48.7% vs 46.9% (+1.75%)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Eficiencia Operativa: Expansión Rotación de Activos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Mayor volumen de ingresos generado por cada dólar de activo instalado.</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Rot 1.26x vs 1.15x (+0.11x)</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bl>
    <w:p>
      <w:pPr>
        <w:spacing w:after="120"/>
      </w:pPr>
    </w:p>
    <w:p>
      <w:pPr>
        <w:keepNext/>
        <w:spacing w:before="200" w:after="80"/>
      </w:pPr>
      <w:r>
        <w:rPr>
          <w:rFonts w:ascii="Calibri" w:hAnsi="Calibri"/>
          <w:b/>
          <w:color w:val="4A5568"/>
          <w:sz w:val="22"/>
        </w:rPr>
        <w:t>9.2. Mohanram G-Score: Calidad de Crecimiento frente a la Industria</w:t>
      </w:r>
    </w:p>
    <w:p>
      <w:pPr>
        <w:spacing w:before="40" w:after="80" w:line="276" w:lineRule="auto"/>
      </w:pPr>
      <w:r>
        <w:rPr>
          <w:rFonts w:ascii="Calibri" w:hAnsi="Calibri"/>
          <w:i w:val="0"/>
          <w:color w:val="2D3748"/>
          <w:sz w:val="20"/>
        </w:rPr>
        <w:t>Diseñado por el profesor Partha Mohanram (Universidad de Columbia), este modelo evalúa la calidad fundamental y la sostenibilidad del crecimiento en empresas contrastando sus métricas frente a la mediana de su sector industrial. El modelo audita 8 señales agrupadas en: Desempeño Operativo y Retorno (ROA, CFROA y Calidad de Devengos), Estabilidad del Negocio (baja variabilidad de ROA y ventas) y Reinversión en Ventajas Competitivas (intensidad en I+D, CapEx de vanguardia y Apalancamiento Comercial en SG&amp;A).</w:t>
      </w:r>
    </w:p>
    <w:p>
      <w:pPr>
        <w:spacing w:before="40" w:after="80" w:line="276" w:lineRule="auto"/>
      </w:pPr>
      <w:r>
        <w:rPr>
          <w:rFonts w:ascii="Calibri" w:hAnsi="Calibri"/>
          <w:b/>
          <w:color w:val="2D3748"/>
          <w:sz w:val="20"/>
        </w:rPr>
        <w:t xml:space="preserve">• Puntaje Obtenido: </w:t>
      </w:r>
      <w:r>
        <w:rPr>
          <w:rFonts w:ascii="Calibri" w:hAnsi="Calibri"/>
          <w:i w:val="0"/>
          <w:color w:val="2D3748"/>
          <w:sz w:val="20"/>
        </w:rPr>
        <w:t>7 / 8 Puntos en LTM (CRECIMIENTO DE ÉLITE) (6 / 8 en FY2025).</w:t>
      </w:r>
    </w:p>
    <w:p>
      <w:pPr>
        <w:spacing w:before="40" w:after="80" w:line="276" w:lineRule="auto"/>
      </w:pPr>
      <w:r>
        <w:rPr>
          <w:rFonts w:ascii="Calibri" w:hAnsi="Calibri"/>
          <w:b/>
          <w:color w:val="2D3748"/>
          <w:sz w:val="20"/>
        </w:rPr>
        <w:t xml:space="preserve">• ¿Qué significa este puntaje para el Inversor? </w:t>
      </w:r>
      <w:r>
        <w:rPr>
          <w:rFonts w:ascii="Calibri" w:hAnsi="Calibri"/>
          <w:i w:val="0"/>
          <w:color w:val="2D3748"/>
          <w:sz w:val="20"/>
        </w:rPr>
        <w:t>Una puntuación de 7/8 consolida a Apple Inc. como líder de calidad fundamental en su industria. Certifica que la firma:</w:t>
      </w:r>
    </w:p>
    <w:p>
      <w:pPr>
        <w:spacing w:before="40" w:after="80" w:line="276" w:lineRule="auto"/>
      </w:pPr>
      <w:r>
        <w:rPr>
          <w:rFonts w:ascii="Calibri" w:hAnsi="Calibri"/>
          <w:b/>
          <w:color w:val="2D3748"/>
          <w:sz w:val="20"/>
        </w:rPr>
        <w:t xml:space="preserve">1. Retorno superior: </w:t>
      </w:r>
      <w:r>
        <w:rPr>
          <w:rFonts w:ascii="Calibri" w:hAnsi="Calibri"/>
          <w:i w:val="0"/>
          <w:color w:val="2D3748"/>
          <w:sz w:val="20"/>
        </w:rPr>
        <w:t>Supera sistemáticamente a la mediana de sus competidores directos en rentabilidad sobre activos y generación de flujo de caja libre.</w:t>
      </w:r>
    </w:p>
    <w:p>
      <w:pPr>
        <w:spacing w:before="40" w:after="80" w:line="276" w:lineRule="auto"/>
      </w:pPr>
      <w:r>
        <w:rPr>
          <w:rFonts w:ascii="Calibri" w:hAnsi="Calibri"/>
          <w:b/>
          <w:color w:val="2D3748"/>
          <w:sz w:val="20"/>
        </w:rPr>
        <w:t xml:space="preserve">2. Estabilidad de negocio: </w:t>
      </w:r>
      <w:r>
        <w:rPr>
          <w:rFonts w:ascii="Calibri" w:hAnsi="Calibri"/>
          <w:i w:val="0"/>
          <w:color w:val="2D3748"/>
          <w:sz w:val="20"/>
        </w:rPr>
        <w:t>Exhibe una trayectoria de crecimiento sólida y predecible con menor volatilidad en sus resultados comerciales.</w:t>
      </w:r>
    </w:p>
    <w:p>
      <w:pPr>
        <w:spacing w:before="40" w:after="80" w:line="276" w:lineRule="auto"/>
      </w:pPr>
      <w:r>
        <w:rPr>
          <w:rFonts w:ascii="Calibri" w:hAnsi="Calibri"/>
          <w:b/>
          <w:color w:val="2D3748"/>
          <w:sz w:val="20"/>
        </w:rPr>
        <w:t xml:space="preserve">3. Reinversión estratégica: </w:t>
      </w:r>
      <w:r>
        <w:rPr>
          <w:rFonts w:ascii="Calibri" w:hAnsi="Calibri"/>
          <w:i w:val="0"/>
          <w:color w:val="2D3748"/>
          <w:sz w:val="20"/>
        </w:rPr>
        <w:t>Mantiene una disciplina férrea de reinversión en capital e innovación para defender y expandir su foso competitivo.</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2448"/>
        <w:gridCol w:w="2448"/>
        <w:gridCol w:w="2448"/>
        <w:gridCol w:w="2448"/>
      </w:tblGrid>
      <w:tr>
        <w:tc>
          <w:tcPr>
            <w:tcW w:type="dxa" w:w="3168"/>
            <w:shd w:fill="1B365D"/>
            <w:tcMar>
              <w:top w:w="100" w:type="dxa"/>
              <w:bottom w:w="100" w:type="dxa"/>
              <w:left w:w="120" w:type="dxa"/>
              <w:right w:w="120" w:type="dxa"/>
            </w:tcMar>
          </w:tcPr>
          <w:p>
            <w:pPr>
              <w:spacing w:before="0" w:after="0"/>
              <w:jc w:val="left"/>
            </w:pPr>
            <w:r>
              <w:rPr>
                <w:rFonts w:ascii="Calibri" w:hAnsi="Calibri"/>
                <w:b/>
                <w:color w:val="FFFFFF"/>
                <w:sz w:val="19"/>
              </w:rPr>
              <w:t>Criterio Mohanram G-Score</w:t>
            </w:r>
          </w:p>
        </w:tc>
        <w:tc>
          <w:tcPr>
            <w:tcW w:type="dxa" w:w="3600"/>
            <w:shd w:fill="1B365D"/>
            <w:tcMar>
              <w:top w:w="100" w:type="dxa"/>
              <w:bottom w:w="100" w:type="dxa"/>
              <w:left w:w="120" w:type="dxa"/>
              <w:right w:w="120" w:type="dxa"/>
            </w:tcMar>
          </w:tcPr>
          <w:p>
            <w:pPr>
              <w:spacing w:before="0" w:after="0"/>
              <w:jc w:val="left"/>
            </w:pPr>
            <w:r>
              <w:rPr>
                <w:rFonts w:ascii="Calibri" w:hAnsi="Calibri"/>
                <w:b/>
                <w:color w:val="FFFFFF"/>
                <w:sz w:val="19"/>
              </w:rPr>
              <w:t>Condición frente a la Mediana</w:t>
            </w:r>
          </w:p>
        </w:tc>
        <w:tc>
          <w:tcPr>
            <w:tcW w:type="dxa" w:w="1584"/>
            <w:shd w:fill="1B365D"/>
            <w:tcMar>
              <w:top w:w="100" w:type="dxa"/>
              <w:bottom w:w="100" w:type="dxa"/>
              <w:left w:w="120" w:type="dxa"/>
              <w:right w:w="120" w:type="dxa"/>
            </w:tcMar>
          </w:tcPr>
          <w:p>
            <w:pPr>
              <w:spacing w:before="0" w:after="0"/>
              <w:jc w:val="center"/>
            </w:pPr>
            <w:r>
              <w:rPr>
                <w:rFonts w:ascii="Calibri" w:hAnsi="Calibri"/>
                <w:b/>
                <w:color w:val="FFFFFF"/>
                <w:sz w:val="19"/>
              </w:rPr>
              <w:t>Valor Detectado</w:t>
            </w:r>
          </w:p>
        </w:tc>
        <w:tc>
          <w:tcPr>
            <w:tcW w:type="dxa" w:w="1440"/>
            <w:shd w:fill="1B365D"/>
            <w:tcMar>
              <w:top w:w="100" w:type="dxa"/>
              <w:bottom w:w="100" w:type="dxa"/>
              <w:left w:w="120" w:type="dxa"/>
              <w:right w:w="120" w:type="dxa"/>
            </w:tcMar>
          </w:tcPr>
          <w:p>
            <w:pPr>
              <w:spacing w:before="0" w:after="0"/>
              <w:jc w:val="center"/>
            </w:pPr>
            <w:r>
              <w:rPr>
                <w:rFonts w:ascii="Calibri" w:hAnsi="Calibri"/>
                <w:b/>
                <w:color w:val="FFFFFF"/>
                <w:sz w:val="19"/>
              </w:rPr>
              <w:t>Punto Asignado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ROA &gt; Mediana del Sector</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Rentabilidad sobre activos superior a la mitad del sector.</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ROA 35.89% vs Med 10.94%</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CFROA &gt; Mediana del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Generación de caja operativa sobre activos líder en la industria.</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CFROA 40.84% vs Med 13.77%</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Calidad Contable (CFO &gt; NI)</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Flujo de caja operativo superior a las ganancias devengadas.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CFO $146,724.0M &gt; NI $128,930.0M</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Estabilidad / Nivel Superior de ROA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Baja volatilidad en rentabilidad o nivel de retorno permanentemente en percentil 75 superior.</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CV 0.07 &lt; 0.35 (o P75)</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Estabilidad / Aceleración de Ventas</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Trayectoria predecible de ingresos o expansión acelerada superior al 20% anual.</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CV 1.43 vs 0.40</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0 Ptos</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Intensidad en I+D vs Sector</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Reinversión en investigación y desarrollo para fortalecer ventajas competitivas (moats).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I+D 11.94% vs Med 6.00%</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FFFFF"/>
            <w:tcMar>
              <w:top w:w="80" w:type="dxa"/>
              <w:bottom w:w="80" w:type="dxa"/>
              <w:left w:w="120" w:type="dxa"/>
              <w:right w:w="120" w:type="dxa"/>
            </w:tcMar>
          </w:tcPr>
          <w:p>
            <w:pPr>
              <w:spacing w:before="0" w:after="0"/>
              <w:jc w:val="left"/>
            </w:pPr>
            <w:r>
              <w:rPr>
                <w:rFonts w:ascii="Calibri" w:hAnsi="Calibri"/>
                <w:color w:val="2D3748"/>
                <w:sz w:val="18"/>
              </w:rPr>
              <w:t>Reinversión de Capital / Asset-Light</w:t>
            </w:r>
          </w:p>
        </w:tc>
        <w:tc>
          <w:tcPr>
            <w:tcW w:type="dxa" w:w="3600"/>
            <w:shd w:fill="FFFFFF"/>
            <w:tcMar>
              <w:top w:w="80" w:type="dxa"/>
              <w:bottom w:w="80" w:type="dxa"/>
              <w:left w:w="120" w:type="dxa"/>
              <w:right w:w="120" w:type="dxa"/>
            </w:tcMar>
          </w:tcPr>
          <w:p>
            <w:pPr>
              <w:spacing w:before="0" w:after="0"/>
              <w:jc w:val="left"/>
            </w:pPr>
            <w:r>
              <w:rPr>
                <w:rFonts w:ascii="Calibri" w:hAnsi="Calibri"/>
                <w:color w:val="2D3748"/>
                <w:sz w:val="18"/>
              </w:rPr>
              <w:t>Tasa de Inversión Total en Crecimiento (I+D + CapEx) para modelos ligeros en activos.</w:t>
            </w:r>
          </w:p>
        </w:tc>
        <w:tc>
          <w:tcPr>
            <w:tcW w:type="dxa" w:w="1584"/>
            <w:shd w:fill="FFFFFF"/>
            <w:tcMar>
              <w:top w:w="80" w:type="dxa"/>
              <w:bottom w:w="80" w:type="dxa"/>
              <w:left w:w="120" w:type="dxa"/>
              <w:right w:w="120" w:type="dxa"/>
            </w:tcMar>
          </w:tcPr>
          <w:p>
            <w:pPr>
              <w:spacing w:before="0" w:after="0"/>
              <w:jc w:val="center"/>
            </w:pPr>
            <w:r>
              <w:rPr>
                <w:rFonts w:ascii="Calibri" w:hAnsi="Calibri"/>
                <w:color w:val="2D3748"/>
                <w:sz w:val="18"/>
              </w:rPr>
              <w:t>Reinv 14.74% vs Med 9.43%</w:t>
            </w:r>
          </w:p>
        </w:tc>
        <w:tc>
          <w:tcPr>
            <w:tcW w:type="dxa" w:w="1440"/>
            <w:shd w:fill="FFFFFF"/>
            <w:tcMar>
              <w:top w:w="80" w:type="dxa"/>
              <w:bottom w:w="80" w:type="dxa"/>
              <w:left w:w="120" w:type="dxa"/>
              <w:right w:w="120" w:type="dxa"/>
            </w:tcMar>
          </w:tcPr>
          <w:p>
            <w:pPr>
              <w:spacing w:before="0" w:after="0"/>
              <w:jc w:val="center"/>
            </w:pPr>
            <w:r>
              <w:rPr>
                <w:rFonts w:ascii="Calibri" w:hAnsi="Calibri"/>
                <w:color w:val="2D3748"/>
                <w:sz w:val="18"/>
              </w:rPr>
              <w:t>1 Pto</w:t>
            </w:r>
          </w:p>
        </w:tc>
      </w:tr>
      <w:tr>
        <w:tc>
          <w:tcPr>
            <w:tcW w:type="dxa" w:w="3168"/>
            <w:shd w:fill="F7FAFC"/>
            <w:tcMar>
              <w:top w:w="80" w:type="dxa"/>
              <w:bottom w:w="80" w:type="dxa"/>
              <w:left w:w="120" w:type="dxa"/>
              <w:right w:w="120" w:type="dxa"/>
            </w:tcMar>
          </w:tcPr>
          <w:p>
            <w:pPr>
              <w:spacing w:before="0" w:after="0"/>
              <w:jc w:val="left"/>
            </w:pPr>
            <w:r>
              <w:rPr>
                <w:rFonts w:ascii="Calibri" w:hAnsi="Calibri"/>
                <w:color w:val="2D3748"/>
                <w:sz w:val="18"/>
              </w:rPr>
              <w:t>Apalancamiento Comercial (SG&amp;A)</w:t>
            </w:r>
          </w:p>
        </w:tc>
        <w:tc>
          <w:tcPr>
            <w:tcW w:type="dxa" w:w="3600"/>
            <w:shd w:fill="F7FAFC"/>
            <w:tcMar>
              <w:top w:w="80" w:type="dxa"/>
              <w:bottom w:w="80" w:type="dxa"/>
              <w:left w:w="120" w:type="dxa"/>
              <w:right w:w="120" w:type="dxa"/>
            </w:tcMar>
          </w:tcPr>
          <w:p>
            <w:pPr>
              <w:spacing w:before="0" w:after="0"/>
              <w:jc w:val="left"/>
            </w:pPr>
            <w:r>
              <w:rPr>
                <w:rFonts w:ascii="Calibri" w:hAnsi="Calibri"/>
                <w:color w:val="2D3748"/>
                <w:sz w:val="18"/>
              </w:rPr>
              <w:t>Eficiencia comercial: ingresos escalan con mayor dinamismo que los gastos administrativos y de ventas.</w:t>
            </w:r>
          </w:p>
        </w:tc>
        <w:tc>
          <w:tcPr>
            <w:tcW w:type="dxa" w:w="1584"/>
            <w:shd w:fill="F7FAFC"/>
            <w:tcMar>
              <w:top w:w="80" w:type="dxa"/>
              <w:bottom w:w="80" w:type="dxa"/>
              <w:left w:w="120" w:type="dxa"/>
              <w:right w:w="120" w:type="dxa"/>
            </w:tcMar>
          </w:tcPr>
          <w:p>
            <w:pPr>
              <w:spacing w:before="0" w:after="0"/>
              <w:jc w:val="center"/>
            </w:pPr>
            <w:r>
              <w:rPr>
                <w:rFonts w:ascii="Calibri" w:hAnsi="Calibri"/>
                <w:color w:val="2D3748"/>
                <w:sz w:val="18"/>
              </w:rPr>
              <w:t>Vtas +12.2% vs SG&amp;A +6.4%</w:t>
            </w:r>
          </w:p>
        </w:tc>
        <w:tc>
          <w:tcPr>
            <w:tcW w:type="dxa" w:w="1440"/>
            <w:shd w:fill="F7FAFC"/>
            <w:tcMar>
              <w:top w:w="80" w:type="dxa"/>
              <w:bottom w:w="80" w:type="dxa"/>
              <w:left w:w="120" w:type="dxa"/>
              <w:right w:w="120" w:type="dxa"/>
            </w:tcMar>
          </w:tcPr>
          <w:p>
            <w:pPr>
              <w:spacing w:before="0" w:after="0"/>
              <w:jc w:val="center"/>
            </w:pPr>
            <w:r>
              <w:rPr>
                <w:rFonts w:ascii="Calibri" w:hAnsi="Calibri"/>
                <w:color w:val="2D3748"/>
                <w:sz w:val="18"/>
              </w:rPr>
              <w:t>1 Pto</w:t>
            </w:r>
          </w:p>
        </w:tc>
      </w:tr>
    </w:tbl>
    <w:p>
      <w:pPr>
        <w:spacing w:after="120"/>
      </w:pPr>
    </w:p>
    <w:p>
      <w:pPr>
        <w:keepNext/>
        <w:spacing w:before="200" w:after="80"/>
      </w:pPr>
      <w:r>
        <w:rPr>
          <w:rFonts w:ascii="Calibri" w:hAnsi="Calibri"/>
          <w:b/>
          <w:color w:val="4A5568"/>
          <w:sz w:val="22"/>
        </w:rPr>
        <w:t>9.3. Benchmarking Competitivo del Sector Hardware (SIC 3571) &amp; Medianas Oficiales</w:t>
      </w:r>
    </w:p>
    <w:p>
      <w:pPr>
        <w:spacing w:before="40" w:after="80" w:line="276" w:lineRule="auto"/>
      </w:pPr>
      <w:r>
        <w:rPr>
          <w:rFonts w:ascii="Calibri" w:hAnsi="Calibri"/>
          <w:i w:val="0"/>
          <w:color w:val="2D3748"/>
          <w:sz w:val="20"/>
        </w:rPr>
        <w:t>A continuación se auditan las cifras financieras comparables en base a los últimos 12 meses (LTM) auditados de la industria, a partir de las cuales se deducen las medianas y percentiles que alimentan el scoring de calidad, productividad del capital y resiliencia fundamental:</w:t>
      </w:r>
    </w:p>
    <w:tbl>
      <w:tblPr>
        <w:tblW w:type="auto" w:w="0"/>
        <w:jc w:val="center"/>
        <w:tblLayout w:type="fixed"/>
        <w:tblLook w:firstColumn="1" w:firstRow="1" w:lastColumn="0" w:lastRow="0" w:noHBand="0" w:noVBand="1" w:val="04A0"/>
        <w:tblBorders>
          <w:top w:val="single" w:sz="4" w:space="0" w:color="D2D6DC"/>
          <w:bottom w:val="single" w:sz="6" w:space="0" w:color="1B365D"/>
          <w:left w:val="none"/>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1008"/>
            <w:shd w:fill="1B365D"/>
            <w:tcMar>
              <w:top w:w="100" w:type="dxa"/>
              <w:bottom w:w="100" w:type="dxa"/>
              <w:left w:w="120" w:type="dxa"/>
              <w:right w:w="120" w:type="dxa"/>
            </w:tcMar>
          </w:tcPr>
          <w:p>
            <w:pPr>
              <w:spacing w:before="0" w:after="0"/>
              <w:jc w:val="center"/>
            </w:pPr>
            <w:r>
              <w:rPr>
                <w:rFonts w:ascii="Calibri" w:hAnsi="Calibri"/>
                <w:b/>
                <w:color w:val="FFFFFF"/>
                <w:sz w:val="19"/>
              </w:rPr>
              <w:t>Ticker</w:t>
            </w:r>
          </w:p>
        </w:tc>
        <w:tc>
          <w:tcPr>
            <w:tcW w:type="dxa" w:w="2160"/>
            <w:shd w:fill="1B365D"/>
            <w:tcMar>
              <w:top w:w="100" w:type="dxa"/>
              <w:bottom w:w="100" w:type="dxa"/>
              <w:left w:w="120" w:type="dxa"/>
              <w:right w:w="120" w:type="dxa"/>
            </w:tcMar>
          </w:tcPr>
          <w:p>
            <w:pPr>
              <w:spacing w:before="0" w:after="0"/>
              <w:jc w:val="left"/>
            </w:pPr>
            <w:r>
              <w:rPr>
                <w:rFonts w:ascii="Calibri" w:hAnsi="Calibri"/>
                <w:b/>
                <w:color w:val="FFFFFF"/>
                <w:sz w:val="19"/>
              </w:rPr>
              <w:t>Compañía</w:t>
            </w:r>
          </w:p>
        </w:tc>
        <w:tc>
          <w:tcPr>
            <w:tcW w:type="dxa" w:w="1296"/>
            <w:shd w:fill="1B365D"/>
            <w:tcMar>
              <w:top w:w="100" w:type="dxa"/>
              <w:bottom w:w="100" w:type="dxa"/>
              <w:left w:w="120" w:type="dxa"/>
              <w:right w:w="120" w:type="dxa"/>
            </w:tcMar>
          </w:tcPr>
          <w:p>
            <w:pPr>
              <w:spacing w:before="0" w:after="0"/>
              <w:jc w:val="right"/>
            </w:pPr>
            <w:r>
              <w:rPr>
                <w:rFonts w:ascii="Calibri" w:hAnsi="Calibri"/>
                <w:b/>
                <w:color w:val="FFFFFF"/>
                <w:sz w:val="19"/>
              </w:rPr>
              <w:t>Ventas ($M)</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Bruto</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Margen EBIT</w:t>
            </w:r>
          </w:p>
        </w:tc>
        <w:tc>
          <w:tcPr>
            <w:tcW w:type="dxa" w:w="1008"/>
            <w:shd w:fill="1B365D"/>
            <w:tcMar>
              <w:top w:w="100" w:type="dxa"/>
              <w:bottom w:w="100" w:type="dxa"/>
              <w:left w:w="120" w:type="dxa"/>
              <w:right w:w="120" w:type="dxa"/>
            </w:tcMar>
          </w:tcPr>
          <w:p>
            <w:pPr>
              <w:spacing w:before="0" w:after="0"/>
              <w:jc w:val="right"/>
            </w:pPr>
            <w:r>
              <w:rPr>
                <w:rFonts w:ascii="Calibri" w:hAnsi="Calibri"/>
                <w:b/>
                <w:color w:val="FFFFFF"/>
                <w:sz w:val="19"/>
              </w:rPr>
              <w:t>ROIC Intang.</w:t>
            </w:r>
          </w:p>
        </w:tc>
        <w:tc>
          <w:tcPr>
            <w:tcW w:type="dxa" w:w="1152"/>
            <w:shd w:fill="1B365D"/>
            <w:tcMar>
              <w:top w:w="100" w:type="dxa"/>
              <w:bottom w:w="100" w:type="dxa"/>
              <w:left w:w="120" w:type="dxa"/>
              <w:right w:w="120" w:type="dxa"/>
            </w:tcMar>
          </w:tcPr>
          <w:p>
            <w:pPr>
              <w:spacing w:before="0" w:after="0"/>
              <w:jc w:val="right"/>
            </w:pPr>
            <w:r>
              <w:rPr>
                <w:rFonts w:ascii="Calibri" w:hAnsi="Calibri"/>
                <w:b/>
                <w:color w:val="FFFFFF"/>
                <w:sz w:val="19"/>
              </w:rPr>
              <w:t>Novy-Marx GP/A (%)</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F-Score</w:t>
            </w:r>
          </w:p>
        </w:tc>
        <w:tc>
          <w:tcPr>
            <w:tcW w:type="dxa" w:w="720"/>
            <w:shd w:fill="1B365D"/>
            <w:tcMar>
              <w:top w:w="100" w:type="dxa"/>
              <w:bottom w:w="100" w:type="dxa"/>
              <w:left w:w="120" w:type="dxa"/>
              <w:right w:w="120" w:type="dxa"/>
            </w:tcMar>
          </w:tcPr>
          <w:p>
            <w:pPr>
              <w:spacing w:before="0" w:after="0"/>
              <w:jc w:val="center"/>
            </w:pPr>
            <w:r>
              <w:rPr>
                <w:rFonts w:ascii="Calibri" w:hAnsi="Calibri"/>
                <w:b/>
                <w:color w:val="FFFFFF"/>
                <w:sz w:val="19"/>
              </w:rPr>
              <w:t>G-Score</w:t>
            </w:r>
          </w:p>
        </w:tc>
      </w:tr>
      <w:tr>
        <w:tc>
          <w:tcPr>
            <w:tcW w:type="dxa" w:w="1008"/>
            <w:shd w:fill="FFFFFF"/>
            <w:tcMar>
              <w:top w:w="80" w:type="dxa"/>
              <w:bottom w:w="80" w:type="dxa"/>
              <w:left w:w="120" w:type="dxa"/>
              <w:right w:w="120" w:type="dxa"/>
            </w:tcMar>
          </w:tcPr>
          <w:p>
            <w:pPr>
              <w:spacing w:before="0" w:after="0"/>
              <w:jc w:val="center"/>
            </w:pPr>
            <w:r>
              <w:rPr>
                <w:rFonts w:ascii="Calibri" w:hAnsi="Calibri"/>
                <w:color w:val="2D3748"/>
                <w:sz w:val="18"/>
              </w:rPr>
              <w:t>AAPL</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Apple Inc.</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$466,823 M</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50.1%</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32.6%</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42.8%</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8"/>
              </w:rPr>
              <w:t>59.3%</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9 / 9</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7 / 8</w:t>
            </w:r>
          </w:p>
        </w:tc>
      </w:tr>
      <w:tr>
        <w:tc>
          <w:tcPr>
            <w:tcW w:type="dxa" w:w="1008"/>
            <w:shd w:fill="F7FAFC"/>
            <w:tcMar>
              <w:top w:w="80" w:type="dxa"/>
              <w:bottom w:w="80" w:type="dxa"/>
              <w:left w:w="120" w:type="dxa"/>
              <w:right w:w="120" w:type="dxa"/>
            </w:tcMar>
          </w:tcPr>
          <w:p>
            <w:pPr>
              <w:spacing w:before="0" w:after="0"/>
              <w:jc w:val="center"/>
            </w:pPr>
            <w:r>
              <w:rPr>
                <w:rFonts w:ascii="Calibri" w:hAnsi="Calibri"/>
                <w:color w:val="2D3748"/>
                <w:sz w:val="18"/>
              </w:rPr>
              <w:t>HPQ</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HP Inc.</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$59,162 M</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21.8%</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7.9%</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14.5%</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8"/>
              </w:rPr>
              <w:t>22.0%</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6 / 9</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4 / 8</w:t>
            </w:r>
          </w:p>
        </w:tc>
      </w:tr>
      <w:tr>
        <w:tc>
          <w:tcPr>
            <w:tcW w:type="dxa" w:w="1008"/>
            <w:shd w:fill="FFFFFF"/>
            <w:tcMar>
              <w:top w:w="80" w:type="dxa"/>
              <w:bottom w:w="80" w:type="dxa"/>
              <w:left w:w="120" w:type="dxa"/>
              <w:right w:w="120" w:type="dxa"/>
            </w:tcMar>
          </w:tcPr>
          <w:p>
            <w:pPr>
              <w:spacing w:before="0" w:after="0"/>
              <w:jc w:val="center"/>
            </w:pPr>
            <w:r>
              <w:rPr>
                <w:rFonts w:ascii="Calibri" w:hAnsi="Calibri"/>
                <w:color w:val="2D3748"/>
                <w:sz w:val="18"/>
              </w:rPr>
              <w:t>DELL</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Dell Technologies</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$151,197 M</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23.4%</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8.5%</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18.2%</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8"/>
              </w:rPr>
              <w:t>28.0%</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7 / 9</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5 / 8</w:t>
            </w:r>
          </w:p>
        </w:tc>
      </w:tr>
      <w:tr>
        <w:tc>
          <w:tcPr>
            <w:tcW w:type="dxa" w:w="1008"/>
            <w:shd w:fill="F7FAFC"/>
            <w:tcMar>
              <w:top w:w="80" w:type="dxa"/>
              <w:bottom w:w="80" w:type="dxa"/>
              <w:left w:w="120" w:type="dxa"/>
              <w:right w:w="120" w:type="dxa"/>
            </w:tcMar>
          </w:tcPr>
          <w:p>
            <w:pPr>
              <w:spacing w:before="0" w:after="0"/>
              <w:jc w:val="center"/>
            </w:pPr>
            <w:r>
              <w:rPr>
                <w:rFonts w:ascii="Calibri" w:hAnsi="Calibri"/>
                <w:color w:val="2D3748"/>
                <w:sz w:val="18"/>
              </w:rPr>
              <w:t>WDC</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Western Digital</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$12,919 M</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28.5%</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9.2%</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8.9%</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8"/>
              </w:rPr>
              <w:t>19.0%</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5 / 9</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3 / 8</w:t>
            </w:r>
          </w:p>
        </w:tc>
      </w:tr>
      <w:tr>
        <w:tc>
          <w:tcPr>
            <w:tcW w:type="dxa" w:w="1008"/>
            <w:shd w:fill="FFFFFF"/>
            <w:tcMar>
              <w:top w:w="80" w:type="dxa"/>
              <w:bottom w:w="80" w:type="dxa"/>
              <w:left w:w="120" w:type="dxa"/>
              <w:right w:w="120" w:type="dxa"/>
            </w:tcMar>
          </w:tcPr>
          <w:p>
            <w:pPr>
              <w:spacing w:before="0" w:after="0"/>
              <w:jc w:val="center"/>
            </w:pPr>
            <w:r>
              <w:rPr>
                <w:rFonts w:ascii="Calibri" w:hAnsi="Calibri"/>
                <w:color w:val="2D3748"/>
                <w:sz w:val="18"/>
              </w:rPr>
              <w:t>LNVGY</w:t>
            </w:r>
          </w:p>
        </w:tc>
        <w:tc>
          <w:tcPr>
            <w:tcW w:type="dxa" w:w="2160"/>
            <w:shd w:fill="FFFFFF"/>
            <w:tcMar>
              <w:top w:w="80" w:type="dxa"/>
              <w:bottom w:w="80" w:type="dxa"/>
              <w:left w:w="120" w:type="dxa"/>
              <w:right w:w="120" w:type="dxa"/>
            </w:tcMar>
          </w:tcPr>
          <w:p>
            <w:pPr>
              <w:spacing w:before="0" w:after="0"/>
              <w:jc w:val="left"/>
            </w:pPr>
            <w:r>
              <w:rPr>
                <w:rFonts w:ascii="Calibri" w:hAnsi="Calibri"/>
                <w:color w:val="2D3748"/>
                <w:sz w:val="18"/>
              </w:rPr>
              <w:t>Lenovo Group</w:t>
            </w:r>
          </w:p>
        </w:tc>
        <w:tc>
          <w:tcPr>
            <w:tcW w:type="dxa" w:w="1296"/>
            <w:shd w:fill="FFFFFF"/>
            <w:tcMar>
              <w:top w:w="80" w:type="dxa"/>
              <w:bottom w:w="80" w:type="dxa"/>
              <w:left w:w="120" w:type="dxa"/>
              <w:right w:w="120" w:type="dxa"/>
            </w:tcMar>
          </w:tcPr>
          <w:p>
            <w:pPr>
              <w:spacing w:before="0" w:after="0"/>
              <w:jc w:val="right"/>
            </w:pPr>
            <w:r>
              <w:rPr>
                <w:rFonts w:ascii="Calibri" w:hAnsi="Calibri"/>
                <w:color w:val="2D3748"/>
                <w:sz w:val="18"/>
              </w:rPr>
              <w:t>$61,970 M</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17.2%</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4.5%</w:t>
            </w:r>
          </w:p>
        </w:tc>
        <w:tc>
          <w:tcPr>
            <w:tcW w:type="dxa" w:w="1008"/>
            <w:shd w:fill="FFFFFF"/>
            <w:tcMar>
              <w:top w:w="80" w:type="dxa"/>
              <w:bottom w:w="80" w:type="dxa"/>
              <w:left w:w="120" w:type="dxa"/>
              <w:right w:w="120" w:type="dxa"/>
            </w:tcMar>
          </w:tcPr>
          <w:p>
            <w:pPr>
              <w:spacing w:before="0" w:after="0"/>
              <w:jc w:val="right"/>
            </w:pPr>
            <w:r>
              <w:rPr>
                <w:rFonts w:ascii="Calibri" w:hAnsi="Calibri"/>
                <w:color w:val="2D3748"/>
                <w:sz w:val="18"/>
              </w:rPr>
              <w:t>12.1%</w:t>
            </w:r>
          </w:p>
        </w:tc>
        <w:tc>
          <w:tcPr>
            <w:tcW w:type="dxa" w:w="1152"/>
            <w:shd w:fill="FFFFFF"/>
            <w:tcMar>
              <w:top w:w="80" w:type="dxa"/>
              <w:bottom w:w="80" w:type="dxa"/>
              <w:left w:w="120" w:type="dxa"/>
              <w:right w:w="120" w:type="dxa"/>
            </w:tcMar>
          </w:tcPr>
          <w:p>
            <w:pPr>
              <w:spacing w:before="0" w:after="0"/>
              <w:jc w:val="right"/>
            </w:pPr>
            <w:r>
              <w:rPr>
                <w:rFonts w:ascii="Calibri" w:hAnsi="Calibri"/>
                <w:color w:val="2D3748"/>
                <w:sz w:val="18"/>
              </w:rPr>
              <w:t>20.0%</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6 / 9</w:t>
            </w:r>
          </w:p>
        </w:tc>
        <w:tc>
          <w:tcPr>
            <w:tcW w:type="dxa" w:w="720"/>
            <w:shd w:fill="FFFFFF"/>
            <w:tcMar>
              <w:top w:w="80" w:type="dxa"/>
              <w:bottom w:w="80" w:type="dxa"/>
              <w:left w:w="120" w:type="dxa"/>
              <w:right w:w="120" w:type="dxa"/>
            </w:tcMar>
          </w:tcPr>
          <w:p>
            <w:pPr>
              <w:spacing w:before="0" w:after="0"/>
              <w:jc w:val="center"/>
            </w:pPr>
            <w:r>
              <w:rPr>
                <w:rFonts w:ascii="Calibri" w:hAnsi="Calibri"/>
                <w:color w:val="2D3748"/>
                <w:sz w:val="18"/>
              </w:rPr>
              <w:t>4 / 8</w:t>
            </w:r>
          </w:p>
        </w:tc>
      </w:tr>
      <w:tr>
        <w:tc>
          <w:tcPr>
            <w:tcW w:type="dxa" w:w="1008"/>
            <w:shd w:fill="F7FAFC"/>
            <w:tcMar>
              <w:top w:w="80" w:type="dxa"/>
              <w:bottom w:w="80" w:type="dxa"/>
              <w:left w:w="120" w:type="dxa"/>
              <w:right w:w="120" w:type="dxa"/>
            </w:tcMar>
          </w:tcPr>
          <w:p>
            <w:pPr>
              <w:spacing w:before="0" w:after="0"/>
              <w:jc w:val="center"/>
            </w:pPr>
            <w:r>
              <w:rPr>
                <w:rFonts w:ascii="Calibri" w:hAnsi="Calibri"/>
                <w:color w:val="2D3748"/>
                <w:sz w:val="18"/>
              </w:rPr>
              <w:t>MEDIANA</w:t>
            </w:r>
          </w:p>
        </w:tc>
        <w:tc>
          <w:tcPr>
            <w:tcW w:type="dxa" w:w="2160"/>
            <w:shd w:fill="F7FAFC"/>
            <w:tcMar>
              <w:top w:w="80" w:type="dxa"/>
              <w:bottom w:w="80" w:type="dxa"/>
              <w:left w:w="120" w:type="dxa"/>
              <w:right w:w="120" w:type="dxa"/>
            </w:tcMar>
          </w:tcPr>
          <w:p>
            <w:pPr>
              <w:spacing w:before="0" w:after="0"/>
              <w:jc w:val="left"/>
            </w:pPr>
            <w:r>
              <w:rPr>
                <w:rFonts w:ascii="Calibri" w:hAnsi="Calibri"/>
                <w:color w:val="2D3748"/>
                <w:sz w:val="18"/>
              </w:rPr>
              <w:t>Mediana Sectorial SIC 3571</w:t>
            </w:r>
          </w:p>
        </w:tc>
        <w:tc>
          <w:tcPr>
            <w:tcW w:type="dxa" w:w="1296"/>
            <w:shd w:fill="F7FAFC"/>
            <w:tcMar>
              <w:top w:w="80" w:type="dxa"/>
              <w:bottom w:w="80" w:type="dxa"/>
              <w:left w:w="120" w:type="dxa"/>
              <w:right w:w="120" w:type="dxa"/>
            </w:tcMar>
          </w:tcPr>
          <w:p>
            <w:pPr>
              <w:spacing w:before="0" w:after="0"/>
              <w:jc w:val="right"/>
            </w:pPr>
            <w:r>
              <w:rPr>
                <w:rFonts w:ascii="Calibri" w:hAnsi="Calibri"/>
                <w:color w:val="2D3748"/>
                <w:sz w:val="18"/>
              </w:rPr>
              <w:t>$59,162 M</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22.6%</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8.2%</w:t>
            </w:r>
          </w:p>
        </w:tc>
        <w:tc>
          <w:tcPr>
            <w:tcW w:type="dxa" w:w="1008"/>
            <w:shd w:fill="F7FAFC"/>
            <w:tcMar>
              <w:top w:w="80" w:type="dxa"/>
              <w:bottom w:w="80" w:type="dxa"/>
              <w:left w:w="120" w:type="dxa"/>
              <w:right w:w="120" w:type="dxa"/>
            </w:tcMar>
          </w:tcPr>
          <w:p>
            <w:pPr>
              <w:spacing w:before="0" w:after="0"/>
              <w:jc w:val="right"/>
            </w:pPr>
            <w:r>
              <w:rPr>
                <w:rFonts w:ascii="Calibri" w:hAnsi="Calibri"/>
                <w:color w:val="2D3748"/>
                <w:sz w:val="18"/>
              </w:rPr>
              <w:t>13.3%</w:t>
            </w:r>
          </w:p>
        </w:tc>
        <w:tc>
          <w:tcPr>
            <w:tcW w:type="dxa" w:w="1152"/>
            <w:shd w:fill="F7FAFC"/>
            <w:tcMar>
              <w:top w:w="80" w:type="dxa"/>
              <w:bottom w:w="80" w:type="dxa"/>
              <w:left w:w="120" w:type="dxa"/>
              <w:right w:w="120" w:type="dxa"/>
            </w:tcMar>
          </w:tcPr>
          <w:p>
            <w:pPr>
              <w:spacing w:before="0" w:after="0"/>
              <w:jc w:val="right"/>
            </w:pPr>
            <w:r>
              <w:rPr>
                <w:rFonts w:ascii="Calibri" w:hAnsi="Calibri"/>
                <w:color w:val="2D3748"/>
                <w:sz w:val="18"/>
              </w:rPr>
              <w:t>22.0%</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6 / 9</w:t>
            </w:r>
          </w:p>
        </w:tc>
        <w:tc>
          <w:tcPr>
            <w:tcW w:type="dxa" w:w="720"/>
            <w:shd w:fill="F7FAFC"/>
            <w:tcMar>
              <w:top w:w="80" w:type="dxa"/>
              <w:bottom w:w="80" w:type="dxa"/>
              <w:left w:w="120" w:type="dxa"/>
              <w:right w:w="120" w:type="dxa"/>
            </w:tcMar>
          </w:tcPr>
          <w:p>
            <w:pPr>
              <w:spacing w:before="0" w:after="0"/>
              <w:jc w:val="center"/>
            </w:pPr>
            <w:r>
              <w:rPr>
                <w:rFonts w:ascii="Calibri" w:hAnsi="Calibri"/>
                <w:color w:val="2D3748"/>
                <w:sz w:val="18"/>
              </w:rPr>
              <w:t>4 / 8</w:t>
            </w:r>
          </w:p>
        </w:tc>
      </w:tr>
    </w:tbl>
    <w:p>
      <w:pPr>
        <w:spacing w:after="120"/>
      </w:pPr>
    </w:p>
    <w:p>
      <w:pPr>
        <w:keepNext/>
        <w:spacing w:before="320" w:after="120"/>
      </w:pPr>
      <w:r>
        <w:rPr>
          <w:rFonts w:ascii="Calibri" w:hAnsi="Calibri"/>
          <w:b/>
          <w:color w:val="1B365D"/>
          <w:sz w:val="28"/>
        </w:rPr>
        <w:t>10. Productividad Pura del Capital: Rentabilidad Bruta sobre Activos (Novy-Marx GP/A)</w:t>
      </w:r>
    </w:p>
    <w:p>
      <w:pPr>
        <w:spacing w:before="0" w:after="80" w:line="276" w:lineRule="auto"/>
      </w:pPr>
      <w:r>
        <w:rPr>
          <w:rFonts w:ascii="Calibri" w:hAnsi="Calibri"/>
          <w:i w:val="0"/>
          <w:color w:val="2D3748"/>
          <w:sz w:val="20"/>
        </w:rPr>
        <w:t>La investigación empírica seminal del Prof. Robert Novy-Marx (University of Rochester / NBER, 'The Other Side of Value: The Gross Profitability Premium', Journal of Financial Economics, 2013) demostró que la Rentabilidad Bruta sobre Activos (Gross Profitability to Assets, GP/A) es el predictor cuantitativo más potente de los rendimientos futuros de una corporación. A diferencia del ROE o ROIC, que sufren la contaminación contable de depreciaciones discrecionales, partidas extraordinarias o gastos de I+D/marketing (que en realidad son inversiones generadoras de valor futuro), la métrica de Novy-Marx evalúa la productividad económica pura del capital instalado en su estado original.</w:t>
      </w:r>
    </w:p>
    <w:p>
      <w:pPr>
        <w:keepNext/>
        <w:spacing w:before="240" w:after="80"/>
      </w:pPr>
      <w:r>
        <w:rPr>
          <w:rFonts w:ascii="Calibri" w:hAnsi="Calibri"/>
          <w:b/>
          <w:color w:val="4A5568"/>
          <w:sz w:val="23"/>
        </w:rPr>
        <w:t>Bloque A: Diagnóstico Dual de Productividad y Efecto Arrastre de Caja (Cash Drag)</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CALIFICACIÓN Y CALIDAD DE CAPITAL: PRODUCTIVIDAD EXCEPCIONAL (TOP 5% DE LA INDUSTRIA)</w:t>
              <w:br/>
            </w:r>
          </w:p>
          <w:p>
            <w:pPr>
              <w:spacing w:before="40" w:after="40" w:line="276" w:lineRule="auto"/>
            </w:pPr>
            <w:r>
              <w:rPr>
                <w:rFonts w:ascii="Calibri" w:hAnsi="Calibri"/>
                <w:color w:val="2D3748"/>
                <w:sz w:val="19"/>
              </w:rPr>
              <w:t>• Gross Profitability Total (LTM): 59.26% de los Activos Totales (vs. Mediana Sector: 25.69%).</w:t>
            </w:r>
          </w:p>
          <w:p>
            <w:pPr>
              <w:spacing w:before="40" w:after="40" w:line="276" w:lineRule="auto"/>
            </w:pPr>
            <w:r>
              <w:rPr>
                <w:rFonts w:ascii="Calibri" w:hAnsi="Calibri"/>
                <w:color w:val="2D3748"/>
                <w:sz w:val="19"/>
              </w:rPr>
              <w:t>• Gross Profitability Operativa Ex-Caja (LTM): 66.08% de los Activos Operativos (vs. Mediana Sector: 28.00%).</w:t>
            </w:r>
          </w:p>
          <w:p>
            <w:pPr>
              <w:spacing w:before="40" w:after="40" w:line="276" w:lineRule="auto"/>
            </w:pPr>
            <w:r>
              <w:rPr>
                <w:rFonts w:ascii="Calibri" w:hAnsi="Calibri"/>
                <w:color w:val="2D3748"/>
                <w:sz w:val="19"/>
              </w:rPr>
              <w:t>• Efecto Arrastre de Caja (Cash Drag): +6.82 p.p. de penalización contable por atesoramiento de liquidez ociosa.</w:t>
            </w:r>
          </w:p>
          <w:p>
            <w:pPr>
              <w:spacing w:before="40" w:after="40" w:line="276" w:lineRule="auto"/>
            </w:pPr>
            <w:r>
              <w:rPr>
                <w:rFonts w:ascii="Calibri" w:hAnsi="Calibri"/>
                <w:color w:val="2D3748"/>
                <w:sz w:val="19"/>
              </w:rPr>
              <w:t>• Posición Sectorial (Industry De-meaning): Supera a la mediana de competidores en +33.57 p.p., confirmando un foso de capital de primer orden mundial.</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792"/>
            <w:shd w:fill="E8EEF5"/>
            <w:tcMar>
              <w:top w:w="140" w:type="dxa"/>
              <w:bottom w:w="140" w:type="dxa"/>
              <w:left w:w="180" w:type="dxa"/>
              <w:right w:w="180" w:type="dxa"/>
            </w:tcMar>
            <w:tcBorders>
              <w:top w:val="none"/>
              <w:left w:val="single" w:sz="24" w:space="0" w:color="0A3641"/>
              <w:bottom w:val="none"/>
              <w:right w:val="none"/>
            </w:tcBorders>
          </w:tcPr>
          <w:p>
            <w:pPr>
              <w:spacing w:before="0" w:after="60" w:line="276" w:lineRule="auto"/>
            </w:pPr>
            <w:r>
              <w:rPr>
                <w:rFonts w:ascii="Calibri" w:hAnsi="Calibri"/>
                <w:b/>
                <w:color w:val="1B365D"/>
                <w:sz w:val="21"/>
              </w:rPr>
              <w:t>📌 GUÍA DIDÁCTICA: ¿QUÉ SIGNIFICAN ESTOS RESULTADOS Y PERCENTILES?</w:t>
              <w:br/>
            </w:r>
          </w:p>
          <w:p>
            <w:pPr>
              <w:spacing w:before="40" w:after="40" w:line="276" w:lineRule="auto"/>
            </w:pPr>
            <w:r>
              <w:rPr>
                <w:rFonts w:ascii="Calibri" w:hAnsi="Calibri"/>
                <w:color w:val="2D3748"/>
                <w:sz w:val="19"/>
              </w:rPr>
              <w:t>1. ¿Qué significa el Top 5% de la Industria?: Significa que la rentabilidad de capital de AAPL supera al 95% de sus competidores directos en la industria. De cada 100 empresas comparables, solo 5 logran una eficiencia igual o superior en la generación de utilidad bruta por dólar de activo instalado.</w:t>
            </w:r>
          </w:p>
          <w:p>
            <w:pPr>
              <w:spacing w:before="40" w:after="40" w:line="276" w:lineRule="auto"/>
            </w:pPr>
            <w:r>
              <w:rPr>
                <w:rFonts w:ascii="Calibri" w:hAnsi="Calibri"/>
                <w:color w:val="2D3748"/>
                <w:sz w:val="19"/>
              </w:rPr>
              <w:t>2. ¿Qué significa Gross Profitability de 59.26%?: Por cada $1.00 de activo total en su balance general, la empresa produce $0.59 de utilidad bruta pura al año, antes de deducciones operativas, intereses e impuestos.</w:t>
            </w:r>
          </w:p>
          <w:p>
            <w:pPr>
              <w:spacing w:before="40" w:after="40" w:line="276" w:lineRule="auto"/>
            </w:pPr>
            <w:r>
              <w:rPr>
                <w:rFonts w:ascii="Calibri" w:hAnsi="Calibri"/>
                <w:color w:val="2D3748"/>
                <w:sz w:val="19"/>
              </w:rPr>
              <w:t>3. ¿Qué significa Ex-Caja (66.08%)?: Al excluir el efectivo y valores negociables líquidos (capital ocioso en caja que no produce bienes), el negocio puramente operativo rinde $0.66 por cada dólar en activos operativos en funcionamiento.</w:t>
            </w:r>
          </w:p>
          <w:p>
            <w:pPr>
              <w:spacing w:before="40" w:after="40" w:line="276" w:lineRule="auto"/>
            </w:pPr>
            <w:r>
              <w:rPr>
                <w:rFonts w:ascii="Calibri" w:hAnsi="Calibri"/>
                <w:color w:val="2D3748"/>
                <w:sz w:val="19"/>
              </w:rPr>
              <w:t>4. ¿Qué revela el Cash Drag (+6.82 p.p.)?: La acumulación de enormes colchones de caja reduce artificialmente el ratio nominal agregado. Esto demuestra que la fuerza motriz del negocio subyacente es significativamente más potente de lo que aparenta el balance global consolidado.</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Métrica de Productividad</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FY2025</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Diagnóstico</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Lectura Didáctica</w:t>
            </w:r>
          </w:p>
        </w:tc>
      </w:tr>
      <w:tr>
        <w:tc>
          <w:tcPr>
            <w:tcW w:type="dxa" w:w="2160"/>
            <w:shd w:fill="FFFFFF"/>
            <w:tcMar>
              <w:top w:w="70" w:type="dxa"/>
              <w:bottom w:w="70" w:type="dxa"/>
              <w:left w:w="100" w:type="dxa"/>
              <w:right w:w="100" w:type="dxa"/>
            </w:tcMar>
          </w:tcPr>
          <w:p>
            <w:pPr>
              <w:spacing w:before="0" w:after="0"/>
              <w:jc w:val="left"/>
            </w:pPr>
            <w:r>
              <w:rPr>
                <w:rFonts w:ascii="Calibri" w:hAnsi="Calibri"/>
                <w:b/>
                <w:color w:val="1B365D"/>
                <w:sz w:val="17"/>
              </w:rPr>
              <w:t>GP / Activos Totales (Nominal)</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59.26%</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54.34%</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25.69%</w:t>
            </w:r>
          </w:p>
        </w:tc>
        <w:tc>
          <w:tcPr>
            <w:tcW w:type="dxa" w:w="1728"/>
            <w:shd w:fill="FFFFFF"/>
            <w:tcMar>
              <w:top w:w="70" w:type="dxa"/>
              <w:bottom w:w="70" w:type="dxa"/>
              <w:left w:w="100" w:type="dxa"/>
              <w:right w:w="100" w:type="dxa"/>
            </w:tcMar>
          </w:tcPr>
          <w:p>
            <w:pPr>
              <w:spacing w:before="0" w:after="0"/>
              <w:jc w:val="right"/>
            </w:pPr>
            <w:r>
              <w:rPr>
                <w:rFonts w:ascii="Calibri" w:hAnsi="Calibri"/>
                <w:b/>
                <w:color w:val="1B365D"/>
                <w:sz w:val="17"/>
              </w:rPr>
              <w:t>✅ Top 5% de la Industria</w:t>
            </w:r>
          </w:p>
        </w:tc>
        <w:tc>
          <w:tcPr>
            <w:tcW w:type="dxa" w:w="2448"/>
            <w:shd w:fill="FFFFFF"/>
            <w:tcMar>
              <w:top w:w="70" w:type="dxa"/>
              <w:bottom w:w="70" w:type="dxa"/>
              <w:left w:w="100" w:type="dxa"/>
              <w:right w:w="100" w:type="dxa"/>
            </w:tcMar>
          </w:tcPr>
          <w:p>
            <w:pPr>
              <w:spacing w:before="0" w:after="0"/>
              <w:jc w:val="left"/>
            </w:pPr>
            <w:r>
              <w:rPr>
                <w:rFonts w:ascii="Calibri" w:hAnsi="Calibri"/>
                <w:b/>
                <w:color w:val="1B365D"/>
                <w:sz w:val="17"/>
              </w:rPr>
              <w:t>Genera $0.59 de utilidad bruta por cada $1.00 de activo total.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 / Activos Operativos (Ex-Caja)</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66.08%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60.38%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28.00%</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Alta Eficiencia</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Al aislar la caja ociosa, rinde $0.66 por dólar productivo.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Efecto Arrastre de Caja (Cash Drag)</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+6.82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+6.04 pp</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+2.31 pp</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ℹ️ Dilución Solvente</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La acumulación de liquidez deprime el ratio nominal.</w:t>
            </w:r>
          </w:p>
        </w:tc>
      </w:tr>
      <w:tr>
        <w:tc>
          <w:tcPr>
            <w:tcW w:type="dxa" w:w="2160"/>
            <w:shd w:fill="F7FAFC"/>
            <w:tcMar>
              <w:top w:w="70" w:type="dxa"/>
              <w:bottom w:w="70" w:type="dxa"/>
              <w:left w:w="100" w:type="dxa"/>
              <w:right w:w="100" w:type="dxa"/>
            </w:tcMar>
          </w:tcPr>
          <w:p>
            <w:pPr>
              <w:spacing w:before="0" w:after="0"/>
              <w:jc w:val="left"/>
            </w:pPr>
            <w:r>
              <w:rPr>
                <w:rFonts w:ascii="Calibri" w:hAnsi="Calibri"/>
                <w:b w:val="0"/>
                <w:color w:val="2D3748"/>
                <w:sz w:val="17"/>
              </w:rPr>
              <w:t>GP/A Ajustada (De-meaning)</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+33.57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+28.65 pp</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0.00 pp</w:t>
            </w:r>
          </w:p>
        </w:tc>
        <w:tc>
          <w:tcPr>
            <w:tcW w:type="dxa" w:w="1728"/>
            <w:shd w:fill="F7FAFC"/>
            <w:tcMar>
              <w:top w:w="70" w:type="dxa"/>
              <w:bottom w:w="70" w:type="dxa"/>
              <w:left w:w="100" w:type="dxa"/>
              <w:right w:w="100" w:type="dxa"/>
            </w:tcMar>
          </w:tcPr>
          <w:p>
            <w:pPr>
              <w:spacing w:before="0" w:after="0"/>
              <w:jc w:val="right"/>
            </w:pPr>
            <w:r>
              <w:rPr>
                <w:rFonts w:ascii="Calibri" w:hAnsi="Calibri"/>
                <w:b w:val="0"/>
                <w:color w:val="2D3748"/>
                <w:sz w:val="17"/>
              </w:rPr>
              <w:t>🟢 Ventaja Fuerte</w:t>
            </w:r>
          </w:p>
        </w:tc>
        <w:tc>
          <w:tcPr>
            <w:tcW w:type="dxa" w:w="2448"/>
            <w:shd w:fill="F7FAFC"/>
            <w:tcMar>
              <w:top w:w="70" w:type="dxa"/>
              <w:bottom w:w="70" w:type="dxa"/>
              <w:left w:w="100" w:type="dxa"/>
              <w:right w:w="100" w:type="dxa"/>
            </w:tcMar>
          </w:tcPr>
          <w:p>
            <w:pPr>
              <w:spacing w:before="0" w:after="0"/>
              <w:jc w:val="left"/>
            </w:pPr>
            <w:r>
              <w:rPr>
                <w:rFonts w:ascii="Calibri" w:hAnsi="Calibri"/>
                <w:b w:val="0"/>
                <w:color w:val="2D3748"/>
                <w:sz w:val="17"/>
              </w:rPr>
              <w:t>Supera en +33.57 puntos porcentuales a la mediana del sector.</w:t>
            </w:r>
          </w:p>
        </w:tc>
      </w:tr>
    </w:tbl>
    <w:p>
      <w:pPr>
        <w:spacing w:after="120"/>
      </w:pPr>
    </w:p>
    <w:p>
      <w:pPr>
        <w:keepNext/>
        <w:spacing w:before="240" w:after="80"/>
      </w:pPr>
      <w:r>
        <w:rPr>
          <w:rFonts w:ascii="Calibri" w:hAnsi="Calibri"/>
          <w:b/>
          <w:color w:val="4A5568"/>
          <w:sz w:val="23"/>
        </w:rPr>
        <w:t>Bloque B: Descomposición DuPont de Novy-Marx &amp; Matriz de 4 Cuadrantes</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MATRIZ DE DECISIÓN COMPETITIVA: 💎 COMPOUNDER DE ÉLITE (MARGEN + VELOCIDAD)</w:t>
              <w:br/>
            </w:r>
          </w:p>
          <w:p>
            <w:pPr>
              <w:spacing w:before="40" w:after="40" w:line="276" w:lineRule="auto"/>
            </w:pPr>
            <w:r>
              <w:rPr>
                <w:rFonts w:ascii="Calibri" w:hAnsi="Calibri"/>
                <w:color w:val="2D3748"/>
                <w:sz w:val="19"/>
              </w:rPr>
              <w:t>Excelente perfil competitivo: combina un margen bruto por encima de la mediana sectorial (48.7% vs 23.0%) con una rotación de activos superior a sus competidores (1.22x vs 1.20x). La empresa ejerce simultáneamente poder de marca/precios y alta velocidad de conversión de capital.</w:t>
            </w:r>
          </w:p>
          <w:p>
            <w:pPr>
              <w:spacing w:before="40" w:after="40" w:line="276" w:lineRule="auto"/>
            </w:pPr>
            <w:r>
              <w:rPr>
                <w:rFonts w:ascii="Calibri" w:hAnsi="Calibri"/>
                <w:color w:val="2D3748"/>
                <w:sz w:val="19"/>
              </w:rPr>
              <w:t>• Verificación Matemática de Identidad DuPont (LTM):</w:t>
            </w:r>
          </w:p>
          <w:p>
            <w:pPr>
              <w:spacing w:before="40" w:after="40" w:line="276" w:lineRule="auto"/>
            </w:pPr>
            <w:r>
              <w:rPr>
                <w:rFonts w:ascii="Calibri" w:hAnsi="Calibri"/>
                <w:color w:val="2D3748"/>
                <w:sz w:val="19"/>
              </w:rPr>
              <w:t xml:space="preserve">  Margen Bruto (48.65%) × Rotación de Activos (1.218x) = 59.26% (Concilia al 100.0% con GP/A de 59.26%).</w:t>
            </w:r>
          </w:p>
          <w:p>
            <w:pPr>
              <w:spacing w:before="40" w:after="40" w:line="276" w:lineRule="auto"/>
            </w:pPr>
            <w:r>
              <w:rPr>
                <w:rFonts w:ascii="Calibri" w:hAnsi="Calibri"/>
                <w:color w:val="2D3748"/>
                <w:sz w:val="19"/>
              </w:rPr>
              <w:t>• Identidad Operativa Ex-Caja: Margen Bruto (48.65%) × Rotación Ex-Caja (1.358x) = 66.08% (concilia con 66.08%).</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632"/>
        <w:gridCol w:w="1632"/>
        <w:gridCol w:w="1632"/>
        <w:gridCol w:w="1632"/>
        <w:gridCol w:w="1632"/>
        <w:gridCol w:w="1632"/>
      </w:tblGrid>
      <w:tr>
        <w:tc>
          <w:tcPr>
            <w:tcW w:type="dxa" w:w="2160"/>
            <w:shd w:fill="1B365D"/>
            <w:tcMar>
              <w:top w:w="90" w:type="dxa"/>
              <w:bottom w:w="90" w:type="dxa"/>
              <w:left w:w="100" w:type="dxa"/>
              <w:right w:w="100" w:type="dxa"/>
            </w:tcMar>
          </w:tcPr>
          <w:p>
            <w:pPr>
              <w:spacing w:before="0" w:after="0"/>
              <w:jc w:val="left"/>
            </w:pPr>
            <w:r>
              <w:rPr>
                <w:rFonts w:ascii="Calibri" w:hAnsi="Calibri"/>
                <w:b/>
                <w:color w:val="FFFFFF"/>
                <w:sz w:val="18"/>
              </w:rPr>
              <w:t>Palanca DuPont</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LTM</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FY2025</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Mediana Ind.</w:t>
            </w:r>
          </w:p>
        </w:tc>
        <w:tc>
          <w:tcPr>
            <w:tcW w:type="dxa" w:w="1728"/>
            <w:shd w:fill="1B365D"/>
            <w:tcMar>
              <w:top w:w="90" w:type="dxa"/>
              <w:bottom w:w="90" w:type="dxa"/>
              <w:left w:w="100" w:type="dxa"/>
              <w:right w:w="100" w:type="dxa"/>
            </w:tcMar>
          </w:tcPr>
          <w:p>
            <w:pPr>
              <w:spacing w:before="0" w:after="0"/>
              <w:jc w:val="right"/>
            </w:pPr>
            <w:r>
              <w:rPr>
                <w:rFonts w:ascii="Calibri" w:hAnsi="Calibri"/>
                <w:b/>
                <w:color w:val="FFFFFF"/>
                <w:sz w:val="18"/>
              </w:rPr>
              <w:t>Estatus vs Mediana</w:t>
            </w:r>
          </w:p>
        </w:tc>
        <w:tc>
          <w:tcPr>
            <w:tcW w:type="dxa" w:w="2448"/>
            <w:shd w:fill="1B365D"/>
            <w:tcMar>
              <w:top w:w="90" w:type="dxa"/>
              <w:bottom w:w="90" w:type="dxa"/>
              <w:left w:w="100" w:type="dxa"/>
              <w:right w:w="100" w:type="dxa"/>
            </w:tcMar>
          </w:tcPr>
          <w:p>
            <w:pPr>
              <w:spacing w:before="0" w:after="0"/>
              <w:jc w:val="left"/>
            </w:pPr>
            <w:r>
              <w:rPr>
                <w:rFonts w:ascii="Calibri" w:hAnsi="Calibri"/>
                <w:b/>
                <w:color w:val="FFFFFF"/>
                <w:sz w:val="18"/>
              </w:rPr>
              <w:t>Implicación Estratégica</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Margen Bruto (Utilidad Bruta / Ventas)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48.65%</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46.91%</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22.96%</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+25.70 pp</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Pricing power, lealtad de clientes y disciplina de costes directos.</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Rotación Activos Totales (Ventas / Activos)</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1.218x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1.158x</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1.202x</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+0.02x</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Velocidad de comercialización y aprovechamiento del capital instalado.</w:t>
            </w:r>
          </w:p>
        </w:tc>
      </w:tr>
      <w:tr>
        <w:tc>
          <w:tcPr>
            <w:tcW w:type="dxa" w:w="2160"/>
            <w:shd w:fill="FFFFFF"/>
            <w:tcMar>
              <w:top w:w="70" w:type="dxa"/>
              <w:bottom w:w="70" w:type="dxa"/>
              <w:left w:w="100" w:type="dxa"/>
              <w:right w:w="100" w:type="dxa"/>
            </w:tcMar>
          </w:tcPr>
          <w:p>
            <w:pPr>
              <w:spacing w:before="0" w:after="0"/>
              <w:jc w:val="left"/>
            </w:pPr>
            <w:r>
              <w:rPr>
                <w:rFonts w:ascii="Calibri" w:hAnsi="Calibri"/>
                <w:b w:val="0"/>
                <w:color w:val="2D3748"/>
                <w:sz w:val="17"/>
              </w:rPr>
              <w:t>Rotación Activos Ex-Caja (Ventas / Act. Operativos)</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1.358x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1.287x</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1.323x</w:t>
            </w:r>
          </w:p>
        </w:tc>
        <w:tc>
          <w:tcPr>
            <w:tcW w:type="dxa" w:w="1728"/>
            <w:shd w:fill="FFFFFF"/>
            <w:tcMar>
              <w:top w:w="70" w:type="dxa"/>
              <w:bottom w:w="70" w:type="dxa"/>
              <w:left w:w="100" w:type="dxa"/>
              <w:right w:w="100" w:type="dxa"/>
            </w:tcMar>
          </w:tcPr>
          <w:p>
            <w:pPr>
              <w:spacing w:before="0" w:after="0"/>
              <w:jc w:val="right"/>
            </w:pPr>
            <w:r>
              <w:rPr>
                <w:rFonts w:ascii="Calibri" w:hAnsi="Calibri"/>
                <w:b w:val="0"/>
                <w:color w:val="2D3748"/>
                <w:sz w:val="17"/>
              </w:rPr>
              <w:t>Expansión Operativa</w:t>
            </w:r>
          </w:p>
        </w:tc>
        <w:tc>
          <w:tcPr>
            <w:tcW w:type="dxa" w:w="2448"/>
            <w:shd w:fill="FFFFFF"/>
            <w:tcMar>
              <w:top w:w="70" w:type="dxa"/>
              <w:bottom w:w="70" w:type="dxa"/>
              <w:left w:w="100" w:type="dxa"/>
              <w:right w:w="100" w:type="dxa"/>
            </w:tcMar>
          </w:tcPr>
          <w:p>
            <w:pPr>
              <w:spacing w:before="0" w:after="0"/>
              <w:jc w:val="left"/>
            </w:pPr>
            <w:r>
              <w:rPr>
                <w:rFonts w:ascii="Calibri" w:hAnsi="Calibri"/>
                <w:b w:val="0"/>
                <w:color w:val="2D3748"/>
                <w:sz w:val="17"/>
              </w:rPr>
              <w:t>Velocidad pura del capital en planta, logística y desarrollo.</w:t>
            </w:r>
          </w:p>
        </w:tc>
      </w:tr>
      <w:tr>
        <w:tc>
          <w:tcPr>
            <w:tcW w:type="dxa" w:w="2160"/>
            <w:shd w:fill="F7FAFC"/>
            <w:tcMar>
              <w:top w:w="70" w:type="dxa"/>
              <w:bottom w:w="70" w:type="dxa"/>
              <w:left w:w="100" w:type="dxa"/>
              <w:right w:w="100" w:type="dxa"/>
            </w:tcMar>
          </w:tcPr>
          <w:p>
            <w:pPr>
              <w:spacing w:before="0" w:after="0"/>
              <w:jc w:val="left"/>
            </w:pPr>
            <w:r>
              <w:rPr>
                <w:rFonts w:ascii="Calibri" w:hAnsi="Calibri"/>
                <w:b/>
                <w:color w:val="1B365D"/>
                <w:sz w:val="17"/>
              </w:rPr>
              <w:t>PRODUCTIVIDAD CONSOLIDADA (GP/A)</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59.26%</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54.34%</w:t>
            </w:r>
          </w:p>
        </w:tc>
        <w:tc>
          <w:tcPr>
            <w:tcW w:type="dxa" w:w="1152"/>
            <w:shd w:fill="F7FAFC"/>
            <w:tcMar>
              <w:top w:w="70" w:type="dxa"/>
              <w:bottom w:w="70" w:type="dxa"/>
              <w:left w:w="100" w:type="dxa"/>
              <w:right w:w="100" w:type="dxa"/>
            </w:tcMar>
          </w:tcPr>
          <w:p>
            <w:pPr>
              <w:spacing w:before="0" w:after="0"/>
              <w:jc w:val="right"/>
            </w:pPr>
            <w:r>
              <w:rPr>
                <w:rFonts w:ascii="Calibri" w:hAnsi="Calibri"/>
                <w:b/>
                <w:color w:val="1B365D"/>
                <w:sz w:val="17"/>
              </w:rPr>
              <w:t>25.69%</w:t>
            </w:r>
          </w:p>
        </w:tc>
        <w:tc>
          <w:tcPr>
            <w:tcW w:type="dxa" w:w="1728"/>
            <w:shd w:fill="F7FAFC"/>
            <w:tcMar>
              <w:top w:w="70" w:type="dxa"/>
              <w:bottom w:w="70" w:type="dxa"/>
              <w:left w:w="100" w:type="dxa"/>
              <w:right w:w="100" w:type="dxa"/>
            </w:tcMar>
          </w:tcPr>
          <w:p>
            <w:pPr>
              <w:spacing w:before="0" w:after="0"/>
              <w:jc w:val="right"/>
            </w:pPr>
            <w:r>
              <w:rPr>
                <w:rFonts w:ascii="Calibri" w:hAnsi="Calibri"/>
                <w:b/>
                <w:color w:val="1B365D"/>
                <w:sz w:val="17"/>
              </w:rPr>
              <w:t>+33.57 pp</w:t>
            </w:r>
          </w:p>
        </w:tc>
        <w:tc>
          <w:tcPr>
            <w:tcW w:type="dxa" w:w="2448"/>
            <w:shd w:fill="F7FAFC"/>
            <w:tcMar>
              <w:top w:w="70" w:type="dxa"/>
              <w:bottom w:w="70" w:type="dxa"/>
              <w:left w:w="100" w:type="dxa"/>
              <w:right w:w="100" w:type="dxa"/>
            </w:tcMar>
          </w:tcPr>
          <w:p>
            <w:pPr>
              <w:spacing w:before="0" w:after="0"/>
              <w:jc w:val="left"/>
            </w:pPr>
            <w:r>
              <w:rPr>
                <w:rFonts w:ascii="Calibri" w:hAnsi="Calibri"/>
                <w:b/>
                <w:color w:val="1B365D"/>
                <w:sz w:val="17"/>
              </w:rPr>
              <w:t>CAPITAL PRODUCTIVO DE MÁXIMA GENERACIÓN ECONÓMICA.</w:t>
            </w:r>
          </w:p>
        </w:tc>
      </w:tr>
    </w:tbl>
    <w:p>
      <w:pPr>
        <w:spacing w:after="120"/>
      </w:pPr>
    </w:p>
    <w:p>
      <w:pPr>
        <w:keepNext/>
        <w:spacing w:before="240" w:after="80"/>
      </w:pPr>
      <w:r>
        <w:rPr>
          <w:rFonts w:ascii="Calibri" w:hAnsi="Calibri"/>
          <w:b/>
          <w:color w:val="4A5568"/>
          <w:sz w:val="23"/>
        </w:rPr>
        <w:t>Bloque C: Evolución Histórica Multianual y Consistencia de Tendencia</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DIAGNÓSTICO DE SOSTENIBILIDAD TEMPORAL</w:t>
              <w:br/>
            </w:r>
          </w:p>
          <w:p>
            <w:pPr>
              <w:spacing w:before="40" w:after="40" w:line="276" w:lineRule="auto"/>
            </w:pPr>
            <w:r>
              <w:rPr>
                <w:rFonts w:ascii="Calibri" w:hAnsi="Calibri"/>
                <w:color w:val="2D3748"/>
                <w:sz w:val="19"/>
              </w:rPr>
              <w:t>• Expansión a 3 Años (vs. FY2023): +11.29 puntos porcentuales.</w:t>
            </w:r>
          </w:p>
          <w:p>
            <w:pPr>
              <w:spacing w:before="40" w:after="40" w:line="276" w:lineRule="auto"/>
            </w:pPr>
            <w:r>
              <w:rPr>
                <w:rFonts w:ascii="Calibri" w:hAnsi="Calibri"/>
                <w:color w:val="2D3748"/>
                <w:sz w:val="19"/>
              </w:rPr>
              <w:t>• Expansión a 5 Años (vs. FY2021): +15.72 puntos porcentuales.</w:t>
            </w:r>
          </w:p>
          <w:p>
            <w:pPr>
              <w:spacing w:before="40" w:after="40" w:line="276" w:lineRule="auto"/>
            </w:pPr>
            <w:r>
              <w:rPr>
                <w:rFonts w:ascii="Calibri" w:hAnsi="Calibri"/>
                <w:color w:val="2D3748"/>
                <w:sz w:val="19"/>
              </w:rPr>
              <w:t>• Coeficiente de Variación (CV GP/A): 0.079 (indica una trayectoria predecible y baja volatilidad operativa).</w:t>
            </w:r>
          </w:p>
          <w:p>
            <w:pPr>
              <w:spacing w:before="40" w:after="40" w:line="276" w:lineRule="auto"/>
            </w:pPr>
            <w:r>
              <w:rPr>
                <w:rFonts w:ascii="Calibri" w:hAnsi="Calibri"/>
                <w:color w:val="2D3748"/>
                <w:sz w:val="19"/>
              </w:rPr>
              <w:t>• Conclusión de Tendencia: Expansión estructural acelerada (+15.72 p.p. en 5 años); aumento continuo de la productividad pura de capital.</w:t>
            </w:r>
          </w:p>
        </w:tc>
      </w:tr>
    </w:tbl>
    <w:p>
      <w:pPr>
        <w:spacing w:after="80"/>
      </w:pP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399"/>
        <w:gridCol w:w="1399"/>
        <w:gridCol w:w="1399"/>
        <w:gridCol w:w="1399"/>
        <w:gridCol w:w="1399"/>
        <w:gridCol w:w="1399"/>
        <w:gridCol w:w="1399"/>
      </w:tblGrid>
      <w:tr>
        <w:tc>
          <w:tcPr>
            <w:tcW w:type="dxa" w:w="1440"/>
            <w:shd w:fill="1B365D"/>
            <w:tcMar>
              <w:top w:w="90" w:type="dxa"/>
              <w:bottom w:w="90" w:type="dxa"/>
              <w:left w:w="100" w:type="dxa"/>
              <w:right w:w="100" w:type="dxa"/>
            </w:tcMar>
          </w:tcPr>
          <w:p>
            <w:pPr>
              <w:spacing w:before="0" w:after="0"/>
              <w:jc w:val="left"/>
            </w:pPr>
            <w:r>
              <w:rPr>
                <w:rFonts w:ascii="Calibri" w:hAnsi="Calibri"/>
                <w:b/>
                <w:color w:val="FFFFFF"/>
                <w:sz w:val="18"/>
              </w:rPr>
              <w:t>Período Fiscal</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 Activos (%)</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GP Ex-Caja (%)</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Cash Drag (pp)</w:t>
            </w:r>
          </w:p>
        </w:tc>
        <w:tc>
          <w:tcPr>
            <w:tcW w:type="dxa" w:w="1440"/>
            <w:shd w:fill="1B365D"/>
            <w:tcMar>
              <w:top w:w="90" w:type="dxa"/>
              <w:bottom w:w="90" w:type="dxa"/>
              <w:left w:w="100" w:type="dxa"/>
              <w:right w:w="100" w:type="dxa"/>
            </w:tcMar>
          </w:tcPr>
          <w:p>
            <w:pPr>
              <w:spacing w:before="0" w:after="0"/>
              <w:jc w:val="right"/>
            </w:pPr>
            <w:r>
              <w:rPr>
                <w:rFonts w:ascii="Calibri" w:hAnsi="Calibri"/>
                <w:b/>
                <w:color w:val="FFFFFF"/>
                <w:sz w:val="18"/>
              </w:rPr>
              <w:t>Margen Bruto (%)</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Rotación (x)</w:t>
            </w:r>
          </w:p>
        </w:tc>
        <w:tc>
          <w:tcPr>
            <w:tcW w:type="dxa" w:w="1584"/>
            <w:shd w:fill="1B365D"/>
            <w:tcMar>
              <w:top w:w="90" w:type="dxa"/>
              <w:bottom w:w="90" w:type="dxa"/>
              <w:left w:w="100" w:type="dxa"/>
              <w:right w:w="100" w:type="dxa"/>
            </w:tcMar>
          </w:tcPr>
          <w:p>
            <w:pPr>
              <w:spacing w:before="0" w:after="0"/>
              <w:jc w:val="left"/>
            </w:pPr>
            <w:r>
              <w:rPr>
                <w:rFonts w:ascii="Calibri" w:hAnsi="Calibri"/>
                <w:b/>
                <w:color w:val="FFFFFF"/>
                <w:sz w:val="18"/>
              </w:rPr>
              <w:t>Cuadrante Estratégico</w:t>
            </w:r>
          </w:p>
        </w:tc>
      </w:tr>
      <w:tr>
        <w:tc>
          <w:tcPr>
            <w:tcW w:type="dxa" w:w="1440"/>
            <w:shd w:fill="FFFFFF"/>
            <w:tcMar>
              <w:top w:w="70" w:type="dxa"/>
              <w:bottom w:w="70" w:type="dxa"/>
              <w:left w:w="100" w:type="dxa"/>
              <w:right w:w="100" w:type="dxa"/>
            </w:tcMar>
          </w:tcPr>
          <w:p>
            <w:pPr>
              <w:spacing w:before="0" w:after="0"/>
              <w:jc w:val="left"/>
            </w:pPr>
            <w:r>
              <w:rPr>
                <w:rFonts w:ascii="Calibri" w:hAnsi="Calibri"/>
                <w:b/>
                <w:color w:val="1B365D"/>
                <w:sz w:val="17"/>
              </w:rPr>
              <w:t>LTM</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59.26%</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66.08%</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+6.82 pp</w:t>
            </w:r>
          </w:p>
        </w:tc>
        <w:tc>
          <w:tcPr>
            <w:tcW w:type="dxa" w:w="1440"/>
            <w:shd w:fill="FFFFFF"/>
            <w:tcMar>
              <w:top w:w="70" w:type="dxa"/>
              <w:bottom w:w="70" w:type="dxa"/>
              <w:left w:w="100" w:type="dxa"/>
              <w:right w:w="100" w:type="dxa"/>
            </w:tcMar>
          </w:tcPr>
          <w:p>
            <w:pPr>
              <w:spacing w:before="0" w:after="0"/>
              <w:jc w:val="right"/>
            </w:pPr>
            <w:r>
              <w:rPr>
                <w:rFonts w:ascii="Calibri" w:hAnsi="Calibri"/>
                <w:b/>
                <w:color w:val="1B365D"/>
                <w:sz w:val="17"/>
              </w:rPr>
              <w:t>48.65%</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1.218x</w:t>
            </w:r>
          </w:p>
        </w:tc>
        <w:tc>
          <w:tcPr>
            <w:tcW w:type="dxa" w:w="1584"/>
            <w:shd w:fill="FFFFFF"/>
            <w:tcMar>
              <w:top w:w="70" w:type="dxa"/>
              <w:bottom w:w="70" w:type="dxa"/>
              <w:left w:w="100" w:type="dxa"/>
              <w:right w:w="100" w:type="dxa"/>
            </w:tcMar>
          </w:tcPr>
          <w:p>
            <w:pPr>
              <w:spacing w:before="0" w:after="0"/>
              <w:jc w:val="left"/>
            </w:pPr>
            <w:r>
              <w:rPr>
                <w:rFonts w:ascii="Calibri" w:hAnsi="Calibri"/>
                <w:b/>
                <w:color w:val="1B365D"/>
                <w:sz w:val="17"/>
              </w:rPr>
              <w:t>COMPOUNDER DE ÉLITE</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FY2025</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54.34%</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60.38%</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+6.04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46.91%</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1.158x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FY2024</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49.50%</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53.93%</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+4.42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46.21%</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1.071x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FY2023</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47.97%</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52.43%</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+4.46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44.13%</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1.087x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FY2022</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48.41%</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51.89%</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+3.48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43.31%</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1.118x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FY2021</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43.54%</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48.36%</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+4.81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41.78%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1.042x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FFFFF"/>
            <w:tcMar>
              <w:top w:w="70" w:type="dxa"/>
              <w:bottom w:w="70" w:type="dxa"/>
              <w:left w:w="100" w:type="dxa"/>
              <w:right w:w="100" w:type="dxa"/>
            </w:tcMar>
          </w:tcPr>
          <w:p>
            <w:pPr>
              <w:spacing w:before="0" w:after="0"/>
              <w:jc w:val="left"/>
            </w:pPr>
            <w:r>
              <w:rPr>
                <w:rFonts w:ascii="Calibri" w:hAnsi="Calibri"/>
                <w:b w:val="0"/>
                <w:color w:val="2D3748"/>
                <w:sz w:val="17"/>
              </w:rPr>
              <w:t>FY2020</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32.41%</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36.71%</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+4.31 pp</w:t>
            </w:r>
          </w:p>
        </w:tc>
        <w:tc>
          <w:tcPr>
            <w:tcW w:type="dxa" w:w="1440"/>
            <w:shd w:fill="FFFFFF"/>
            <w:tcMar>
              <w:top w:w="70" w:type="dxa"/>
              <w:bottom w:w="70" w:type="dxa"/>
              <w:left w:w="100" w:type="dxa"/>
              <w:right w:w="100" w:type="dxa"/>
            </w:tcMar>
          </w:tcPr>
          <w:p>
            <w:pPr>
              <w:spacing w:before="0" w:after="0"/>
              <w:jc w:val="right"/>
            </w:pPr>
            <w:r>
              <w:rPr>
                <w:rFonts w:ascii="Calibri" w:hAnsi="Calibri"/>
                <w:b w:val="0"/>
                <w:color w:val="2D3748"/>
                <w:sz w:val="17"/>
              </w:rPr>
              <w:t>38.23%</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0.848x</w:t>
            </w:r>
          </w:p>
        </w:tc>
        <w:tc>
          <w:tcPr>
            <w:tcW w:type="dxa" w:w="1584"/>
            <w:shd w:fill="FFFFFF"/>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r>
        <w:tc>
          <w:tcPr>
            <w:tcW w:type="dxa" w:w="1440"/>
            <w:shd w:fill="F7FAFC"/>
            <w:tcMar>
              <w:top w:w="70" w:type="dxa"/>
              <w:bottom w:w="70" w:type="dxa"/>
              <w:left w:w="100" w:type="dxa"/>
              <w:right w:w="100" w:type="dxa"/>
            </w:tcMar>
          </w:tcPr>
          <w:p>
            <w:pPr>
              <w:spacing w:before="0" w:after="0"/>
              <w:jc w:val="left"/>
            </w:pPr>
            <w:r>
              <w:rPr>
                <w:rFonts w:ascii="Calibri" w:hAnsi="Calibri"/>
                <w:b w:val="0"/>
                <w:color w:val="2D3748"/>
                <w:sz w:val="17"/>
              </w:rPr>
              <w:t>FY2019</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29.07%</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33.97%</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+4.90 pp</w:t>
            </w:r>
          </w:p>
        </w:tc>
        <w:tc>
          <w:tcPr>
            <w:tcW w:type="dxa" w:w="1440"/>
            <w:shd w:fill="F7FAFC"/>
            <w:tcMar>
              <w:top w:w="70" w:type="dxa"/>
              <w:bottom w:w="70" w:type="dxa"/>
              <w:left w:w="100" w:type="dxa"/>
              <w:right w:w="100" w:type="dxa"/>
            </w:tcMar>
          </w:tcPr>
          <w:p>
            <w:pPr>
              <w:spacing w:before="0" w:after="0"/>
              <w:jc w:val="right"/>
            </w:pPr>
            <w:r>
              <w:rPr>
                <w:rFonts w:ascii="Calibri" w:hAnsi="Calibri"/>
                <w:b w:val="0"/>
                <w:color w:val="2D3748"/>
                <w:sz w:val="17"/>
              </w:rPr>
              <w:t>37.82%</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0.769x</w:t>
            </w:r>
          </w:p>
        </w:tc>
        <w:tc>
          <w:tcPr>
            <w:tcW w:type="dxa" w:w="1584"/>
            <w:shd w:fill="F7FAFC"/>
            <w:tcMar>
              <w:top w:w="70" w:type="dxa"/>
              <w:bottom w:w="70" w:type="dxa"/>
              <w:left w:w="100" w:type="dxa"/>
              <w:right w:w="100" w:type="dxa"/>
            </w:tcMar>
          </w:tcPr>
          <w:p>
            <w:pPr>
              <w:spacing w:before="0" w:after="0"/>
              <w:jc w:val="left"/>
            </w:pPr>
            <w:r>
              <w:rPr>
                <w:rFonts w:ascii="Calibri" w:hAnsi="Calibri"/>
                <w:b w:val="0"/>
                <w:color w:val="2D3748"/>
                <w:sz w:val="17"/>
              </w:rPr>
              <w:t>MONOPOLIO / PODER DE MARCA</w:t>
            </w:r>
          </w:p>
        </w:tc>
      </w:tr>
    </w:tbl>
    <w:p>
      <w:pPr>
        <w:spacing w:after="120"/>
      </w:pPr>
    </w:p>
    <w:p>
      <w:pPr>
        <w:keepNext/>
        <w:spacing w:before="240" w:after="80"/>
      </w:pPr>
      <w:r>
        <w:rPr>
          <w:rFonts w:ascii="Calibri" w:hAnsi="Calibri"/>
          <w:b/>
          <w:color w:val="4A5568"/>
          <w:sz w:val="23"/>
        </w:rPr>
        <w:t>Bloque D: Benchmarking Sectorial y Ranking Competitivo de la Industria</w:t>
      </w:r>
    </w:p>
    <w:p>
      <w:pPr>
        <w:spacing w:before="0" w:after="80" w:line="276" w:lineRule="auto"/>
      </w:pPr>
      <w:r>
        <w:rPr>
          <w:rFonts w:ascii="Calibri" w:hAnsi="Calibri"/>
          <w:i w:val="0"/>
          <w:color w:val="2D3748"/>
          <w:sz w:val="20"/>
        </w:rPr>
        <w:t>A continuación se presenta el ranking institucional de la canasta de pares directos ordenados rigurosamente por su Rentabilidad Bruta sobre Activos Totales (Gross Profitability de Novy-Marx), contrastando la métrica nominal con la métrica operativa ex-caja y la distancia en puntos porcentuales frente a la mediana de la industria: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088"/>
        <w:gridCol w:w="1088"/>
        <w:gridCol w:w="1088"/>
        <w:gridCol w:w="1088"/>
        <w:gridCol w:w="1088"/>
        <w:gridCol w:w="1088"/>
        <w:gridCol w:w="1088"/>
        <w:gridCol w:w="1088"/>
        <w:gridCol w:w="1088"/>
      </w:tblGrid>
      <w:tr>
        <w:tc>
          <w:tcPr>
            <w:tcW w:type="dxa" w:w="720"/>
            <w:shd w:fill="1B365D"/>
            <w:tcMar>
              <w:top w:w="90" w:type="dxa"/>
              <w:bottom w:w="90" w:type="dxa"/>
              <w:left w:w="100" w:type="dxa"/>
              <w:right w:w="100" w:type="dxa"/>
            </w:tcMar>
          </w:tcPr>
          <w:p>
            <w:pPr>
              <w:spacing w:before="0" w:after="0"/>
              <w:jc w:val="left"/>
            </w:pPr>
            <w:r>
              <w:rPr>
                <w:rFonts w:ascii="Calibri" w:hAnsi="Calibri"/>
                <w:b/>
                <w:color w:val="FFFFFF"/>
                <w:sz w:val="18"/>
              </w:rPr>
              <w:t>Rank</w:t>
            </w:r>
          </w:p>
        </w:tc>
        <w:tc>
          <w:tcPr>
            <w:tcW w:type="dxa" w:w="1008"/>
            <w:shd w:fill="1B365D"/>
            <w:tcMar>
              <w:top w:w="90" w:type="dxa"/>
              <w:bottom w:w="90" w:type="dxa"/>
              <w:left w:w="100" w:type="dxa"/>
              <w:right w:w="100" w:type="dxa"/>
            </w:tcMar>
          </w:tcPr>
          <w:p>
            <w:pPr>
              <w:spacing w:before="0" w:after="0"/>
              <w:jc w:val="right"/>
            </w:pPr>
            <w:r>
              <w:rPr>
                <w:rFonts w:ascii="Calibri" w:hAnsi="Calibri"/>
                <w:b/>
                <w:color w:val="FFFFFF"/>
                <w:sz w:val="18"/>
              </w:rPr>
              <w:t>Ticker</w:t>
            </w:r>
          </w:p>
        </w:tc>
        <w:tc>
          <w:tcPr>
            <w:tcW w:type="dxa" w:w="2016"/>
            <w:shd w:fill="1B365D"/>
            <w:tcMar>
              <w:top w:w="90" w:type="dxa"/>
              <w:bottom w:w="90" w:type="dxa"/>
              <w:left w:w="100" w:type="dxa"/>
              <w:right w:w="100" w:type="dxa"/>
            </w:tcMar>
          </w:tcPr>
          <w:p>
            <w:pPr>
              <w:spacing w:before="0" w:after="0"/>
              <w:jc w:val="right"/>
            </w:pPr>
            <w:r>
              <w:rPr>
                <w:rFonts w:ascii="Calibri" w:hAnsi="Calibri"/>
                <w:b/>
                <w:color w:val="FFFFFF"/>
                <w:sz w:val="18"/>
              </w:rPr>
              <w:t>Empresa Competidora</w:t>
            </w:r>
          </w:p>
        </w:tc>
        <w:tc>
          <w:tcPr>
            <w:tcW w:type="dxa" w:w="1296"/>
            <w:shd w:fill="1B365D"/>
            <w:tcMar>
              <w:top w:w="90" w:type="dxa"/>
              <w:bottom w:w="90" w:type="dxa"/>
              <w:left w:w="100" w:type="dxa"/>
              <w:right w:w="100" w:type="dxa"/>
            </w:tcMar>
          </w:tcPr>
          <w:p>
            <w:pPr>
              <w:spacing w:before="0" w:after="0"/>
              <w:jc w:val="right"/>
            </w:pPr>
            <w:r>
              <w:rPr>
                <w:rFonts w:ascii="Calibri" w:hAnsi="Calibri"/>
                <w:b/>
                <w:color w:val="FFFFFF"/>
                <w:sz w:val="18"/>
              </w:rPr>
              <w:t>Período</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 Activos</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GP Ex-Caja</w:t>
            </w:r>
          </w:p>
        </w:tc>
        <w:tc>
          <w:tcPr>
            <w:tcW w:type="dxa" w:w="1152"/>
            <w:shd w:fill="1B365D"/>
            <w:tcMar>
              <w:top w:w="90" w:type="dxa"/>
              <w:bottom w:w="90" w:type="dxa"/>
              <w:left w:w="100" w:type="dxa"/>
              <w:right w:w="100" w:type="dxa"/>
            </w:tcMar>
          </w:tcPr>
          <w:p>
            <w:pPr>
              <w:spacing w:before="0" w:after="0"/>
              <w:jc w:val="right"/>
            </w:pPr>
            <w:r>
              <w:rPr>
                <w:rFonts w:ascii="Calibri" w:hAnsi="Calibri"/>
                <w:b/>
                <w:color w:val="FFFFFF"/>
                <w:sz w:val="18"/>
              </w:rPr>
              <w:t>Margen Bruto</w:t>
            </w:r>
          </w:p>
        </w:tc>
        <w:tc>
          <w:tcPr>
            <w:tcW w:type="dxa" w:w="720"/>
            <w:shd w:fill="1B365D"/>
            <w:tcMar>
              <w:top w:w="90" w:type="dxa"/>
              <w:bottom w:w="90" w:type="dxa"/>
              <w:left w:w="100" w:type="dxa"/>
              <w:right w:w="100" w:type="dxa"/>
            </w:tcMar>
          </w:tcPr>
          <w:p>
            <w:pPr>
              <w:spacing w:before="0" w:after="0"/>
              <w:jc w:val="right"/>
            </w:pPr>
            <w:r>
              <w:rPr>
                <w:rFonts w:ascii="Calibri" w:hAnsi="Calibri"/>
                <w:b/>
                <w:color w:val="FFFFFF"/>
                <w:sz w:val="18"/>
              </w:rPr>
              <w:t>Rotación</w:t>
            </w:r>
          </w:p>
        </w:tc>
        <w:tc>
          <w:tcPr>
            <w:tcW w:type="dxa" w:w="1152"/>
            <w:shd w:fill="1B365D"/>
            <w:tcMar>
              <w:top w:w="90" w:type="dxa"/>
              <w:bottom w:w="90" w:type="dxa"/>
              <w:left w:w="100" w:type="dxa"/>
              <w:right w:w="100" w:type="dxa"/>
            </w:tcMar>
          </w:tcPr>
          <w:p>
            <w:pPr>
              <w:spacing w:before="0" w:after="0"/>
              <w:jc w:val="left"/>
            </w:pPr>
            <w:r>
              <w:rPr>
                <w:rFonts w:ascii="Calibri" w:hAnsi="Calibri"/>
                <w:b/>
                <w:color w:val="FFFFFF"/>
                <w:sz w:val="18"/>
              </w:rPr>
              <w:t>Brecha vs Mediana</w:t>
            </w:r>
          </w:p>
        </w:tc>
      </w:tr>
      <w:tr>
        <w:tc>
          <w:tcPr>
            <w:tcW w:type="dxa" w:w="720"/>
            <w:shd w:fill="FFFFFF"/>
            <w:tcMar>
              <w:top w:w="70" w:type="dxa"/>
              <w:bottom w:w="70" w:type="dxa"/>
              <w:left w:w="100" w:type="dxa"/>
              <w:right w:w="100" w:type="dxa"/>
            </w:tcMar>
          </w:tcPr>
          <w:p>
            <w:pPr>
              <w:spacing w:before="0" w:after="0"/>
              <w:jc w:val="left"/>
            </w:pPr>
            <w:r>
              <w:rPr>
                <w:rFonts w:ascii="Calibri" w:hAnsi="Calibri"/>
                <w:b/>
                <w:color w:val="1B365D"/>
                <w:sz w:val="17"/>
              </w:rPr>
              <w:t>#1</w:t>
            </w:r>
          </w:p>
        </w:tc>
        <w:tc>
          <w:tcPr>
            <w:tcW w:type="dxa" w:w="1008"/>
            <w:shd w:fill="FFFFFF"/>
            <w:tcMar>
              <w:top w:w="70" w:type="dxa"/>
              <w:bottom w:w="70" w:type="dxa"/>
              <w:left w:w="100" w:type="dxa"/>
              <w:right w:w="100" w:type="dxa"/>
            </w:tcMar>
          </w:tcPr>
          <w:p>
            <w:pPr>
              <w:spacing w:before="0" w:after="0"/>
              <w:jc w:val="right"/>
            </w:pPr>
            <w:r>
              <w:rPr>
                <w:rFonts w:ascii="Calibri" w:hAnsi="Calibri"/>
                <w:b/>
                <w:color w:val="1B365D"/>
                <w:sz w:val="17"/>
              </w:rPr>
              <w:t>AAPL</w:t>
            </w:r>
          </w:p>
        </w:tc>
        <w:tc>
          <w:tcPr>
            <w:tcW w:type="dxa" w:w="2016"/>
            <w:shd w:fill="FFFFFF"/>
            <w:tcMar>
              <w:top w:w="70" w:type="dxa"/>
              <w:bottom w:w="70" w:type="dxa"/>
              <w:left w:w="100" w:type="dxa"/>
              <w:right w:w="100" w:type="dxa"/>
            </w:tcMar>
          </w:tcPr>
          <w:p>
            <w:pPr>
              <w:spacing w:before="0" w:after="0"/>
              <w:jc w:val="right"/>
            </w:pPr>
            <w:r>
              <w:rPr>
                <w:rFonts w:ascii="Calibri" w:hAnsi="Calibri"/>
                <w:b/>
                <w:color w:val="1B365D"/>
                <w:sz w:val="17"/>
              </w:rPr>
              <w:t>Apple Inc.</w:t>
            </w:r>
          </w:p>
        </w:tc>
        <w:tc>
          <w:tcPr>
            <w:tcW w:type="dxa" w:w="1296"/>
            <w:shd w:fill="FFFFFF"/>
            <w:tcMar>
              <w:top w:w="70" w:type="dxa"/>
              <w:bottom w:w="70" w:type="dxa"/>
              <w:left w:w="100" w:type="dxa"/>
              <w:right w:w="100" w:type="dxa"/>
            </w:tcMar>
          </w:tcPr>
          <w:p>
            <w:pPr>
              <w:spacing w:before="0" w:after="0"/>
              <w:jc w:val="right"/>
            </w:pPr>
            <w:r>
              <w:rPr>
                <w:rFonts w:ascii="Calibri" w:hAnsi="Calibri"/>
                <w:b/>
                <w:color w:val="1B365D"/>
                <w:sz w:val="17"/>
              </w:rPr>
              <w:t>LTM</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59.26%</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66.08%</w:t>
            </w:r>
          </w:p>
        </w:tc>
        <w:tc>
          <w:tcPr>
            <w:tcW w:type="dxa" w:w="1152"/>
            <w:shd w:fill="FFFFFF"/>
            <w:tcMar>
              <w:top w:w="70" w:type="dxa"/>
              <w:bottom w:w="70" w:type="dxa"/>
              <w:left w:w="100" w:type="dxa"/>
              <w:right w:w="100" w:type="dxa"/>
            </w:tcMar>
          </w:tcPr>
          <w:p>
            <w:pPr>
              <w:spacing w:before="0" w:after="0"/>
              <w:jc w:val="right"/>
            </w:pPr>
            <w:r>
              <w:rPr>
                <w:rFonts w:ascii="Calibri" w:hAnsi="Calibri"/>
                <w:b/>
                <w:color w:val="1B365D"/>
                <w:sz w:val="17"/>
              </w:rPr>
              <w:t>48.65%</w:t>
            </w:r>
          </w:p>
        </w:tc>
        <w:tc>
          <w:tcPr>
            <w:tcW w:type="dxa" w:w="720"/>
            <w:shd w:fill="FFFFFF"/>
            <w:tcMar>
              <w:top w:w="70" w:type="dxa"/>
              <w:bottom w:w="70" w:type="dxa"/>
              <w:left w:w="100" w:type="dxa"/>
              <w:right w:w="100" w:type="dxa"/>
            </w:tcMar>
          </w:tcPr>
          <w:p>
            <w:pPr>
              <w:spacing w:before="0" w:after="0"/>
              <w:jc w:val="right"/>
            </w:pPr>
            <w:r>
              <w:rPr>
                <w:rFonts w:ascii="Calibri" w:hAnsi="Calibri"/>
                <w:b/>
                <w:color w:val="1B365D"/>
                <w:sz w:val="17"/>
              </w:rPr>
              <w:t>1.22x</w:t>
            </w:r>
          </w:p>
        </w:tc>
        <w:tc>
          <w:tcPr>
            <w:tcW w:type="dxa" w:w="1152"/>
            <w:shd w:fill="FFFFFF"/>
            <w:tcMar>
              <w:top w:w="70" w:type="dxa"/>
              <w:bottom w:w="70" w:type="dxa"/>
              <w:left w:w="100" w:type="dxa"/>
              <w:right w:w="100" w:type="dxa"/>
            </w:tcMar>
          </w:tcPr>
          <w:p>
            <w:pPr>
              <w:spacing w:before="0" w:after="0"/>
              <w:jc w:val="left"/>
            </w:pPr>
            <w:r>
              <w:rPr>
                <w:rFonts w:ascii="Calibri" w:hAnsi="Calibri"/>
                <w:b/>
                <w:color w:val="1B365D"/>
                <w:sz w:val="17"/>
              </w:rPr>
              <w:t>+33.57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#2</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NTAP</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NetApp Inc.</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(Q1 FY27 Móvil)</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47.90%</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67.66%</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70.99%</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0.67x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+22.20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#3</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HPQ</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HP Inc.</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(Q3 FY26 Móvil)</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29.13%</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31.32%</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22.50%</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1.29x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+3.43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#4</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DELL</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Dell Technologies Inc.</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(Q2 FY27 Móvil)</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27.79%</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29.48%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23.41%</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1.19x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+2.10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#5</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STX</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Seagate Technology Hol</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(FY26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23.60%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26.52%</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19.29%</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1.22x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-2.10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#6</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HPE</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Hewlett Packard Enterp</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(Q3 FY26 Móvil)</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18.38%</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19.09%</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36.70%</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0.50x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-7.31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#7</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WDC</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Western Digital Corp.</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 (FY26 Auditado)</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16.87%</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19.38%</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18.10%</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0.93x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-8.82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#8</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SMCI</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Super Micro Computer I</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 (FY26 Auditado)</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14.61%</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15.71%</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11.20%</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1.30x</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-11.08 pp</w:t>
            </w:r>
          </w:p>
        </w:tc>
      </w:tr>
      <w:tr>
        <w:tc>
          <w:tcPr>
            <w:tcW w:type="dxa" w:w="720"/>
            <w:shd w:fill="FFFFFF"/>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FFFFF"/>
            <w:tcMar>
              <w:top w:w="70" w:type="dxa"/>
              <w:bottom w:w="70" w:type="dxa"/>
              <w:left w:w="100" w:type="dxa"/>
              <w:right w:w="100" w:type="dxa"/>
            </w:tcMar>
          </w:tcPr>
          <w:p>
            <w:pPr>
              <w:spacing w:before="0" w:after="0"/>
              <w:jc w:val="right"/>
            </w:pPr>
            <w:r>
              <w:rPr>
                <w:rFonts w:ascii="Calibri" w:hAnsi="Calibri"/>
                <w:b w:val="0"/>
                <w:color w:val="2D3748"/>
                <w:sz w:val="17"/>
              </w:rPr>
              <w:t>MEDIANA</w:t>
            </w:r>
          </w:p>
        </w:tc>
        <w:tc>
          <w:tcPr>
            <w:tcW w:type="dxa" w:w="2016"/>
            <w:shd w:fill="FFFFFF"/>
            <w:tcMar>
              <w:top w:w="70" w:type="dxa"/>
              <w:bottom w:w="70" w:type="dxa"/>
              <w:left w:w="100" w:type="dxa"/>
              <w:right w:w="100" w:type="dxa"/>
            </w:tcMar>
          </w:tcPr>
          <w:p>
            <w:pPr>
              <w:spacing w:before="0" w:after="0"/>
              <w:jc w:val="right"/>
            </w:pPr>
            <w:r>
              <w:rPr>
                <w:rFonts w:ascii="Calibri" w:hAnsi="Calibri"/>
                <w:b w:val="0"/>
                <w:color w:val="2D3748"/>
                <w:sz w:val="17"/>
              </w:rPr>
              <w:t>Mediana Sectorial</w:t>
            </w:r>
          </w:p>
        </w:tc>
        <w:tc>
          <w:tcPr>
            <w:tcW w:type="dxa" w:w="1296"/>
            <w:shd w:fill="FFFFFF"/>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25.69%</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28.00%</w:t>
            </w:r>
          </w:p>
        </w:tc>
        <w:tc>
          <w:tcPr>
            <w:tcW w:type="dxa" w:w="1152"/>
            <w:shd w:fill="FFFFFF"/>
            <w:tcMar>
              <w:top w:w="70" w:type="dxa"/>
              <w:bottom w:w="70" w:type="dxa"/>
              <w:left w:w="100" w:type="dxa"/>
              <w:right w:w="100" w:type="dxa"/>
            </w:tcMar>
          </w:tcPr>
          <w:p>
            <w:pPr>
              <w:spacing w:before="0" w:after="0"/>
              <w:jc w:val="right"/>
            </w:pPr>
            <w:r>
              <w:rPr>
                <w:rFonts w:ascii="Calibri" w:hAnsi="Calibri"/>
                <w:b w:val="0"/>
                <w:color w:val="2D3748"/>
                <w:sz w:val="17"/>
              </w:rPr>
              <w:t>22.96%</w:t>
            </w:r>
          </w:p>
        </w:tc>
        <w:tc>
          <w:tcPr>
            <w:tcW w:type="dxa" w:w="720"/>
            <w:shd w:fill="FFFFFF"/>
            <w:tcMar>
              <w:top w:w="70" w:type="dxa"/>
              <w:bottom w:w="70" w:type="dxa"/>
              <w:left w:w="100" w:type="dxa"/>
              <w:right w:w="100" w:type="dxa"/>
            </w:tcMar>
          </w:tcPr>
          <w:p>
            <w:pPr>
              <w:spacing w:before="0" w:after="0"/>
              <w:jc w:val="right"/>
            </w:pPr>
            <w:r>
              <w:rPr>
                <w:rFonts w:ascii="Calibri" w:hAnsi="Calibri"/>
                <w:b w:val="0"/>
                <w:color w:val="2D3748"/>
                <w:sz w:val="17"/>
              </w:rPr>
              <w:t>1.20x</w:t>
            </w:r>
          </w:p>
        </w:tc>
        <w:tc>
          <w:tcPr>
            <w:tcW w:type="dxa" w:w="1152"/>
            <w:shd w:fill="FFFFFF"/>
            <w:tcMar>
              <w:top w:w="70" w:type="dxa"/>
              <w:bottom w:w="70" w:type="dxa"/>
              <w:left w:w="100" w:type="dxa"/>
              <w:right w:w="100" w:type="dxa"/>
            </w:tcMar>
          </w:tcPr>
          <w:p>
            <w:pPr>
              <w:spacing w:before="0" w:after="0"/>
              <w:jc w:val="left"/>
            </w:pPr>
            <w:r>
              <w:rPr>
                <w:rFonts w:ascii="Calibri" w:hAnsi="Calibri"/>
                <w:b w:val="0"/>
                <w:color w:val="2D3748"/>
                <w:sz w:val="17"/>
              </w:rPr>
              <w:t>0.00 pp</w:t>
            </w:r>
          </w:p>
        </w:tc>
      </w:tr>
      <w:tr>
        <w:tc>
          <w:tcPr>
            <w:tcW w:type="dxa" w:w="720"/>
            <w:shd w:fill="F7FAFC"/>
            <w:tcMar>
              <w:top w:w="70" w:type="dxa"/>
              <w:bottom w:w="70" w:type="dxa"/>
              <w:left w:w="100" w:type="dxa"/>
              <w:right w:w="100" w:type="dxa"/>
            </w:tcMar>
          </w:tcPr>
          <w:p>
            <w:pPr>
              <w:spacing w:before="0" w:after="0"/>
              <w:jc w:val="left"/>
            </w:pPr>
            <w:r>
              <w:rPr>
                <w:rFonts w:ascii="Calibri" w:hAnsi="Calibri"/>
                <w:b w:val="0"/>
                <w:color w:val="2D3748"/>
                <w:sz w:val="17"/>
              </w:rPr>
              <w:t>-</w:t>
            </w:r>
          </w:p>
        </w:tc>
        <w:tc>
          <w:tcPr>
            <w:tcW w:type="dxa" w:w="1008"/>
            <w:shd w:fill="F7FAFC"/>
            <w:tcMar>
              <w:top w:w="70" w:type="dxa"/>
              <w:bottom w:w="70" w:type="dxa"/>
              <w:left w:w="100" w:type="dxa"/>
              <w:right w:w="100" w:type="dxa"/>
            </w:tcMar>
          </w:tcPr>
          <w:p>
            <w:pPr>
              <w:spacing w:before="0" w:after="0"/>
              <w:jc w:val="right"/>
            </w:pPr>
            <w:r>
              <w:rPr>
                <w:rFonts w:ascii="Calibri" w:hAnsi="Calibri"/>
                <w:b w:val="0"/>
                <w:color w:val="2D3748"/>
                <w:sz w:val="17"/>
              </w:rPr>
              <w:t>P75</w:t>
            </w:r>
          </w:p>
        </w:tc>
        <w:tc>
          <w:tcPr>
            <w:tcW w:type="dxa" w:w="2016"/>
            <w:shd w:fill="F7FAFC"/>
            <w:tcMar>
              <w:top w:w="70" w:type="dxa"/>
              <w:bottom w:w="70" w:type="dxa"/>
              <w:left w:w="100" w:type="dxa"/>
              <w:right w:w="100" w:type="dxa"/>
            </w:tcMar>
          </w:tcPr>
          <w:p>
            <w:pPr>
              <w:spacing w:before="0" w:after="0"/>
              <w:jc w:val="right"/>
            </w:pPr>
            <w:r>
              <w:rPr>
                <w:rFonts w:ascii="Calibri" w:hAnsi="Calibri"/>
                <w:b w:val="0"/>
                <w:color w:val="2D3748"/>
                <w:sz w:val="17"/>
              </w:rPr>
              <w:t>Percentil 75 Líder</w:t>
            </w:r>
          </w:p>
        </w:tc>
        <w:tc>
          <w:tcPr>
            <w:tcW w:type="dxa" w:w="1296"/>
            <w:shd w:fill="F7FAFC"/>
            <w:tcMar>
              <w:top w:w="70" w:type="dxa"/>
              <w:bottom w:w="70" w:type="dxa"/>
              <w:left w:w="100" w:type="dxa"/>
              <w:right w:w="100" w:type="dxa"/>
            </w:tcMar>
          </w:tcPr>
          <w:p>
            <w:pPr>
              <w:spacing w:before="0" w:after="0"/>
              <w:jc w:val="right"/>
            </w:pPr>
            <w:r>
              <w:rPr>
                <w:rFonts w:ascii="Calibri" w:hAnsi="Calibri"/>
                <w:b w:val="0"/>
                <w:color w:val="2D3748"/>
                <w:sz w:val="17"/>
              </w:rPr>
              <w:t>LTM</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33.82%</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7FAFC"/>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720"/>
            <w:shd w:fill="F7FAFC"/>
            <w:tcMar>
              <w:top w:w="70" w:type="dxa"/>
              <w:bottom w:w="70" w:type="dxa"/>
              <w:left w:w="100" w:type="dxa"/>
              <w:right w:w="100" w:type="dxa"/>
            </w:tcMar>
          </w:tcPr>
          <w:p>
            <w:pPr>
              <w:spacing w:before="0" w:after="0"/>
              <w:jc w:val="right"/>
            </w:pPr>
            <w:r>
              <w:rPr>
                <w:rFonts w:ascii="Calibri" w:hAnsi="Calibri"/>
                <w:b w:val="0"/>
                <w:color w:val="2D3748"/>
                <w:sz w:val="17"/>
              </w:rPr>
              <w:t>-</w:t>
            </w:r>
          </w:p>
        </w:tc>
        <w:tc>
          <w:tcPr>
            <w:tcW w:type="dxa" w:w="1152"/>
            <w:shd w:fill="F7FAFC"/>
            <w:tcMar>
              <w:top w:w="70" w:type="dxa"/>
              <w:bottom w:w="70" w:type="dxa"/>
              <w:left w:w="100" w:type="dxa"/>
              <w:right w:w="100" w:type="dxa"/>
            </w:tcMar>
          </w:tcPr>
          <w:p>
            <w:pPr>
              <w:spacing w:before="0" w:after="0"/>
              <w:jc w:val="left"/>
            </w:pPr>
            <w:r>
              <w:rPr>
                <w:rFonts w:ascii="Calibri" w:hAnsi="Calibri"/>
                <w:b w:val="0"/>
                <w:color w:val="2D3748"/>
                <w:sz w:val="17"/>
              </w:rPr>
              <w:t>+8.13 pp</w:t>
            </w:r>
          </w:p>
        </w:tc>
      </w:tr>
    </w:tbl>
    <w:p>
      <w:pPr>
        <w:spacing w:after="120"/>
      </w:pPr>
    </w:p>
    <w:p>
      <w:pPr>
        <w:keepNext/>
        <w:spacing w:before="240" w:after="80"/>
      </w:pPr>
      <w:r>
        <w:rPr>
          <w:rFonts w:ascii="Calibri" w:hAnsi="Calibri"/>
          <w:b/>
          <w:color w:val="4A5568"/>
          <w:sz w:val="23"/>
        </w:rPr>
        <w:t>Conclusiones Fundamentales para Modelos de Valoración</w:t>
      </w:r>
    </w:p>
    <w:p>
      <w:pPr>
        <w:spacing w:before="0" w:after="80" w:line="276" w:lineRule="auto"/>
      </w:pPr>
      <w:r>
        <w:rPr>
          <w:rFonts w:ascii="Calibri" w:hAnsi="Calibri"/>
          <w:i w:val="0"/>
          <w:color w:val="2D3748"/>
          <w:sz w:val="20"/>
        </w:rPr>
        <w:t>Conclusión Analítica: AAPL lidera o se consolida en la cúspide de su industria en la métrica de Novy-Marx. Al conjugar poder de fijación de precios con una rotación de activos disciplinada, su modelo de negocio es inmune a la compresión de márgenes que sufren competidores con activos sobredimensionados o márgenes brutos deprimidos.</w:t>
      </w:r>
    </w:p>
    <w:p>
      <w:pPr>
        <w:pStyle w:val="Heading1"/>
        <w:spacing w:before="360" w:after="160"/>
      </w:pPr>
      <w:r>
        <w:t>11. Rendimiento del Capital Ajustado por Intangibles, Costo de Capital (WACC) y Creación de Valor Económico</w:t>
      </w:r>
    </w:p>
    <w:p>
      <w:r>
        <w:rPr>
          <w:i/>
          <w:sz w:val="20"/>
        </w:rPr>
        <w:t>Evaluación del retorno económico del capital y la sostenibilidad de las ventajas competitivas (Economic Moat) para Apple Inc. (AAPL) al período LTM.</w:t>
      </w:r>
    </w:p>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DICTAMEN DE VALOR ECONÓMICO: 🏰 WIDE MOAT / COMPOUNDING MACHINE (SPREAD +40.06 p.p.)</w:t>
              <w:br/>
            </w:r>
          </w:p>
          <w:p>
            <w:pPr>
              <w:spacing w:before="40" w:after="40" w:line="276" w:lineRule="auto"/>
            </w:pPr>
            <w:r>
              <w:rPr>
                <w:rFonts w:ascii="Calibri" w:hAnsi="Calibri"/>
                <w:color w:val="2D3748"/>
                <w:sz w:val="19"/>
              </w:rPr>
              <w:t>• ROC Greenblatt Tangible (LTM): 305.85% (Productividad operativa pura pre-tax sobre capital de trabajo y PP&amp;E físico instalado).</w:t>
            </w:r>
          </w:p>
          <w:p>
            <w:pPr>
              <w:spacing w:before="40" w:after="40" w:line="276" w:lineRule="auto"/>
            </w:pPr>
            <w:r>
              <w:rPr>
                <w:rFonts w:ascii="Calibri" w:hAnsi="Calibri"/>
                <w:color w:val="2D3748"/>
                <w:sz w:val="19"/>
              </w:rPr>
              <w:t>• ROIC Ajustado por Intangibles (LTM): 50.06% frente a un ROIC contable tradicional de 68.22%.</w:t>
            </w:r>
          </w:p>
          <w:p>
            <w:pPr>
              <w:spacing w:before="40" w:after="40" w:line="276" w:lineRule="auto"/>
            </w:pPr>
            <w:r>
              <w:rPr>
                <w:rFonts w:ascii="Calibri" w:hAnsi="Calibri"/>
                <w:color w:val="2D3748"/>
                <w:sz w:val="19"/>
              </w:rPr>
              <w:t>• Costo Promedio Ponderado de Capital (WACC): 10.00% (Costo del Equity Ke: 10.10%, Deuda Neta Kd: 3.72%).</w:t>
            </w:r>
          </w:p>
          <w:p>
            <w:pPr>
              <w:spacing w:before="40" w:after="40" w:line="276" w:lineRule="auto"/>
            </w:pPr>
            <w:r>
              <w:rPr>
                <w:rFonts w:ascii="Calibri" w:hAnsi="Calibri"/>
                <w:color w:val="2D3748"/>
                <w:sz w:val="19"/>
              </w:rPr>
              <w:t>• Spread Económico Neto: +40.06 p.p. de rendimiento por encima del costo de capital exigido por el mercado.</w:t>
            </w:r>
          </w:p>
          <w:p>
            <w:pPr>
              <w:spacing w:before="40" w:after="40" w:line="276" w:lineRule="auto"/>
            </w:pPr>
            <w:r>
              <w:rPr>
                <w:rFonts w:ascii="Calibri" w:hAnsi="Calibri"/>
                <w:color w:val="2D3748"/>
                <w:sz w:val="19"/>
              </w:rPr>
              <w:t>• Stock de Intangibles Fuera de Balance: $83,773.2M capitalizados en innovación y amortizados económicamente a 4 años.</w:t>
            </w:r>
          </w:p>
          <w:p>
            <w:pPr>
              <w:spacing w:before="40" w:after="40" w:line="276" w:lineRule="auto"/>
            </w:pPr>
            <w:r>
              <w:rPr>
                <w:rFonts w:ascii="Calibri" w:hAnsi="Calibri"/>
                <w:color w:val="2D3748"/>
                <w:sz w:val="19"/>
              </w:rPr>
              <w:t>• Tesis de Foso Defensivo: El negocio genera un retorno ajustado (50.06%) que supera a su costo de capital (10.00%) por más de 40.06 puntos porcentuales. Por cada $100 de capital empleado, crea más de $15 anuales de valor neto por encima de lo que exigen accionistas y bancos. Posee ventajas competitivas profundas y duraderas.</w:t>
            </w:r>
          </w:p>
        </w:tc>
      </w:tr>
    </w:tbl>
    <w:p>
      <w:pPr>
        <w:spacing w:before="0" w:after="120"/>
      </w:pPr>
    </w:p>
    <w:p>
      <w:pPr>
        <w:pStyle w:val="Heading2"/>
      </w:pPr>
      <w:r>
        <w:t>11.1. Bloque A: Auditoría de Parámetros de Mercado en Tiempo Real</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3168"/>
        <w:gridCol w:w="1728"/>
        <w:gridCol w:w="2592"/>
        <w:gridCol w:w="2304"/>
      </w:tblGrid>
      <w:tr>
        <w:tc>
          <w:tcPr>
            <w:tcW w:type="dxa" w:w="2448"/>
            <w:shd w:fill="1B365D"/>
            <w:tcMar>
              <w:top w:w="80" w:type="dxa"/>
              <w:bottom w:w="80" w:type="dxa"/>
              <w:left w:w="100" w:type="dxa"/>
              <w:right w:w="100" w:type="dxa"/>
            </w:tcMar>
          </w:tcPr>
          <w:p>
            <w:r>
              <w:rPr>
                <w:b/>
                <w:color w:val="FFFFFF"/>
                <w:sz w:val="18"/>
              </w:rPr>
              <w:t>Variable de Mercado</w:t>
            </w:r>
          </w:p>
        </w:tc>
        <w:tc>
          <w:tcPr>
            <w:tcW w:type="dxa" w:w="2448"/>
            <w:shd w:fill="1B365D"/>
            <w:tcMar>
              <w:top w:w="80" w:type="dxa"/>
              <w:bottom w:w="80" w:type="dxa"/>
              <w:left w:w="100" w:type="dxa"/>
              <w:right w:w="100" w:type="dxa"/>
            </w:tcMar>
          </w:tcPr>
          <w:p>
            <w:r>
              <w:rPr>
                <w:b/>
                <w:color w:val="FFFFFF"/>
                <w:sz w:val="18"/>
              </w:rPr>
              <w:t>Valor Validado</w:t>
            </w:r>
          </w:p>
        </w:tc>
        <w:tc>
          <w:tcPr>
            <w:tcW w:type="dxa" w:w="2448"/>
            <w:shd w:fill="1B365D"/>
            <w:tcMar>
              <w:top w:w="80" w:type="dxa"/>
              <w:bottom w:w="80" w:type="dxa"/>
              <w:left w:w="100" w:type="dxa"/>
              <w:right w:w="100" w:type="dxa"/>
            </w:tcMar>
          </w:tcPr>
          <w:p>
            <w:r>
              <w:rPr>
                <w:b/>
                <w:color w:val="FFFFFF"/>
                <w:sz w:val="18"/>
              </w:rPr>
              <w:t>Fuentes Consultadas</w:t>
            </w:r>
          </w:p>
        </w:tc>
        <w:tc>
          <w:tcPr>
            <w:tcW w:type="dxa" w:w="2448"/>
            <w:shd w:fill="1B365D"/>
            <w:tcMar>
              <w:top w:w="80" w:type="dxa"/>
              <w:bottom w:w="80" w:type="dxa"/>
              <w:left w:w="100" w:type="dxa"/>
              <w:right w:w="100" w:type="dxa"/>
            </w:tcMar>
          </w:tcPr>
          <w:p>
            <w:r>
              <w:rPr>
                <w:b/>
                <w:color w:val="FFFFFF"/>
                <w:sz w:val="18"/>
              </w:rPr>
              <w:t>Estatus de Auditoría</w:t>
            </w:r>
          </w:p>
        </w:tc>
      </w:tr>
      <w:tr>
        <w:tc>
          <w:tcPr>
            <w:tcW w:type="dxa" w:w="2448"/>
            <w:tcMar>
              <w:top w:w="60" w:type="dxa"/>
              <w:bottom w:w="60" w:type="dxa"/>
              <w:left w:w="100" w:type="dxa"/>
              <w:right w:w="100" w:type="dxa"/>
            </w:tcMar>
          </w:tcPr>
          <w:p>
            <w:r>
              <w:rPr>
                <w:b/>
                <w:sz w:val="17"/>
              </w:rPr>
              <w:t>Precio de Mercado de la Acción</w:t>
            </w:r>
          </w:p>
        </w:tc>
        <w:tc>
          <w:tcPr>
            <w:tcW w:type="dxa" w:w="2448"/>
            <w:tcMar>
              <w:top w:w="60" w:type="dxa"/>
              <w:bottom w:w="60" w:type="dxa"/>
              <w:left w:w="100" w:type="dxa"/>
              <w:right w:w="100" w:type="dxa"/>
            </w:tcMar>
          </w:tcPr>
          <w:p>
            <w:r>
              <w:rPr>
                <w:sz w:val="17"/>
              </w:rPr>
              <w:t>$347.73</w:t>
            </w:r>
          </w:p>
        </w:tc>
        <w:tc>
          <w:tcPr>
            <w:tcW w:type="dxa" w:w="2448"/>
            <w:tcMar>
              <w:top w:w="60" w:type="dxa"/>
              <w:bottom w:w="60" w:type="dxa"/>
              <w:left w:w="100" w:type="dxa"/>
              <w:right w:w="100" w:type="dxa"/>
            </w:tcMar>
          </w:tcPr>
          <w:p>
            <w:r>
              <w:rPr>
                <w:sz w:val="17"/>
              </w:rPr>
              <w:t>Yahoo Finance / CNBC Quotes</w:t>
            </w:r>
          </w:p>
        </w:tc>
        <w:tc>
          <w:tcPr>
            <w:tcW w:type="dxa" w:w="2448"/>
            <w:tcMar>
              <w:top w:w="60" w:type="dxa"/>
              <w:bottom w:w="60" w:type="dxa"/>
              <w:left w:w="100" w:type="dxa"/>
              <w:right w:w="100" w:type="dxa"/>
            </w:tcMar>
          </w:tcPr>
          <w:p>
            <w:r>
              <w:rPr>
                <w:sz w:val="17"/>
              </w:rPr>
              <w:t>Consenso Validado (Δ &lt; 0.1%)</w:t>
            </w:r>
          </w:p>
        </w:tc>
      </w:tr>
      <w:tr>
        <w:tc>
          <w:tcPr>
            <w:tcW w:type="dxa" w:w="2448"/>
            <w:tcMar>
              <w:top w:w="60" w:type="dxa"/>
              <w:bottom w:w="60" w:type="dxa"/>
              <w:left w:w="100" w:type="dxa"/>
              <w:right w:w="100" w:type="dxa"/>
            </w:tcMar>
            <w:shd w:fill="F7FAFC"/>
          </w:tcPr>
          <w:p>
            <w:r>
              <w:rPr>
                <w:b/>
                <w:sz w:val="17"/>
              </w:rPr>
              <w:t>Capitalización Bursátil (Market Cap - E)</w:t>
            </w:r>
          </w:p>
        </w:tc>
        <w:tc>
          <w:tcPr>
            <w:tcW w:type="dxa" w:w="2448"/>
            <w:tcMar>
              <w:top w:w="60" w:type="dxa"/>
              <w:bottom w:w="60" w:type="dxa"/>
              <w:left w:w="100" w:type="dxa"/>
              <w:right w:w="100" w:type="dxa"/>
            </w:tcMar>
            <w:shd w:fill="F7FAFC"/>
          </w:tcPr>
          <w:p>
            <w:r>
              <w:rPr>
                <w:sz w:val="17"/>
              </w:rPr>
              <w:t>$5,074,834.2M</w:t>
            </w:r>
          </w:p>
        </w:tc>
        <w:tc>
          <w:tcPr>
            <w:tcW w:type="dxa" w:w="2448"/>
            <w:tcMar>
              <w:top w:w="60" w:type="dxa"/>
              <w:bottom w:w="60" w:type="dxa"/>
              <w:left w:w="100" w:type="dxa"/>
              <w:right w:w="100" w:type="dxa"/>
            </w:tcMar>
            <w:shd w:fill="F7FAFC"/>
          </w:tcPr>
          <w:p>
            <w:r>
              <w:rPr>
                <w:sz w:val="17"/>
              </w:rPr>
              <w:t>Arbitraje SEC 10-Q &amp; Mercado</w:t>
            </w:r>
          </w:p>
        </w:tc>
        <w:tc>
          <w:tcPr>
            <w:tcW w:type="dxa" w:w="2448"/>
            <w:tcMar>
              <w:top w:w="60" w:type="dxa"/>
              <w:bottom w:w="60" w:type="dxa"/>
              <w:left w:w="100" w:type="dxa"/>
              <w:right w:w="100" w:type="dxa"/>
            </w:tcMar>
            <w:shd w:fill="F7FAFC"/>
          </w:tcPr>
          <w:p>
            <w:r>
              <w:rPr>
                <w:sz w:val="17"/>
              </w:rPr>
              <w:t>Conteo Diluido Auditado</w:t>
            </w:r>
          </w:p>
        </w:tc>
      </w:tr>
      <w:tr>
        <w:tc>
          <w:tcPr>
            <w:tcW w:type="dxa" w:w="2448"/>
            <w:tcMar>
              <w:top w:w="60" w:type="dxa"/>
              <w:bottom w:w="60" w:type="dxa"/>
              <w:left w:w="100" w:type="dxa"/>
              <w:right w:w="100" w:type="dxa"/>
            </w:tcMar>
          </w:tcPr>
          <w:p>
            <w:r>
              <w:rPr>
                <w:b/>
                <w:sz w:val="17"/>
              </w:rPr>
              <w:t>Tasa Libre de Riesgo (Rf - Bono 10Y)</w:t>
            </w:r>
          </w:p>
        </w:tc>
        <w:tc>
          <w:tcPr>
            <w:tcW w:type="dxa" w:w="2448"/>
            <w:tcMar>
              <w:top w:w="60" w:type="dxa"/>
              <w:bottom w:w="60" w:type="dxa"/>
              <w:left w:w="100" w:type="dxa"/>
              <w:right w:w="100" w:type="dxa"/>
            </w:tcMar>
          </w:tcPr>
          <w:p>
            <w:r>
              <w:rPr>
                <w:sz w:val="17"/>
              </w:rPr>
              <w:t>4.99%</w:t>
            </w:r>
          </w:p>
        </w:tc>
        <w:tc>
          <w:tcPr>
            <w:tcW w:type="dxa" w:w="2448"/>
            <w:tcMar>
              <w:top w:w="60" w:type="dxa"/>
              <w:bottom w:w="60" w:type="dxa"/>
              <w:left w:w="100" w:type="dxa"/>
              <w:right w:w="100" w:type="dxa"/>
            </w:tcMar>
          </w:tcPr>
          <w:p>
            <w:r>
              <w:rPr>
                <w:sz w:val="17"/>
              </w:rPr>
              <w:t>Yahoo ^TNX / CNBC US10Y</w:t>
            </w:r>
          </w:p>
        </w:tc>
        <w:tc>
          <w:tcPr>
            <w:tcW w:type="dxa" w:w="2448"/>
            <w:tcMar>
              <w:top w:w="60" w:type="dxa"/>
              <w:bottom w:w="60" w:type="dxa"/>
              <w:left w:w="100" w:type="dxa"/>
              <w:right w:w="100" w:type="dxa"/>
            </w:tcMar>
          </w:tcPr>
          <w:p>
            <w:r>
              <w:rPr>
                <w:sz w:val="17"/>
              </w:rPr>
              <w:t>Δ &lt; 0.05% (Consensuado)</w:t>
            </w:r>
          </w:p>
        </w:tc>
      </w:tr>
      <w:tr>
        <w:tc>
          <w:tcPr>
            <w:tcW w:type="dxa" w:w="2448"/>
            <w:tcMar>
              <w:top w:w="60" w:type="dxa"/>
              <w:bottom w:w="60" w:type="dxa"/>
              <w:left w:w="100" w:type="dxa"/>
              <w:right w:w="100" w:type="dxa"/>
            </w:tcMar>
            <w:shd w:fill="F7FAFC"/>
          </w:tcPr>
          <w:p>
            <w:r>
              <w:rPr>
                <w:b/>
                <w:sz w:val="17"/>
              </w:rPr>
              <w:t>Beta de la Acción (β)</w:t>
            </w:r>
          </w:p>
        </w:tc>
        <w:tc>
          <w:tcPr>
            <w:tcW w:type="dxa" w:w="2448"/>
            <w:tcMar>
              <w:top w:w="60" w:type="dxa"/>
              <w:bottom w:w="60" w:type="dxa"/>
              <w:left w:w="100" w:type="dxa"/>
              <w:right w:w="100" w:type="dxa"/>
            </w:tcMar>
            <w:shd w:fill="F7FAFC"/>
          </w:tcPr>
          <w:p>
            <w:r>
              <w:rPr>
                <w:sz w:val="17"/>
              </w:rPr>
              <w:t>1.07</w:t>
            </w:r>
          </w:p>
        </w:tc>
        <w:tc>
          <w:tcPr>
            <w:tcW w:type="dxa" w:w="2448"/>
            <w:tcMar>
              <w:top w:w="60" w:type="dxa"/>
              <w:bottom w:w="60" w:type="dxa"/>
              <w:left w:w="100" w:type="dxa"/>
              <w:right w:w="100" w:type="dxa"/>
            </w:tcMar>
            <w:shd w:fill="F7FAFC"/>
          </w:tcPr>
          <w:p>
            <w:r>
              <w:rPr>
                <w:sz w:val="17"/>
              </w:rPr>
              <w:t>Yahoo 5Y Monthly / CNBC</w:t>
            </w:r>
          </w:p>
        </w:tc>
        <w:tc>
          <w:tcPr>
            <w:tcW w:type="dxa" w:w="2448"/>
            <w:tcMar>
              <w:top w:w="60" w:type="dxa"/>
              <w:bottom w:w="60" w:type="dxa"/>
              <w:left w:w="100" w:type="dxa"/>
              <w:right w:w="100" w:type="dxa"/>
            </w:tcMar>
            <w:shd w:fill="F7FAFC"/>
          </w:tcPr>
          <w:p>
            <w:r>
              <w:rPr>
                <w:sz w:val="17"/>
              </w:rPr>
              <w:t>Rango Estadístico Sectorial</w:t>
            </w:r>
          </w:p>
        </w:tc>
      </w:tr>
      <w:tr>
        <w:tc>
          <w:tcPr>
            <w:tcW w:type="dxa" w:w="2448"/>
            <w:tcMar>
              <w:top w:w="60" w:type="dxa"/>
              <w:bottom w:w="60" w:type="dxa"/>
              <w:left w:w="100" w:type="dxa"/>
              <w:right w:w="100" w:type="dxa"/>
            </w:tcMar>
          </w:tcPr>
          <w:p>
            <w:r>
              <w:rPr>
                <w:b/>
                <w:sz w:val="17"/>
              </w:rPr>
              <w:t>Prima de Riesgo de Mercado (ERP)</w:t>
            </w:r>
          </w:p>
        </w:tc>
        <w:tc>
          <w:tcPr>
            <w:tcW w:type="dxa" w:w="2448"/>
            <w:tcMar>
              <w:top w:w="60" w:type="dxa"/>
              <w:bottom w:w="60" w:type="dxa"/>
              <w:left w:w="100" w:type="dxa"/>
              <w:right w:w="100" w:type="dxa"/>
            </w:tcMar>
          </w:tcPr>
          <w:p>
            <w:r>
              <w:rPr>
                <w:sz w:val="17"/>
              </w:rPr>
              <w:t>4.75%</w:t>
            </w:r>
          </w:p>
        </w:tc>
        <w:tc>
          <w:tcPr>
            <w:tcW w:type="dxa" w:w="2448"/>
            <w:tcMar>
              <w:top w:w="60" w:type="dxa"/>
              <w:bottom w:w="60" w:type="dxa"/>
              <w:left w:w="100" w:type="dxa"/>
              <w:right w:w="100" w:type="dxa"/>
            </w:tcMar>
          </w:tcPr>
          <w:p>
            <w:r>
              <w:rPr>
                <w:sz w:val="17"/>
              </w:rPr>
              <w:t>Benchmark NYU Stern (Damodaran)</w:t>
            </w:r>
          </w:p>
        </w:tc>
        <w:tc>
          <w:tcPr>
            <w:tcW w:type="dxa" w:w="2448"/>
            <w:tcMar>
              <w:top w:w="60" w:type="dxa"/>
              <w:bottom w:w="60" w:type="dxa"/>
              <w:left w:w="100" w:type="dxa"/>
              <w:right w:w="100" w:type="dxa"/>
            </w:tcMar>
          </w:tcPr>
          <w:p>
            <w:r>
              <w:rPr>
                <w:sz w:val="17"/>
              </w:rPr>
              <w:t>Estándar Institucional</w:t>
            </w:r>
          </w:p>
        </w:tc>
      </w:tr>
    </w:tbl>
    <w:p/>
    <w:p>
      <w:pPr>
        <w:pStyle w:val="Heading2"/>
      </w:pPr>
      <w:r>
        <w:t>11.2. Desglose y Explicación del ROC Tangible (Joel Greenblatt)</w:t>
      </w:r>
    </w:p>
    <w:p>
      <w:r>
        <w:rPr>
          <w:sz w:val="19"/>
        </w:rPr>
        <w:t>El Return on Capital (ROC) de Joel Greenblatt evalúa la rentabilidad operativa pura antes de impuestos (EBIT) sobre los activos físicos tangibles (Capital de Trabajo Neto Operativo + PP&amp;E Físico). Para Apple Inc., el ROC de 305.85% refleja la eficiencia operativa sobre activos tangibles instalados, optimizando la rotación de capital y la productividad física instalada.</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296"/>
        <w:gridCol w:w="1296"/>
        <w:gridCol w:w="2160"/>
        <w:gridCol w:w="2448"/>
      </w:tblGrid>
      <w:tr>
        <w:tc>
          <w:tcPr>
            <w:tcW w:type="dxa" w:w="1958"/>
            <w:shd w:fill="1B365D"/>
            <w:tcMar>
              <w:top w:w="80" w:type="dxa"/>
              <w:bottom w:w="80" w:type="dxa"/>
              <w:left w:w="100" w:type="dxa"/>
              <w:right w:w="100" w:type="dxa"/>
            </w:tcMar>
          </w:tcPr>
          <w:p>
            <w:r>
              <w:rPr>
                <w:b/>
                <w:color w:val="FFFFFF"/>
                <w:sz w:val="17"/>
              </w:rPr>
              <w:t>Partida Contable / Paso</w:t>
            </w:r>
          </w:p>
        </w:tc>
        <w:tc>
          <w:tcPr>
            <w:tcW w:type="dxa" w:w="1958"/>
            <w:shd w:fill="1B365D"/>
            <w:tcMar>
              <w:top w:w="80" w:type="dxa"/>
              <w:bottom w:w="80" w:type="dxa"/>
              <w:left w:w="100" w:type="dxa"/>
              <w:right w:w="100" w:type="dxa"/>
            </w:tcMar>
          </w:tcPr>
          <w:p>
            <w:r>
              <w:rPr>
                <w:b/>
                <w:color w:val="FFFFFF"/>
                <w:sz w:val="17"/>
              </w:rPr>
              <w:t>LTM</w:t>
            </w:r>
          </w:p>
        </w:tc>
        <w:tc>
          <w:tcPr>
            <w:tcW w:type="dxa" w:w="1958"/>
            <w:shd w:fill="1B365D"/>
            <w:tcMar>
              <w:top w:w="80" w:type="dxa"/>
              <w:bottom w:w="80" w:type="dxa"/>
              <w:left w:w="100" w:type="dxa"/>
              <w:right w:w="100" w:type="dxa"/>
            </w:tcMar>
          </w:tcPr>
          <w:p>
            <w:r>
              <w:rPr>
                <w:b/>
                <w:color w:val="FFFFFF"/>
                <w:sz w:val="17"/>
              </w:rPr>
              <w:t>FY2025</w:t>
            </w:r>
          </w:p>
        </w:tc>
        <w:tc>
          <w:tcPr>
            <w:tcW w:type="dxa" w:w="1958"/>
            <w:shd w:fill="1B365D"/>
            <w:tcMar>
              <w:top w:w="80" w:type="dxa"/>
              <w:bottom w:w="80" w:type="dxa"/>
              <w:left w:w="100" w:type="dxa"/>
              <w:right w:w="100" w:type="dxa"/>
            </w:tcMar>
          </w:tcPr>
          <w:p>
            <w:r>
              <w:rPr>
                <w:b/>
                <w:color w:val="FFFFFF"/>
                <w:sz w:val="17"/>
              </w:rPr>
              <w:t>Origen en Balances SEC</w:t>
            </w:r>
          </w:p>
        </w:tc>
        <w:tc>
          <w:tcPr>
            <w:tcW w:type="dxa" w:w="1958"/>
            <w:shd w:fill="1B365D"/>
            <w:tcMar>
              <w:top w:w="80" w:type="dxa"/>
              <w:bottom w:w="80" w:type="dxa"/>
              <w:left w:w="100" w:type="dxa"/>
              <w:right w:w="100" w:type="dxa"/>
            </w:tcMar>
          </w:tcPr>
          <w:p>
            <w:r>
              <w:rPr>
                <w:b/>
                <w:color w:val="FFFFFF"/>
                <w:sz w:val="17"/>
              </w:rPr>
              <w:t>Criterio y Salvaguarda Contable</w:t>
            </w:r>
          </w:p>
        </w:tc>
      </w:tr>
      <w:tr>
        <w:tc>
          <w:tcPr>
            <w:tcW w:type="dxa" w:w="1958"/>
            <w:tcMar>
              <w:top w:w="60" w:type="dxa"/>
              <w:bottom w:w="60" w:type="dxa"/>
              <w:left w:w="100" w:type="dxa"/>
              <w:right w:w="100" w:type="dxa"/>
            </w:tcMar>
          </w:tcPr>
          <w:p>
            <w:r>
              <w:rPr>
                <w:b/>
                <w:sz w:val="17"/>
              </w:rPr>
              <w:t>(+) Beneficio Operativo (EBIT)</w:t>
            </w:r>
          </w:p>
        </w:tc>
        <w:tc>
          <w:tcPr>
            <w:tcW w:type="dxa" w:w="1958"/>
            <w:tcMar>
              <w:top w:w="60" w:type="dxa"/>
              <w:bottom w:w="60" w:type="dxa"/>
              <w:left w:w="100" w:type="dxa"/>
              <w:right w:w="100" w:type="dxa"/>
            </w:tcMar>
          </w:tcPr>
          <w:p>
            <w:r>
              <w:rPr>
                <w:b/>
                <w:sz w:val="17"/>
              </w:rPr>
              <w:t>$154,859.0M</w:t>
            </w:r>
          </w:p>
        </w:tc>
        <w:tc>
          <w:tcPr>
            <w:tcW w:type="dxa" w:w="1958"/>
            <w:tcMar>
              <w:top w:w="60" w:type="dxa"/>
              <w:bottom w:w="60" w:type="dxa"/>
              <w:left w:w="100" w:type="dxa"/>
              <w:right w:w="100" w:type="dxa"/>
            </w:tcMar>
          </w:tcPr>
          <w:p>
            <w:r>
              <w:rPr>
                <w:sz w:val="17"/>
              </w:rPr>
              <w:t>$133,050.0M</w:t>
            </w:r>
          </w:p>
        </w:tc>
        <w:tc>
          <w:tcPr>
            <w:tcW w:type="dxa" w:w="1958"/>
            <w:tcMar>
              <w:top w:w="60" w:type="dxa"/>
              <w:bottom w:w="60" w:type="dxa"/>
              <w:left w:w="100" w:type="dxa"/>
              <w:right w:w="100" w:type="dxa"/>
            </w:tcMar>
          </w:tcPr>
          <w:p>
            <w:r>
              <w:rPr>
                <w:sz w:val="17"/>
              </w:rPr>
              <w:t>Income Statement (Operating Income)</w:t>
            </w:r>
          </w:p>
        </w:tc>
        <w:tc>
          <w:tcPr>
            <w:tcW w:type="dxa" w:w="1958"/>
            <w:tcMar>
              <w:top w:w="60" w:type="dxa"/>
              <w:bottom w:w="60" w:type="dxa"/>
              <w:left w:w="100" w:type="dxa"/>
              <w:right w:w="100" w:type="dxa"/>
            </w:tcMar>
          </w:tcPr>
          <w:p>
            <w:r>
              <w:rPr>
                <w:sz w:val="17"/>
              </w:rPr>
              <w:t>Beneficio operativo puro antes de intereses e impuestos.</w:t>
            </w:r>
          </w:p>
        </w:tc>
      </w:tr>
      <w:tr>
        <w:tc>
          <w:tcPr>
            <w:tcW w:type="dxa" w:w="1958"/>
            <w:tcMar>
              <w:top w:w="60" w:type="dxa"/>
              <w:bottom w:w="60" w:type="dxa"/>
              <w:left w:w="100" w:type="dxa"/>
              <w:right w:w="100" w:type="dxa"/>
            </w:tcMar>
            <w:shd w:fill="F7FAFC"/>
          </w:tcPr>
          <w:p>
            <w:r>
              <w:rPr>
                <w:b/>
                <w:sz w:val="17"/>
              </w:rPr>
              <w:t>(+) Activos Corrientes Operativos</w:t>
            </w:r>
          </w:p>
        </w:tc>
        <w:tc>
          <w:tcPr>
            <w:tcW w:type="dxa" w:w="1958"/>
            <w:tcMar>
              <w:top w:w="60" w:type="dxa"/>
              <w:bottom w:w="60" w:type="dxa"/>
              <w:left w:w="100" w:type="dxa"/>
              <w:right w:w="100" w:type="dxa"/>
            </w:tcMar>
            <w:shd w:fill="F7FAFC"/>
          </w:tcPr>
          <w:p>
            <w:r>
              <w:rPr>
                <w:b/>
                <w:sz w:val="17"/>
              </w:rPr>
              <w:t>$110,274.0M</w:t>
            </w:r>
          </w:p>
        </w:tc>
        <w:tc>
          <w:tcPr>
            <w:tcW w:type="dxa" w:w="1958"/>
            <w:tcMar>
              <w:top w:w="60" w:type="dxa"/>
              <w:bottom w:w="60" w:type="dxa"/>
              <w:left w:w="100" w:type="dxa"/>
              <w:right w:w="100" w:type="dxa"/>
            </w:tcMar>
            <w:shd w:fill="F7FAFC"/>
          </w:tcPr>
          <w:p>
            <w:r>
              <w:rPr>
                <w:sz w:val="17"/>
              </w:rPr>
              <w:t>$112,023.0M</w:t>
            </w:r>
          </w:p>
        </w:tc>
        <w:tc>
          <w:tcPr>
            <w:tcW w:type="dxa" w:w="1958"/>
            <w:tcMar>
              <w:top w:w="60" w:type="dxa"/>
              <w:bottom w:w="60" w:type="dxa"/>
              <w:left w:w="100" w:type="dxa"/>
              <w:right w:w="100" w:type="dxa"/>
            </w:tcMar>
            <w:shd w:fill="F7FAFC"/>
          </w:tcPr>
          <w:p>
            <w:r>
              <w:rPr>
                <w:sz w:val="17"/>
              </w:rPr>
              <w:t>Balance Sheet (Current Assets)</w:t>
            </w:r>
          </w:p>
        </w:tc>
        <w:tc>
          <w:tcPr>
            <w:tcW w:type="dxa" w:w="1958"/>
            <w:tcMar>
              <w:top w:w="60" w:type="dxa"/>
              <w:bottom w:w="60" w:type="dxa"/>
              <w:left w:w="100" w:type="dxa"/>
              <w:right w:w="100" w:type="dxa"/>
            </w:tcMar>
            <w:shd w:fill="F7FAFC"/>
          </w:tcPr>
          <w:p>
            <w:r>
              <w:rPr>
                <w:sz w:val="17"/>
              </w:rPr>
              <w:t>Total Current Assets menos Efectivo y Valores Negociables.</w:t>
            </w:r>
          </w:p>
        </w:tc>
      </w:tr>
      <w:tr>
        <w:tc>
          <w:tcPr>
            <w:tcW w:type="dxa" w:w="1958"/>
            <w:tcMar>
              <w:top w:w="60" w:type="dxa"/>
              <w:bottom w:w="60" w:type="dxa"/>
              <w:left w:w="100" w:type="dxa"/>
              <w:right w:w="100" w:type="dxa"/>
            </w:tcMar>
          </w:tcPr>
          <w:p>
            <w:r>
              <w:rPr>
                <w:b/>
                <w:sz w:val="17"/>
              </w:rPr>
              <w:t>(-) Pasivos Corrientes Operativos</w:t>
            </w:r>
          </w:p>
        </w:tc>
        <w:tc>
          <w:tcPr>
            <w:tcW w:type="dxa" w:w="1958"/>
            <w:tcMar>
              <w:top w:w="60" w:type="dxa"/>
              <w:bottom w:w="60" w:type="dxa"/>
              <w:left w:w="100" w:type="dxa"/>
              <w:right w:w="100" w:type="dxa"/>
            </w:tcMar>
          </w:tcPr>
          <w:p>
            <w:r>
              <w:rPr>
                <w:b/>
                <w:sz w:val="17"/>
              </w:rPr>
              <w:t>$138,319.0M</w:t>
            </w:r>
          </w:p>
        </w:tc>
        <w:tc>
          <w:tcPr>
            <w:tcW w:type="dxa" w:w="1958"/>
            <w:tcMar>
              <w:top w:w="60" w:type="dxa"/>
              <w:bottom w:w="60" w:type="dxa"/>
              <w:left w:w="100" w:type="dxa"/>
              <w:right w:w="100" w:type="dxa"/>
            </w:tcMar>
          </w:tcPr>
          <w:p>
            <w:r>
              <w:rPr>
                <w:sz w:val="17"/>
              </w:rPr>
              <w:t>$153,281.0M</w:t>
            </w:r>
          </w:p>
        </w:tc>
        <w:tc>
          <w:tcPr>
            <w:tcW w:type="dxa" w:w="1958"/>
            <w:tcMar>
              <w:top w:w="60" w:type="dxa"/>
              <w:bottom w:w="60" w:type="dxa"/>
              <w:left w:w="100" w:type="dxa"/>
              <w:right w:w="100" w:type="dxa"/>
            </w:tcMar>
          </w:tcPr>
          <w:p>
            <w:r>
              <w:rPr>
                <w:sz w:val="17"/>
              </w:rPr>
              <w:t>Balance Sheet (Current Liabilities)</w:t>
            </w:r>
          </w:p>
        </w:tc>
        <w:tc>
          <w:tcPr>
            <w:tcW w:type="dxa" w:w="1958"/>
            <w:tcMar>
              <w:top w:w="60" w:type="dxa"/>
              <w:bottom w:w="60" w:type="dxa"/>
              <w:left w:w="100" w:type="dxa"/>
              <w:right w:w="100" w:type="dxa"/>
            </w:tcMar>
          </w:tcPr>
          <w:p>
            <w:r>
              <w:rPr>
                <w:sz w:val="17"/>
              </w:rPr>
              <w:t>Total Current Liabilities menos Deuda CP / Papel Comercial.</w:t>
            </w:r>
          </w:p>
        </w:tc>
      </w:tr>
      <w:tr>
        <w:tc>
          <w:tcPr>
            <w:tcW w:type="dxa" w:w="1958"/>
            <w:tcMar>
              <w:top w:w="60" w:type="dxa"/>
              <w:bottom w:w="60" w:type="dxa"/>
              <w:left w:w="100" w:type="dxa"/>
              <w:right w:w="100" w:type="dxa"/>
            </w:tcMar>
            <w:shd w:fill="F7FAFC"/>
          </w:tcPr>
          <w:p>
            <w:r>
              <w:rPr>
                <w:b/>
                <w:sz w:val="17"/>
              </w:rPr>
              <w:t>(=) Capital de Trabajo Neto Operativo (NWC)</w:t>
            </w:r>
          </w:p>
        </w:tc>
        <w:tc>
          <w:tcPr>
            <w:tcW w:type="dxa" w:w="1958"/>
            <w:tcMar>
              <w:top w:w="60" w:type="dxa"/>
              <w:bottom w:w="60" w:type="dxa"/>
              <w:left w:w="100" w:type="dxa"/>
              <w:right w:w="100" w:type="dxa"/>
            </w:tcMar>
            <w:shd w:fill="F7FAFC"/>
          </w:tcPr>
          <w:p>
            <w:r>
              <w:rPr>
                <w:b/>
                <w:sz w:val="17"/>
              </w:rPr>
              <w:t>-$28,045.0M</w:t>
            </w:r>
          </w:p>
        </w:tc>
        <w:tc>
          <w:tcPr>
            <w:tcW w:type="dxa" w:w="1958"/>
            <w:tcMar>
              <w:top w:w="60" w:type="dxa"/>
              <w:bottom w:w="60" w:type="dxa"/>
              <w:left w:w="100" w:type="dxa"/>
              <w:right w:w="100" w:type="dxa"/>
            </w:tcMar>
            <w:shd w:fill="F7FAFC"/>
          </w:tcPr>
          <w:p>
            <w:r>
              <w:rPr>
                <w:sz w:val="17"/>
              </w:rPr>
              <w:t>-$41,258.0M</w:t>
            </w:r>
          </w:p>
        </w:tc>
        <w:tc>
          <w:tcPr>
            <w:tcW w:type="dxa" w:w="1958"/>
            <w:tcMar>
              <w:top w:w="60" w:type="dxa"/>
              <w:bottom w:w="60" w:type="dxa"/>
              <w:left w:w="100" w:type="dxa"/>
              <w:right w:w="100" w:type="dxa"/>
            </w:tcMar>
            <w:shd w:fill="F7FAFC"/>
          </w:tcPr>
          <w:p>
            <w:r>
              <w:rPr>
                <w:sz w:val="17"/>
              </w:rPr>
              <w:t>Cálculo Operativo Derivado</w:t>
            </w:r>
          </w:p>
        </w:tc>
        <w:tc>
          <w:tcPr>
            <w:tcW w:type="dxa" w:w="1958"/>
            <w:tcMar>
              <w:top w:w="60" w:type="dxa"/>
              <w:bottom w:w="60" w:type="dxa"/>
              <w:left w:w="100" w:type="dxa"/>
              <w:right w:w="100" w:type="dxa"/>
            </w:tcMar>
            <w:shd w:fill="F7FAFC"/>
          </w:tcPr>
          <w:p>
            <w:r>
              <w:rPr>
                <w:sz w:val="17"/>
              </w:rPr>
              <w:t>Activos Op. - Pasivos Op. (Financiación espontánea si es negativo).</w:t>
            </w:r>
          </w:p>
        </w:tc>
      </w:tr>
      <w:tr>
        <w:tc>
          <w:tcPr>
            <w:tcW w:type="dxa" w:w="1958"/>
            <w:tcMar>
              <w:top w:w="60" w:type="dxa"/>
              <w:bottom w:w="60" w:type="dxa"/>
              <w:left w:w="100" w:type="dxa"/>
              <w:right w:w="100" w:type="dxa"/>
            </w:tcMar>
          </w:tcPr>
          <w:p>
            <w:r>
              <w:rPr>
                <w:b/>
                <w:sz w:val="17"/>
              </w:rPr>
              <w:t>(+) PP&amp;E Neto (Propiedad, Planta y Equipo)</w:t>
            </w:r>
          </w:p>
        </w:tc>
        <w:tc>
          <w:tcPr>
            <w:tcW w:type="dxa" w:w="1958"/>
            <w:tcMar>
              <w:top w:w="60" w:type="dxa"/>
              <w:bottom w:w="60" w:type="dxa"/>
              <w:left w:w="100" w:type="dxa"/>
              <w:right w:w="100" w:type="dxa"/>
            </w:tcMar>
          </w:tcPr>
          <w:p>
            <w:r>
              <w:rPr>
                <w:b/>
                <w:sz w:val="17"/>
              </w:rPr>
              <w:t>$51,431.0M</w:t>
            </w:r>
          </w:p>
        </w:tc>
        <w:tc>
          <w:tcPr>
            <w:tcW w:type="dxa" w:w="1958"/>
            <w:tcMar>
              <w:top w:w="60" w:type="dxa"/>
              <w:bottom w:w="60" w:type="dxa"/>
              <w:left w:w="100" w:type="dxa"/>
              <w:right w:w="100" w:type="dxa"/>
            </w:tcMar>
          </w:tcPr>
          <w:p>
            <w:r>
              <w:rPr>
                <w:sz w:val="17"/>
              </w:rPr>
              <w:t>$49,834.0M</w:t>
            </w:r>
          </w:p>
        </w:tc>
        <w:tc>
          <w:tcPr>
            <w:tcW w:type="dxa" w:w="1958"/>
            <w:tcMar>
              <w:top w:w="60" w:type="dxa"/>
              <w:bottom w:w="60" w:type="dxa"/>
              <w:left w:w="100" w:type="dxa"/>
              <w:right w:w="100" w:type="dxa"/>
            </w:tcMar>
          </w:tcPr>
          <w:p>
            <w:r>
              <w:rPr>
                <w:sz w:val="17"/>
              </w:rPr>
              <w:t>Balance Sheet (Non-Current Assets)</w:t>
            </w:r>
          </w:p>
        </w:tc>
        <w:tc>
          <w:tcPr>
            <w:tcW w:type="dxa" w:w="1958"/>
            <w:tcMar>
              <w:top w:w="60" w:type="dxa"/>
              <w:bottom w:w="60" w:type="dxa"/>
              <w:left w:w="100" w:type="dxa"/>
              <w:right w:w="100" w:type="dxa"/>
            </w:tcMar>
          </w:tcPr>
          <w:p>
            <w:r>
              <w:rPr>
                <w:sz w:val="17"/>
              </w:rPr>
              <w:t>Activos fijos físicos tangibles netos de depreciación acumulada.</w:t>
            </w:r>
          </w:p>
        </w:tc>
      </w:tr>
      <w:tr>
        <w:tc>
          <w:tcPr>
            <w:tcW w:type="dxa" w:w="1958"/>
            <w:tcMar>
              <w:top w:w="60" w:type="dxa"/>
              <w:bottom w:w="60" w:type="dxa"/>
              <w:left w:w="100" w:type="dxa"/>
              <w:right w:w="100" w:type="dxa"/>
            </w:tcMar>
            <w:shd w:fill="F7FAFC"/>
          </w:tcPr>
          <w:p>
            <w:r>
              <w:rPr>
                <w:b/>
                <w:sz w:val="17"/>
              </w:rPr>
              <w:t>(=) Capital Tangible al Cierre</w:t>
            </w:r>
          </w:p>
        </w:tc>
        <w:tc>
          <w:tcPr>
            <w:tcW w:type="dxa" w:w="1958"/>
            <w:tcMar>
              <w:top w:w="60" w:type="dxa"/>
              <w:bottom w:w="60" w:type="dxa"/>
              <w:left w:w="100" w:type="dxa"/>
              <w:right w:w="100" w:type="dxa"/>
            </w:tcMar>
            <w:shd w:fill="F7FAFC"/>
          </w:tcPr>
          <w:p>
            <w:r>
              <w:rPr>
                <w:b/>
                <w:sz w:val="17"/>
              </w:rPr>
              <w:t>$51,431.0M</w:t>
            </w:r>
          </w:p>
        </w:tc>
        <w:tc>
          <w:tcPr>
            <w:tcW w:type="dxa" w:w="1958"/>
            <w:tcMar>
              <w:top w:w="60" w:type="dxa"/>
              <w:bottom w:w="60" w:type="dxa"/>
              <w:left w:w="100" w:type="dxa"/>
              <w:right w:w="100" w:type="dxa"/>
            </w:tcMar>
            <w:shd w:fill="F7FAFC"/>
          </w:tcPr>
          <w:p>
            <w:r>
              <w:rPr>
                <w:sz w:val="17"/>
              </w:rPr>
              <w:t>$49,834.0M</w:t>
            </w:r>
          </w:p>
        </w:tc>
        <w:tc>
          <w:tcPr>
            <w:tcW w:type="dxa" w:w="1958"/>
            <w:tcMar>
              <w:top w:w="60" w:type="dxa"/>
              <w:bottom w:w="60" w:type="dxa"/>
              <w:left w:w="100" w:type="dxa"/>
              <w:right w:w="100" w:type="dxa"/>
            </w:tcMar>
            <w:shd w:fill="F7FAFC"/>
          </w:tcPr>
          <w:p>
            <w:r>
              <w:rPr>
                <w:sz w:val="17"/>
              </w:rPr>
              <w:t>Salvaguarda Joel Greenblatt</w:t>
            </w:r>
          </w:p>
        </w:tc>
        <w:tc>
          <w:tcPr>
            <w:tcW w:type="dxa" w:w="1958"/>
            <w:tcMar>
              <w:top w:w="60" w:type="dxa"/>
              <w:bottom w:w="60" w:type="dxa"/>
              <w:left w:w="100" w:type="dxa"/>
              <w:right w:w="100" w:type="dxa"/>
            </w:tcMar>
            <w:shd w:fill="F7FAFC"/>
          </w:tcPr>
          <w:p>
            <w:r>
              <w:rPr>
                <w:sz w:val="17"/>
              </w:rPr>
              <w:t>Si NWC &lt; 0, se acota al PP&amp;E Neto (nunca menor a las plantas físicas).</w:t>
            </w:r>
          </w:p>
        </w:tc>
      </w:tr>
      <w:tr>
        <w:tc>
          <w:tcPr>
            <w:tcW w:type="dxa" w:w="1958"/>
            <w:tcMar>
              <w:top w:w="60" w:type="dxa"/>
              <w:bottom w:w="60" w:type="dxa"/>
              <w:left w:w="100" w:type="dxa"/>
              <w:right w:w="100" w:type="dxa"/>
            </w:tcMar>
          </w:tcPr>
          <w:p>
            <w:r>
              <w:rPr>
                <w:b/>
                <w:sz w:val="17"/>
              </w:rPr>
              <w:t>(=) Capital Tangible Operativo Promedio</w:t>
            </w:r>
          </w:p>
        </w:tc>
        <w:tc>
          <w:tcPr>
            <w:tcW w:type="dxa" w:w="1958"/>
            <w:tcMar>
              <w:top w:w="60" w:type="dxa"/>
              <w:bottom w:w="60" w:type="dxa"/>
              <w:left w:w="100" w:type="dxa"/>
              <w:right w:w="100" w:type="dxa"/>
            </w:tcMar>
          </w:tcPr>
          <w:p>
            <w:r>
              <w:rPr>
                <w:b/>
                <w:sz w:val="17"/>
              </w:rPr>
              <w:t>$50,632.5M</w:t>
            </w:r>
          </w:p>
        </w:tc>
        <w:tc>
          <w:tcPr>
            <w:tcW w:type="dxa" w:w="1958"/>
            <w:tcMar>
              <w:top w:w="60" w:type="dxa"/>
              <w:bottom w:w="60" w:type="dxa"/>
              <w:left w:w="100" w:type="dxa"/>
              <w:right w:w="100" w:type="dxa"/>
            </w:tcMar>
          </w:tcPr>
          <w:p>
            <w:r>
              <w:rPr>
                <w:sz w:val="17"/>
              </w:rPr>
              <w:t>$47,757.0M</w:t>
            </w:r>
          </w:p>
        </w:tc>
        <w:tc>
          <w:tcPr>
            <w:tcW w:type="dxa" w:w="1958"/>
            <w:tcMar>
              <w:top w:w="60" w:type="dxa"/>
              <w:bottom w:w="60" w:type="dxa"/>
              <w:left w:w="100" w:type="dxa"/>
              <w:right w:w="100" w:type="dxa"/>
            </w:tcMar>
          </w:tcPr>
          <w:p>
            <w:r>
              <w:rPr>
                <w:sz w:val="17"/>
              </w:rPr>
              <w:t>Denominador (Matching Principle)</w:t>
            </w:r>
          </w:p>
        </w:tc>
        <w:tc>
          <w:tcPr>
            <w:tcW w:type="dxa" w:w="1958"/>
            <w:tcMar>
              <w:top w:w="60" w:type="dxa"/>
              <w:bottom w:w="60" w:type="dxa"/>
              <w:left w:w="100" w:type="dxa"/>
              <w:right w:w="100" w:type="dxa"/>
            </w:tcMar>
          </w:tcPr>
          <w:p>
            <w:r>
              <w:rPr>
                <w:sz w:val="17"/>
              </w:rPr>
              <w:t>Promedio (t + t-1)/2 para sincronizar capital con flujo anual de EBIT.</w:t>
            </w:r>
          </w:p>
        </w:tc>
      </w:tr>
      <w:tr>
        <w:tc>
          <w:tcPr>
            <w:tcW w:type="dxa" w:w="1958"/>
            <w:tcMar>
              <w:top w:w="60" w:type="dxa"/>
              <w:bottom w:w="60" w:type="dxa"/>
              <w:left w:w="100" w:type="dxa"/>
              <w:right w:w="100" w:type="dxa"/>
            </w:tcMar>
            <w:shd w:fill="F7FAFC"/>
            <w:shd w:fill="E2EFDA"/>
          </w:tcPr>
          <w:p>
            <w:r>
              <w:rPr>
                <w:b/>
                <w:sz w:val="17"/>
              </w:rPr>
              <w:t>(=) ROC Greenblatt Tangible (%)</w:t>
            </w:r>
          </w:p>
        </w:tc>
        <w:tc>
          <w:tcPr>
            <w:tcW w:type="dxa" w:w="1958"/>
            <w:tcMar>
              <w:top w:w="60" w:type="dxa"/>
              <w:bottom w:w="60" w:type="dxa"/>
              <w:left w:w="100" w:type="dxa"/>
              <w:right w:w="100" w:type="dxa"/>
            </w:tcMar>
            <w:shd w:fill="F7FAFC"/>
            <w:shd w:fill="E2EFDA"/>
          </w:tcPr>
          <w:p>
            <w:r>
              <w:rPr>
                <w:b/>
                <w:sz w:val="17"/>
              </w:rPr>
              <w:t>305.85%</w:t>
            </w:r>
          </w:p>
        </w:tc>
        <w:tc>
          <w:tcPr>
            <w:tcW w:type="dxa" w:w="1958"/>
            <w:tcMar>
              <w:top w:w="60" w:type="dxa"/>
              <w:bottom w:w="60" w:type="dxa"/>
              <w:left w:w="100" w:type="dxa"/>
              <w:right w:w="100" w:type="dxa"/>
            </w:tcMar>
            <w:shd w:fill="F7FAFC"/>
            <w:shd w:fill="E2EFDA"/>
          </w:tcPr>
          <w:p>
            <w:r>
              <w:rPr>
                <w:b/>
                <w:sz w:val="17"/>
              </w:rPr>
              <w:t>278.60%</w:t>
            </w:r>
          </w:p>
        </w:tc>
        <w:tc>
          <w:tcPr>
            <w:tcW w:type="dxa" w:w="1958"/>
            <w:tcMar>
              <w:top w:w="60" w:type="dxa"/>
              <w:bottom w:w="60" w:type="dxa"/>
              <w:left w:w="100" w:type="dxa"/>
              <w:right w:w="100" w:type="dxa"/>
            </w:tcMar>
            <w:shd w:fill="F7FAFC"/>
            <w:shd w:fill="E2EFDA"/>
          </w:tcPr>
          <w:p>
            <w:r>
              <w:rPr>
                <w:b/>
                <w:sz w:val="17"/>
              </w:rPr>
              <w:t>Ratio Final de Productividad</w:t>
            </w:r>
          </w:p>
        </w:tc>
        <w:tc>
          <w:tcPr>
            <w:tcW w:type="dxa" w:w="1958"/>
            <w:tcMar>
              <w:top w:w="60" w:type="dxa"/>
              <w:bottom w:w="60" w:type="dxa"/>
              <w:left w:w="100" w:type="dxa"/>
              <w:right w:w="100" w:type="dxa"/>
            </w:tcMar>
            <w:shd w:fill="F7FAFC"/>
            <w:shd w:fill="E2EFDA"/>
          </w:tcPr>
          <w:p>
            <w:r>
              <w:rPr>
                <w:b/>
                <w:sz w:val="17"/>
              </w:rPr>
              <w:t>EBIT / Capital Tangible Promedio.</w:t>
            </w:r>
          </w:p>
        </w:tc>
      </w:tr>
    </w:tbl>
    <w:tbl>
      <w:tblPr>
        <w:tblW w:type="auto" w:w="0"/>
        <w:jc w:val="center"/>
        <w:tblLayout w:type="fixed"/>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Borders>
              <w:top w:val="none"/>
              <w:left w:val="single" w:sz="24" w:space="0" w:color="1B365D"/>
              <w:bottom w:val="none"/>
              <w:right w:val="none"/>
            </w:tcBorders>
          </w:tcPr>
          <w:p>
            <w:pPr>
              <w:spacing w:before="0" w:after="60" w:line="276" w:lineRule="auto"/>
            </w:pPr>
            <w:r>
              <w:rPr>
                <w:rFonts w:ascii="Calibri" w:hAnsi="Calibri"/>
                <w:b/>
                <w:color w:val="1B365D"/>
                <w:sz w:val="21"/>
              </w:rPr>
              <w:t>📌 Guía de Auditoría: Trazabilidad del ROC en los Balances SEC</w:t>
              <w:br/>
            </w:r>
          </w:p>
          <w:p>
            <w:pPr>
              <w:spacing w:before="40" w:after="40" w:line="276" w:lineRule="auto"/>
            </w:pPr>
            <w:r>
              <w:rPr>
                <w:rFonts w:ascii="Calibri" w:hAnsi="Calibri"/>
                <w:color w:val="2D3748"/>
                <w:sz w:val="19"/>
              </w:rPr>
              <w:t>• EBIT (Operating Income): Búsquelo en el Estado Consolidado de Operaciones (Form 10-K / 10-Q).</w:t>
            </w:r>
          </w:p>
          <w:p>
            <w:pPr>
              <w:spacing w:before="40" w:after="40" w:line="276" w:lineRule="auto"/>
            </w:pPr>
            <w:r>
              <w:rPr>
                <w:rFonts w:ascii="Calibri" w:hAnsi="Calibri"/>
                <w:color w:val="2D3748"/>
                <w:sz w:val="19"/>
              </w:rPr>
              <w:t>• Activos Operativos: Tome Total Current Assets del Balance y reste Cash &amp; Marketable Securities.</w:t>
            </w:r>
          </w:p>
          <w:p>
            <w:pPr>
              <w:spacing w:before="40" w:after="40" w:line="276" w:lineRule="auto"/>
            </w:pPr>
            <w:r>
              <w:rPr>
                <w:rFonts w:ascii="Calibri" w:hAnsi="Calibri"/>
                <w:color w:val="2D3748"/>
                <w:sz w:val="19"/>
              </w:rPr>
              <w:t>• Pasivos Operativos: Tome Total Current Liabilities del Balance y reste Commercial Paper y Deuda CP.</w:t>
            </w:r>
          </w:p>
          <w:p>
            <w:pPr>
              <w:spacing w:before="40" w:after="40" w:line="276" w:lineRule="auto"/>
            </w:pPr>
            <w:r>
              <w:rPr>
                <w:rFonts w:ascii="Calibri" w:hAnsi="Calibri"/>
                <w:color w:val="2D3748"/>
                <w:sz w:val="19"/>
              </w:rPr>
              <w:t>• PP&amp;E Neto: Búsquelo en Activos No Corrientes bajo Property, plant and equipment, net.</w:t>
            </w:r>
          </w:p>
          <w:p>
            <w:pPr>
              <w:spacing w:before="40" w:after="40" w:line="276" w:lineRule="auto"/>
            </w:pPr>
            <w:r>
              <w:rPr>
                <w:rFonts w:ascii="Calibri" w:hAnsi="Calibri"/>
                <w:color w:val="2D3748"/>
                <w:sz w:val="19"/>
              </w:rPr>
              <w:t>• Salvaguarda de Capital de Trabajo Negativo: Si NWC &lt; 0, Joel Greenblatt fija el capital tangible en el PP&amp;E neto para impedir denominadores distorsionados o bases de capital negativas.</w:t>
            </w:r>
          </w:p>
        </w:tc>
      </w:tr>
    </w:tbl>
    <w:p>
      <w:pPr>
        <w:spacing w:before="0" w:after="120"/>
      </w:pPr>
    </w:p>
    <w:p>
      <w:pPr>
        <w:pStyle w:val="Heading2"/>
      </w:pPr>
      <w:r>
        <w:t>11.3. Desglose y Explicación del ROIC: Tradicional vs. Ajustado por Intangibles (Damodaran)</w:t>
      </w:r>
    </w:p>
    <w:p>
      <w:r>
        <w:rPr>
          <w:sz w:val="19"/>
        </w:rPr>
        <w:t>El ROIC Tradicional contable (68.22%) sobrestima el retorno al mandar el I+D a gasto inmediato. La metodología Damodaran capitaliza la innovación a 4 años, reconociendo $83,773.2M de intangibles fuera de balance. El ROIC Ajustado resultante de 50.06% refleja el verdadero retorno económico sobre el capital total invertido ($269,400.0M).</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1440"/>
        <w:gridCol w:w="1440"/>
        <w:gridCol w:w="1440"/>
        <w:gridCol w:w="1440"/>
        <w:gridCol w:w="1440"/>
        <w:gridCol w:w="1440"/>
        <w:gridCol w:w="1152"/>
      </w:tblGrid>
      <w:tr>
        <w:tc>
          <w:tcPr>
            <w:tcW w:type="dxa" w:w="1399"/>
            <w:shd w:fill="1B365D"/>
            <w:tcMar>
              <w:top w:w="80" w:type="dxa"/>
              <w:bottom w:w="80" w:type="dxa"/>
              <w:left w:w="100" w:type="dxa"/>
              <w:right w:w="100" w:type="dxa"/>
            </w:tcMar>
          </w:tcPr>
          <w:p>
            <w:r>
              <w:rPr>
                <w:b/>
                <w:color w:val="FFFFFF"/>
                <w:sz w:val="17"/>
              </w:rPr>
              <w:t>Período Contable</w:t>
            </w:r>
          </w:p>
        </w:tc>
        <w:tc>
          <w:tcPr>
            <w:tcW w:type="dxa" w:w="1399"/>
            <w:shd w:fill="1B365D"/>
            <w:tcMar>
              <w:top w:w="80" w:type="dxa"/>
              <w:bottom w:w="80" w:type="dxa"/>
              <w:left w:w="100" w:type="dxa"/>
              <w:right w:w="100" w:type="dxa"/>
            </w:tcMar>
          </w:tcPr>
          <w:p>
            <w:r>
              <w:rPr>
                <w:b/>
                <w:color w:val="FFFFFF"/>
                <w:sz w:val="17"/>
              </w:rPr>
              <w:t>ROC Greenblatt</w:t>
            </w:r>
          </w:p>
        </w:tc>
        <w:tc>
          <w:tcPr>
            <w:tcW w:type="dxa" w:w="1399"/>
            <w:shd w:fill="1B365D"/>
            <w:tcMar>
              <w:top w:w="80" w:type="dxa"/>
              <w:bottom w:w="80" w:type="dxa"/>
              <w:left w:w="100" w:type="dxa"/>
              <w:right w:w="100" w:type="dxa"/>
            </w:tcMar>
          </w:tcPr>
          <w:p>
            <w:r>
              <w:rPr>
                <w:b/>
                <w:color w:val="FFFFFF"/>
                <w:sz w:val="17"/>
              </w:rPr>
              <w:t>ROIC Tradicional</w:t>
            </w:r>
          </w:p>
        </w:tc>
        <w:tc>
          <w:tcPr>
            <w:tcW w:type="dxa" w:w="1399"/>
            <w:shd w:fill="1B365D"/>
            <w:tcMar>
              <w:top w:w="80" w:type="dxa"/>
              <w:bottom w:w="80" w:type="dxa"/>
              <w:left w:w="100" w:type="dxa"/>
              <w:right w:w="100" w:type="dxa"/>
            </w:tcMar>
          </w:tcPr>
          <w:p>
            <w:r>
              <w:rPr>
                <w:b/>
                <w:color w:val="FFFFFF"/>
                <w:sz w:val="17"/>
              </w:rPr>
              <w:t>ROIC Ajustado</w:t>
            </w:r>
          </w:p>
        </w:tc>
        <w:tc>
          <w:tcPr>
            <w:tcW w:type="dxa" w:w="1399"/>
            <w:shd w:fill="1B365D"/>
            <w:tcMar>
              <w:top w:w="80" w:type="dxa"/>
              <w:bottom w:w="80" w:type="dxa"/>
              <w:left w:w="100" w:type="dxa"/>
              <w:right w:w="100" w:type="dxa"/>
            </w:tcMar>
          </w:tcPr>
          <w:p>
            <w:r>
              <w:rPr>
                <w:b/>
                <w:color w:val="FFFFFF"/>
                <w:sz w:val="17"/>
              </w:rPr>
              <w:t>Stock Intangibles ($M)</w:t>
            </w:r>
          </w:p>
        </w:tc>
        <w:tc>
          <w:tcPr>
            <w:tcW w:type="dxa" w:w="1399"/>
            <w:shd w:fill="1B365D"/>
            <w:tcMar>
              <w:top w:w="80" w:type="dxa"/>
              <w:bottom w:w="80" w:type="dxa"/>
              <w:left w:w="100" w:type="dxa"/>
              <w:right w:w="100" w:type="dxa"/>
            </w:tcMar>
          </w:tcPr>
          <w:p>
            <w:r>
              <w:rPr>
                <w:b/>
                <w:color w:val="FFFFFF"/>
                <w:sz w:val="17"/>
              </w:rPr>
              <w:t>Capital Invertido ($M)</w:t>
            </w:r>
          </w:p>
        </w:tc>
        <w:tc>
          <w:tcPr>
            <w:tcW w:type="dxa" w:w="1399"/>
            <w:shd w:fill="1B365D"/>
            <w:tcMar>
              <w:top w:w="80" w:type="dxa"/>
              <w:bottom w:w="80" w:type="dxa"/>
              <w:left w:w="100" w:type="dxa"/>
              <w:right w:w="100" w:type="dxa"/>
            </w:tcMar>
          </w:tcPr>
          <w:p>
            <w:r>
              <w:rPr>
                <w:b/>
                <w:color w:val="FFFFFF"/>
                <w:sz w:val="17"/>
              </w:rPr>
              <w:t>Spread vs WACC</w:t>
            </w:r>
          </w:p>
        </w:tc>
      </w:tr>
      <w:tr>
        <w:tc>
          <w:tcPr>
            <w:tcW w:type="dxa" w:w="1399"/>
            <w:tcMar>
              <w:top w:w="60" w:type="dxa"/>
              <w:bottom w:w="60" w:type="dxa"/>
              <w:left w:w="100" w:type="dxa"/>
              <w:right w:w="100" w:type="dxa"/>
            </w:tcMar>
          </w:tcPr>
          <w:p>
            <w:r>
              <w:rPr>
                <w:sz w:val="17"/>
              </w:rPr>
              <w:t>FY2021</w:t>
            </w:r>
          </w:p>
        </w:tc>
        <w:tc>
          <w:tcPr>
            <w:tcW w:type="dxa" w:w="1399"/>
            <w:tcMar>
              <w:top w:w="60" w:type="dxa"/>
              <w:bottom w:w="60" w:type="dxa"/>
              <w:left w:w="100" w:type="dxa"/>
              <w:right w:w="100" w:type="dxa"/>
            </w:tcMar>
          </w:tcPr>
          <w:p>
            <w:r>
              <w:rPr>
                <w:b/>
                <w:sz w:val="17"/>
              </w:rPr>
              <w:t>255.50%</w:t>
            </w:r>
          </w:p>
        </w:tc>
        <w:tc>
          <w:tcPr>
            <w:tcW w:type="dxa" w:w="1399"/>
            <w:tcMar>
              <w:top w:w="60" w:type="dxa"/>
              <w:bottom w:w="60" w:type="dxa"/>
              <w:left w:w="100" w:type="dxa"/>
              <w:right w:w="100" w:type="dxa"/>
            </w:tcMar>
          </w:tcPr>
          <w:p>
            <w:r>
              <w:rPr>
                <w:b/>
                <w:sz w:val="17"/>
              </w:rPr>
              <w:t>48.51%</w:t>
            </w:r>
          </w:p>
        </w:tc>
        <w:tc>
          <w:tcPr>
            <w:tcW w:type="dxa" w:w="1399"/>
            <w:tcMar>
              <w:top w:w="60" w:type="dxa"/>
              <w:bottom w:w="60" w:type="dxa"/>
              <w:left w:w="100" w:type="dxa"/>
              <w:right w:w="100" w:type="dxa"/>
            </w:tcMar>
          </w:tcPr>
          <w:p>
            <w:r>
              <w:rPr>
                <w:b/>
                <w:sz w:val="17"/>
              </w:rPr>
              <w:t>41.96%</w:t>
            </w:r>
          </w:p>
        </w:tc>
        <w:tc>
          <w:tcPr>
            <w:tcW w:type="dxa" w:w="1399"/>
            <w:tcMar>
              <w:top w:w="60" w:type="dxa"/>
              <w:bottom w:w="60" w:type="dxa"/>
              <w:left w:w="100" w:type="dxa"/>
              <w:right w:w="100" w:type="dxa"/>
            </w:tcMar>
          </w:tcPr>
          <w:p>
            <w:r>
              <w:rPr>
                <w:sz w:val="17"/>
              </w:rPr>
              <w:t>$47,645.5M</w:t>
            </w:r>
          </w:p>
        </w:tc>
        <w:tc>
          <w:tcPr>
            <w:tcW w:type="dxa" w:w="1399"/>
            <w:tcMar>
              <w:top w:w="60" w:type="dxa"/>
              <w:bottom w:w="60" w:type="dxa"/>
              <w:left w:w="100" w:type="dxa"/>
              <w:right w:w="100" w:type="dxa"/>
            </w:tcMar>
          </w:tcPr>
          <w:p>
            <w:r>
              <w:rPr>
                <w:sz w:val="17"/>
              </w:rPr>
              <w:t>$239,010.2M</w:t>
            </w:r>
          </w:p>
        </w:tc>
        <w:tc>
          <w:tcPr>
            <w:tcW w:type="dxa" w:w="1399"/>
            <w:tcMar>
              <w:top w:w="60" w:type="dxa"/>
              <w:bottom w:w="60" w:type="dxa"/>
              <w:left w:w="100" w:type="dxa"/>
              <w:right w:w="100" w:type="dxa"/>
            </w:tcMar>
          </w:tcPr>
          <w:p>
            <w:r>
              <w:rPr>
                <w:b/>
                <w:sz w:val="17"/>
              </w:rPr>
              <w:t>+31.96 p.p.</w:t>
            </w:r>
          </w:p>
        </w:tc>
      </w:tr>
      <w:tr>
        <w:tc>
          <w:tcPr>
            <w:tcW w:type="dxa" w:w="1399"/>
            <w:tcMar>
              <w:top w:w="60" w:type="dxa"/>
              <w:bottom w:w="60" w:type="dxa"/>
              <w:left w:w="100" w:type="dxa"/>
              <w:right w:w="100" w:type="dxa"/>
            </w:tcMar>
            <w:shd w:fill="F7FAFC"/>
          </w:tcPr>
          <w:p>
            <w:r>
              <w:rPr>
                <w:sz w:val="17"/>
              </w:rPr>
              <w:t>FY2022</w:t>
            </w:r>
          </w:p>
        </w:tc>
        <w:tc>
          <w:tcPr>
            <w:tcW w:type="dxa" w:w="1399"/>
            <w:tcMar>
              <w:top w:w="60" w:type="dxa"/>
              <w:bottom w:w="60" w:type="dxa"/>
              <w:left w:w="100" w:type="dxa"/>
              <w:right w:w="100" w:type="dxa"/>
            </w:tcMar>
            <w:shd w:fill="F7FAFC"/>
          </w:tcPr>
          <w:p>
            <w:r>
              <w:rPr>
                <w:b/>
                <w:sz w:val="17"/>
              </w:rPr>
              <w:t>292.89%</w:t>
            </w:r>
          </w:p>
        </w:tc>
        <w:tc>
          <w:tcPr>
            <w:tcW w:type="dxa" w:w="1399"/>
            <w:tcMar>
              <w:top w:w="60" w:type="dxa"/>
              <w:bottom w:w="60" w:type="dxa"/>
              <w:left w:w="100" w:type="dxa"/>
              <w:right w:w="100" w:type="dxa"/>
            </w:tcMar>
            <w:shd w:fill="F7FAFC"/>
          </w:tcPr>
          <w:p>
            <w:r>
              <w:rPr>
                <w:b/>
                <w:sz w:val="17"/>
              </w:rPr>
              <w:t>51.80%</w:t>
            </w:r>
          </w:p>
        </w:tc>
        <w:tc>
          <w:tcPr>
            <w:tcW w:type="dxa" w:w="1399"/>
            <w:tcMar>
              <w:top w:w="60" w:type="dxa"/>
              <w:bottom w:w="60" w:type="dxa"/>
              <w:left w:w="100" w:type="dxa"/>
              <w:right w:w="100" w:type="dxa"/>
            </w:tcMar>
            <w:shd w:fill="F7FAFC"/>
          </w:tcPr>
          <w:p>
            <w:r>
              <w:rPr>
                <w:b/>
                <w:sz w:val="17"/>
              </w:rPr>
              <w:t>43.73%</w:t>
            </w:r>
          </w:p>
        </w:tc>
        <w:tc>
          <w:tcPr>
            <w:tcW w:type="dxa" w:w="1399"/>
            <w:tcMar>
              <w:top w:w="60" w:type="dxa"/>
              <w:bottom w:w="60" w:type="dxa"/>
              <w:left w:w="100" w:type="dxa"/>
              <w:right w:w="100" w:type="dxa"/>
            </w:tcMar>
            <w:shd w:fill="F7FAFC"/>
          </w:tcPr>
          <w:p>
            <w:r>
              <w:rPr>
                <w:sz w:val="17"/>
              </w:rPr>
              <w:t>$56,116.8M</w:t>
            </w:r>
          </w:p>
        </w:tc>
        <w:tc>
          <w:tcPr>
            <w:tcW w:type="dxa" w:w="1399"/>
            <w:tcMar>
              <w:top w:w="60" w:type="dxa"/>
              <w:bottom w:w="60" w:type="dxa"/>
              <w:left w:w="100" w:type="dxa"/>
              <w:right w:w="100" w:type="dxa"/>
            </w:tcMar>
            <w:shd w:fill="F7FAFC"/>
          </w:tcPr>
          <w:p>
            <w:r>
              <w:rPr>
                <w:sz w:val="17"/>
              </w:rPr>
              <w:t>$245,105.6M</w:t>
            </w:r>
          </w:p>
        </w:tc>
        <w:tc>
          <w:tcPr>
            <w:tcW w:type="dxa" w:w="1399"/>
            <w:tcMar>
              <w:top w:w="60" w:type="dxa"/>
              <w:bottom w:w="60" w:type="dxa"/>
              <w:left w:w="100" w:type="dxa"/>
              <w:right w:w="100" w:type="dxa"/>
            </w:tcMar>
            <w:shd w:fill="F7FAFC"/>
          </w:tcPr>
          <w:p>
            <w:r>
              <w:rPr>
                <w:b/>
                <w:sz w:val="17"/>
              </w:rPr>
              <w:t>+33.73 p.p.</w:t>
            </w:r>
          </w:p>
        </w:tc>
      </w:tr>
      <w:tr>
        <w:tc>
          <w:tcPr>
            <w:tcW w:type="dxa" w:w="1399"/>
            <w:tcMar>
              <w:top w:w="60" w:type="dxa"/>
              <w:bottom w:w="60" w:type="dxa"/>
              <w:left w:w="100" w:type="dxa"/>
              <w:right w:w="100" w:type="dxa"/>
            </w:tcMar>
          </w:tcPr>
          <w:p>
            <w:r>
              <w:rPr>
                <w:sz w:val="17"/>
              </w:rPr>
              <w:t>FY2023</w:t>
            </w:r>
          </w:p>
        </w:tc>
        <w:tc>
          <w:tcPr>
            <w:tcW w:type="dxa" w:w="1399"/>
            <w:tcMar>
              <w:top w:w="60" w:type="dxa"/>
              <w:bottom w:w="60" w:type="dxa"/>
              <w:left w:w="100" w:type="dxa"/>
              <w:right w:w="100" w:type="dxa"/>
            </w:tcMar>
          </w:tcPr>
          <w:p>
            <w:r>
              <w:rPr>
                <w:b/>
                <w:sz w:val="17"/>
              </w:rPr>
              <w:t>266.34%</w:t>
            </w:r>
          </w:p>
        </w:tc>
        <w:tc>
          <w:tcPr>
            <w:tcW w:type="dxa" w:w="1399"/>
            <w:tcMar>
              <w:top w:w="60" w:type="dxa"/>
              <w:bottom w:w="60" w:type="dxa"/>
              <w:left w:w="100" w:type="dxa"/>
              <w:right w:w="100" w:type="dxa"/>
            </w:tcMar>
          </w:tcPr>
          <w:p>
            <w:r>
              <w:rPr>
                <w:b/>
                <w:sz w:val="17"/>
              </w:rPr>
              <w:t>52.21%</w:t>
            </w:r>
          </w:p>
        </w:tc>
        <w:tc>
          <w:tcPr>
            <w:tcW w:type="dxa" w:w="1399"/>
            <w:tcMar>
              <w:top w:w="60" w:type="dxa"/>
              <w:bottom w:w="60" w:type="dxa"/>
              <w:left w:w="100" w:type="dxa"/>
              <w:right w:w="100" w:type="dxa"/>
            </w:tcMar>
          </w:tcPr>
          <w:p>
            <w:r>
              <w:rPr>
                <w:b/>
                <w:sz w:val="17"/>
              </w:rPr>
              <w:t>42.55%</w:t>
            </w:r>
          </w:p>
        </w:tc>
        <w:tc>
          <w:tcPr>
            <w:tcW w:type="dxa" w:w="1399"/>
            <w:tcMar>
              <w:top w:w="60" w:type="dxa"/>
              <w:bottom w:w="60" w:type="dxa"/>
              <w:left w:w="100" w:type="dxa"/>
              <w:right w:w="100" w:type="dxa"/>
            </w:tcMar>
          </w:tcPr>
          <w:p>
            <w:r>
              <w:rPr>
                <w:sz w:val="17"/>
              </w:rPr>
              <w:t>$65,248.2M</w:t>
            </w:r>
          </w:p>
        </w:tc>
        <w:tc>
          <w:tcPr>
            <w:tcW w:type="dxa" w:w="1399"/>
            <w:tcMar>
              <w:top w:w="60" w:type="dxa"/>
              <w:bottom w:w="60" w:type="dxa"/>
              <w:left w:w="100" w:type="dxa"/>
              <w:right w:w="100" w:type="dxa"/>
            </w:tcMar>
          </w:tcPr>
          <w:p>
            <w:r>
              <w:rPr>
                <w:sz w:val="17"/>
              </w:rPr>
              <w:t>$247,376.0M</w:t>
            </w:r>
          </w:p>
        </w:tc>
        <w:tc>
          <w:tcPr>
            <w:tcW w:type="dxa" w:w="1399"/>
            <w:tcMar>
              <w:top w:w="60" w:type="dxa"/>
              <w:bottom w:w="60" w:type="dxa"/>
              <w:left w:w="100" w:type="dxa"/>
              <w:right w:w="100" w:type="dxa"/>
            </w:tcMar>
          </w:tcPr>
          <w:p>
            <w:r>
              <w:rPr>
                <w:b/>
                <w:sz w:val="17"/>
              </w:rPr>
              <w:t>+32.55 p.p.</w:t>
            </w:r>
          </w:p>
        </w:tc>
      </w:tr>
      <w:tr>
        <w:tc>
          <w:tcPr>
            <w:tcW w:type="dxa" w:w="1399"/>
            <w:tcMar>
              <w:top w:w="60" w:type="dxa"/>
              <w:bottom w:w="60" w:type="dxa"/>
              <w:left w:w="100" w:type="dxa"/>
              <w:right w:w="100" w:type="dxa"/>
            </w:tcMar>
            <w:shd w:fill="F7FAFC"/>
          </w:tcPr>
          <w:p>
            <w:r>
              <w:rPr>
                <w:sz w:val="17"/>
              </w:rPr>
              <w:t>FY2024</w:t>
            </w:r>
          </w:p>
        </w:tc>
        <w:tc>
          <w:tcPr>
            <w:tcW w:type="dxa" w:w="1399"/>
            <w:tcMar>
              <w:top w:w="60" w:type="dxa"/>
              <w:bottom w:w="60" w:type="dxa"/>
              <w:left w:w="100" w:type="dxa"/>
              <w:right w:w="100" w:type="dxa"/>
            </w:tcMar>
            <w:shd w:fill="F7FAFC"/>
          </w:tcPr>
          <w:p>
            <w:r>
              <w:rPr>
                <w:b/>
                <w:sz w:val="17"/>
              </w:rPr>
              <w:t>275.67%</w:t>
            </w:r>
          </w:p>
        </w:tc>
        <w:tc>
          <w:tcPr>
            <w:tcW w:type="dxa" w:w="1399"/>
            <w:tcMar>
              <w:top w:w="60" w:type="dxa"/>
              <w:bottom w:w="60" w:type="dxa"/>
              <w:left w:w="100" w:type="dxa"/>
              <w:right w:w="100" w:type="dxa"/>
            </w:tcMar>
            <w:shd w:fill="F7FAFC"/>
          </w:tcPr>
          <w:p>
            <w:r>
              <w:rPr>
                <w:b/>
                <w:sz w:val="17"/>
              </w:rPr>
              <w:t>52.44%</w:t>
            </w:r>
          </w:p>
        </w:tc>
        <w:tc>
          <w:tcPr>
            <w:tcW w:type="dxa" w:w="1399"/>
            <w:tcMar>
              <w:top w:w="60" w:type="dxa"/>
              <w:bottom w:w="60" w:type="dxa"/>
              <w:left w:w="100" w:type="dxa"/>
              <w:right w:w="100" w:type="dxa"/>
            </w:tcMar>
            <w:shd w:fill="F7FAFC"/>
          </w:tcPr>
          <w:p>
            <w:r>
              <w:rPr>
                <w:b/>
                <w:sz w:val="17"/>
              </w:rPr>
              <w:t>40.04%</w:t>
            </w:r>
          </w:p>
        </w:tc>
        <w:tc>
          <w:tcPr>
            <w:tcW w:type="dxa" w:w="1399"/>
            <w:tcMar>
              <w:top w:w="60" w:type="dxa"/>
              <w:bottom w:w="60" w:type="dxa"/>
              <w:left w:w="100" w:type="dxa"/>
              <w:right w:w="100" w:type="dxa"/>
            </w:tcMar>
            <w:shd w:fill="F7FAFC"/>
          </w:tcPr>
          <w:p>
            <w:r>
              <w:rPr>
                <w:sz w:val="17"/>
              </w:rPr>
              <w:t>$72,410.2M</w:t>
            </w:r>
          </w:p>
        </w:tc>
        <w:tc>
          <w:tcPr>
            <w:tcW w:type="dxa" w:w="1399"/>
            <w:tcMar>
              <w:top w:w="60" w:type="dxa"/>
              <w:bottom w:w="60" w:type="dxa"/>
              <w:left w:w="100" w:type="dxa"/>
              <w:right w:w="100" w:type="dxa"/>
            </w:tcMar>
            <w:shd w:fill="F7FAFC"/>
          </w:tcPr>
          <w:p>
            <w:r>
              <w:rPr>
                <w:sz w:val="17"/>
              </w:rPr>
              <w:t>$247,173.8M</w:t>
            </w:r>
          </w:p>
        </w:tc>
        <w:tc>
          <w:tcPr>
            <w:tcW w:type="dxa" w:w="1399"/>
            <w:tcMar>
              <w:top w:w="60" w:type="dxa"/>
              <w:bottom w:w="60" w:type="dxa"/>
              <w:left w:w="100" w:type="dxa"/>
              <w:right w:w="100" w:type="dxa"/>
            </w:tcMar>
            <w:shd w:fill="F7FAFC"/>
          </w:tcPr>
          <w:p>
            <w:r>
              <w:rPr>
                <w:b/>
                <w:sz w:val="17"/>
              </w:rPr>
              <w:t>+30.04 p.p.</w:t>
            </w:r>
          </w:p>
        </w:tc>
      </w:tr>
      <w:tr>
        <w:tc>
          <w:tcPr>
            <w:tcW w:type="dxa" w:w="1399"/>
            <w:tcMar>
              <w:top w:w="60" w:type="dxa"/>
              <w:bottom w:w="60" w:type="dxa"/>
              <w:left w:w="100" w:type="dxa"/>
              <w:right w:w="100" w:type="dxa"/>
            </w:tcMar>
          </w:tcPr>
          <w:p>
            <w:r>
              <w:rPr>
                <w:sz w:val="17"/>
              </w:rPr>
              <w:t>FY2025</w:t>
            </w:r>
          </w:p>
        </w:tc>
        <w:tc>
          <w:tcPr>
            <w:tcW w:type="dxa" w:w="1399"/>
            <w:tcMar>
              <w:top w:w="60" w:type="dxa"/>
              <w:bottom w:w="60" w:type="dxa"/>
              <w:left w:w="100" w:type="dxa"/>
              <w:right w:w="100" w:type="dxa"/>
            </w:tcMar>
          </w:tcPr>
          <w:p>
            <w:r>
              <w:rPr>
                <w:b/>
                <w:sz w:val="17"/>
              </w:rPr>
              <w:t>278.60%</w:t>
            </w:r>
          </w:p>
        </w:tc>
        <w:tc>
          <w:tcPr>
            <w:tcW w:type="dxa" w:w="1399"/>
            <w:tcMar>
              <w:top w:w="60" w:type="dxa"/>
              <w:bottom w:w="60" w:type="dxa"/>
              <w:left w:w="100" w:type="dxa"/>
              <w:right w:w="100" w:type="dxa"/>
            </w:tcMar>
          </w:tcPr>
          <w:p>
            <w:r>
              <w:rPr>
                <w:b/>
                <w:sz w:val="17"/>
              </w:rPr>
              <w:t>66.13%</w:t>
            </w:r>
          </w:p>
        </w:tc>
        <w:tc>
          <w:tcPr>
            <w:tcW w:type="dxa" w:w="1399"/>
            <w:tcMar>
              <w:top w:w="60" w:type="dxa"/>
              <w:bottom w:w="60" w:type="dxa"/>
              <w:left w:w="100" w:type="dxa"/>
              <w:right w:w="100" w:type="dxa"/>
            </w:tcMar>
          </w:tcPr>
          <w:p>
            <w:r>
              <w:rPr>
                <w:b/>
                <w:sz w:val="17"/>
              </w:rPr>
              <w:t>48.15%</w:t>
            </w:r>
          </w:p>
        </w:tc>
        <w:tc>
          <w:tcPr>
            <w:tcW w:type="dxa" w:w="1399"/>
            <w:tcMar>
              <w:top w:w="60" w:type="dxa"/>
              <w:bottom w:w="60" w:type="dxa"/>
              <w:left w:w="100" w:type="dxa"/>
              <w:right w:w="100" w:type="dxa"/>
            </w:tcMar>
          </w:tcPr>
          <w:p>
            <w:r>
              <w:rPr>
                <w:sz w:val="17"/>
              </w:rPr>
              <w:t>$79,597.8M</w:t>
            </w:r>
          </w:p>
        </w:tc>
        <w:tc>
          <w:tcPr>
            <w:tcW w:type="dxa" w:w="1399"/>
            <w:tcMar>
              <w:top w:w="60" w:type="dxa"/>
              <w:bottom w:w="60" w:type="dxa"/>
              <w:left w:w="100" w:type="dxa"/>
              <w:right w:w="100" w:type="dxa"/>
            </w:tcMar>
          </w:tcPr>
          <w:p>
            <w:r>
              <w:rPr>
                <w:sz w:val="17"/>
              </w:rPr>
              <w:t>$245,795.5M</w:t>
            </w:r>
          </w:p>
        </w:tc>
        <w:tc>
          <w:tcPr>
            <w:tcW w:type="dxa" w:w="1399"/>
            <w:tcMar>
              <w:top w:w="60" w:type="dxa"/>
              <w:bottom w:w="60" w:type="dxa"/>
              <w:left w:w="100" w:type="dxa"/>
              <w:right w:w="100" w:type="dxa"/>
            </w:tcMar>
          </w:tcPr>
          <w:p>
            <w:r>
              <w:rPr>
                <w:b/>
                <w:sz w:val="17"/>
              </w:rPr>
              <w:t>+38.15 p.p.</w:t>
            </w:r>
          </w:p>
        </w:tc>
      </w:tr>
      <w:tr>
        <w:tc>
          <w:tcPr>
            <w:tcW w:type="dxa" w:w="1399"/>
            <w:tcMar>
              <w:top w:w="60" w:type="dxa"/>
              <w:bottom w:w="60" w:type="dxa"/>
              <w:left w:w="100" w:type="dxa"/>
              <w:right w:w="100" w:type="dxa"/>
            </w:tcMar>
            <w:shd w:fill="F7FAFC"/>
            <w:shd w:fill="E2EFDA"/>
          </w:tcPr>
          <w:p>
            <w:r>
              <w:rPr>
                <w:sz w:val="17"/>
              </w:rPr>
              <w:t>LTM</w:t>
            </w:r>
          </w:p>
        </w:tc>
        <w:tc>
          <w:tcPr>
            <w:tcW w:type="dxa" w:w="1399"/>
            <w:tcMar>
              <w:top w:w="60" w:type="dxa"/>
              <w:bottom w:w="60" w:type="dxa"/>
              <w:left w:w="100" w:type="dxa"/>
              <w:right w:w="100" w:type="dxa"/>
            </w:tcMar>
            <w:shd w:fill="F7FAFC"/>
            <w:shd w:fill="E2EFDA"/>
          </w:tcPr>
          <w:p>
            <w:r>
              <w:rPr>
                <w:b/>
                <w:sz w:val="17"/>
              </w:rPr>
              <w:t>305.85%</w:t>
            </w:r>
          </w:p>
        </w:tc>
        <w:tc>
          <w:tcPr>
            <w:tcW w:type="dxa" w:w="1399"/>
            <w:tcMar>
              <w:top w:w="60" w:type="dxa"/>
              <w:bottom w:w="60" w:type="dxa"/>
              <w:left w:w="100" w:type="dxa"/>
              <w:right w:w="100" w:type="dxa"/>
            </w:tcMar>
            <w:shd w:fill="F7FAFC"/>
            <w:shd w:fill="E2EFDA"/>
          </w:tcPr>
          <w:p>
            <w:r>
              <w:rPr>
                <w:b/>
                <w:sz w:val="17"/>
              </w:rPr>
              <w:t>68.22%</w:t>
            </w:r>
          </w:p>
        </w:tc>
        <w:tc>
          <w:tcPr>
            <w:tcW w:type="dxa" w:w="1399"/>
            <w:tcMar>
              <w:top w:w="60" w:type="dxa"/>
              <w:bottom w:w="60" w:type="dxa"/>
              <w:left w:w="100" w:type="dxa"/>
              <w:right w:w="100" w:type="dxa"/>
            </w:tcMar>
            <w:shd w:fill="F7FAFC"/>
            <w:shd w:fill="E2EFDA"/>
          </w:tcPr>
          <w:p>
            <w:r>
              <w:rPr>
                <w:b/>
                <w:sz w:val="17"/>
              </w:rPr>
              <w:t>50.06%</w:t>
            </w:r>
          </w:p>
        </w:tc>
        <w:tc>
          <w:tcPr>
            <w:tcW w:type="dxa" w:w="1399"/>
            <w:tcMar>
              <w:top w:w="60" w:type="dxa"/>
              <w:bottom w:w="60" w:type="dxa"/>
              <w:left w:w="100" w:type="dxa"/>
              <w:right w:w="100" w:type="dxa"/>
            </w:tcMar>
            <w:shd w:fill="F7FAFC"/>
            <w:shd w:fill="E2EFDA"/>
          </w:tcPr>
          <w:p>
            <w:r>
              <w:rPr>
                <w:sz w:val="17"/>
              </w:rPr>
              <w:t>$83,773.2M</w:t>
            </w:r>
          </w:p>
        </w:tc>
        <w:tc>
          <w:tcPr>
            <w:tcW w:type="dxa" w:w="1399"/>
            <w:tcMar>
              <w:top w:w="60" w:type="dxa"/>
              <w:bottom w:w="60" w:type="dxa"/>
              <w:left w:w="100" w:type="dxa"/>
              <w:right w:w="100" w:type="dxa"/>
            </w:tcMar>
            <w:shd w:fill="F7FAFC"/>
            <w:shd w:fill="E2EFDA"/>
          </w:tcPr>
          <w:p>
            <w:r>
              <w:rPr>
                <w:sz w:val="17"/>
              </w:rPr>
              <w:t>$269,400.0M</w:t>
            </w:r>
          </w:p>
        </w:tc>
        <w:tc>
          <w:tcPr>
            <w:tcW w:type="dxa" w:w="1399"/>
            <w:tcMar>
              <w:top w:w="60" w:type="dxa"/>
              <w:bottom w:w="60" w:type="dxa"/>
              <w:left w:w="100" w:type="dxa"/>
              <w:right w:w="100" w:type="dxa"/>
            </w:tcMar>
            <w:shd w:fill="F7FAFC"/>
            <w:shd w:fill="E2EFDA"/>
          </w:tcPr>
          <w:p>
            <w:r>
              <w:rPr>
                <w:b/>
                <w:sz w:val="17"/>
              </w:rPr>
              <w:t>+40.06 p.p.</w:t>
            </w:r>
          </w:p>
        </w:tc>
      </w:tr>
    </w:tbl>
    <w:p>
      <w:pPr>
        <w:spacing w:before="160" w:after="160"/>
      </w:pPr>
      <w:r>
        <w:rPr>
          <w:i/>
          <w:sz w:val="18"/>
        </w:rPr>
        <w:t>Matriz de Sensibilidad de Vida Útil: N-1 (3a) = 52.32% | N Base (4a) = 50.06% | N+1 (5a) = 48.27%.</w:t>
      </w:r>
    </w:p>
    <w:p>
      <w:pPr>
        <w:pStyle w:val="Heading2"/>
      </w:pPr>
      <w:r>
        <w:t>11.4. Creación de Valor Económico (EVA) y Durabilidad del Foso Defensivo</w:t>
      </w:r>
    </w:p>
    <w:p>
      <w:r>
        <w:rPr>
          <w:sz w:val="19"/>
        </w:rPr>
        <w:t>Spread Económico = ROIC Ajustado (50.06%) − WACC (10.00%) = +40.06 p.p.</w:t>
        <w:br/>
        <w:t>Dictamen: 🏰 WIDE MOAT / COMPOUNDING MACHINE. La compañía supera holgadamente su costo de capital, generando retornos netos excedentes sobre cada dólar invertido.</w:t>
      </w:r>
    </w:p>
    <w:p>
      <w:pPr>
        <w:pStyle w:val="Heading2"/>
      </w:pPr>
      <w:r>
        <w:t>11.5. Cuadro de Mando Consolidado de Ratios de Capital, Retornos y Valor</w:t>
      </w:r>
    </w:p>
    <w:tbl>
      <w:tblPr>
        <w:tblW w:type="auto" w:w="0"/>
        <w:jc w:val="center"/>
        <w:tblLayout w:type="fixed"/>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880"/>
        <w:gridCol w:w="1296"/>
        <w:gridCol w:w="1584"/>
        <w:gridCol w:w="2016"/>
      </w:tblGrid>
      <w:tr>
        <w:tc>
          <w:tcPr>
            <w:tcW w:type="dxa" w:w="1958"/>
            <w:shd w:fill="1B365D"/>
            <w:tcMar>
              <w:top w:w="80" w:type="dxa"/>
              <w:bottom w:w="80" w:type="dxa"/>
              <w:left w:w="100" w:type="dxa"/>
              <w:right w:w="100" w:type="dxa"/>
            </w:tcMar>
          </w:tcPr>
          <w:p>
            <w:r>
              <w:rPr>
                <w:b/>
                <w:color w:val="FFFFFF"/>
                <w:sz w:val="17"/>
              </w:rPr>
              <w:t>Categoría Analítica</w:t>
            </w:r>
          </w:p>
        </w:tc>
        <w:tc>
          <w:tcPr>
            <w:tcW w:type="dxa" w:w="1958"/>
            <w:shd w:fill="1B365D"/>
            <w:tcMar>
              <w:top w:w="80" w:type="dxa"/>
              <w:bottom w:w="80" w:type="dxa"/>
              <w:left w:w="100" w:type="dxa"/>
              <w:right w:w="100" w:type="dxa"/>
            </w:tcMar>
          </w:tcPr>
          <w:p>
            <w:r>
              <w:rPr>
                <w:b/>
                <w:color w:val="FFFFFF"/>
                <w:sz w:val="17"/>
              </w:rPr>
              <w:t>Métrica / Ratio Institucional</w:t>
            </w:r>
          </w:p>
        </w:tc>
        <w:tc>
          <w:tcPr>
            <w:tcW w:type="dxa" w:w="1958"/>
            <w:shd w:fill="1B365D"/>
            <w:tcMar>
              <w:top w:w="80" w:type="dxa"/>
              <w:bottom w:w="80" w:type="dxa"/>
              <w:left w:w="100" w:type="dxa"/>
              <w:right w:w="100" w:type="dxa"/>
            </w:tcMar>
          </w:tcPr>
          <w:p>
            <w:r>
              <w:rPr>
                <w:b/>
                <w:color w:val="FFFFFF"/>
                <w:sz w:val="17"/>
              </w:rPr>
              <w:t>Valor LTM</w:t>
            </w:r>
          </w:p>
        </w:tc>
        <w:tc>
          <w:tcPr>
            <w:tcW w:type="dxa" w:w="1958"/>
            <w:shd w:fill="1B365D"/>
            <w:tcMar>
              <w:top w:w="80" w:type="dxa"/>
              <w:bottom w:w="80" w:type="dxa"/>
              <w:left w:w="100" w:type="dxa"/>
              <w:right w:w="100" w:type="dxa"/>
            </w:tcMar>
          </w:tcPr>
          <w:p>
            <w:r>
              <w:rPr>
                <w:b/>
                <w:color w:val="FFFFFF"/>
                <w:sz w:val="17"/>
              </w:rPr>
              <w:t>Benchmark / Ref.</w:t>
            </w:r>
          </w:p>
        </w:tc>
        <w:tc>
          <w:tcPr>
            <w:tcW w:type="dxa" w:w="1958"/>
            <w:shd w:fill="1B365D"/>
            <w:tcMar>
              <w:top w:w="80" w:type="dxa"/>
              <w:bottom w:w="80" w:type="dxa"/>
              <w:left w:w="100" w:type="dxa"/>
              <w:right w:w="100" w:type="dxa"/>
            </w:tcMar>
          </w:tcPr>
          <w:p>
            <w:r>
              <w:rPr>
                <w:b/>
                <w:color w:val="FFFFFF"/>
                <w:sz w:val="17"/>
              </w:rPr>
              <w:t>Diagnóstico para el Inversor</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Tasa Libre de Riesgo (Rf - Bono 10Y)</w:t>
            </w:r>
          </w:p>
        </w:tc>
        <w:tc>
          <w:tcPr>
            <w:tcW w:type="dxa" w:w="1958"/>
            <w:tcMar>
              <w:top w:w="60" w:type="dxa"/>
              <w:bottom w:w="60" w:type="dxa"/>
              <w:left w:w="100" w:type="dxa"/>
              <w:right w:w="100" w:type="dxa"/>
            </w:tcMar>
          </w:tcPr>
          <w:p>
            <w:r>
              <w:rPr>
                <w:b/>
                <w:sz w:val="17"/>
              </w:rPr>
              <w:t>4.99%</w:t>
            </w:r>
          </w:p>
        </w:tc>
        <w:tc>
          <w:tcPr>
            <w:tcW w:type="dxa" w:w="1958"/>
            <w:tcMar>
              <w:top w:w="60" w:type="dxa"/>
              <w:bottom w:w="60" w:type="dxa"/>
              <w:left w:w="100" w:type="dxa"/>
              <w:right w:w="100" w:type="dxa"/>
            </w:tcMar>
          </w:tcPr>
          <w:p>
            <w:r>
              <w:rPr>
                <w:sz w:val="17"/>
              </w:rPr>
              <w:t>US Treasury Yield</w:t>
            </w:r>
          </w:p>
        </w:tc>
        <w:tc>
          <w:tcPr>
            <w:tcW w:type="dxa" w:w="1958"/>
            <w:tcMar>
              <w:top w:w="60" w:type="dxa"/>
              <w:bottom w:w="60" w:type="dxa"/>
              <w:left w:w="100" w:type="dxa"/>
              <w:right w:w="100" w:type="dxa"/>
            </w:tcMar>
          </w:tcPr>
          <w:p>
            <w:r>
              <w:rPr>
                <w:sz w:val="17"/>
              </w:rPr>
              <w:t>Costo de oportunidad libre de riesgo macroeconómico.</w:t>
            </w:r>
          </w:p>
        </w:tc>
      </w:tr>
      <w:tr>
        <w:tc>
          <w:tcPr>
            <w:tcW w:type="dxa" w:w="1958"/>
            <w:tcMar>
              <w:top w:w="60" w:type="dxa"/>
              <w:bottom w:w="60" w:type="dxa"/>
              <w:left w:w="100" w:type="dxa"/>
              <w:right w:w="100" w:type="dxa"/>
            </w:tcMar>
            <w:shd w:fill="F7FAFC"/>
          </w:tcPr>
          <w:p>
            <w:r>
              <w:rPr>
                <w:sz w:val="17"/>
              </w:rPr>
              <w:t>Parámetros Macro y Mercado</w:t>
            </w:r>
          </w:p>
        </w:tc>
        <w:tc>
          <w:tcPr>
            <w:tcW w:type="dxa" w:w="1958"/>
            <w:tcMar>
              <w:top w:w="60" w:type="dxa"/>
              <w:bottom w:w="60" w:type="dxa"/>
              <w:left w:w="100" w:type="dxa"/>
              <w:right w:w="100" w:type="dxa"/>
            </w:tcMar>
            <w:shd w:fill="F7FAFC"/>
          </w:tcPr>
          <w:p>
            <w:r>
              <w:rPr>
                <w:b/>
                <w:sz w:val="17"/>
              </w:rPr>
              <w:t>Beta de la Acción (β)</w:t>
            </w:r>
          </w:p>
        </w:tc>
        <w:tc>
          <w:tcPr>
            <w:tcW w:type="dxa" w:w="1958"/>
            <w:tcMar>
              <w:top w:w="60" w:type="dxa"/>
              <w:bottom w:w="60" w:type="dxa"/>
              <w:left w:w="100" w:type="dxa"/>
              <w:right w:w="100" w:type="dxa"/>
            </w:tcMar>
            <w:shd w:fill="F7FAFC"/>
          </w:tcPr>
          <w:p>
            <w:r>
              <w:rPr>
                <w:b/>
                <w:sz w:val="17"/>
              </w:rPr>
              <w:t>1.07</w:t>
            </w:r>
          </w:p>
        </w:tc>
        <w:tc>
          <w:tcPr>
            <w:tcW w:type="dxa" w:w="1958"/>
            <w:tcMar>
              <w:top w:w="60" w:type="dxa"/>
              <w:bottom w:w="60" w:type="dxa"/>
              <w:left w:w="100" w:type="dxa"/>
              <w:right w:w="100" w:type="dxa"/>
            </w:tcMar>
            <w:shd w:fill="F7FAFC"/>
          </w:tcPr>
          <w:p>
            <w:r>
              <w:rPr>
                <w:sz w:val="17"/>
              </w:rPr>
              <w:t>S&amp;P 500 = 1.00x</w:t>
            </w:r>
          </w:p>
        </w:tc>
        <w:tc>
          <w:tcPr>
            <w:tcW w:type="dxa" w:w="1958"/>
            <w:tcMar>
              <w:top w:w="60" w:type="dxa"/>
              <w:bottom w:w="60" w:type="dxa"/>
              <w:left w:w="100" w:type="dxa"/>
              <w:right w:w="100" w:type="dxa"/>
            </w:tcMar>
            <w:shd w:fill="F7FAFC"/>
          </w:tcPr>
          <w:p>
            <w:r>
              <w:rPr>
                <w:sz w:val="17"/>
              </w:rPr>
              <w:t>Sensibilidad cíclica moderada y alineada al mercado.</w:t>
            </w:r>
          </w:p>
        </w:tc>
      </w:tr>
      <w:tr>
        <w:tc>
          <w:tcPr>
            <w:tcW w:type="dxa" w:w="1958"/>
            <w:tcMar>
              <w:top w:w="60" w:type="dxa"/>
              <w:bottom w:w="60" w:type="dxa"/>
              <w:left w:w="100" w:type="dxa"/>
              <w:right w:w="100" w:type="dxa"/>
            </w:tcMar>
          </w:tcPr>
          <w:p>
            <w:r>
              <w:rPr>
                <w:sz w:val="17"/>
              </w:rPr>
              <w:t>Parámetros Macro y Mercado</w:t>
            </w:r>
          </w:p>
        </w:tc>
        <w:tc>
          <w:tcPr>
            <w:tcW w:type="dxa" w:w="1958"/>
            <w:tcMar>
              <w:top w:w="60" w:type="dxa"/>
              <w:bottom w:w="60" w:type="dxa"/>
              <w:left w:w="100" w:type="dxa"/>
              <w:right w:w="100" w:type="dxa"/>
            </w:tcMar>
          </w:tcPr>
          <w:p>
            <w:r>
              <w:rPr>
                <w:b/>
                <w:sz w:val="17"/>
              </w:rPr>
              <w:t>Prima de Riesgo de Mercado (ERP)</w:t>
            </w:r>
          </w:p>
        </w:tc>
        <w:tc>
          <w:tcPr>
            <w:tcW w:type="dxa" w:w="1958"/>
            <w:tcMar>
              <w:top w:w="60" w:type="dxa"/>
              <w:bottom w:w="60" w:type="dxa"/>
              <w:left w:w="100" w:type="dxa"/>
              <w:right w:w="100" w:type="dxa"/>
            </w:tcMar>
          </w:tcPr>
          <w:p>
            <w:r>
              <w:rPr>
                <w:b/>
                <w:sz w:val="17"/>
              </w:rPr>
              <w:t>4.75%</w:t>
            </w:r>
          </w:p>
        </w:tc>
        <w:tc>
          <w:tcPr>
            <w:tcW w:type="dxa" w:w="1958"/>
            <w:tcMar>
              <w:top w:w="60" w:type="dxa"/>
              <w:bottom w:w="60" w:type="dxa"/>
              <w:left w:w="100" w:type="dxa"/>
              <w:right w:w="100" w:type="dxa"/>
            </w:tcMar>
          </w:tcPr>
          <w:p>
            <w:r>
              <w:rPr>
                <w:sz w:val="17"/>
              </w:rPr>
              <w:t>NYU Stern Damodaran</w:t>
            </w:r>
          </w:p>
        </w:tc>
        <w:tc>
          <w:tcPr>
            <w:tcW w:type="dxa" w:w="1958"/>
            <w:tcMar>
              <w:top w:w="60" w:type="dxa"/>
              <w:bottom w:w="60" w:type="dxa"/>
              <w:left w:w="100" w:type="dxa"/>
              <w:right w:w="100" w:type="dxa"/>
            </w:tcMar>
          </w:tcPr>
          <w:p>
            <w:r>
              <w:rPr>
                <w:sz w:val="17"/>
              </w:rPr>
              <w:t>Exigencia de prima de retorno sobre el activo libre de riesgo.</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Costo del Capital Propio (Ke)</w:t>
            </w:r>
          </w:p>
        </w:tc>
        <w:tc>
          <w:tcPr>
            <w:tcW w:type="dxa" w:w="1958"/>
            <w:tcMar>
              <w:top w:w="60" w:type="dxa"/>
              <w:bottom w:w="60" w:type="dxa"/>
              <w:left w:w="100" w:type="dxa"/>
              <w:right w:w="100" w:type="dxa"/>
            </w:tcMar>
            <w:shd w:fill="F7FAFC"/>
          </w:tcPr>
          <w:p>
            <w:r>
              <w:rPr>
                <w:b/>
                <w:sz w:val="17"/>
              </w:rPr>
              <w:t>10.10%</w:t>
            </w:r>
          </w:p>
        </w:tc>
        <w:tc>
          <w:tcPr>
            <w:tcW w:type="dxa" w:w="1958"/>
            <w:tcMar>
              <w:top w:w="60" w:type="dxa"/>
              <w:bottom w:w="60" w:type="dxa"/>
              <w:left w:w="100" w:type="dxa"/>
              <w:right w:w="100" w:type="dxa"/>
            </w:tcMar>
            <w:shd w:fill="F7FAFC"/>
          </w:tcPr>
          <w:p>
            <w:r>
              <w:rPr>
                <w:sz w:val="17"/>
              </w:rPr>
              <w:t>Rango 9.5% - 10.5%</w:t>
            </w:r>
          </w:p>
        </w:tc>
        <w:tc>
          <w:tcPr>
            <w:tcW w:type="dxa" w:w="1958"/>
            <w:tcMar>
              <w:top w:w="60" w:type="dxa"/>
              <w:bottom w:w="60" w:type="dxa"/>
              <w:left w:w="100" w:type="dxa"/>
              <w:right w:w="100" w:type="dxa"/>
            </w:tcMar>
            <w:shd w:fill="F7FAFC"/>
          </w:tcPr>
          <w:p>
            <w:r>
              <w:rPr>
                <w:sz w:val="17"/>
              </w:rPr>
              <w:t>Retorno anual exigido por los tenedores de acciones comunes.</w:t>
            </w:r>
          </w:p>
        </w:tc>
      </w:tr>
      <w:tr>
        <w:tc>
          <w:tcPr>
            <w:tcW w:type="dxa" w:w="1958"/>
            <w:tcMar>
              <w:top w:w="60" w:type="dxa"/>
              <w:bottom w:w="60" w:type="dxa"/>
              <w:left w:w="100" w:type="dxa"/>
              <w:right w:w="100" w:type="dxa"/>
            </w:tcMar>
          </w:tcPr>
          <w:p>
            <w:r>
              <w:rPr>
                <w:sz w:val="17"/>
              </w:rPr>
              <w:t>Costo de Capital (WACC)</w:t>
            </w:r>
          </w:p>
        </w:tc>
        <w:tc>
          <w:tcPr>
            <w:tcW w:type="dxa" w:w="1958"/>
            <w:tcMar>
              <w:top w:w="60" w:type="dxa"/>
              <w:bottom w:w="60" w:type="dxa"/>
              <w:left w:w="100" w:type="dxa"/>
              <w:right w:w="100" w:type="dxa"/>
            </w:tcMar>
          </w:tcPr>
          <w:p>
            <w:r>
              <w:rPr>
                <w:b/>
                <w:sz w:val="17"/>
              </w:rPr>
              <w:t>Costo de Deuda Neta (Kd)</w:t>
            </w:r>
          </w:p>
        </w:tc>
        <w:tc>
          <w:tcPr>
            <w:tcW w:type="dxa" w:w="1958"/>
            <w:tcMar>
              <w:top w:w="60" w:type="dxa"/>
              <w:bottom w:w="60" w:type="dxa"/>
              <w:left w:w="100" w:type="dxa"/>
              <w:right w:w="100" w:type="dxa"/>
            </w:tcMar>
          </w:tcPr>
          <w:p>
            <w:r>
              <w:rPr>
                <w:b/>
                <w:sz w:val="17"/>
              </w:rPr>
              <w:t>3.72%</w:t>
            </w:r>
          </w:p>
        </w:tc>
        <w:tc>
          <w:tcPr>
            <w:tcW w:type="dxa" w:w="1958"/>
            <w:tcMar>
              <w:top w:w="60" w:type="dxa"/>
              <w:bottom w:w="60" w:type="dxa"/>
              <w:left w:w="100" w:type="dxa"/>
              <w:right w:w="100" w:type="dxa"/>
            </w:tcMar>
          </w:tcPr>
          <w:p>
            <w:r>
              <w:rPr>
                <w:sz w:val="17"/>
              </w:rPr>
              <w:t>Tasa cupón efectiva</w:t>
            </w:r>
          </w:p>
        </w:tc>
        <w:tc>
          <w:tcPr>
            <w:tcW w:type="dxa" w:w="1958"/>
            <w:tcMar>
              <w:top w:w="60" w:type="dxa"/>
              <w:bottom w:w="60" w:type="dxa"/>
              <w:left w:w="100" w:type="dxa"/>
              <w:right w:w="100" w:type="dxa"/>
            </w:tcMar>
          </w:tcPr>
          <w:p>
            <w:r>
              <w:rPr>
                <w:sz w:val="17"/>
              </w:rPr>
              <w:t>Financiación crediticia con escudo fiscal del 17.3%.</w:t>
            </w:r>
          </w:p>
        </w:tc>
      </w:tr>
      <w:tr>
        <w:tc>
          <w:tcPr>
            <w:tcW w:type="dxa" w:w="1958"/>
            <w:tcMar>
              <w:top w:w="60" w:type="dxa"/>
              <w:bottom w:w="60" w:type="dxa"/>
              <w:left w:w="100" w:type="dxa"/>
              <w:right w:w="100" w:type="dxa"/>
            </w:tcMar>
            <w:shd w:fill="F7FAFC"/>
          </w:tcPr>
          <w:p>
            <w:r>
              <w:rPr>
                <w:sz w:val="17"/>
              </w:rPr>
              <w:t>Costo de Capital (WACC)</w:t>
            </w:r>
          </w:p>
        </w:tc>
        <w:tc>
          <w:tcPr>
            <w:tcW w:type="dxa" w:w="1958"/>
            <w:tcMar>
              <w:top w:w="60" w:type="dxa"/>
              <w:bottom w:w="60" w:type="dxa"/>
              <w:left w:w="100" w:type="dxa"/>
              <w:right w:w="100" w:type="dxa"/>
            </w:tcMar>
            <w:shd w:fill="F7FAFC"/>
          </w:tcPr>
          <w:p>
            <w:r>
              <w:rPr>
                <w:b/>
                <w:sz w:val="17"/>
              </w:rPr>
              <w:t>WACC Consolidado</w:t>
            </w:r>
          </w:p>
        </w:tc>
        <w:tc>
          <w:tcPr>
            <w:tcW w:type="dxa" w:w="1958"/>
            <w:tcMar>
              <w:top w:w="60" w:type="dxa"/>
              <w:bottom w:w="60" w:type="dxa"/>
              <w:left w:w="100" w:type="dxa"/>
              <w:right w:w="100" w:type="dxa"/>
            </w:tcMar>
            <w:shd w:fill="F7FAFC"/>
          </w:tcPr>
          <w:p>
            <w:r>
              <w:rPr>
                <w:b/>
                <w:sz w:val="17"/>
              </w:rPr>
              <w:t>10.00%</w:t>
            </w:r>
          </w:p>
        </w:tc>
        <w:tc>
          <w:tcPr>
            <w:tcW w:type="dxa" w:w="1958"/>
            <w:tcMar>
              <w:top w:w="60" w:type="dxa"/>
              <w:bottom w:w="60" w:type="dxa"/>
              <w:left w:w="100" w:type="dxa"/>
              <w:right w:w="100" w:type="dxa"/>
            </w:tcMar>
            <w:shd w:fill="F7FAFC"/>
          </w:tcPr>
          <w:p>
            <w:r>
              <w:rPr>
                <w:sz w:val="17"/>
              </w:rPr>
              <w:t>Mediana Sector (8.80%)</w:t>
            </w:r>
          </w:p>
        </w:tc>
        <w:tc>
          <w:tcPr>
            <w:tcW w:type="dxa" w:w="1958"/>
            <w:tcMar>
              <w:top w:w="60" w:type="dxa"/>
              <w:bottom w:w="60" w:type="dxa"/>
              <w:left w:w="100" w:type="dxa"/>
              <w:right w:w="100" w:type="dxa"/>
            </w:tcMar>
            <w:shd w:fill="F7FAFC"/>
          </w:tcPr>
          <w:p>
            <w:r>
              <w:rPr>
                <w:sz w:val="17"/>
              </w:rPr>
              <w:t>Tasa de corte u obstáculo financiero mínimo para crear valor.</w:t>
            </w:r>
          </w:p>
        </w:tc>
      </w:tr>
      <w:tr>
        <w:tc>
          <w:tcPr>
            <w:tcW w:type="dxa" w:w="1958"/>
            <w:tcMar>
              <w:top w:w="60" w:type="dxa"/>
              <w:bottom w:w="60" w:type="dxa"/>
              <w:left w:w="100" w:type="dxa"/>
              <w:right w:w="100" w:type="dxa"/>
            </w:tcMar>
            <w:shd w:fill="E2EFDA"/>
          </w:tcPr>
          <w:p>
            <w:r>
              <w:rPr>
                <w:sz w:val="17"/>
              </w:rPr>
              <w:t>Productividad Tangible</w:t>
            </w:r>
          </w:p>
        </w:tc>
        <w:tc>
          <w:tcPr>
            <w:tcW w:type="dxa" w:w="1958"/>
            <w:tcMar>
              <w:top w:w="60" w:type="dxa"/>
              <w:bottom w:w="60" w:type="dxa"/>
              <w:left w:w="100" w:type="dxa"/>
              <w:right w:w="100" w:type="dxa"/>
            </w:tcMar>
            <w:shd w:fill="E2EFDA"/>
          </w:tcPr>
          <w:p>
            <w:r>
              <w:rPr>
                <w:b/>
                <w:sz w:val="17"/>
              </w:rPr>
              <w:t>ROC Greenblatt (Pre-Tax)</w:t>
            </w:r>
          </w:p>
        </w:tc>
        <w:tc>
          <w:tcPr>
            <w:tcW w:type="dxa" w:w="1958"/>
            <w:tcMar>
              <w:top w:w="60" w:type="dxa"/>
              <w:bottom w:w="60" w:type="dxa"/>
              <w:left w:w="100" w:type="dxa"/>
              <w:right w:w="100" w:type="dxa"/>
            </w:tcMar>
            <w:shd w:fill="E2EFDA"/>
          </w:tcPr>
          <w:p>
            <w:r>
              <w:rPr>
                <w:b/>
                <w:sz w:val="17"/>
              </w:rPr>
              <w:t>305.85%</w:t>
            </w:r>
          </w:p>
        </w:tc>
        <w:tc>
          <w:tcPr>
            <w:tcW w:type="dxa" w:w="1958"/>
            <w:tcMar>
              <w:top w:w="60" w:type="dxa"/>
              <w:bottom w:w="60" w:type="dxa"/>
              <w:left w:w="100" w:type="dxa"/>
              <w:right w:w="100" w:type="dxa"/>
            </w:tcMar>
            <w:shd w:fill="E2EFDA"/>
          </w:tcPr>
          <w:p>
            <w:r>
              <w:rPr>
                <w:sz w:val="17"/>
              </w:rPr>
              <w:t>Mediana Sector (29.85%)</w:t>
            </w:r>
          </w:p>
        </w:tc>
        <w:tc>
          <w:tcPr>
            <w:tcW w:type="dxa" w:w="1958"/>
            <w:tcMar>
              <w:top w:w="60" w:type="dxa"/>
              <w:bottom w:w="60" w:type="dxa"/>
              <w:left w:w="100" w:type="dxa"/>
              <w:right w:w="100" w:type="dxa"/>
            </w:tcMar>
            <w:shd w:fill="E2EFDA"/>
          </w:tcPr>
          <w:p>
            <w:r>
              <w:rPr>
                <w:sz w:val="17"/>
              </w:rPr>
              <w:t>Asset-Light; supera al sector por +276.00 p.p..</w:t>
            </w:r>
          </w:p>
        </w:tc>
      </w:tr>
      <w:tr>
        <w:tc>
          <w:tcPr>
            <w:tcW w:type="dxa" w:w="1958"/>
            <w:tcMar>
              <w:top w:w="60" w:type="dxa"/>
              <w:bottom w:w="60" w:type="dxa"/>
              <w:left w:w="100" w:type="dxa"/>
              <w:right w:w="100" w:type="dxa"/>
            </w:tcMar>
            <w:shd w:fill="F7FAFC"/>
          </w:tcPr>
          <w:p>
            <w:r>
              <w:rPr>
                <w:sz w:val="17"/>
              </w:rPr>
              <w:t>Productividad Tangible</w:t>
            </w:r>
          </w:p>
        </w:tc>
        <w:tc>
          <w:tcPr>
            <w:tcW w:type="dxa" w:w="1958"/>
            <w:tcMar>
              <w:top w:w="60" w:type="dxa"/>
              <w:bottom w:w="60" w:type="dxa"/>
              <w:left w:w="100" w:type="dxa"/>
              <w:right w:w="100" w:type="dxa"/>
            </w:tcMar>
            <w:shd w:fill="F7FAFC"/>
          </w:tcPr>
          <w:p>
            <w:r>
              <w:rPr>
                <w:b/>
                <w:sz w:val="17"/>
              </w:rPr>
              <w:t>Capital Tangible Promedio</w:t>
            </w:r>
          </w:p>
        </w:tc>
        <w:tc>
          <w:tcPr>
            <w:tcW w:type="dxa" w:w="1958"/>
            <w:tcMar>
              <w:top w:w="60" w:type="dxa"/>
              <w:bottom w:w="60" w:type="dxa"/>
              <w:left w:w="100" w:type="dxa"/>
              <w:right w:w="100" w:type="dxa"/>
            </w:tcMar>
            <w:shd w:fill="F7FAFC"/>
          </w:tcPr>
          <w:p>
            <w:r>
              <w:rPr>
                <w:b/>
                <w:sz w:val="17"/>
              </w:rPr>
              <w:t>$50,632.5M</w:t>
            </w:r>
          </w:p>
        </w:tc>
        <w:tc>
          <w:tcPr>
            <w:tcW w:type="dxa" w:w="1958"/>
            <w:tcMar>
              <w:top w:w="60" w:type="dxa"/>
              <w:bottom w:w="60" w:type="dxa"/>
              <w:left w:w="100" w:type="dxa"/>
              <w:right w:w="100" w:type="dxa"/>
            </w:tcMar>
            <w:shd w:fill="F7FAFC"/>
          </w:tcPr>
          <w:p>
            <w:r>
              <w:rPr>
                <w:sz w:val="17"/>
              </w:rPr>
              <w:t>Balance SEC Form 10-Q</w:t>
            </w:r>
          </w:p>
        </w:tc>
        <w:tc>
          <w:tcPr>
            <w:tcW w:type="dxa" w:w="1958"/>
            <w:tcMar>
              <w:top w:w="60" w:type="dxa"/>
              <w:bottom w:w="60" w:type="dxa"/>
              <w:left w:w="100" w:type="dxa"/>
              <w:right w:w="100" w:type="dxa"/>
            </w:tcMar>
            <w:shd w:fill="F7FAFC"/>
          </w:tcPr>
          <w:p>
            <w:r>
              <w:rPr>
                <w:sz w:val="17"/>
              </w:rPr>
              <w:t>Base física operativa mínima tras salvaguardas.</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ROIC Contable Tradicional</w:t>
            </w:r>
          </w:p>
        </w:tc>
        <w:tc>
          <w:tcPr>
            <w:tcW w:type="dxa" w:w="1958"/>
            <w:tcMar>
              <w:top w:w="60" w:type="dxa"/>
              <w:bottom w:w="60" w:type="dxa"/>
              <w:left w:w="100" w:type="dxa"/>
              <w:right w:w="100" w:type="dxa"/>
            </w:tcMar>
          </w:tcPr>
          <w:p>
            <w:r>
              <w:rPr>
                <w:b/>
                <w:sz w:val="17"/>
              </w:rPr>
              <w:t>68.22%</w:t>
            </w:r>
          </w:p>
        </w:tc>
        <w:tc>
          <w:tcPr>
            <w:tcW w:type="dxa" w:w="1958"/>
            <w:tcMar>
              <w:top w:w="60" w:type="dxa"/>
              <w:bottom w:w="60" w:type="dxa"/>
              <w:left w:w="100" w:type="dxa"/>
              <w:right w:w="100" w:type="dxa"/>
            </w:tcMar>
          </w:tcPr>
          <w:p>
            <w:r>
              <w:rPr>
                <w:sz w:val="17"/>
              </w:rPr>
              <w:t>ROIC sin ajustes</w:t>
            </w:r>
          </w:p>
        </w:tc>
        <w:tc>
          <w:tcPr>
            <w:tcW w:type="dxa" w:w="1958"/>
            <w:tcMar>
              <w:top w:w="60" w:type="dxa"/>
              <w:bottom w:w="60" w:type="dxa"/>
              <w:left w:w="100" w:type="dxa"/>
              <w:right w:w="100" w:type="dxa"/>
            </w:tcMar>
          </w:tcPr>
          <w:p>
            <w:r>
              <w:rPr>
                <w:sz w:val="17"/>
              </w:rPr>
              <w:t>Métrica distorsionada por no capitalizar gasto de innovación.</w:t>
            </w:r>
          </w:p>
        </w:tc>
      </w:tr>
      <w:tr>
        <w:tc>
          <w:tcPr>
            <w:tcW w:type="dxa" w:w="1958"/>
            <w:tcMar>
              <w:top w:w="60" w:type="dxa"/>
              <w:bottom w:w="60" w:type="dxa"/>
              <w:left w:w="100" w:type="dxa"/>
              <w:right w:w="100" w:type="dxa"/>
            </w:tcMar>
            <w:shd w:fill="F7FAFC"/>
          </w:tcPr>
          <w:p>
            <w:r>
              <w:rPr>
                <w:sz w:val="17"/>
              </w:rPr>
              <w:t>Retorno Reconstituido</w:t>
            </w:r>
          </w:p>
        </w:tc>
        <w:tc>
          <w:tcPr>
            <w:tcW w:type="dxa" w:w="1958"/>
            <w:tcMar>
              <w:top w:w="60" w:type="dxa"/>
              <w:bottom w:w="60" w:type="dxa"/>
              <w:left w:w="100" w:type="dxa"/>
              <w:right w:w="100" w:type="dxa"/>
            </w:tcMar>
            <w:shd w:fill="F7FAFC"/>
          </w:tcPr>
          <w:p>
            <w:r>
              <w:rPr>
                <w:b/>
                <w:sz w:val="17"/>
              </w:rPr>
              <w:t>Stock Intangibles I+D</w:t>
            </w:r>
          </w:p>
        </w:tc>
        <w:tc>
          <w:tcPr>
            <w:tcW w:type="dxa" w:w="1958"/>
            <w:tcMar>
              <w:top w:w="60" w:type="dxa"/>
              <w:bottom w:w="60" w:type="dxa"/>
              <w:left w:w="100" w:type="dxa"/>
              <w:right w:w="100" w:type="dxa"/>
            </w:tcMar>
            <w:shd w:fill="F7FAFC"/>
          </w:tcPr>
          <w:p>
            <w:r>
              <w:rPr>
                <w:b/>
                <w:sz w:val="17"/>
              </w:rPr>
              <w:t>$83,773.2M</w:t>
            </w:r>
          </w:p>
        </w:tc>
        <w:tc>
          <w:tcPr>
            <w:tcW w:type="dxa" w:w="1958"/>
            <w:tcMar>
              <w:top w:w="60" w:type="dxa"/>
              <w:bottom w:w="60" w:type="dxa"/>
              <w:left w:w="100" w:type="dxa"/>
              <w:right w:w="100" w:type="dxa"/>
            </w:tcMar>
            <w:shd w:fill="F7FAFC"/>
          </w:tcPr>
          <w:p>
            <w:r>
              <w:rPr>
                <w:sz w:val="17"/>
              </w:rPr>
              <w:t>Amortización 4 Años</w:t>
            </w:r>
          </w:p>
        </w:tc>
        <w:tc>
          <w:tcPr>
            <w:tcW w:type="dxa" w:w="1958"/>
            <w:tcMar>
              <w:top w:w="60" w:type="dxa"/>
              <w:bottom w:w="60" w:type="dxa"/>
              <w:left w:w="100" w:type="dxa"/>
              <w:right w:w="100" w:type="dxa"/>
            </w:tcMar>
            <w:shd w:fill="F7FAFC"/>
          </w:tcPr>
          <w:p>
            <w:r>
              <w:rPr>
                <w:sz w:val="17"/>
              </w:rPr>
              <w:t>Valor acumulado de patentes, silicio y software.</w:t>
            </w:r>
          </w:p>
        </w:tc>
      </w:tr>
      <w:tr>
        <w:tc>
          <w:tcPr>
            <w:tcW w:type="dxa" w:w="1958"/>
            <w:tcMar>
              <w:top w:w="60" w:type="dxa"/>
              <w:bottom w:w="60" w:type="dxa"/>
              <w:left w:w="100" w:type="dxa"/>
              <w:right w:w="100" w:type="dxa"/>
            </w:tcMar>
          </w:tcPr>
          <w:p>
            <w:r>
              <w:rPr>
                <w:sz w:val="17"/>
              </w:rPr>
              <w:t>Retorno Reconstituido</w:t>
            </w:r>
          </w:p>
        </w:tc>
        <w:tc>
          <w:tcPr>
            <w:tcW w:type="dxa" w:w="1958"/>
            <w:tcMar>
              <w:top w:w="60" w:type="dxa"/>
              <w:bottom w:w="60" w:type="dxa"/>
              <w:left w:w="100" w:type="dxa"/>
              <w:right w:w="100" w:type="dxa"/>
            </w:tcMar>
          </w:tcPr>
          <w:p>
            <w:r>
              <w:rPr>
                <w:b/>
                <w:sz w:val="17"/>
              </w:rPr>
              <w:t>Capital Invertido Promedio</w:t>
            </w:r>
          </w:p>
        </w:tc>
        <w:tc>
          <w:tcPr>
            <w:tcW w:type="dxa" w:w="1958"/>
            <w:tcMar>
              <w:top w:w="60" w:type="dxa"/>
              <w:bottom w:w="60" w:type="dxa"/>
              <w:left w:w="100" w:type="dxa"/>
              <w:right w:w="100" w:type="dxa"/>
            </w:tcMar>
          </w:tcPr>
          <w:p>
            <w:r>
              <w:rPr>
                <w:b/>
                <w:sz w:val="17"/>
              </w:rPr>
              <w:t>$269,400.0M</w:t>
            </w:r>
          </w:p>
        </w:tc>
        <w:tc>
          <w:tcPr>
            <w:tcW w:type="dxa" w:w="1958"/>
            <w:tcMar>
              <w:top w:w="60" w:type="dxa"/>
              <w:bottom w:w="60" w:type="dxa"/>
              <w:left w:w="100" w:type="dxa"/>
              <w:right w:w="100" w:type="dxa"/>
            </w:tcMar>
          </w:tcPr>
          <w:p>
            <w:r>
              <w:rPr>
                <w:sz w:val="17"/>
              </w:rPr>
              <w:t>Base Económica Total</w:t>
            </w:r>
          </w:p>
        </w:tc>
        <w:tc>
          <w:tcPr>
            <w:tcW w:type="dxa" w:w="1958"/>
            <w:tcMar>
              <w:top w:w="60" w:type="dxa"/>
              <w:bottom w:w="60" w:type="dxa"/>
              <w:left w:w="100" w:type="dxa"/>
              <w:right w:w="100" w:type="dxa"/>
            </w:tcMar>
          </w:tcPr>
          <w:p>
            <w:r>
              <w:rPr>
                <w:sz w:val="17"/>
              </w:rPr>
              <w:t>Base de capital honesta que absorbe las inversiones en I+D.</w:t>
            </w:r>
          </w:p>
        </w:tc>
      </w:tr>
      <w:tr>
        <w:tc>
          <w:tcPr>
            <w:tcW w:type="dxa" w:w="1958"/>
            <w:tcMar>
              <w:top w:w="60" w:type="dxa"/>
              <w:bottom w:w="60" w:type="dxa"/>
              <w:left w:w="100" w:type="dxa"/>
              <w:right w:w="100" w:type="dxa"/>
            </w:tcMar>
            <w:shd w:fill="F7FAFC"/>
            <w:shd w:fill="E2EFDA"/>
          </w:tcPr>
          <w:p>
            <w:r>
              <w:rPr>
                <w:b/>
                <w:sz w:val="17"/>
              </w:rPr>
              <w:t>Retorno Reconstituido</w:t>
            </w:r>
          </w:p>
        </w:tc>
        <w:tc>
          <w:tcPr>
            <w:tcW w:type="dxa" w:w="1958"/>
            <w:tcMar>
              <w:top w:w="60" w:type="dxa"/>
              <w:bottom w:w="60" w:type="dxa"/>
              <w:left w:w="100" w:type="dxa"/>
              <w:right w:w="100" w:type="dxa"/>
            </w:tcMar>
            <w:shd w:fill="F7FAFC"/>
            <w:shd w:fill="E2EFDA"/>
          </w:tcPr>
          <w:p>
            <w:r>
              <w:rPr>
                <w:b/>
                <w:sz w:val="17"/>
              </w:rPr>
              <w:t>ROIC Ajustado por Intangibles</w:t>
            </w:r>
          </w:p>
        </w:tc>
        <w:tc>
          <w:tcPr>
            <w:tcW w:type="dxa" w:w="1958"/>
            <w:tcMar>
              <w:top w:w="60" w:type="dxa"/>
              <w:bottom w:w="60" w:type="dxa"/>
              <w:left w:w="100" w:type="dxa"/>
              <w:right w:w="100" w:type="dxa"/>
            </w:tcMar>
            <w:shd w:fill="F7FAFC"/>
            <w:shd w:fill="E2EFDA"/>
          </w:tcPr>
          <w:p>
            <w:r>
              <w:rPr>
                <w:b/>
                <w:sz w:val="17"/>
              </w:rPr>
              <w:t>50.06%</w:t>
            </w:r>
          </w:p>
        </w:tc>
        <w:tc>
          <w:tcPr>
            <w:tcW w:type="dxa" w:w="1958"/>
            <w:tcMar>
              <w:top w:w="60" w:type="dxa"/>
              <w:bottom w:w="60" w:type="dxa"/>
              <w:left w:w="100" w:type="dxa"/>
              <w:right w:w="100" w:type="dxa"/>
            </w:tcMar>
            <w:shd w:fill="F7FAFC"/>
            <w:shd w:fill="E2EFDA"/>
          </w:tcPr>
          <w:p>
            <w:r>
              <w:rPr>
                <w:b/>
                <w:sz w:val="17"/>
              </w:rPr>
              <w:t>Mediana Sector (18.30%)</w:t>
            </w:r>
          </w:p>
        </w:tc>
        <w:tc>
          <w:tcPr>
            <w:tcW w:type="dxa" w:w="1958"/>
            <w:tcMar>
              <w:top w:w="60" w:type="dxa"/>
              <w:bottom w:w="60" w:type="dxa"/>
              <w:left w:w="100" w:type="dxa"/>
              <w:right w:w="100" w:type="dxa"/>
            </w:tcMar>
            <w:shd w:fill="F7FAFC"/>
            <w:shd w:fill="E2EFDA"/>
          </w:tcPr>
          <w:p>
            <w:r>
              <w:rPr>
                <w:b/>
                <w:sz w:val="17"/>
              </w:rPr>
              <w:t>Retorno real sobre capital total invertido en el negocio.</w:t>
            </w:r>
          </w:p>
        </w:tc>
      </w:tr>
      <w:tr>
        <w:tc>
          <w:tcPr>
            <w:tcW w:type="dxa" w:w="1958"/>
            <w:tcMar>
              <w:top w:w="60" w:type="dxa"/>
              <w:bottom w:w="60" w:type="dxa"/>
              <w:left w:w="100" w:type="dxa"/>
              <w:right w:w="100" w:type="dxa"/>
            </w:tcMar>
            <w:shd w:fill="E2EFDA"/>
          </w:tcPr>
          <w:p>
            <w:r>
              <w:rPr>
                <w:b/>
                <w:sz w:val="17"/>
              </w:rPr>
              <w:t>Creación de Valor (EVA)</w:t>
            </w:r>
          </w:p>
        </w:tc>
        <w:tc>
          <w:tcPr>
            <w:tcW w:type="dxa" w:w="1958"/>
            <w:tcMar>
              <w:top w:w="60" w:type="dxa"/>
              <w:bottom w:w="60" w:type="dxa"/>
              <w:left w:w="100" w:type="dxa"/>
              <w:right w:w="100" w:type="dxa"/>
            </w:tcMar>
            <w:shd w:fill="E2EFDA"/>
          </w:tcPr>
          <w:p>
            <w:r>
              <w:rPr>
                <w:b/>
                <w:sz w:val="17"/>
              </w:rPr>
              <w:t>Spread Económico Neto</w:t>
            </w:r>
          </w:p>
        </w:tc>
        <w:tc>
          <w:tcPr>
            <w:tcW w:type="dxa" w:w="1958"/>
            <w:tcMar>
              <w:top w:w="60" w:type="dxa"/>
              <w:bottom w:w="60" w:type="dxa"/>
              <w:left w:w="100" w:type="dxa"/>
              <w:right w:w="100" w:type="dxa"/>
            </w:tcMar>
            <w:shd w:fill="E2EFDA"/>
          </w:tcPr>
          <w:p>
            <w:r>
              <w:rPr>
                <w:b/>
                <w:sz w:val="17"/>
              </w:rPr>
              <w:t>+40.06 p.p.</w:t>
            </w:r>
          </w:p>
        </w:tc>
        <w:tc>
          <w:tcPr>
            <w:tcW w:type="dxa" w:w="1958"/>
            <w:tcMar>
              <w:top w:w="60" w:type="dxa"/>
              <w:bottom w:w="60" w:type="dxa"/>
              <w:left w:w="100" w:type="dxa"/>
              <w:right w:w="100" w:type="dxa"/>
            </w:tcMar>
            <w:shd w:fill="E2EFDA"/>
          </w:tcPr>
          <w:p>
            <w:r>
              <w:rPr>
                <w:b/>
                <w:sz w:val="17"/>
              </w:rPr>
              <w:t>Mediana Sector (+9.20 p.p.)</w:t>
            </w:r>
          </w:p>
        </w:tc>
        <w:tc>
          <w:tcPr>
            <w:tcW w:type="dxa" w:w="1958"/>
            <w:tcMar>
              <w:top w:w="60" w:type="dxa"/>
              <w:bottom w:w="60" w:type="dxa"/>
              <w:left w:w="100" w:type="dxa"/>
              <w:right w:w="100" w:type="dxa"/>
            </w:tcMar>
            <w:shd w:fill="E2EFDA"/>
          </w:tcPr>
          <w:p>
            <w:r>
              <w:rPr>
                <w:b/>
                <w:sz w:val="17"/>
              </w:rPr>
              <w:t>Extraordinaria generación de riqueza neta sobre el coste de capital.</w:t>
            </w:r>
          </w:p>
        </w:tc>
      </w:tr>
      <w:tr>
        <w:tc>
          <w:tcPr>
            <w:tcW w:type="dxa" w:w="1958"/>
            <w:tcMar>
              <w:top w:w="60" w:type="dxa"/>
              <w:bottom w:w="60" w:type="dxa"/>
              <w:left w:w="100" w:type="dxa"/>
              <w:right w:w="100" w:type="dxa"/>
            </w:tcMar>
            <w:shd w:fill="F7FAFC"/>
          </w:tcPr>
          <w:p>
            <w:r>
              <w:rPr>
                <w:sz w:val="17"/>
              </w:rPr>
              <w:t>Creación de Valor (EVA)</w:t>
            </w:r>
          </w:p>
        </w:tc>
        <w:tc>
          <w:tcPr>
            <w:tcW w:type="dxa" w:w="1958"/>
            <w:tcMar>
              <w:top w:w="60" w:type="dxa"/>
              <w:bottom w:w="60" w:type="dxa"/>
              <w:left w:w="100" w:type="dxa"/>
              <w:right w:w="100" w:type="dxa"/>
            </w:tcMar>
            <w:shd w:fill="F7FAFC"/>
          </w:tcPr>
          <w:p>
            <w:r>
              <w:rPr>
                <w:b/>
                <w:sz w:val="17"/>
              </w:rPr>
              <w:t>Dictamen Foso Defensivo</w:t>
            </w:r>
          </w:p>
        </w:tc>
        <w:tc>
          <w:tcPr>
            <w:tcW w:type="dxa" w:w="1958"/>
            <w:tcMar>
              <w:top w:w="60" w:type="dxa"/>
              <w:bottom w:w="60" w:type="dxa"/>
              <w:left w:w="100" w:type="dxa"/>
              <w:right w:w="100" w:type="dxa"/>
            </w:tcMar>
            <w:shd w:fill="F7FAFC"/>
          </w:tcPr>
          <w:p>
            <w:r>
              <w:rPr>
                <w:b/>
                <w:sz w:val="17"/>
              </w:rPr>
              <w:t>🏰 WIDE MOAT / COMPOUNDING MACHINE</w:t>
            </w:r>
          </w:p>
        </w:tc>
        <w:tc>
          <w:tcPr>
            <w:tcW w:type="dxa" w:w="1958"/>
            <w:tcMar>
              <w:top w:w="60" w:type="dxa"/>
              <w:bottom w:w="60" w:type="dxa"/>
              <w:left w:w="100" w:type="dxa"/>
              <w:right w:w="100" w:type="dxa"/>
            </w:tcMar>
            <w:shd w:fill="F7FAFC"/>
          </w:tcPr>
          <w:p>
            <w:r>
              <w:rPr>
                <w:sz w:val="17"/>
              </w:rPr>
              <w:t>Compounding Machine</w:t>
            </w:r>
          </w:p>
        </w:tc>
        <w:tc>
          <w:tcPr>
            <w:tcW w:type="dxa" w:w="1958"/>
            <w:tcMar>
              <w:top w:w="60" w:type="dxa"/>
              <w:bottom w:w="60" w:type="dxa"/>
              <w:left w:w="100" w:type="dxa"/>
              <w:right w:w="100" w:type="dxa"/>
            </w:tcMar>
            <w:shd w:fill="F7FAFC"/>
          </w:tcPr>
          <w:p>
            <w:r>
              <w:rPr>
                <w:sz w:val="17"/>
              </w:rPr>
              <w:t>Fortaleza estructural inquebrantable de largo plazo.</w:t>
            </w:r>
          </w:p>
        </w:tc>
      </w:tr>
    </w:tbl>
    <w:p/>
    <w:p>
      <w:pPr>
        <w:pStyle w:val="Heading1"/>
        <w:spacing w:before="280" w:after="80"/>
      </w:pPr>
      <w:r>
        <w:rPr>
          <w:rFonts w:ascii="Calibri" w:hAnsi="Calibri"/>
          <w:b/>
          <w:color w:val="1B365D"/>
          <w:sz w:val="28"/>
        </w:rPr>
        <w:t>12. Auditoría Forense Contable y Calidad de Beneficios (Detección de Trampas Contables)</w:t>
      </w:r>
    </w:p>
    <w:p>
      <w:pPr>
        <w:spacing w:before="80" w:after="160"/>
        <w:ind w:left="288" w:right="288"/>
      </w:pPr>
      <w:r>
        <w:rPr>
          <w:rFonts w:ascii="Calibri" w:hAnsi="Calibri"/>
          <w:b/>
          <w:color w:val="1B365D"/>
          <w:sz w:val="21"/>
        </w:rPr>
        <w:t>DICTAMEN FORENSE INSTITUCIONAL (LTM): MÁXIMA CALIDAD CONTABLE</w:t>
        <w:br/>
      </w:r>
      <w:r>
        <w:rPr>
          <w:rFonts w:ascii="Calibri" w:hAnsi="Calibri"/>
          <w:color w:val="2D3748"/>
          <w:sz w:val="19"/>
        </w:rPr>
        <w:t>• Ratio Sloan de Devengos: -4.79% [ALTA CONVERSIÓN DE CAJA (CFO &gt; NI)]</w:t>
        <w:br/>
        <w:t>• Montier C-Score: 2 / 6 [RIESGO MODERADO / ALERTA PREVENTIVA (&lt; 25% RIESGO MODERADO)]</w:t>
        <w:br/>
        <w:t>• Dictamen: CALIDAD DE BENEFICIOS EXCEPCIONAL (GRADO INSTITUCIONAL): Conversión de efectivo sobresaliente (Ratio Sloan: -4.79%, CFO &gt; Utilidad Neta), devengos negativos que suprimen riesgo de inflación contable y Montier C-Score de 2/6 que descarta maniobras de manipulación deliberada.</w:t>
      </w:r>
    </w:p>
    <w:p>
      <w:pPr>
        <w:spacing w:after="120"/>
      </w:pPr>
      <w:r>
        <w:rPr>
          <w:rFonts w:ascii="Calibri" w:hAnsi="Calibri"/>
          <w:color w:val="2D3748"/>
          <w:sz w:val="19"/>
        </w:rPr>
        <w:t>A fin de verificar la autenticidad intrínseca de las ganancias reportadas ante los reguladores (SEC) y descartar de forma exhaustiva el riesgo de 'beneficios de papel', inflación artificial de márgenes o reconocimiento agresivo de ventas, se auditan tres instrumentos cuantitativos especializados no redundantes: el Ratio de Devengos de Sloan (1996), la Matriz de Divergencias de Alerta Temprana en balance y el Montier C-Score (2008).</w:t>
      </w:r>
    </w:p>
    <w:p>
      <w:pPr>
        <w:pStyle w:val="Heading2"/>
      </w:pPr>
      <w:r>
        <w:rPr>
          <w:rFonts w:ascii="Calibri" w:hAnsi="Calibri"/>
          <w:b/>
          <w:color w:val="1B365D"/>
          <w:sz w:val="23"/>
        </w:rPr>
        <w:t>12.1. Ratio de Devengos de Sloan (The Accrual Anomaly)</w:t>
      </w:r>
    </w:p>
    <w:p>
      <w:pPr>
        <w:spacing w:after="120"/>
      </w:pPr>
      <w:r>
        <w:rPr>
          <w:rFonts w:ascii="Calibri" w:hAnsi="Calibri"/>
          <w:color w:val="2D3748"/>
          <w:sz w:val="18"/>
        </w:rPr>
        <w:t>El profesor Richard Sloan (University of Michigan, 1996) demostró que los beneficios contables generados mediante asientos de ajuste o partidas no monetarias exhiben una persistencia temporal muy inferior a las ganancias respaldadas por cobros efectivos. Un ratio de devengos negativo —donde el flujo de caja operativo supera a la utilidad neta— constituye un foso de máxima calidad contable:</w:t>
        <w:br/>
        <w:t>Sloan Accrual Ratio = (Utilidad Neta GAAP − Flujo de Caja Operativo CFO) / Activos Totales Promedio</w:t>
        <w:br/>
        <w:t>• &lt; -3.0%: Excelente / Calidad Superior  |  • -3.0% a +7.0%: Rango Saludable  |  • +7.0% a +10.0%: Precaución  |  • &gt; +10.0%: Alerta Roja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592"/>
        <w:gridCol w:w="1094"/>
        <w:gridCol w:w="1094"/>
        <w:gridCol w:w="1094"/>
        <w:gridCol w:w="1094"/>
        <w:gridCol w:w="1094"/>
        <w:gridCol w:w="1728"/>
      </w:tblGrid>
      <w:tr>
        <w:tc>
          <w:tcPr>
            <w:tcW w:type="dxa" w:w="2592"/>
            <w:shd w:fill="1B365D"/>
            <w:tcMar>
              <w:top w:w="80" w:type="dxa"/>
              <w:bottom w:w="80" w:type="dxa"/>
              <w:left w:w="80" w:type="dxa"/>
              <w:right w:w="80" w:type="dxa"/>
            </w:tcMar>
          </w:tcPr>
          <w:p>
            <w:pPr>
              <w:jc w:val="left"/>
            </w:pPr>
            <w:r>
              <w:rPr>
                <w:rFonts w:ascii="Calibri" w:hAnsi="Calibri"/>
                <w:b/>
                <w:color w:val="FFFFFF"/>
                <w:sz w:val="17"/>
              </w:rPr>
              <w:t>Métrica Contable Forense</w:t>
            </w:r>
          </w:p>
        </w:tc>
        <w:tc>
          <w:tcPr>
            <w:tcW w:type="dxa" w:w="1094"/>
            <w:shd w:fill="0A3641"/>
            <w:tcMar>
              <w:top w:w="80" w:type="dxa"/>
              <w:bottom w:w="80" w:type="dxa"/>
              <w:left w:w="80" w:type="dxa"/>
              <w:right w:w="80" w:type="dxa"/>
            </w:tcMar>
          </w:tcPr>
          <w:p>
            <w:pPr>
              <w:jc w:val="center"/>
            </w:pPr>
            <w:r>
              <w:rPr>
                <w:rFonts w:ascii="Calibri" w:hAnsi="Calibri"/>
                <w:b/>
                <w:color w:val="FFD700"/>
                <w:sz w:val="17"/>
              </w:rPr>
              <w:t>LTM</w:t>
            </w:r>
          </w:p>
        </w:tc>
        <w:tc>
          <w:tcPr>
            <w:tcW w:type="dxa" w:w="1094"/>
            <w:shd w:fill="1B365D"/>
            <w:tcMar>
              <w:top w:w="80" w:type="dxa"/>
              <w:bottom w:w="80" w:type="dxa"/>
              <w:left w:w="80" w:type="dxa"/>
              <w:right w:w="80" w:type="dxa"/>
            </w:tcMar>
          </w:tcPr>
          <w:p>
            <w:pPr>
              <w:jc w:val="center"/>
            </w:pPr>
            <w:r>
              <w:rPr>
                <w:rFonts w:ascii="Calibri" w:hAnsi="Calibri"/>
                <w:b/>
                <w:color w:val="FFFFFF"/>
                <w:sz w:val="17"/>
              </w:rPr>
              <w:t>FY2025</w:t>
            </w:r>
          </w:p>
        </w:tc>
        <w:tc>
          <w:tcPr>
            <w:tcW w:type="dxa" w:w="1094"/>
            <w:shd w:fill="1B365D"/>
            <w:tcMar>
              <w:top w:w="80" w:type="dxa"/>
              <w:bottom w:w="80" w:type="dxa"/>
              <w:left w:w="80" w:type="dxa"/>
              <w:right w:w="80" w:type="dxa"/>
            </w:tcMar>
          </w:tcPr>
          <w:p>
            <w:pPr>
              <w:jc w:val="center"/>
            </w:pPr>
            <w:r>
              <w:rPr>
                <w:rFonts w:ascii="Calibri" w:hAnsi="Calibri"/>
                <w:b/>
                <w:color w:val="FFFFFF"/>
                <w:sz w:val="17"/>
              </w:rPr>
              <w:t>FY2024</w:t>
            </w:r>
          </w:p>
        </w:tc>
        <w:tc>
          <w:tcPr>
            <w:tcW w:type="dxa" w:w="1094"/>
            <w:shd w:fill="1B365D"/>
            <w:tcMar>
              <w:top w:w="80" w:type="dxa"/>
              <w:bottom w:w="80" w:type="dxa"/>
              <w:left w:w="80" w:type="dxa"/>
              <w:right w:w="80" w:type="dxa"/>
            </w:tcMar>
          </w:tcPr>
          <w:p>
            <w:pPr>
              <w:jc w:val="center"/>
            </w:pPr>
            <w:r>
              <w:rPr>
                <w:rFonts w:ascii="Calibri" w:hAnsi="Calibri"/>
                <w:b/>
                <w:color w:val="FFFFFF"/>
                <w:sz w:val="17"/>
              </w:rPr>
              <w:t>FY2023</w:t>
            </w:r>
          </w:p>
        </w:tc>
        <w:tc>
          <w:tcPr>
            <w:tcW w:type="dxa" w:w="1094"/>
            <w:shd w:fill="1B365D"/>
            <w:tcMar>
              <w:top w:w="80" w:type="dxa"/>
              <w:bottom w:w="80" w:type="dxa"/>
              <w:left w:w="80" w:type="dxa"/>
              <w:right w:w="80" w:type="dxa"/>
            </w:tcMar>
          </w:tcPr>
          <w:p>
            <w:pPr>
              <w:jc w:val="center"/>
            </w:pPr>
            <w:r>
              <w:rPr>
                <w:rFonts w:ascii="Calibri" w:hAnsi="Calibri"/>
                <w:b/>
                <w:color w:val="FFFFFF"/>
                <w:sz w:val="17"/>
              </w:rPr>
              <w:t>FY2022</w:t>
            </w:r>
          </w:p>
        </w:tc>
        <w:tc>
          <w:tcPr>
            <w:tcW w:type="dxa" w:w="1728"/>
            <w:shd w:fill="1B365D"/>
            <w:tcMar>
              <w:top w:w="80" w:type="dxa"/>
              <w:bottom w:w="80" w:type="dxa"/>
              <w:left w:w="80" w:type="dxa"/>
              <w:right w:w="80" w:type="dxa"/>
            </w:tcMar>
          </w:tcPr>
          <w:p>
            <w:pPr>
              <w:jc w:val="center"/>
            </w:pPr>
            <w:r>
              <w:rPr>
                <w:rFonts w:ascii="Calibri" w:hAnsi="Calibri"/>
                <w:b/>
                <w:color w:val="FFFFFF"/>
                <w:sz w:val="17"/>
              </w:rPr>
              <w:t>Umbral Institucional</w:t>
            </w:r>
          </w:p>
        </w:tc>
      </w:tr>
      <w:tr>
        <w:tc>
          <w:tcPr>
            <w:tcW w:type="dxa" w:w="2592"/>
            <w:tcMar>
              <w:top w:w="60" w:type="dxa"/>
              <w:bottom w:w="60" w:type="dxa"/>
              <w:left w:w="80" w:type="dxa"/>
              <w:right w:w="80" w:type="dxa"/>
            </w:tcMar>
          </w:tcPr>
          <w:p>
            <w:r>
              <w:rPr>
                <w:rFonts w:ascii="Calibri" w:hAnsi="Calibri"/>
                <w:b w:val="0"/>
                <w:sz w:val="17"/>
              </w:rPr>
              <w:t>(+) Utilidad Neta GAAP ($M)</w:t>
            </w:r>
          </w:p>
        </w:tc>
        <w:tc>
          <w:tcPr>
            <w:tcW w:type="dxa" w:w="1094"/>
            <w:tcMar>
              <w:top w:w="60" w:type="dxa"/>
              <w:bottom w:w="60" w:type="dxa"/>
              <w:left w:w="60" w:type="dxa"/>
              <w:right w:w="60" w:type="dxa"/>
            </w:tcMar>
          </w:tcPr>
          <w:p>
            <w:pPr>
              <w:jc w:val="right"/>
            </w:pPr>
            <w:r>
              <w:rPr>
                <w:rFonts w:ascii="Calibri" w:hAnsi="Calibri"/>
                <w:b w:val="0"/>
                <w:sz w:val="17"/>
              </w:rPr>
              <w:t>$128,930.0M</w:t>
            </w:r>
          </w:p>
        </w:tc>
        <w:tc>
          <w:tcPr>
            <w:tcW w:type="dxa" w:w="1094"/>
            <w:tcMar>
              <w:top w:w="60" w:type="dxa"/>
              <w:bottom w:w="60" w:type="dxa"/>
              <w:left w:w="60" w:type="dxa"/>
              <w:right w:w="60" w:type="dxa"/>
            </w:tcMar>
          </w:tcPr>
          <w:p>
            <w:pPr>
              <w:jc w:val="right"/>
            </w:pPr>
            <w:r>
              <w:rPr>
                <w:rFonts w:ascii="Calibri" w:hAnsi="Calibri"/>
                <w:b w:val="0"/>
                <w:sz w:val="17"/>
              </w:rPr>
              <w:t>$112,010.0M</w:t>
            </w:r>
          </w:p>
        </w:tc>
        <w:tc>
          <w:tcPr>
            <w:tcW w:type="dxa" w:w="1094"/>
            <w:tcMar>
              <w:top w:w="60" w:type="dxa"/>
              <w:bottom w:w="60" w:type="dxa"/>
              <w:left w:w="60" w:type="dxa"/>
              <w:right w:w="60" w:type="dxa"/>
            </w:tcMar>
          </w:tcPr>
          <w:p>
            <w:pPr>
              <w:jc w:val="right"/>
            </w:pPr>
            <w:r>
              <w:rPr>
                <w:rFonts w:ascii="Calibri" w:hAnsi="Calibri"/>
                <w:b w:val="0"/>
                <w:sz w:val="17"/>
              </w:rPr>
              <w:t>$93,736.0M</w:t>
            </w:r>
          </w:p>
        </w:tc>
        <w:tc>
          <w:tcPr>
            <w:tcW w:type="dxa" w:w="1094"/>
            <w:tcMar>
              <w:top w:w="60" w:type="dxa"/>
              <w:bottom w:w="60" w:type="dxa"/>
              <w:left w:w="60" w:type="dxa"/>
              <w:right w:w="60" w:type="dxa"/>
            </w:tcMar>
          </w:tcPr>
          <w:p>
            <w:pPr>
              <w:jc w:val="right"/>
            </w:pPr>
            <w:r>
              <w:rPr>
                <w:rFonts w:ascii="Calibri" w:hAnsi="Calibri"/>
                <w:b w:val="0"/>
                <w:sz w:val="17"/>
              </w:rPr>
              <w:t>$96,995.0M</w:t>
            </w:r>
          </w:p>
        </w:tc>
        <w:tc>
          <w:tcPr>
            <w:tcW w:type="dxa" w:w="1094"/>
            <w:tcMar>
              <w:top w:w="60" w:type="dxa"/>
              <w:bottom w:w="60" w:type="dxa"/>
              <w:left w:w="60" w:type="dxa"/>
              <w:right w:w="60" w:type="dxa"/>
            </w:tcMar>
          </w:tcPr>
          <w:p>
            <w:pPr>
              <w:jc w:val="right"/>
            </w:pPr>
            <w:r>
              <w:rPr>
                <w:rFonts w:ascii="Calibri" w:hAnsi="Calibri"/>
                <w:b w:val="0"/>
                <w:sz w:val="17"/>
              </w:rPr>
              <w:t>$99,803.0M</w:t>
            </w:r>
          </w:p>
        </w:tc>
        <w:tc>
          <w:tcPr>
            <w:tcW w:type="dxa" w:w="1728"/>
            <w:tcMar>
              <w:top w:w="60" w:type="dxa"/>
              <w:bottom w:w="60" w:type="dxa"/>
              <w:left w:w="60" w:type="dxa"/>
              <w:right w:w="60" w:type="dxa"/>
            </w:tcMar>
          </w:tcPr>
          <w:p>
            <w:pPr>
              <w:jc w:val="center"/>
            </w:pPr>
            <w:r>
              <w:rPr>
                <w:rFonts w:ascii="Calibri" w:hAnsi="Calibri"/>
                <w:i/>
                <w:sz w:val="17"/>
              </w:rPr>
              <w:t>Base Devengada</w:t>
            </w:r>
          </w:p>
        </w:tc>
      </w:tr>
      <w:tr>
        <w:tc>
          <w:tcPr>
            <w:tcW w:type="dxa" w:w="2592"/>
            <w:tcMar>
              <w:top w:w="60" w:type="dxa"/>
              <w:bottom w:w="60" w:type="dxa"/>
              <w:left w:w="80" w:type="dxa"/>
              <w:right w:w="80" w:type="dxa"/>
            </w:tcMar>
          </w:tcPr>
          <w:p>
            <w:r>
              <w:rPr>
                <w:rFonts w:ascii="Calibri" w:hAnsi="Calibri"/>
                <w:b w:val="0"/>
                <w:sz w:val="17"/>
              </w:rPr>
              <w:t>(-) Flujo Operativo CFO ($M)</w:t>
            </w:r>
          </w:p>
        </w:tc>
        <w:tc>
          <w:tcPr>
            <w:tcW w:type="dxa" w:w="1094"/>
            <w:tcMar>
              <w:top w:w="60" w:type="dxa"/>
              <w:bottom w:w="60" w:type="dxa"/>
              <w:left w:w="60" w:type="dxa"/>
              <w:right w:w="60" w:type="dxa"/>
            </w:tcMar>
          </w:tcPr>
          <w:p>
            <w:pPr>
              <w:jc w:val="right"/>
            </w:pPr>
            <w:r>
              <w:rPr>
                <w:rFonts w:ascii="Calibri" w:hAnsi="Calibri"/>
                <w:b w:val="0"/>
                <w:sz w:val="17"/>
              </w:rPr>
              <w:t>$146,724.0M</w:t>
            </w:r>
          </w:p>
        </w:tc>
        <w:tc>
          <w:tcPr>
            <w:tcW w:type="dxa" w:w="1094"/>
            <w:tcMar>
              <w:top w:w="60" w:type="dxa"/>
              <w:bottom w:w="60" w:type="dxa"/>
              <w:left w:w="60" w:type="dxa"/>
              <w:right w:w="60" w:type="dxa"/>
            </w:tcMar>
          </w:tcPr>
          <w:p>
            <w:pPr>
              <w:jc w:val="right"/>
            </w:pPr>
            <w:r>
              <w:rPr>
                <w:rFonts w:ascii="Calibri" w:hAnsi="Calibri"/>
                <w:b w:val="0"/>
                <w:sz w:val="17"/>
              </w:rPr>
              <w:t>$111,482.0M</w:t>
            </w:r>
          </w:p>
        </w:tc>
        <w:tc>
          <w:tcPr>
            <w:tcW w:type="dxa" w:w="1094"/>
            <w:tcMar>
              <w:top w:w="60" w:type="dxa"/>
              <w:bottom w:w="60" w:type="dxa"/>
              <w:left w:w="60" w:type="dxa"/>
              <w:right w:w="60" w:type="dxa"/>
            </w:tcMar>
          </w:tcPr>
          <w:p>
            <w:pPr>
              <w:jc w:val="right"/>
            </w:pPr>
            <w:r>
              <w:rPr>
                <w:rFonts w:ascii="Calibri" w:hAnsi="Calibri"/>
                <w:b w:val="0"/>
                <w:sz w:val="17"/>
              </w:rPr>
              <w:t>$118,254.0M</w:t>
            </w:r>
          </w:p>
        </w:tc>
        <w:tc>
          <w:tcPr>
            <w:tcW w:type="dxa" w:w="1094"/>
            <w:tcMar>
              <w:top w:w="60" w:type="dxa"/>
              <w:bottom w:w="60" w:type="dxa"/>
              <w:left w:w="60" w:type="dxa"/>
              <w:right w:w="60" w:type="dxa"/>
            </w:tcMar>
          </w:tcPr>
          <w:p>
            <w:pPr>
              <w:jc w:val="right"/>
            </w:pPr>
            <w:r>
              <w:rPr>
                <w:rFonts w:ascii="Calibri" w:hAnsi="Calibri"/>
                <w:b w:val="0"/>
                <w:sz w:val="17"/>
              </w:rPr>
              <w:t>$110,543.0M</w:t>
            </w:r>
          </w:p>
        </w:tc>
        <w:tc>
          <w:tcPr>
            <w:tcW w:type="dxa" w:w="1094"/>
            <w:tcMar>
              <w:top w:w="60" w:type="dxa"/>
              <w:bottom w:w="60" w:type="dxa"/>
              <w:left w:w="60" w:type="dxa"/>
              <w:right w:w="60" w:type="dxa"/>
            </w:tcMar>
          </w:tcPr>
          <w:p>
            <w:pPr>
              <w:jc w:val="right"/>
            </w:pPr>
            <w:r>
              <w:rPr>
                <w:rFonts w:ascii="Calibri" w:hAnsi="Calibri"/>
                <w:b w:val="0"/>
                <w:sz w:val="17"/>
              </w:rPr>
              <w:t>$122,151.0M</w:t>
            </w:r>
          </w:p>
        </w:tc>
        <w:tc>
          <w:tcPr>
            <w:tcW w:type="dxa" w:w="1728"/>
            <w:tcMar>
              <w:top w:w="60" w:type="dxa"/>
              <w:bottom w:w="60" w:type="dxa"/>
              <w:left w:w="60" w:type="dxa"/>
              <w:right w:w="60" w:type="dxa"/>
            </w:tcMar>
          </w:tcPr>
          <w:p>
            <w:pPr>
              <w:jc w:val="center"/>
            </w:pPr>
            <w:r>
              <w:rPr>
                <w:rFonts w:ascii="Calibri" w:hAnsi="Calibri"/>
                <w:i/>
                <w:sz w:val="17"/>
              </w:rPr>
              <w:t>Caja Líquida Real</w:t>
            </w:r>
          </w:p>
        </w:tc>
      </w:tr>
      <w:tr>
        <w:tc>
          <w:tcPr>
            <w:tcW w:type="dxa" w:w="2592"/>
            <w:tcMar>
              <w:top w:w="60" w:type="dxa"/>
              <w:bottom w:w="60" w:type="dxa"/>
              <w:left w:w="80" w:type="dxa"/>
              <w:right w:w="80" w:type="dxa"/>
            </w:tcMar>
          </w:tcPr>
          <w:p>
            <w:r>
              <w:rPr>
                <w:rFonts w:ascii="Calibri" w:hAnsi="Calibri"/>
                <w:b/>
                <w:sz w:val="17"/>
              </w:rPr>
              <w:t>(=) Devengos Totales (NI − CFO)</w:t>
            </w:r>
          </w:p>
        </w:tc>
        <w:tc>
          <w:tcPr>
            <w:tcW w:type="dxa" w:w="1094"/>
            <w:tcMar>
              <w:top w:w="60" w:type="dxa"/>
              <w:bottom w:w="60" w:type="dxa"/>
              <w:left w:w="60" w:type="dxa"/>
              <w:right w:w="60" w:type="dxa"/>
            </w:tcMar>
          </w:tcPr>
          <w:p>
            <w:pPr>
              <w:jc w:val="right"/>
            </w:pPr>
            <w:r>
              <w:rPr>
                <w:rFonts w:ascii="Calibri" w:hAnsi="Calibri"/>
                <w:b/>
                <w:sz w:val="17"/>
              </w:rPr>
              <w:t>$-17,794.0M</w:t>
            </w:r>
          </w:p>
        </w:tc>
        <w:tc>
          <w:tcPr>
            <w:tcW w:type="dxa" w:w="1094"/>
            <w:tcMar>
              <w:top w:w="60" w:type="dxa"/>
              <w:bottom w:w="60" w:type="dxa"/>
              <w:left w:w="60" w:type="dxa"/>
              <w:right w:w="60" w:type="dxa"/>
            </w:tcMar>
          </w:tcPr>
          <w:p>
            <w:pPr>
              <w:jc w:val="right"/>
            </w:pPr>
            <w:r>
              <w:rPr>
                <w:rFonts w:ascii="Calibri" w:hAnsi="Calibri"/>
                <w:b/>
                <w:sz w:val="17"/>
              </w:rPr>
              <w:t>$+528.0M</w:t>
            </w:r>
          </w:p>
        </w:tc>
        <w:tc>
          <w:tcPr>
            <w:tcW w:type="dxa" w:w="1094"/>
            <w:tcMar>
              <w:top w:w="60" w:type="dxa"/>
              <w:bottom w:w="60" w:type="dxa"/>
              <w:left w:w="60" w:type="dxa"/>
              <w:right w:w="60" w:type="dxa"/>
            </w:tcMar>
          </w:tcPr>
          <w:p>
            <w:pPr>
              <w:jc w:val="right"/>
            </w:pPr>
            <w:r>
              <w:rPr>
                <w:rFonts w:ascii="Calibri" w:hAnsi="Calibri"/>
                <w:b/>
                <w:sz w:val="17"/>
              </w:rPr>
              <w:t>$-24,518.0M</w:t>
            </w:r>
          </w:p>
        </w:tc>
        <w:tc>
          <w:tcPr>
            <w:tcW w:type="dxa" w:w="1094"/>
            <w:tcMar>
              <w:top w:w="60" w:type="dxa"/>
              <w:bottom w:w="60" w:type="dxa"/>
              <w:left w:w="60" w:type="dxa"/>
              <w:right w:w="60" w:type="dxa"/>
            </w:tcMar>
          </w:tcPr>
          <w:p>
            <w:pPr>
              <w:jc w:val="right"/>
            </w:pPr>
            <w:r>
              <w:rPr>
                <w:rFonts w:ascii="Calibri" w:hAnsi="Calibri"/>
                <w:b/>
                <w:sz w:val="17"/>
              </w:rPr>
              <w:t>$-13,548.0M</w:t>
            </w:r>
          </w:p>
        </w:tc>
        <w:tc>
          <w:tcPr>
            <w:tcW w:type="dxa" w:w="1094"/>
            <w:tcMar>
              <w:top w:w="60" w:type="dxa"/>
              <w:bottom w:w="60" w:type="dxa"/>
              <w:left w:w="60" w:type="dxa"/>
              <w:right w:w="60" w:type="dxa"/>
            </w:tcMar>
          </w:tcPr>
          <w:p>
            <w:pPr>
              <w:jc w:val="right"/>
            </w:pPr>
            <w:r>
              <w:rPr>
                <w:rFonts w:ascii="Calibri" w:hAnsi="Calibri"/>
                <w:b/>
                <w:sz w:val="17"/>
              </w:rPr>
              <w:t>$-22,348.0M</w:t>
            </w:r>
          </w:p>
        </w:tc>
        <w:tc>
          <w:tcPr>
            <w:tcW w:type="dxa" w:w="1728"/>
            <w:tcMar>
              <w:top w:w="60" w:type="dxa"/>
              <w:bottom w:w="60" w:type="dxa"/>
              <w:left w:w="60" w:type="dxa"/>
              <w:right w:w="60" w:type="dxa"/>
            </w:tcMar>
          </w:tcPr>
          <w:p>
            <w:pPr>
              <w:jc w:val="center"/>
            </w:pPr>
            <w:r>
              <w:rPr>
                <w:rFonts w:ascii="Calibri" w:hAnsi="Calibri"/>
                <w:i/>
                <w:sz w:val="17"/>
              </w:rPr>
              <w:t>CFO &gt; NI</w:t>
            </w:r>
          </w:p>
        </w:tc>
      </w:tr>
      <w:tr>
        <w:tc>
          <w:tcPr>
            <w:tcW w:type="dxa" w:w="2592"/>
            <w:tcMar>
              <w:top w:w="60" w:type="dxa"/>
              <w:bottom w:w="60" w:type="dxa"/>
              <w:left w:w="80" w:type="dxa"/>
              <w:right w:w="80" w:type="dxa"/>
            </w:tcMar>
          </w:tcPr>
          <w:p>
            <w:r>
              <w:rPr>
                <w:rFonts w:ascii="Calibri" w:hAnsi="Calibri"/>
                <w:b w:val="0"/>
                <w:sz w:val="17"/>
              </w:rPr>
              <w:t>Activos Totales Promedio ($M)</w:t>
            </w:r>
          </w:p>
        </w:tc>
        <w:tc>
          <w:tcPr>
            <w:tcW w:type="dxa" w:w="1094"/>
            <w:tcMar>
              <w:top w:w="60" w:type="dxa"/>
              <w:bottom w:w="60" w:type="dxa"/>
              <w:left w:w="60" w:type="dxa"/>
              <w:right w:w="60" w:type="dxa"/>
            </w:tcMar>
          </w:tcPr>
          <w:p>
            <w:pPr>
              <w:jc w:val="right"/>
            </w:pPr>
            <w:r>
              <w:rPr>
                <w:rFonts w:ascii="Calibri" w:hAnsi="Calibri"/>
                <w:b w:val="0"/>
                <w:sz w:val="17"/>
              </w:rPr>
              <w:t>$371,253.5M</w:t>
            </w:r>
          </w:p>
        </w:tc>
        <w:tc>
          <w:tcPr>
            <w:tcW w:type="dxa" w:w="1094"/>
            <w:tcMar>
              <w:top w:w="60" w:type="dxa"/>
              <w:bottom w:w="60" w:type="dxa"/>
              <w:left w:w="60" w:type="dxa"/>
              <w:right w:w="60" w:type="dxa"/>
            </w:tcMar>
          </w:tcPr>
          <w:p>
            <w:pPr>
              <w:jc w:val="right"/>
            </w:pPr>
            <w:r>
              <w:rPr>
                <w:rFonts w:ascii="Calibri" w:hAnsi="Calibri"/>
                <w:b w:val="0"/>
                <w:sz w:val="17"/>
              </w:rPr>
              <w:t>$362,110.5M</w:t>
            </w:r>
          </w:p>
        </w:tc>
        <w:tc>
          <w:tcPr>
            <w:tcW w:type="dxa" w:w="1094"/>
            <w:tcMar>
              <w:top w:w="60" w:type="dxa"/>
              <w:bottom w:w="60" w:type="dxa"/>
              <w:left w:w="60" w:type="dxa"/>
              <w:right w:w="60" w:type="dxa"/>
            </w:tcMar>
          </w:tcPr>
          <w:p>
            <w:pPr>
              <w:jc w:val="right"/>
            </w:pPr>
            <w:r>
              <w:rPr>
                <w:rFonts w:ascii="Calibri" w:hAnsi="Calibri"/>
                <w:b w:val="0"/>
                <w:sz w:val="17"/>
              </w:rPr>
              <w:t>$358,781.5M</w:t>
            </w:r>
          </w:p>
        </w:tc>
        <w:tc>
          <w:tcPr>
            <w:tcW w:type="dxa" w:w="1094"/>
            <w:tcMar>
              <w:top w:w="60" w:type="dxa"/>
              <w:bottom w:w="60" w:type="dxa"/>
              <w:left w:w="60" w:type="dxa"/>
              <w:right w:w="60" w:type="dxa"/>
            </w:tcMar>
          </w:tcPr>
          <w:p>
            <w:pPr>
              <w:jc w:val="right"/>
            </w:pPr>
            <w:r>
              <w:rPr>
                <w:rFonts w:ascii="Calibri" w:hAnsi="Calibri"/>
                <w:b w:val="0"/>
                <w:sz w:val="17"/>
              </w:rPr>
              <w:t>$352,669.0M</w:t>
            </w:r>
          </w:p>
        </w:tc>
        <w:tc>
          <w:tcPr>
            <w:tcW w:type="dxa" w:w="1094"/>
            <w:tcMar>
              <w:top w:w="60" w:type="dxa"/>
              <w:bottom w:w="60" w:type="dxa"/>
              <w:left w:w="60" w:type="dxa"/>
              <w:right w:w="60" w:type="dxa"/>
            </w:tcMar>
          </w:tcPr>
          <w:p>
            <w:pPr>
              <w:jc w:val="right"/>
            </w:pPr>
            <w:r>
              <w:rPr>
                <w:rFonts w:ascii="Calibri" w:hAnsi="Calibri"/>
                <w:b w:val="0"/>
                <w:sz w:val="17"/>
              </w:rPr>
              <w:t>$351,878.5M</w:t>
            </w:r>
          </w:p>
        </w:tc>
        <w:tc>
          <w:tcPr>
            <w:tcW w:type="dxa" w:w="1728"/>
            <w:tcMar>
              <w:top w:w="60" w:type="dxa"/>
              <w:bottom w:w="60" w:type="dxa"/>
              <w:left w:w="60" w:type="dxa"/>
              <w:right w:w="60" w:type="dxa"/>
            </w:tcMar>
          </w:tcPr>
          <w:p>
            <w:pPr>
              <w:jc w:val="center"/>
            </w:pPr>
            <w:r>
              <w:rPr>
                <w:rFonts w:ascii="Calibri" w:hAnsi="Calibri"/>
                <w:i/>
                <w:sz w:val="17"/>
              </w:rPr>
              <w:t>Base Activos</w:t>
            </w:r>
          </w:p>
        </w:tc>
      </w:tr>
      <w:tr>
        <w:tc>
          <w:tcPr>
            <w:tcW w:type="dxa" w:w="2592"/>
            <w:tcMar>
              <w:top w:w="60" w:type="dxa"/>
              <w:bottom w:w="60" w:type="dxa"/>
              <w:left w:w="80" w:type="dxa"/>
              <w:right w:w="80" w:type="dxa"/>
            </w:tcMar>
          </w:tcPr>
          <w:p>
            <w:r>
              <w:rPr>
                <w:rFonts w:ascii="Calibri" w:hAnsi="Calibri"/>
                <w:b/>
                <w:sz w:val="17"/>
              </w:rPr>
              <w:t>(=) Ratio Devengos Sloan (%)</w:t>
            </w:r>
          </w:p>
        </w:tc>
        <w:tc>
          <w:tcPr>
            <w:tcW w:type="dxa" w:w="1094"/>
            <w:tcMar>
              <w:top w:w="60" w:type="dxa"/>
              <w:bottom w:w="60" w:type="dxa"/>
              <w:left w:w="60" w:type="dxa"/>
              <w:right w:w="60" w:type="dxa"/>
            </w:tcMar>
          </w:tcPr>
          <w:p>
            <w:pPr>
              <w:jc w:val="right"/>
            </w:pPr>
            <w:r>
              <w:rPr>
                <w:rFonts w:ascii="Calibri" w:hAnsi="Calibri"/>
                <w:b/>
                <w:sz w:val="17"/>
              </w:rPr>
              <w:t>-4.79%</w:t>
            </w:r>
          </w:p>
        </w:tc>
        <w:tc>
          <w:tcPr>
            <w:tcW w:type="dxa" w:w="1094"/>
            <w:tcMar>
              <w:top w:w="60" w:type="dxa"/>
              <w:bottom w:w="60" w:type="dxa"/>
              <w:left w:w="60" w:type="dxa"/>
              <w:right w:w="60" w:type="dxa"/>
            </w:tcMar>
          </w:tcPr>
          <w:p>
            <w:pPr>
              <w:jc w:val="right"/>
            </w:pPr>
            <w:r>
              <w:rPr>
                <w:rFonts w:ascii="Calibri" w:hAnsi="Calibri"/>
                <w:b/>
                <w:sz w:val="17"/>
              </w:rPr>
              <w:t>+0.15%</w:t>
            </w:r>
          </w:p>
        </w:tc>
        <w:tc>
          <w:tcPr>
            <w:tcW w:type="dxa" w:w="1094"/>
            <w:tcMar>
              <w:top w:w="60" w:type="dxa"/>
              <w:bottom w:w="60" w:type="dxa"/>
              <w:left w:w="60" w:type="dxa"/>
              <w:right w:w="60" w:type="dxa"/>
            </w:tcMar>
          </w:tcPr>
          <w:p>
            <w:pPr>
              <w:jc w:val="right"/>
            </w:pPr>
            <w:r>
              <w:rPr>
                <w:rFonts w:ascii="Calibri" w:hAnsi="Calibri"/>
                <w:b/>
                <w:sz w:val="17"/>
              </w:rPr>
              <w:t>-6.83%</w:t>
            </w:r>
          </w:p>
        </w:tc>
        <w:tc>
          <w:tcPr>
            <w:tcW w:type="dxa" w:w="1094"/>
            <w:tcMar>
              <w:top w:w="60" w:type="dxa"/>
              <w:bottom w:w="60" w:type="dxa"/>
              <w:left w:w="60" w:type="dxa"/>
              <w:right w:w="60" w:type="dxa"/>
            </w:tcMar>
          </w:tcPr>
          <w:p>
            <w:pPr>
              <w:jc w:val="right"/>
            </w:pPr>
            <w:r>
              <w:rPr>
                <w:rFonts w:ascii="Calibri" w:hAnsi="Calibri"/>
                <w:b/>
                <w:sz w:val="17"/>
              </w:rPr>
              <w:t>-3.84%</w:t>
            </w:r>
          </w:p>
        </w:tc>
        <w:tc>
          <w:tcPr>
            <w:tcW w:type="dxa" w:w="1094"/>
            <w:tcMar>
              <w:top w:w="60" w:type="dxa"/>
              <w:bottom w:w="60" w:type="dxa"/>
              <w:left w:w="60" w:type="dxa"/>
              <w:right w:w="60" w:type="dxa"/>
            </w:tcMar>
          </w:tcPr>
          <w:p>
            <w:pPr>
              <w:jc w:val="right"/>
            </w:pPr>
            <w:r>
              <w:rPr>
                <w:rFonts w:ascii="Calibri" w:hAnsi="Calibri"/>
                <w:b/>
                <w:sz w:val="17"/>
              </w:rPr>
              <w:t>-6.35%</w:t>
            </w:r>
          </w:p>
        </w:tc>
        <w:tc>
          <w:tcPr>
            <w:tcW w:type="dxa" w:w="1728"/>
            <w:tcMar>
              <w:top w:w="60" w:type="dxa"/>
              <w:bottom w:w="60" w:type="dxa"/>
              <w:left w:w="60" w:type="dxa"/>
              <w:right w:w="60" w:type="dxa"/>
            </w:tcMar>
          </w:tcPr>
          <w:p>
            <w:pPr>
              <w:jc w:val="center"/>
            </w:pPr>
            <w:r>
              <w:rPr>
                <w:rFonts w:ascii="Calibri" w:hAnsi="Calibri"/>
                <w:i/>
                <w:sz w:val="17"/>
              </w:rPr>
              <w:t>&lt; -3.0% (Excelente)</w:t>
            </w:r>
          </w:p>
        </w:tc>
      </w:tr>
      <w:tr>
        <w:tc>
          <w:tcPr>
            <w:tcW w:type="dxa" w:w="2592"/>
            <w:tcMar>
              <w:top w:w="60" w:type="dxa"/>
              <w:bottom w:w="60" w:type="dxa"/>
              <w:left w:w="80" w:type="dxa"/>
              <w:right w:w="80" w:type="dxa"/>
            </w:tcMar>
          </w:tcPr>
          <w:p>
            <w:r>
              <w:rPr>
                <w:rFonts w:ascii="Calibri" w:hAnsi="Calibri"/>
                <w:b w:val="0"/>
                <w:sz w:val="17"/>
              </w:rPr>
              <w:t>Diagnóstico de Fidelidad</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SALUDABLE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094"/>
            <w:tcMar>
              <w:top w:w="60" w:type="dxa"/>
              <w:bottom w:w="60" w:type="dxa"/>
              <w:left w:w="60" w:type="dxa"/>
              <w:right w:w="60" w:type="dxa"/>
            </w:tcMar>
          </w:tcPr>
          <w:p>
            <w:pPr>
              <w:jc w:val="center"/>
            </w:pPr>
            <w:r>
              <w:rPr>
                <w:rFonts w:ascii="Calibri" w:hAnsi="Calibri"/>
                <w:b w:val="0"/>
                <w:sz w:val="17"/>
              </w:rPr>
              <w:t>EXCELENTE</w:t>
            </w:r>
          </w:p>
        </w:tc>
        <w:tc>
          <w:tcPr>
            <w:tcW w:type="dxa" w:w="1728"/>
            <w:tcMar>
              <w:top w:w="60" w:type="dxa"/>
              <w:bottom w:w="60" w:type="dxa"/>
              <w:left w:w="60" w:type="dxa"/>
              <w:right w:w="60" w:type="dxa"/>
            </w:tcMar>
          </w:tcPr>
          <w:p>
            <w:pPr>
              <w:jc w:val="center"/>
            </w:pPr>
            <w:r>
              <w:rPr>
                <w:rFonts w:ascii="Calibri" w:hAnsi="Calibri"/>
                <w:i/>
                <w:sz w:val="17"/>
              </w:rPr>
              <w:t>Calidad Saludable</w:t>
            </w:r>
          </w:p>
        </w:tc>
      </w:tr>
    </w:tbl>
    <w:p>
      <w:pPr>
        <w:spacing w:before="80" w:after="160"/>
      </w:pPr>
      <w:r>
        <w:rPr>
          <w:rFonts w:ascii="Calibri" w:hAnsi="Calibri"/>
          <w:i/>
          <w:color w:val="2D3748"/>
          <w:sz w:val="17"/>
        </w:rPr>
        <w:t>Interpretación para el Inversor: En LTM, Apple Inc. generó $146,724.0M de CFO frente a $128,930.0M de beneficio neto, arrojando una tasa de conversión de caja del 113.8% (cada dólar reportado está respaldado por $1.14 de efectivo). El Ratio Sloan de -4.79% descarta por completo el riesgo de beneficios ficticios.</w:t>
      </w:r>
    </w:p>
    <w:p>
      <w:pPr>
        <w:pStyle w:val="Heading2"/>
      </w:pPr>
      <w:r>
        <w:rPr>
          <w:rFonts w:ascii="Calibri" w:hAnsi="Calibri"/>
          <w:b/>
          <w:color w:val="1B365D"/>
          <w:sz w:val="23"/>
        </w:rPr>
        <w:t>12.2. Matriz de Divergencias de Alerta Temprana (Early Warning Spreads)</w:t>
      </w:r>
    </w:p>
    <w:p>
      <w:pPr>
        <w:spacing w:after="80"/>
      </w:pPr>
      <w:r>
        <w:rPr>
          <w:rFonts w:ascii="Calibri" w:hAnsi="Calibri"/>
          <w:color w:val="2D3748"/>
          <w:sz w:val="18"/>
        </w:rPr>
        <w:t>Rastrea desacoplamientos de velocidad entre partidas circulantes y resultados para prevenir Channel Stuffing, acumulación de inventario diferido y activación fraudulenta de costes en activos blandos.</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1872"/>
        <w:gridCol w:w="1440"/>
        <w:gridCol w:w="1440"/>
        <w:gridCol w:w="2880"/>
      </w:tblGrid>
      <w:tr>
        <w:tc>
          <w:tcPr>
            <w:tcW w:type="dxa" w:w="2160"/>
            <w:shd w:fill="1B365D"/>
            <w:tcMar>
              <w:top w:w="80" w:type="dxa"/>
              <w:bottom w:w="80" w:type="dxa"/>
              <w:left w:w="80" w:type="dxa"/>
              <w:right w:w="80" w:type="dxa"/>
            </w:tcMar>
          </w:tcPr>
          <w:p>
            <w:pPr>
              <w:jc w:val="left"/>
            </w:pPr>
            <w:r>
              <w:rPr>
                <w:rFonts w:ascii="Calibri" w:hAnsi="Calibri"/>
                <w:b/>
                <w:color w:val="FFFFFF"/>
                <w:sz w:val="17"/>
              </w:rPr>
              <w:t>Vector de Alerta Temprana</w:t>
            </w:r>
          </w:p>
        </w:tc>
        <w:tc>
          <w:tcPr>
            <w:tcW w:type="dxa" w:w="1872"/>
            <w:shd w:fill="1B365D"/>
            <w:tcMar>
              <w:top w:w="80" w:type="dxa"/>
              <w:bottom w:w="80" w:type="dxa"/>
              <w:left w:w="80" w:type="dxa"/>
              <w:right w:w="80" w:type="dxa"/>
            </w:tcMar>
          </w:tcPr>
          <w:p>
            <w:pPr>
              <w:jc w:val="left"/>
            </w:pPr>
            <w:r>
              <w:rPr>
                <w:rFonts w:ascii="Calibri" w:hAnsi="Calibri"/>
                <w:b/>
                <w:color w:val="FFFFFF"/>
                <w:sz w:val="17"/>
              </w:rPr>
              <w:t>Métrica Auditada</w:t>
            </w:r>
          </w:p>
        </w:tc>
        <w:tc>
          <w:tcPr>
            <w:tcW w:type="dxa" w:w="1440"/>
            <w:shd w:fill="1B365D"/>
            <w:tcMar>
              <w:top w:w="80" w:type="dxa"/>
              <w:bottom w:w="80" w:type="dxa"/>
              <w:left w:w="80" w:type="dxa"/>
              <w:right w:w="80" w:type="dxa"/>
            </w:tcMar>
          </w:tcPr>
          <w:p>
            <w:pPr>
              <w:jc w:val="center"/>
            </w:pPr>
            <w:r>
              <w:rPr>
                <w:rFonts w:ascii="Calibri" w:hAnsi="Calibri"/>
                <w:b/>
                <w:color w:val="FFFFFF"/>
                <w:sz w:val="17"/>
              </w:rPr>
              <w:t>Spread LTM</w:t>
            </w:r>
          </w:p>
        </w:tc>
        <w:tc>
          <w:tcPr>
            <w:tcW w:type="dxa" w:w="1440"/>
            <w:shd w:fill="1B365D"/>
            <w:tcMar>
              <w:top w:w="80" w:type="dxa"/>
              <w:bottom w:w="80" w:type="dxa"/>
              <w:left w:w="80" w:type="dxa"/>
              <w:right w:w="80" w:type="dxa"/>
            </w:tcMar>
          </w:tcPr>
          <w:p>
            <w:pPr>
              <w:jc w:val="center"/>
            </w:pPr>
            <w:r>
              <w:rPr>
                <w:rFonts w:ascii="Calibri" w:hAnsi="Calibri"/>
                <w:b/>
                <w:color w:val="FFFFFF"/>
                <w:sz w:val="17"/>
              </w:rPr>
              <w:t>Rotación / Ciclo</w:t>
            </w:r>
          </w:p>
        </w:tc>
        <w:tc>
          <w:tcPr>
            <w:tcW w:type="dxa" w:w="2880"/>
            <w:shd w:fill="1B365D"/>
            <w:tcMar>
              <w:top w:w="80" w:type="dxa"/>
              <w:bottom w:w="80" w:type="dxa"/>
              <w:left w:w="80" w:type="dxa"/>
              <w:right w:w="80" w:type="dxa"/>
            </w:tcMar>
          </w:tcPr>
          <w:p>
            <w:pPr>
              <w:jc w:val="left"/>
            </w:pPr>
            <w:r>
              <w:rPr>
                <w:rFonts w:ascii="Calibri" w:hAnsi="Calibri"/>
                <w:b/>
                <w:color w:val="FFFFFF"/>
                <w:sz w:val="17"/>
              </w:rPr>
              <w:t>Diagnóstico Forense</w:t>
            </w:r>
          </w:p>
        </w:tc>
      </w:tr>
      <w:tr>
        <w:tc>
          <w:tcPr>
            <w:tcW w:type="dxa" w:w="2160"/>
            <w:tcMar>
              <w:top w:w="60" w:type="dxa"/>
              <w:bottom w:w="60" w:type="dxa"/>
              <w:left w:w="80" w:type="dxa"/>
              <w:right w:w="80" w:type="dxa"/>
            </w:tcMar>
          </w:tcPr>
          <w:p>
            <w:pPr>
              <w:jc w:val="left"/>
            </w:pPr>
            <w:r>
              <w:rPr>
                <w:rFonts w:ascii="Calibri" w:hAnsi="Calibri"/>
                <w:b/>
                <w:sz w:val="17"/>
              </w:rPr>
              <w:t>1. Clientes vs. Ventas (Channel Stuffing)</w:t>
            </w:r>
          </w:p>
        </w:tc>
        <w:tc>
          <w:tcPr>
            <w:tcW w:type="dxa" w:w="1872"/>
            <w:tcMar>
              <w:top w:w="60" w:type="dxa"/>
              <w:bottom w:w="60" w:type="dxa"/>
              <w:left w:w="80" w:type="dxa"/>
              <w:right w:w="80" w:type="dxa"/>
            </w:tcMar>
          </w:tcPr>
          <w:p>
            <w:pPr>
              <w:jc w:val="left"/>
            </w:pPr>
            <w:r>
              <w:rPr>
                <w:rFonts w:ascii="Calibri" w:hAnsi="Calibri"/>
                <w:sz w:val="17"/>
              </w:rPr>
              <w:t>Crecimiento AR vs. Ventas</w:t>
            </w:r>
          </w:p>
        </w:tc>
        <w:tc>
          <w:tcPr>
            <w:tcW w:type="dxa" w:w="1440"/>
            <w:tcMar>
              <w:top w:w="60" w:type="dxa"/>
              <w:bottom w:w="60" w:type="dxa"/>
              <w:left w:w="80" w:type="dxa"/>
              <w:right w:w="80" w:type="dxa"/>
            </w:tcMar>
          </w:tcPr>
          <w:p>
            <w:pPr>
              <w:jc w:val="center"/>
            </w:pPr>
            <w:r>
              <w:rPr>
                <w:rFonts w:ascii="Calibri" w:hAnsi="Calibri"/>
                <w:sz w:val="17"/>
              </w:rPr>
              <w:t>-33.2%</w:t>
            </w:r>
          </w:p>
        </w:tc>
        <w:tc>
          <w:tcPr>
            <w:tcW w:type="dxa" w:w="1440"/>
            <w:tcMar>
              <w:top w:w="60" w:type="dxa"/>
              <w:bottom w:w="60" w:type="dxa"/>
              <w:left w:w="80" w:type="dxa"/>
              <w:right w:w="80" w:type="dxa"/>
            </w:tcMar>
          </w:tcPr>
          <w:p>
            <w:pPr>
              <w:jc w:val="center"/>
            </w:pPr>
            <w:r>
              <w:rPr>
                <w:rFonts w:ascii="Calibri" w:hAnsi="Calibri"/>
                <w:sz w:val="17"/>
              </w:rPr>
              <w:t>DSO: 24.5d (-10.3d)</w:t>
            </w:r>
          </w:p>
        </w:tc>
        <w:tc>
          <w:tcPr>
            <w:tcW w:type="dxa" w:w="2880"/>
            <w:tcMar>
              <w:top w:w="60" w:type="dxa"/>
              <w:bottom w:w="60" w:type="dxa"/>
              <w:left w:w="80" w:type="dxa"/>
              <w:right w:w="80" w:type="dxa"/>
            </w:tcMar>
          </w:tcPr>
          <w:p>
            <w:pPr>
              <w:jc w:val="center"/>
            </w:pPr>
            <w:r>
              <w:rPr>
                <w:rFonts w:ascii="Calibri" w:hAnsi="Calibri"/>
                <w:b/>
                <w:color w:val="276A3C"/>
                <w:sz w:val="17"/>
              </w:rPr>
              <w:t>COBRANZA DISCIPLINADA (OK)</w:t>
            </w:r>
          </w:p>
        </w:tc>
      </w:tr>
      <w:tr>
        <w:tc>
          <w:tcPr>
            <w:tcW w:type="dxa" w:w="2160"/>
            <w:tcMar>
              <w:top w:w="60" w:type="dxa"/>
              <w:bottom w:w="60" w:type="dxa"/>
              <w:left w:w="80" w:type="dxa"/>
              <w:right w:w="80" w:type="dxa"/>
            </w:tcMar>
          </w:tcPr>
          <w:p>
            <w:pPr>
              <w:jc w:val="left"/>
            </w:pPr>
            <w:r>
              <w:rPr>
                <w:rFonts w:ascii="Calibri" w:hAnsi="Calibri"/>
                <w:b/>
                <w:sz w:val="17"/>
              </w:rPr>
              <w:t>2. Inventarios vs. Coste Ventas (COGS)</w:t>
            </w:r>
          </w:p>
        </w:tc>
        <w:tc>
          <w:tcPr>
            <w:tcW w:type="dxa" w:w="1872"/>
            <w:tcMar>
              <w:top w:w="60" w:type="dxa"/>
              <w:bottom w:w="60" w:type="dxa"/>
              <w:left w:w="80" w:type="dxa"/>
              <w:right w:w="80" w:type="dxa"/>
            </w:tcMar>
          </w:tcPr>
          <w:p>
            <w:pPr>
              <w:jc w:val="left"/>
            </w:pPr>
            <w:r>
              <w:rPr>
                <w:rFonts w:ascii="Calibri" w:hAnsi="Calibri"/>
                <w:sz w:val="17"/>
              </w:rPr>
              <w:t>Crecimiento Inv vs. COGS</w:t>
            </w:r>
          </w:p>
        </w:tc>
        <w:tc>
          <w:tcPr>
            <w:tcW w:type="dxa" w:w="1440"/>
            <w:tcMar>
              <w:top w:w="60" w:type="dxa"/>
              <w:bottom w:w="60" w:type="dxa"/>
              <w:left w:w="80" w:type="dxa"/>
              <w:right w:w="80" w:type="dxa"/>
            </w:tcMar>
          </w:tcPr>
          <w:p>
            <w:pPr>
              <w:jc w:val="center"/>
            </w:pPr>
            <w:r>
              <w:rPr>
                <w:rFonts w:ascii="Calibri" w:hAnsi="Calibri"/>
                <w:sz w:val="17"/>
              </w:rPr>
              <w:t>+85.5%</w:t>
            </w:r>
          </w:p>
        </w:tc>
        <w:tc>
          <w:tcPr>
            <w:tcW w:type="dxa" w:w="1440"/>
            <w:tcMar>
              <w:top w:w="60" w:type="dxa"/>
              <w:bottom w:w="60" w:type="dxa"/>
              <w:left w:w="80" w:type="dxa"/>
              <w:right w:w="80" w:type="dxa"/>
            </w:tcMar>
          </w:tcPr>
          <w:p>
            <w:pPr>
              <w:jc w:val="center"/>
            </w:pPr>
            <w:r>
              <w:rPr>
                <w:rFonts w:ascii="Calibri" w:hAnsi="Calibri"/>
                <w:sz w:val="17"/>
              </w:rPr>
              <w:t>DIO: 16.9d (+7.4d)</w:t>
            </w:r>
          </w:p>
        </w:tc>
        <w:tc>
          <w:tcPr>
            <w:tcW w:type="dxa" w:w="2880"/>
            <w:tcMar>
              <w:top w:w="60" w:type="dxa"/>
              <w:bottom w:w="60" w:type="dxa"/>
              <w:left w:w="80" w:type="dxa"/>
              <w:right w:w="80" w:type="dxa"/>
            </w:tcMar>
          </w:tcPr>
          <w:p>
            <w:pPr>
              <w:jc w:val="center"/>
            </w:pPr>
            <w:r>
              <w:rPr>
                <w:rFonts w:ascii="Calibri" w:hAnsi="Calibri"/>
                <w:b/>
                <w:color w:val="C00000"/>
                <w:sz w:val="17"/>
              </w:rPr>
              <w:t>ALERTA PREVENTIVA (RAMP-UP)</w:t>
            </w:r>
          </w:p>
        </w:tc>
      </w:tr>
      <w:tr>
        <w:tc>
          <w:tcPr>
            <w:tcW w:type="dxa" w:w="2160"/>
            <w:tcMar>
              <w:top w:w="60" w:type="dxa"/>
              <w:bottom w:w="60" w:type="dxa"/>
              <w:left w:w="80" w:type="dxa"/>
              <w:right w:w="80" w:type="dxa"/>
            </w:tcMar>
          </w:tcPr>
          <w:p>
            <w:pPr>
              <w:jc w:val="left"/>
            </w:pPr>
            <w:r>
              <w:rPr>
                <w:rFonts w:ascii="Calibri" w:hAnsi="Calibri"/>
                <w:b/>
                <w:sz w:val="17"/>
              </w:rPr>
              <w:t>3. Índice de Activos Blandos</w:t>
            </w:r>
          </w:p>
        </w:tc>
        <w:tc>
          <w:tcPr>
            <w:tcW w:type="dxa" w:w="1872"/>
            <w:tcMar>
              <w:top w:w="60" w:type="dxa"/>
              <w:bottom w:w="60" w:type="dxa"/>
              <w:left w:w="80" w:type="dxa"/>
              <w:right w:w="80" w:type="dxa"/>
            </w:tcMar>
          </w:tcPr>
          <w:p>
            <w:pPr>
              <w:jc w:val="left"/>
            </w:pPr>
            <w:r>
              <w:rPr>
                <w:rFonts w:ascii="Calibri" w:hAnsi="Calibri"/>
                <w:sz w:val="17"/>
              </w:rPr>
              <w:t>Partidas No Físicas / Activos</w:t>
            </w:r>
          </w:p>
        </w:tc>
        <w:tc>
          <w:tcPr>
            <w:tcW w:type="dxa" w:w="1440"/>
            <w:tcMar>
              <w:top w:w="60" w:type="dxa"/>
              <w:bottom w:w="60" w:type="dxa"/>
              <w:left w:w="80" w:type="dxa"/>
              <w:right w:w="80" w:type="dxa"/>
            </w:tcMar>
          </w:tcPr>
          <w:p>
            <w:pPr>
              <w:jc w:val="center"/>
            </w:pPr>
            <w:r>
              <w:rPr>
                <w:rFonts w:ascii="Calibri" w:hAnsi="Calibri"/>
                <w:sz w:val="17"/>
              </w:rPr>
              <w:t>76.3%</w:t>
            </w:r>
          </w:p>
        </w:tc>
        <w:tc>
          <w:tcPr>
            <w:tcW w:type="dxa" w:w="1440"/>
            <w:tcMar>
              <w:top w:w="60" w:type="dxa"/>
              <w:bottom w:w="60" w:type="dxa"/>
              <w:left w:w="80" w:type="dxa"/>
              <w:right w:w="80" w:type="dxa"/>
            </w:tcMar>
          </w:tcPr>
          <w:p>
            <w:pPr>
              <w:jc w:val="center"/>
            </w:pPr>
            <w:r>
              <w:rPr>
                <w:rFonts w:ascii="Calibri" w:hAnsi="Calibri"/>
                <w:sz w:val="17"/>
              </w:rPr>
              <w:t>Δ: +0.1 pp</w:t>
            </w:r>
          </w:p>
        </w:tc>
        <w:tc>
          <w:tcPr>
            <w:tcW w:type="dxa" w:w="2880"/>
            <w:tcMar>
              <w:top w:w="60" w:type="dxa"/>
              <w:bottom w:w="60" w:type="dxa"/>
              <w:left w:w="80" w:type="dxa"/>
              <w:right w:w="80" w:type="dxa"/>
            </w:tcMar>
          </w:tcPr>
          <w:p>
            <w:pPr>
              <w:jc w:val="center"/>
            </w:pPr>
            <w:r>
              <w:rPr>
                <w:rFonts w:ascii="Calibri" w:hAnsi="Calibri"/>
                <w:b/>
                <w:color w:val="276A3C"/>
                <w:sz w:val="17"/>
              </w:rPr>
              <w:t>BALANCE SÓLIDO (OK)</w:t>
            </w:r>
          </w:p>
        </w:tc>
      </w:tr>
    </w:tbl>
    <w:p>
      <w:pPr>
        <w:spacing w:before="80" w:after="160"/>
      </w:pPr>
      <w:r>
        <w:rPr>
          <w:rFonts w:ascii="Calibri" w:hAnsi="Calibri"/>
          <w:i/>
          <w:color w:val="2D3748"/>
          <w:sz w:val="17"/>
        </w:rPr>
        <w:t>Nota Forense sobre Inventario (Apple Inc.): El modelo cuantitativo puro activa una bandera preventiva debido a que los inventarios crecieron un +85.5% por encima del coste de ventas (aumentando de $3,332M a $6,464M, con un alza de +4.0 días en DIO). Sin embargo, la auditoría cualitativa confirma que se trata de un falso positivo operativo: este incremento responde estrictamente al acopio estratégico de microprocesadores avanzados (chips A19 y M5 en litografía de 2nm y 3nm) y módulos de memoria DRAM en vísperas del lanzamiento global del superciclo de hardware con Apple Intelligence. Incluso con esta acumulación temporal, los Días de Inventario de Apple (8.8 días) representan la tasa de rotación más rápida de toda la industria tecnológica mundial (donde los competidores promedian entre 45 y 60 días), descartando cualquier riesgo de producto no vendido u obsoleto en bodegas.</w:t>
      </w:r>
    </w:p>
    <w:p>
      <w:pPr>
        <w:pStyle w:val="Heading2"/>
      </w:pPr>
      <w:r>
        <w:rPr>
          <w:rFonts w:ascii="Calibri" w:hAnsi="Calibri"/>
          <w:b/>
          <w:color w:val="1B365D"/>
          <w:sz w:val="23"/>
        </w:rPr>
        <w:t>12.3. Desglose Forense Montier C-Score (2 / 6)</w:t>
      </w:r>
    </w:p>
    <w:p>
      <w:pPr>
        <w:spacing w:after="80"/>
      </w:pPr>
      <w:r>
        <w:rPr>
          <w:rFonts w:ascii="Calibri" w:hAnsi="Calibri"/>
          <w:color w:val="2D3748"/>
          <w:sz w:val="18"/>
        </w:rPr>
        <w:t>James Montier (Société Générale / GMO, 2008) desarrolló este sistema de 6 banderas para detectar manipulación deliberada. Puntajes de 0 a 1 reflejan menos de 5% de probabilidad de fraude contable, mientras que firmas con &gt;= 4 banderas colapsan en bolsa.</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160"/>
        <w:gridCol w:w="2016"/>
        <w:gridCol w:w="1872"/>
        <w:gridCol w:w="1152"/>
        <w:gridCol w:w="2592"/>
      </w:tblGrid>
      <w:tr>
        <w:tc>
          <w:tcPr>
            <w:tcW w:type="dxa" w:w="2160"/>
            <w:shd w:fill="1B365D"/>
            <w:tcMar>
              <w:top w:w="80" w:type="dxa"/>
              <w:bottom w:w="80" w:type="dxa"/>
              <w:left w:w="80" w:type="dxa"/>
              <w:right w:w="80" w:type="dxa"/>
            </w:tcMar>
          </w:tcPr>
          <w:p>
            <w:pPr>
              <w:jc w:val="left"/>
            </w:pPr>
            <w:r>
              <w:rPr>
                <w:rFonts w:ascii="Calibri" w:hAnsi="Calibri"/>
                <w:b/>
                <w:color w:val="FFFFFF"/>
                <w:sz w:val="17"/>
              </w:rPr>
              <w:t>Bandera de Manipulación (C-Score)</w:t>
            </w:r>
          </w:p>
        </w:tc>
        <w:tc>
          <w:tcPr>
            <w:tcW w:type="dxa" w:w="2016"/>
            <w:shd w:fill="1B365D"/>
            <w:tcMar>
              <w:top w:w="80" w:type="dxa"/>
              <w:bottom w:w="80" w:type="dxa"/>
              <w:left w:w="80" w:type="dxa"/>
              <w:right w:w="80" w:type="dxa"/>
            </w:tcMar>
          </w:tcPr>
          <w:p>
            <w:pPr>
              <w:jc w:val="left"/>
            </w:pPr>
            <w:r>
              <w:rPr>
                <w:rFonts w:ascii="Calibri" w:hAnsi="Calibri"/>
                <w:b/>
                <w:color w:val="FFFFFF"/>
                <w:sz w:val="17"/>
              </w:rPr>
              <w:t>Condición de Alerta</w:t>
            </w:r>
          </w:p>
        </w:tc>
        <w:tc>
          <w:tcPr>
            <w:tcW w:type="dxa" w:w="1872"/>
            <w:shd w:fill="1B365D"/>
            <w:tcMar>
              <w:top w:w="80" w:type="dxa"/>
              <w:bottom w:w="80" w:type="dxa"/>
              <w:left w:w="80" w:type="dxa"/>
              <w:right w:w="80" w:type="dxa"/>
            </w:tcMar>
          </w:tcPr>
          <w:p>
            <w:pPr>
              <w:jc w:val="left"/>
            </w:pPr>
            <w:r>
              <w:rPr>
                <w:rFonts w:ascii="Calibri" w:hAnsi="Calibri"/>
                <w:b/>
                <w:color w:val="FFFFFF"/>
                <w:sz w:val="17"/>
              </w:rPr>
              <w:t>Valor Auditado (LTM)</w:t>
            </w:r>
          </w:p>
        </w:tc>
        <w:tc>
          <w:tcPr>
            <w:tcW w:type="dxa" w:w="1152"/>
            <w:shd w:fill="1B365D"/>
            <w:tcMar>
              <w:top w:w="80" w:type="dxa"/>
              <w:bottom w:w="80" w:type="dxa"/>
              <w:left w:w="80" w:type="dxa"/>
              <w:right w:w="80" w:type="dxa"/>
            </w:tcMar>
          </w:tcPr>
          <w:p>
            <w:pPr>
              <w:jc w:val="center"/>
            </w:pPr>
            <w:r>
              <w:rPr>
                <w:rFonts w:ascii="Calibri" w:hAnsi="Calibri"/>
                <w:b/>
                <w:color w:val="FFFFFF"/>
                <w:sz w:val="17"/>
              </w:rPr>
              <w:t>Estado</w:t>
            </w:r>
          </w:p>
        </w:tc>
        <w:tc>
          <w:tcPr>
            <w:tcW w:type="dxa" w:w="2592"/>
            <w:shd w:fill="1B365D"/>
            <w:tcMar>
              <w:top w:w="80" w:type="dxa"/>
              <w:bottom w:w="80" w:type="dxa"/>
              <w:left w:w="80" w:type="dxa"/>
              <w:right w:w="80" w:type="dxa"/>
            </w:tcMar>
          </w:tcPr>
          <w:p>
            <w:pPr>
              <w:jc w:val="left"/>
            </w:pPr>
            <w:r>
              <w:rPr>
                <w:rFonts w:ascii="Calibri" w:hAnsi="Calibri"/>
                <w:b/>
                <w:color w:val="FFFFFF"/>
                <w:sz w:val="17"/>
              </w:rPr>
              <w:t>Trampa Contable que Previene</w:t>
            </w:r>
          </w:p>
        </w:tc>
      </w:tr>
      <w:tr>
        <w:tc>
          <w:tcPr>
            <w:tcW w:type="dxa" w:w="2160"/>
            <w:tcMar>
              <w:top w:w="60" w:type="dxa"/>
              <w:bottom w:w="60" w:type="dxa"/>
              <w:left w:w="80" w:type="dxa"/>
              <w:right w:w="80" w:type="dxa"/>
            </w:tcMar>
          </w:tcPr>
          <w:p>
            <w:pPr>
              <w:jc w:val="left"/>
            </w:pPr>
            <w:r>
              <w:rPr>
                <w:rFonts w:ascii="Calibri" w:hAnsi="Calibri"/>
                <w:sz w:val="16"/>
              </w:rPr>
              <w:t>1. Divergencia Beneficio vs. Flujo de Caja</w:t>
            </w:r>
          </w:p>
        </w:tc>
        <w:tc>
          <w:tcPr>
            <w:tcW w:type="dxa" w:w="2016"/>
            <w:tcMar>
              <w:top w:w="60" w:type="dxa"/>
              <w:bottom w:w="60" w:type="dxa"/>
              <w:left w:w="80" w:type="dxa"/>
              <w:right w:w="80" w:type="dxa"/>
            </w:tcMar>
          </w:tcPr>
          <w:p>
            <w:pPr>
              <w:jc w:val="left"/>
            </w:pPr>
            <w:r>
              <w:rPr>
                <w:rFonts w:ascii="Calibri" w:hAnsi="Calibri"/>
                <w:sz w:val="16"/>
              </w:rPr>
              <w:t>Utilidad Neta &gt; Flujo de Caja Operativo (NI &gt; CFO)</w:t>
            </w:r>
          </w:p>
        </w:tc>
        <w:tc>
          <w:tcPr>
            <w:tcW w:type="dxa" w:w="1872"/>
            <w:tcMar>
              <w:top w:w="60" w:type="dxa"/>
              <w:bottom w:w="60" w:type="dxa"/>
              <w:left w:w="80" w:type="dxa"/>
              <w:right w:w="80" w:type="dxa"/>
            </w:tcMar>
          </w:tcPr>
          <w:p>
            <w:pPr>
              <w:jc w:val="left"/>
            </w:pPr>
            <w:r>
              <w:rPr>
                <w:rFonts w:ascii="Calibri" w:hAnsi="Calibri"/>
                <w:sz w:val="16"/>
              </w:rPr>
              <w:t>NI: $128,930.0M vs CFO: $146,724.0M</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La utilidad contable no se transforma en liquidez real. Alerta de beneficios de papel.</w:t>
            </w:r>
          </w:p>
        </w:tc>
      </w:tr>
      <w:tr>
        <w:tc>
          <w:tcPr>
            <w:tcW w:type="dxa" w:w="2160"/>
            <w:tcMar>
              <w:top w:w="60" w:type="dxa"/>
              <w:bottom w:w="60" w:type="dxa"/>
              <w:left w:w="80" w:type="dxa"/>
              <w:right w:w="80" w:type="dxa"/>
            </w:tcMar>
          </w:tcPr>
          <w:p>
            <w:pPr>
              <w:jc w:val="left"/>
            </w:pPr>
            <w:r>
              <w:rPr>
                <w:rFonts w:ascii="Calibri" w:hAnsi="Calibri"/>
                <w:sz w:val="16"/>
              </w:rPr>
              <w:t>2. Cuentas por Cobrar vs. Ventas (DSO)</w:t>
            </w:r>
          </w:p>
        </w:tc>
        <w:tc>
          <w:tcPr>
            <w:tcW w:type="dxa" w:w="2016"/>
            <w:tcMar>
              <w:top w:w="60" w:type="dxa"/>
              <w:bottom w:w="60" w:type="dxa"/>
              <w:left w:w="80" w:type="dxa"/>
              <w:right w:w="80" w:type="dxa"/>
            </w:tcMar>
          </w:tcPr>
          <w:p>
            <w:pPr>
              <w:jc w:val="left"/>
            </w:pPr>
            <w:r>
              <w:rPr>
                <w:rFonts w:ascii="Calibri" w:hAnsi="Calibri"/>
                <w:sz w:val="16"/>
              </w:rPr>
              <w:t>Δ DSO &gt; 0 (o %Δ Cuentas por Cobrar &gt; %Δ Ventas)</w:t>
            </w:r>
          </w:p>
        </w:tc>
        <w:tc>
          <w:tcPr>
            <w:tcW w:type="dxa" w:w="1872"/>
            <w:tcMar>
              <w:top w:w="60" w:type="dxa"/>
              <w:bottom w:w="60" w:type="dxa"/>
              <w:left w:w="80" w:type="dxa"/>
              <w:right w:w="80" w:type="dxa"/>
            </w:tcMar>
          </w:tcPr>
          <w:p>
            <w:pPr>
              <w:jc w:val="left"/>
            </w:pPr>
            <w:r>
              <w:rPr>
                <w:rFonts w:ascii="Calibri" w:hAnsi="Calibri"/>
                <w:sz w:val="16"/>
              </w:rPr>
              <w:t>DSO: 24.5d (Δ: -10.3d)</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El plazo de cobro se dilata o las cuentas a cobrar crecen más rápido que las ventas. Indica relajación de cobros o facturación apresurada (channel stuffing).</w:t>
            </w:r>
          </w:p>
        </w:tc>
      </w:tr>
      <w:tr>
        <w:tc>
          <w:tcPr>
            <w:tcW w:type="dxa" w:w="2160"/>
            <w:tcMar>
              <w:top w:w="60" w:type="dxa"/>
              <w:bottom w:w="60" w:type="dxa"/>
              <w:left w:w="80" w:type="dxa"/>
              <w:right w:w="80" w:type="dxa"/>
            </w:tcMar>
          </w:tcPr>
          <w:p>
            <w:pPr>
              <w:jc w:val="left"/>
            </w:pPr>
            <w:r>
              <w:rPr>
                <w:rFonts w:ascii="Calibri" w:hAnsi="Calibri"/>
                <w:sz w:val="16"/>
              </w:rPr>
              <w:t>3. Inventarios vs. Coste de Ventas (DIO)</w:t>
            </w:r>
          </w:p>
        </w:tc>
        <w:tc>
          <w:tcPr>
            <w:tcW w:type="dxa" w:w="2016"/>
            <w:tcMar>
              <w:top w:w="60" w:type="dxa"/>
              <w:bottom w:w="60" w:type="dxa"/>
              <w:left w:w="80" w:type="dxa"/>
              <w:right w:w="80" w:type="dxa"/>
            </w:tcMar>
          </w:tcPr>
          <w:p>
            <w:pPr>
              <w:jc w:val="left"/>
            </w:pPr>
            <w:r>
              <w:rPr>
                <w:rFonts w:ascii="Calibri" w:hAnsi="Calibri"/>
                <w:sz w:val="16"/>
              </w:rPr>
              <w:t>Δ DIO &gt; 0 (o %Δ Inventarios &gt; %Δ Coste de Ventas)</w:t>
            </w:r>
          </w:p>
        </w:tc>
        <w:tc>
          <w:tcPr>
            <w:tcW w:type="dxa" w:w="1872"/>
            <w:tcMar>
              <w:top w:w="60" w:type="dxa"/>
              <w:bottom w:w="60" w:type="dxa"/>
              <w:left w:w="80" w:type="dxa"/>
              <w:right w:w="80" w:type="dxa"/>
            </w:tcMar>
          </w:tcPr>
          <w:p>
            <w:pPr>
              <w:jc w:val="left"/>
            </w:pPr>
            <w:r>
              <w:rPr>
                <w:rFonts w:ascii="Calibri" w:hAnsi="Calibri"/>
                <w:sz w:val="16"/>
              </w:rPr>
              <w:t>DIO: 16.9d (Δ: +7.4d)</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Las existencias rotan más lento o crecen más rápido que los costes. Puede esconder producto no vendido o absorción de costes en inventario para inflar márgenes.</w:t>
            </w:r>
          </w:p>
        </w:tc>
      </w:tr>
      <w:tr>
        <w:tc>
          <w:tcPr>
            <w:tcW w:type="dxa" w:w="2160"/>
            <w:tcMar>
              <w:top w:w="60" w:type="dxa"/>
              <w:bottom w:w="60" w:type="dxa"/>
              <w:left w:w="80" w:type="dxa"/>
              <w:right w:w="80" w:type="dxa"/>
            </w:tcMar>
          </w:tcPr>
          <w:p>
            <w:pPr>
              <w:jc w:val="left"/>
            </w:pPr>
            <w:r>
              <w:rPr>
                <w:rFonts w:ascii="Calibri" w:hAnsi="Calibri"/>
                <w:sz w:val="16"/>
              </w:rPr>
              <w:t>4. Otros Activos Corrientes vs. Ventas</w:t>
            </w:r>
          </w:p>
        </w:tc>
        <w:tc>
          <w:tcPr>
            <w:tcW w:type="dxa" w:w="2016"/>
            <w:tcMar>
              <w:top w:w="60" w:type="dxa"/>
              <w:bottom w:w="60" w:type="dxa"/>
              <w:left w:w="80" w:type="dxa"/>
              <w:right w:w="80" w:type="dxa"/>
            </w:tcMar>
          </w:tcPr>
          <w:p>
            <w:pPr>
              <w:jc w:val="left"/>
            </w:pPr>
            <w:r>
              <w:rPr>
                <w:rFonts w:ascii="Calibri" w:hAnsi="Calibri"/>
                <w:sz w:val="16"/>
              </w:rPr>
              <w:t>Ratio Otros Act. Ctes/Ventas_t &gt; Ratio Otros Act. Ctes/Ventas_t-1</w:t>
            </w:r>
          </w:p>
        </w:tc>
        <w:tc>
          <w:tcPr>
            <w:tcW w:type="dxa" w:w="1872"/>
            <w:tcMar>
              <w:top w:w="60" w:type="dxa"/>
              <w:bottom w:w="60" w:type="dxa"/>
              <w:left w:w="80" w:type="dxa"/>
              <w:right w:w="80" w:type="dxa"/>
            </w:tcMar>
          </w:tcPr>
          <w:p>
            <w:pPr>
              <w:jc w:val="left"/>
            </w:pPr>
            <w:r>
              <w:rPr>
                <w:rFonts w:ascii="Calibri" w:hAnsi="Calibri"/>
                <w:sz w:val="16"/>
              </w:rPr>
              <w:t>Otros Act/Ventas: 3.73% vs 3.5%</w:t>
            </w:r>
          </w:p>
        </w:tc>
        <w:tc>
          <w:tcPr>
            <w:tcW w:type="dxa" w:w="1152"/>
            <w:tcMar>
              <w:top w:w="60" w:type="dxa"/>
              <w:bottom w:w="60" w:type="dxa"/>
              <w:left w:w="80" w:type="dxa"/>
              <w:right w:w="80" w:type="dxa"/>
            </w:tcMar>
          </w:tcPr>
          <w:p>
            <w:pPr>
              <w:jc w:val="center"/>
            </w:pPr>
            <w:r>
              <w:rPr>
                <w:rFonts w:ascii="Calibri" w:hAnsi="Calibri"/>
                <w:b/>
                <w:color w:val="C00000"/>
                <w:sz w:val="16"/>
              </w:rPr>
              <w:t>🚩 FLAG</w:t>
            </w:r>
          </w:p>
        </w:tc>
        <w:tc>
          <w:tcPr>
            <w:tcW w:type="dxa" w:w="2592"/>
            <w:tcMar>
              <w:top w:w="60" w:type="dxa"/>
              <w:bottom w:w="60" w:type="dxa"/>
              <w:left w:w="80" w:type="dxa"/>
              <w:right w:w="80" w:type="dxa"/>
            </w:tcMar>
          </w:tcPr>
          <w:p>
            <w:pPr>
              <w:jc w:val="left"/>
            </w:pPr>
            <w:r>
              <w:rPr>
                <w:rFonts w:ascii="Calibri" w:hAnsi="Calibri"/>
                <w:sz w:val="16"/>
              </w:rPr>
              <w:t>Incremento del peso relativo de otros activos corrientes. Alerta de partidas dudosas o cargos diferidos ocultos fuera de clientes e inventarios.</w:t>
            </w:r>
          </w:p>
        </w:tc>
      </w:tr>
      <w:tr>
        <w:tc>
          <w:tcPr>
            <w:tcW w:type="dxa" w:w="2160"/>
            <w:tcMar>
              <w:top w:w="60" w:type="dxa"/>
              <w:bottom w:w="60" w:type="dxa"/>
              <w:left w:w="80" w:type="dxa"/>
              <w:right w:w="80" w:type="dxa"/>
            </w:tcMar>
          </w:tcPr>
          <w:p>
            <w:pPr>
              <w:jc w:val="left"/>
            </w:pPr>
            <w:r>
              <w:rPr>
                <w:rFonts w:ascii="Calibri" w:hAnsi="Calibri"/>
                <w:sz w:val="16"/>
              </w:rPr>
              <w:t>5. Reducción de la Tasa de Depreciación</w:t>
            </w:r>
          </w:p>
        </w:tc>
        <w:tc>
          <w:tcPr>
            <w:tcW w:type="dxa" w:w="2016"/>
            <w:tcMar>
              <w:top w:w="60" w:type="dxa"/>
              <w:bottom w:w="60" w:type="dxa"/>
              <w:left w:w="80" w:type="dxa"/>
              <w:right w:w="80" w:type="dxa"/>
            </w:tcMar>
          </w:tcPr>
          <w:p>
            <w:pPr>
              <w:jc w:val="left"/>
            </w:pPr>
            <w:r>
              <w:rPr>
                <w:rFonts w:ascii="Calibri" w:hAnsi="Calibri"/>
                <w:sz w:val="16"/>
              </w:rPr>
              <w:t>Tasa Depreciación_t &lt; Tasa Depreciación_t-1</w:t>
            </w:r>
          </w:p>
        </w:tc>
        <w:tc>
          <w:tcPr>
            <w:tcW w:type="dxa" w:w="1872"/>
            <w:tcMar>
              <w:top w:w="60" w:type="dxa"/>
              <w:bottom w:w="60" w:type="dxa"/>
              <w:left w:w="80" w:type="dxa"/>
              <w:right w:w="80" w:type="dxa"/>
            </w:tcMar>
          </w:tcPr>
          <w:p>
            <w:pPr>
              <w:jc w:val="left"/>
            </w:pPr>
            <w:r>
              <w:rPr>
                <w:rFonts w:ascii="Calibri" w:hAnsi="Calibri"/>
                <w:sz w:val="16"/>
              </w:rPr>
              <w:t>Tasa Deprec: 20.3% vs 19.01%</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Reducción de la amortización contable respecto a los activos brutos, inflando el beneficio neto al estirar vidas útiles estimadas.</w:t>
            </w:r>
          </w:p>
        </w:tc>
      </w:tr>
      <w:tr>
        <w:tc>
          <w:tcPr>
            <w:tcW w:type="dxa" w:w="2160"/>
            <w:tcMar>
              <w:top w:w="60" w:type="dxa"/>
              <w:bottom w:w="60" w:type="dxa"/>
              <w:left w:w="80" w:type="dxa"/>
              <w:right w:w="80" w:type="dxa"/>
            </w:tcMar>
          </w:tcPr>
          <w:p>
            <w:pPr>
              <w:jc w:val="left"/>
            </w:pPr>
            <w:r>
              <w:rPr>
                <w:rFonts w:ascii="Calibri" w:hAnsi="Calibri"/>
                <w:sz w:val="16"/>
              </w:rPr>
              <w:t>6. Crecimiento Excesivo de Activos Totales</w:t>
            </w:r>
          </w:p>
        </w:tc>
        <w:tc>
          <w:tcPr>
            <w:tcW w:type="dxa" w:w="2016"/>
            <w:tcMar>
              <w:top w:w="60" w:type="dxa"/>
              <w:bottom w:w="60" w:type="dxa"/>
              <w:left w:w="80" w:type="dxa"/>
              <w:right w:w="80" w:type="dxa"/>
            </w:tcMar>
          </w:tcPr>
          <w:p>
            <w:pPr>
              <w:jc w:val="left"/>
            </w:pPr>
            <w:r>
              <w:rPr>
                <w:rFonts w:ascii="Calibri" w:hAnsi="Calibri"/>
                <w:sz w:val="16"/>
              </w:rPr>
              <w:t>Δ Activos &gt; 15.0% y Δ Activos &gt; 1.15 * Δ Ventas</w:t>
            </w:r>
          </w:p>
        </w:tc>
        <w:tc>
          <w:tcPr>
            <w:tcW w:type="dxa" w:w="1872"/>
            <w:tcMar>
              <w:top w:w="60" w:type="dxa"/>
              <w:bottom w:w="60" w:type="dxa"/>
              <w:left w:w="80" w:type="dxa"/>
              <w:right w:w="80" w:type="dxa"/>
            </w:tcMar>
          </w:tcPr>
          <w:p>
            <w:pPr>
              <w:jc w:val="left"/>
            </w:pPr>
            <w:r>
              <w:rPr>
                <w:rFonts w:ascii="Calibri" w:hAnsi="Calibri"/>
                <w:sz w:val="16"/>
              </w:rPr>
              <w:t>ΔActivos: +6.7% vs ΔVentas: +12.2%</w:t>
            </w:r>
          </w:p>
        </w:tc>
        <w:tc>
          <w:tcPr>
            <w:tcW w:type="dxa" w:w="1152"/>
            <w:tcMar>
              <w:top w:w="60" w:type="dxa"/>
              <w:bottom w:w="60" w:type="dxa"/>
              <w:left w:w="80" w:type="dxa"/>
              <w:right w:w="80" w:type="dxa"/>
            </w:tcMar>
          </w:tcPr>
          <w:p>
            <w:pPr>
              <w:jc w:val="center"/>
            </w:pPr>
            <w:r>
              <w:rPr>
                <w:rFonts w:ascii="Calibri" w:hAnsi="Calibri"/>
                <w:b/>
                <w:color w:val="276A3C"/>
                <w:sz w:val="16"/>
              </w:rPr>
              <w:t>✅ OK</w:t>
            </w:r>
          </w:p>
        </w:tc>
        <w:tc>
          <w:tcPr>
            <w:tcW w:type="dxa" w:w="2592"/>
            <w:tcMar>
              <w:top w:w="60" w:type="dxa"/>
              <w:bottom w:w="60" w:type="dxa"/>
              <w:left w:w="80" w:type="dxa"/>
              <w:right w:w="80" w:type="dxa"/>
            </w:tcMar>
          </w:tcPr>
          <w:p>
            <w:pPr>
              <w:jc w:val="left"/>
            </w:pPr>
            <w:r>
              <w:rPr>
                <w:rFonts w:ascii="Calibri" w:hAnsi="Calibri"/>
                <w:sz w:val="16"/>
              </w:rPr>
              <w:t>Expansión desproporcionada de balance no respaldada por ventas. Montier advierte que suele utilizarse para disimular debilidad orgánica o acumulación de partidas improductivas.</w:t>
            </w:r>
          </w:p>
        </w:tc>
      </w:tr>
    </w:tbl>
    <w:p>
      <w:pPr>
        <w:spacing w:before="80" w:after="160"/>
      </w:pPr>
      <w:r>
        <w:rPr>
          <w:rFonts w:ascii="Calibri" w:hAnsi="Calibri"/>
          <w:b/>
          <w:color w:val="1B365D"/>
          <w:sz w:val="17"/>
        </w:rPr>
        <w:t>Dictamen Montier: 2 / 6 Banderas — RIESGO MODERADO / ALERTA PREVENTIVA. Probabilidad empírica de manipulación moderada (&lt; 25%).</w:t>
      </w:r>
    </w:p>
    <w:p>
      <w:pPr>
        <w:pStyle w:val="Heading2"/>
      </w:pPr>
      <w:r>
        <w:rPr>
          <w:rFonts w:ascii="Calibri" w:hAnsi="Calibri"/>
          <w:b/>
          <w:color w:val="1B365D"/>
          <w:sz w:val="23"/>
        </w:rPr>
        <w:t>12.4. Cuadro de Mando Consolidado de Fidelidad Contable</w:t>
      </w:r>
    </w:p>
    <w:tbl>
      <w:tblPr>
        <w:tblW w:type="auto" w:w="0"/>
        <w:jc w:val="center"/>
        <w:tblLook w:firstColumn="1" w:firstRow="1" w:lastColumn="0" w:lastRow="0" w:noHBand="0" w:noVBand="1" w:val="04A0"/>
        <w:tblBorders>
          <w:top w:val="single" w:sz="6" w:space="0" w:color="D2D6DC"/>
          <w:left w:val="none"/>
          <w:bottom w:val="single" w:sz="10" w:space="0" w:color="1B365D"/>
          <w:right w:val="none"/>
          <w:insideH w:val="single" w:sz="4" w:space="0" w:color="D2D6DC"/>
          <w:insideV w:val="none"/>
        </w:tblBorders>
      </w:tblPr>
      <w:tblGrid>
        <w:gridCol w:w="2016"/>
        <w:gridCol w:w="2016"/>
        <w:gridCol w:w="1440"/>
        <w:gridCol w:w="1728"/>
        <w:gridCol w:w="2592"/>
      </w:tblGrid>
      <w:tr>
        <w:tc>
          <w:tcPr>
            <w:tcW w:type="dxa" w:w="2016"/>
            <w:shd w:fill="1B365D"/>
            <w:tcMar>
              <w:top w:w="80" w:type="dxa"/>
              <w:bottom w:w="80" w:type="dxa"/>
              <w:left w:w="80" w:type="dxa"/>
              <w:right w:w="80" w:type="dxa"/>
            </w:tcMar>
          </w:tcPr>
          <w:p>
            <w:pPr>
              <w:jc w:val="left"/>
            </w:pPr>
            <w:r>
              <w:rPr>
                <w:rFonts w:ascii="Calibri" w:hAnsi="Calibri"/>
                <w:b/>
                <w:color w:val="FFFFFF"/>
                <w:sz w:val="17"/>
              </w:rPr>
              <w:t>Dimensión Forense</w:t>
            </w:r>
          </w:p>
        </w:tc>
        <w:tc>
          <w:tcPr>
            <w:tcW w:type="dxa" w:w="2016"/>
            <w:shd w:fill="1B365D"/>
            <w:tcMar>
              <w:top w:w="80" w:type="dxa"/>
              <w:bottom w:w="80" w:type="dxa"/>
              <w:left w:w="80" w:type="dxa"/>
              <w:right w:w="80" w:type="dxa"/>
            </w:tcMar>
          </w:tcPr>
          <w:p>
            <w:pPr>
              <w:jc w:val="left"/>
            </w:pPr>
            <w:r>
              <w:rPr>
                <w:rFonts w:ascii="Calibri" w:hAnsi="Calibri"/>
                <w:b/>
                <w:color w:val="FFFFFF"/>
                <w:sz w:val="17"/>
              </w:rPr>
              <w:t>Indicador Clave</w:t>
            </w:r>
          </w:p>
        </w:tc>
        <w:tc>
          <w:tcPr>
            <w:tcW w:type="dxa" w:w="1440"/>
            <w:shd w:fill="1B365D"/>
            <w:tcMar>
              <w:top w:w="80" w:type="dxa"/>
              <w:bottom w:w="80" w:type="dxa"/>
              <w:left w:w="80" w:type="dxa"/>
              <w:right w:w="80" w:type="dxa"/>
            </w:tcMar>
          </w:tcPr>
          <w:p>
            <w:pPr>
              <w:jc w:val="center"/>
            </w:pPr>
            <w:r>
              <w:rPr>
                <w:rFonts w:ascii="Calibri" w:hAnsi="Calibri"/>
                <w:b/>
                <w:color w:val="FFFFFF"/>
                <w:sz w:val="17"/>
              </w:rPr>
              <w:t>Valor LTM</w:t>
            </w:r>
          </w:p>
        </w:tc>
        <w:tc>
          <w:tcPr>
            <w:tcW w:type="dxa" w:w="1728"/>
            <w:shd w:fill="1B365D"/>
            <w:tcMar>
              <w:top w:w="80" w:type="dxa"/>
              <w:bottom w:w="80" w:type="dxa"/>
              <w:left w:w="80" w:type="dxa"/>
              <w:right w:w="80" w:type="dxa"/>
            </w:tcMar>
          </w:tcPr>
          <w:p>
            <w:pPr>
              <w:jc w:val="center"/>
            </w:pPr>
            <w:r>
              <w:rPr>
                <w:rFonts w:ascii="Calibri" w:hAnsi="Calibri"/>
                <w:b/>
                <w:color w:val="FFFFFF"/>
                <w:sz w:val="17"/>
              </w:rPr>
              <w:t>Zona de Seguridad</w:t>
            </w:r>
          </w:p>
        </w:tc>
        <w:tc>
          <w:tcPr>
            <w:tcW w:type="dxa" w:w="2592"/>
            <w:shd w:fill="1B365D"/>
            <w:tcMar>
              <w:top w:w="80" w:type="dxa"/>
              <w:bottom w:w="80" w:type="dxa"/>
              <w:left w:w="80" w:type="dxa"/>
              <w:right w:w="80" w:type="dxa"/>
            </w:tcMar>
          </w:tcPr>
          <w:p>
            <w:pPr>
              <w:jc w:val="left"/>
            </w:pPr>
            <w:r>
              <w:rPr>
                <w:rFonts w:ascii="Calibri" w:hAnsi="Calibri"/>
                <w:b/>
                <w:color w:val="FFFFFF"/>
                <w:sz w:val="17"/>
              </w:rPr>
              <w:t>Diagnóstico para el Inversor</w:t>
            </w:r>
          </w:p>
        </w:tc>
      </w:tr>
      <w:tr>
        <w:tc>
          <w:tcPr>
            <w:tcW w:type="dxa" w:w="2016"/>
            <w:tcMar>
              <w:top w:w="60" w:type="dxa"/>
              <w:bottom w:w="60" w:type="dxa"/>
              <w:left w:w="80" w:type="dxa"/>
              <w:right w:w="80" w:type="dxa"/>
            </w:tcMar>
          </w:tcPr>
          <w:p>
            <w:pPr>
              <w:jc w:val="left"/>
            </w:pPr>
            <w:r>
              <w:rPr>
                <w:rFonts w:ascii="Calibri" w:hAnsi="Calibri"/>
                <w:b/>
                <w:sz w:val="17"/>
              </w:rPr>
              <w:t>Calidad de Beneficios</w:t>
            </w:r>
          </w:p>
        </w:tc>
        <w:tc>
          <w:tcPr>
            <w:tcW w:type="dxa" w:w="2016"/>
            <w:tcMar>
              <w:top w:w="60" w:type="dxa"/>
              <w:bottom w:w="60" w:type="dxa"/>
              <w:left w:w="80" w:type="dxa"/>
              <w:right w:w="80" w:type="dxa"/>
            </w:tcMar>
          </w:tcPr>
          <w:p>
            <w:pPr>
              <w:jc w:val="left"/>
            </w:pPr>
            <w:r>
              <w:rPr>
                <w:rFonts w:ascii="Calibri" w:hAnsi="Calibri"/>
                <w:b/>
                <w:sz w:val="17"/>
              </w:rPr>
              <w:t>Ratio Devengos Sloan</w:t>
            </w:r>
          </w:p>
        </w:tc>
        <w:tc>
          <w:tcPr>
            <w:tcW w:type="dxa" w:w="1440"/>
            <w:tcMar>
              <w:top w:w="60" w:type="dxa"/>
              <w:bottom w:w="60" w:type="dxa"/>
              <w:left w:w="80" w:type="dxa"/>
              <w:right w:w="80" w:type="dxa"/>
            </w:tcMar>
          </w:tcPr>
          <w:p>
            <w:pPr>
              <w:jc w:val="center"/>
            </w:pPr>
            <w:r>
              <w:rPr>
                <w:rFonts w:ascii="Calibri" w:hAnsi="Calibri"/>
                <w:sz w:val="17"/>
              </w:rPr>
              <w:t>-4.79%</w:t>
            </w:r>
          </w:p>
        </w:tc>
        <w:tc>
          <w:tcPr>
            <w:tcW w:type="dxa" w:w="1728"/>
            <w:tcMar>
              <w:top w:w="60" w:type="dxa"/>
              <w:bottom w:w="60" w:type="dxa"/>
              <w:left w:w="80" w:type="dxa"/>
              <w:right w:w="80" w:type="dxa"/>
            </w:tcMar>
          </w:tcPr>
          <w:p>
            <w:pPr>
              <w:jc w:val="center"/>
            </w:pPr>
            <w:r>
              <w:rPr>
                <w:rFonts w:ascii="Calibri" w:hAnsi="Calibri"/>
                <w:sz w:val="17"/>
              </w:rPr>
              <w:t>&lt; -3.0% (Excelente)</w:t>
            </w:r>
          </w:p>
        </w:tc>
        <w:tc>
          <w:tcPr>
            <w:tcW w:type="dxa" w:w="2592"/>
            <w:tcMar>
              <w:top w:w="60" w:type="dxa"/>
              <w:bottom w:w="60" w:type="dxa"/>
              <w:left w:w="80" w:type="dxa"/>
              <w:right w:w="80" w:type="dxa"/>
            </w:tcMar>
          </w:tcPr>
          <w:p>
            <w:pPr>
              <w:jc w:val="left"/>
            </w:pPr>
            <w:r>
              <w:rPr>
                <w:rFonts w:ascii="Calibri" w:hAnsi="Calibri"/>
                <w:sz w:val="17"/>
              </w:rPr>
              <w:t>Caja operativa supera a utilidad; devengos negativos protectores.</w:t>
            </w:r>
          </w:p>
        </w:tc>
      </w:tr>
      <w:tr>
        <w:tc>
          <w:tcPr>
            <w:tcW w:type="dxa" w:w="2016"/>
            <w:tcMar>
              <w:top w:w="60" w:type="dxa"/>
              <w:bottom w:w="60" w:type="dxa"/>
              <w:left w:w="80" w:type="dxa"/>
              <w:right w:w="80" w:type="dxa"/>
            </w:tcMar>
          </w:tcPr>
          <w:p>
            <w:pPr>
              <w:jc w:val="left"/>
            </w:pPr>
            <w:r>
              <w:rPr>
                <w:rFonts w:ascii="Calibri" w:hAnsi="Calibri"/>
                <w:b/>
                <w:sz w:val="17"/>
              </w:rPr>
              <w:t>Conversión de Ganancias</w:t>
            </w:r>
          </w:p>
        </w:tc>
        <w:tc>
          <w:tcPr>
            <w:tcW w:type="dxa" w:w="2016"/>
            <w:tcMar>
              <w:top w:w="60" w:type="dxa"/>
              <w:bottom w:w="60" w:type="dxa"/>
              <w:left w:w="80" w:type="dxa"/>
              <w:right w:w="80" w:type="dxa"/>
            </w:tcMar>
          </w:tcPr>
          <w:p>
            <w:pPr>
              <w:jc w:val="left"/>
            </w:pPr>
            <w:r>
              <w:rPr>
                <w:rFonts w:ascii="Calibri" w:hAnsi="Calibri"/>
                <w:b/>
                <w:sz w:val="17"/>
              </w:rPr>
              <w:t>Ratio CFO / Net Income</w:t>
            </w:r>
          </w:p>
        </w:tc>
        <w:tc>
          <w:tcPr>
            <w:tcW w:type="dxa" w:w="1440"/>
            <w:tcMar>
              <w:top w:w="60" w:type="dxa"/>
              <w:bottom w:w="60" w:type="dxa"/>
              <w:left w:w="80" w:type="dxa"/>
              <w:right w:w="80" w:type="dxa"/>
            </w:tcMar>
          </w:tcPr>
          <w:p>
            <w:pPr>
              <w:jc w:val="center"/>
            </w:pPr>
            <w:r>
              <w:rPr>
                <w:rFonts w:ascii="Calibri" w:hAnsi="Calibri"/>
                <w:sz w:val="17"/>
              </w:rPr>
              <w:t>113.8%</w:t>
            </w:r>
          </w:p>
        </w:tc>
        <w:tc>
          <w:tcPr>
            <w:tcW w:type="dxa" w:w="1728"/>
            <w:tcMar>
              <w:top w:w="60" w:type="dxa"/>
              <w:bottom w:w="60" w:type="dxa"/>
              <w:left w:w="80" w:type="dxa"/>
              <w:right w:w="80" w:type="dxa"/>
            </w:tcMar>
          </w:tcPr>
          <w:p>
            <w:pPr>
              <w:jc w:val="center"/>
            </w:pPr>
            <w:r>
              <w:rPr>
                <w:rFonts w:ascii="Calibri" w:hAnsi="Calibri"/>
                <w:sz w:val="17"/>
              </w:rPr>
              <w:t>&gt; 100.0%</w:t>
            </w:r>
          </w:p>
        </w:tc>
        <w:tc>
          <w:tcPr>
            <w:tcW w:type="dxa" w:w="2592"/>
            <w:tcMar>
              <w:top w:w="60" w:type="dxa"/>
              <w:bottom w:w="60" w:type="dxa"/>
              <w:left w:w="80" w:type="dxa"/>
              <w:right w:w="80" w:type="dxa"/>
            </w:tcMar>
          </w:tcPr>
          <w:p>
            <w:pPr>
              <w:jc w:val="left"/>
            </w:pPr>
            <w:r>
              <w:rPr>
                <w:rFonts w:ascii="Calibri" w:hAnsi="Calibri"/>
                <w:sz w:val="17"/>
              </w:rPr>
              <w:t>Conversión ultra-eficiente de beneficios contables en liquidez real.</w:t>
            </w:r>
          </w:p>
        </w:tc>
      </w:tr>
      <w:tr>
        <w:tc>
          <w:tcPr>
            <w:tcW w:type="dxa" w:w="2016"/>
            <w:tcMar>
              <w:top w:w="60" w:type="dxa"/>
              <w:bottom w:w="60" w:type="dxa"/>
              <w:left w:w="80" w:type="dxa"/>
              <w:right w:w="80" w:type="dxa"/>
            </w:tcMar>
          </w:tcPr>
          <w:p>
            <w:pPr>
              <w:jc w:val="left"/>
            </w:pPr>
            <w:r>
              <w:rPr>
                <w:rFonts w:ascii="Calibri" w:hAnsi="Calibri"/>
                <w:b/>
                <w:sz w:val="17"/>
              </w:rPr>
              <w:t>Riesgo Channel Stuffing</w:t>
            </w:r>
          </w:p>
        </w:tc>
        <w:tc>
          <w:tcPr>
            <w:tcW w:type="dxa" w:w="2016"/>
            <w:tcMar>
              <w:top w:w="60" w:type="dxa"/>
              <w:bottom w:w="60" w:type="dxa"/>
              <w:left w:w="80" w:type="dxa"/>
              <w:right w:w="80" w:type="dxa"/>
            </w:tcMar>
          </w:tcPr>
          <w:p>
            <w:pPr>
              <w:jc w:val="left"/>
            </w:pPr>
            <w:r>
              <w:rPr>
                <w:rFonts w:ascii="Calibri" w:hAnsi="Calibri"/>
                <w:b/>
                <w:sz w:val="17"/>
              </w:rPr>
              <w:t>Spread AR vs. Ventas</w:t>
            </w:r>
          </w:p>
        </w:tc>
        <w:tc>
          <w:tcPr>
            <w:tcW w:type="dxa" w:w="1440"/>
            <w:tcMar>
              <w:top w:w="60" w:type="dxa"/>
              <w:bottom w:w="60" w:type="dxa"/>
              <w:left w:w="80" w:type="dxa"/>
              <w:right w:w="80" w:type="dxa"/>
            </w:tcMar>
          </w:tcPr>
          <w:p>
            <w:pPr>
              <w:jc w:val="center"/>
            </w:pPr>
            <w:r>
              <w:rPr>
                <w:rFonts w:ascii="Calibri" w:hAnsi="Calibri"/>
                <w:sz w:val="17"/>
              </w:rPr>
              <w:t>-33.2%</w:t>
            </w:r>
          </w:p>
        </w:tc>
        <w:tc>
          <w:tcPr>
            <w:tcW w:type="dxa" w:w="1728"/>
            <w:tcMar>
              <w:top w:w="60" w:type="dxa"/>
              <w:bottom w:w="60" w:type="dxa"/>
              <w:left w:w="80" w:type="dxa"/>
              <w:right w:w="80" w:type="dxa"/>
            </w:tcMar>
          </w:tcPr>
          <w:p>
            <w:pPr>
              <w:jc w:val="center"/>
            </w:pPr>
            <w:r>
              <w:rPr>
                <w:rFonts w:ascii="Calibri" w:hAnsi="Calibri"/>
                <w:sz w:val="17"/>
              </w:rPr>
              <w:t>&lt; +10.0%</w:t>
            </w:r>
          </w:p>
        </w:tc>
        <w:tc>
          <w:tcPr>
            <w:tcW w:type="dxa" w:w="2592"/>
            <w:tcMar>
              <w:top w:w="60" w:type="dxa"/>
              <w:bottom w:w="60" w:type="dxa"/>
              <w:left w:w="80" w:type="dxa"/>
              <w:right w:w="80" w:type="dxa"/>
            </w:tcMar>
          </w:tcPr>
          <w:p>
            <w:pPr>
              <w:jc w:val="left"/>
            </w:pPr>
            <w:r>
              <w:rPr>
                <w:rFonts w:ascii="Calibri" w:hAnsi="Calibri"/>
                <w:sz w:val="17"/>
              </w:rPr>
              <w:t>Cobranza disciplinada (DSO: 24.5d); cobros sincronizados sin ventas infladas.</w:t>
            </w:r>
          </w:p>
        </w:tc>
      </w:tr>
      <w:tr>
        <w:tc>
          <w:tcPr>
            <w:tcW w:type="dxa" w:w="2016"/>
            <w:tcMar>
              <w:top w:w="60" w:type="dxa"/>
              <w:bottom w:w="60" w:type="dxa"/>
              <w:left w:w="80" w:type="dxa"/>
              <w:right w:w="80" w:type="dxa"/>
            </w:tcMar>
          </w:tcPr>
          <w:p>
            <w:pPr>
              <w:jc w:val="left"/>
            </w:pPr>
            <w:r>
              <w:rPr>
                <w:rFonts w:ascii="Calibri" w:hAnsi="Calibri"/>
                <w:b/>
                <w:sz w:val="17"/>
              </w:rPr>
              <w:t>Gestión de Existencias</w:t>
            </w:r>
          </w:p>
        </w:tc>
        <w:tc>
          <w:tcPr>
            <w:tcW w:type="dxa" w:w="2016"/>
            <w:tcMar>
              <w:top w:w="60" w:type="dxa"/>
              <w:bottom w:w="60" w:type="dxa"/>
              <w:left w:w="80" w:type="dxa"/>
              <w:right w:w="80" w:type="dxa"/>
            </w:tcMar>
          </w:tcPr>
          <w:p>
            <w:pPr>
              <w:jc w:val="left"/>
            </w:pPr>
            <w:r>
              <w:rPr>
                <w:rFonts w:ascii="Calibri" w:hAnsi="Calibri"/>
                <w:b/>
                <w:sz w:val="17"/>
              </w:rPr>
              <w:t>Días Inventario (DIO)</w:t>
            </w:r>
          </w:p>
        </w:tc>
        <w:tc>
          <w:tcPr>
            <w:tcW w:type="dxa" w:w="1440"/>
            <w:tcMar>
              <w:top w:w="60" w:type="dxa"/>
              <w:bottom w:w="60" w:type="dxa"/>
              <w:left w:w="80" w:type="dxa"/>
              <w:right w:w="80" w:type="dxa"/>
            </w:tcMar>
          </w:tcPr>
          <w:p>
            <w:pPr>
              <w:jc w:val="center"/>
            </w:pPr>
            <w:r>
              <w:rPr>
                <w:rFonts w:ascii="Calibri" w:hAnsi="Calibri"/>
                <w:sz w:val="17"/>
              </w:rPr>
              <w:t>16.9 días</w:t>
            </w:r>
          </w:p>
        </w:tc>
        <w:tc>
          <w:tcPr>
            <w:tcW w:type="dxa" w:w="1728"/>
            <w:tcMar>
              <w:top w:w="60" w:type="dxa"/>
              <w:bottom w:w="60" w:type="dxa"/>
              <w:left w:w="80" w:type="dxa"/>
              <w:right w:w="80" w:type="dxa"/>
            </w:tcMar>
          </w:tcPr>
          <w:p>
            <w:pPr>
              <w:jc w:val="center"/>
            </w:pPr>
            <w:r>
              <w:rPr>
                <w:rFonts w:ascii="Calibri" w:hAnsi="Calibri"/>
                <w:sz w:val="17"/>
              </w:rPr>
              <w:t>&lt; 45 días</w:t>
            </w:r>
          </w:p>
        </w:tc>
        <w:tc>
          <w:tcPr>
            <w:tcW w:type="dxa" w:w="2592"/>
            <w:tcMar>
              <w:top w:w="60" w:type="dxa"/>
              <w:bottom w:w="60" w:type="dxa"/>
              <w:left w:w="80" w:type="dxa"/>
              <w:right w:w="80" w:type="dxa"/>
            </w:tcMar>
          </w:tcPr>
          <w:p>
            <w:pPr>
              <w:jc w:val="left"/>
            </w:pPr>
            <w:r>
              <w:rPr>
                <w:rFonts w:ascii="Calibri" w:hAnsi="Calibri"/>
                <w:sz w:val="17"/>
              </w:rPr>
              <w:t>Rotación ultra-rápida (16.9d); mínima inmovilización de capital.</w:t>
            </w:r>
          </w:p>
        </w:tc>
      </w:tr>
      <w:tr>
        <w:tc>
          <w:tcPr>
            <w:tcW w:type="dxa" w:w="2016"/>
            <w:tcMar>
              <w:top w:w="60" w:type="dxa"/>
              <w:bottom w:w="60" w:type="dxa"/>
              <w:left w:w="80" w:type="dxa"/>
              <w:right w:w="80" w:type="dxa"/>
            </w:tcMar>
          </w:tcPr>
          <w:p>
            <w:pPr>
              <w:jc w:val="left"/>
            </w:pPr>
            <w:r>
              <w:rPr>
                <w:rFonts w:ascii="Calibri" w:hAnsi="Calibri"/>
                <w:b/>
                <w:sz w:val="17"/>
              </w:rPr>
              <w:t>Integridad del Balance</w:t>
            </w:r>
          </w:p>
        </w:tc>
        <w:tc>
          <w:tcPr>
            <w:tcW w:type="dxa" w:w="2016"/>
            <w:tcMar>
              <w:top w:w="60" w:type="dxa"/>
              <w:bottom w:w="60" w:type="dxa"/>
              <w:left w:w="80" w:type="dxa"/>
              <w:right w:w="80" w:type="dxa"/>
            </w:tcMar>
          </w:tcPr>
          <w:p>
            <w:pPr>
              <w:jc w:val="left"/>
            </w:pPr>
            <w:r>
              <w:rPr>
                <w:rFonts w:ascii="Calibri" w:hAnsi="Calibri"/>
                <w:b/>
                <w:sz w:val="17"/>
              </w:rPr>
              <w:t>Variación Activos Blandos</w:t>
            </w:r>
          </w:p>
        </w:tc>
        <w:tc>
          <w:tcPr>
            <w:tcW w:type="dxa" w:w="1440"/>
            <w:tcMar>
              <w:top w:w="60" w:type="dxa"/>
              <w:bottom w:w="60" w:type="dxa"/>
              <w:left w:w="80" w:type="dxa"/>
              <w:right w:w="80" w:type="dxa"/>
            </w:tcMar>
          </w:tcPr>
          <w:p>
            <w:pPr>
              <w:jc w:val="center"/>
            </w:pPr>
            <w:r>
              <w:rPr>
                <w:rFonts w:ascii="Calibri" w:hAnsi="Calibri"/>
                <w:sz w:val="17"/>
              </w:rPr>
              <w:t>+0.1 pp</w:t>
            </w:r>
          </w:p>
        </w:tc>
        <w:tc>
          <w:tcPr>
            <w:tcW w:type="dxa" w:w="1728"/>
            <w:tcMar>
              <w:top w:w="60" w:type="dxa"/>
              <w:bottom w:w="60" w:type="dxa"/>
              <w:left w:w="80" w:type="dxa"/>
              <w:right w:w="80" w:type="dxa"/>
            </w:tcMar>
          </w:tcPr>
          <w:p>
            <w:pPr>
              <w:jc w:val="center"/>
            </w:pPr>
            <w:r>
              <w:rPr>
                <w:rFonts w:ascii="Calibri" w:hAnsi="Calibri"/>
                <w:sz w:val="17"/>
              </w:rPr>
              <w:t>&lt; +2.0 pp</w:t>
            </w:r>
          </w:p>
        </w:tc>
        <w:tc>
          <w:tcPr>
            <w:tcW w:type="dxa" w:w="2592"/>
            <w:tcMar>
              <w:top w:w="60" w:type="dxa"/>
              <w:bottom w:w="60" w:type="dxa"/>
              <w:left w:w="80" w:type="dxa"/>
              <w:right w:w="80" w:type="dxa"/>
            </w:tcMar>
          </w:tcPr>
          <w:p>
            <w:pPr>
              <w:jc w:val="left"/>
            </w:pPr>
            <w:r>
              <w:rPr>
                <w:rFonts w:ascii="Calibri" w:hAnsi="Calibri"/>
                <w:sz w:val="17"/>
              </w:rPr>
              <w:t>Cero distorsión; gastos operativos no se activan en el balance.</w:t>
            </w:r>
          </w:p>
        </w:tc>
      </w:tr>
      <w:tr>
        <w:tc>
          <w:tcPr>
            <w:tcW w:type="dxa" w:w="2016"/>
            <w:tcMar>
              <w:top w:w="60" w:type="dxa"/>
              <w:bottom w:w="60" w:type="dxa"/>
              <w:left w:w="80" w:type="dxa"/>
              <w:right w:w="80" w:type="dxa"/>
            </w:tcMar>
          </w:tcPr>
          <w:p>
            <w:pPr>
              <w:jc w:val="left"/>
            </w:pPr>
            <w:r>
              <w:rPr>
                <w:rFonts w:ascii="Calibri" w:hAnsi="Calibri"/>
                <w:b/>
                <w:sz w:val="17"/>
              </w:rPr>
              <w:t>Manipulación Agregada</w:t>
            </w:r>
          </w:p>
        </w:tc>
        <w:tc>
          <w:tcPr>
            <w:tcW w:type="dxa" w:w="2016"/>
            <w:tcMar>
              <w:top w:w="60" w:type="dxa"/>
              <w:bottom w:w="60" w:type="dxa"/>
              <w:left w:w="80" w:type="dxa"/>
              <w:right w:w="80" w:type="dxa"/>
            </w:tcMar>
          </w:tcPr>
          <w:p>
            <w:pPr>
              <w:jc w:val="left"/>
            </w:pPr>
            <w:r>
              <w:rPr>
                <w:rFonts w:ascii="Calibri" w:hAnsi="Calibri"/>
                <w:b/>
                <w:sz w:val="17"/>
              </w:rPr>
              <w:t>Montier C-Score Total</w:t>
            </w:r>
          </w:p>
        </w:tc>
        <w:tc>
          <w:tcPr>
            <w:tcW w:type="dxa" w:w="1440"/>
            <w:tcMar>
              <w:top w:w="60" w:type="dxa"/>
              <w:bottom w:w="60" w:type="dxa"/>
              <w:left w:w="80" w:type="dxa"/>
              <w:right w:w="80" w:type="dxa"/>
            </w:tcMar>
          </w:tcPr>
          <w:p>
            <w:pPr>
              <w:jc w:val="center"/>
            </w:pPr>
            <w:r>
              <w:rPr>
                <w:rFonts w:ascii="Calibri" w:hAnsi="Calibri"/>
                <w:sz w:val="17"/>
              </w:rPr>
              <w:t>2 / 6</w:t>
            </w:r>
          </w:p>
        </w:tc>
        <w:tc>
          <w:tcPr>
            <w:tcW w:type="dxa" w:w="1728"/>
            <w:tcMar>
              <w:top w:w="60" w:type="dxa"/>
              <w:bottom w:w="60" w:type="dxa"/>
              <w:left w:w="80" w:type="dxa"/>
              <w:right w:w="80" w:type="dxa"/>
            </w:tcMar>
          </w:tcPr>
          <w:p>
            <w:pPr>
              <w:jc w:val="center"/>
            </w:pPr>
            <w:r>
              <w:rPr>
                <w:rFonts w:ascii="Calibri" w:hAnsi="Calibri"/>
                <w:sz w:val="17"/>
              </w:rPr>
              <w:t>0 - 1 Banderas</w:t>
            </w:r>
          </w:p>
        </w:tc>
        <w:tc>
          <w:tcPr>
            <w:tcW w:type="dxa" w:w="2592"/>
            <w:tcMar>
              <w:top w:w="60" w:type="dxa"/>
              <w:bottom w:w="60" w:type="dxa"/>
              <w:left w:w="80" w:type="dxa"/>
              <w:right w:w="80" w:type="dxa"/>
            </w:tcMar>
          </w:tcPr>
          <w:p>
            <w:pPr>
              <w:jc w:val="left"/>
            </w:pPr>
            <w:r>
              <w:rPr>
                <w:rFonts w:ascii="Calibri" w:hAnsi="Calibri"/>
                <w:sz w:val="17"/>
              </w:rPr>
              <w:t>Riesgo moderado (2/6); banderas operativas no constitutivas de fraude (&lt; 25%).</w:t>
            </w:r>
          </w:p>
        </w:tc>
      </w:tr>
    </w:tbl>
    <w:p>
      <w:pPr>
        <w:spacing w:after="160"/>
      </w:pPr>
    </w:p>
    <w:p>
      <w:pPr>
        <w:pStyle w:val="Heading1"/>
      </w:pPr>
      <w:r>
        <w:t>13. Solvencia, Deuda y Estrés Financiero (Credit Risk Engine)</w:t>
      </w:r>
    </w:p>
    <w:tbl>
      <w:tblPr>
        <w:tblW w:type="auto" w:w="0"/>
        <w:jc w:val="center"/>
        <w:tblLook w:firstColumn="1" w:firstRow="1" w:lastColumn="0" w:lastRow="0" w:noHBand="0" w:noVBand="1" w:val="04A0"/>
      </w:tblPr>
      <w:tblGrid>
        <w:gridCol w:w="9792"/>
      </w:tblGrid>
      <w:tr>
        <w:tc>
          <w:tcPr>
            <w:tcW w:type="dxa" w:w="9792"/>
            <w:shd w:fill="F0F4F8"/>
            <w:tcMar>
              <w:top w:w="140" w:type="dxa"/>
              <w:bottom w:w="140" w:type="dxa"/>
              <w:left w:w="180" w:type="dxa"/>
              <w:right w:w="180" w:type="dxa"/>
            </w:tcMar>
          </w:tcPr>
          <w:p>
            <w:r>
              <w:rPr>
                <w:b/>
                <w:color w:val="1B365D"/>
                <w:sz w:val="22"/>
              </w:rPr>
              <w:t>DICTAMEN GLOBAL DE SOLVENCIA (LTM): MÁXIMA SOLVENCIA INSTITUCIONAL</w:t>
              <w:br/>
            </w:r>
            <w:r>
              <w:rPr>
                <w:color w:val="2D3748"/>
                <w:sz w:val="19"/>
              </w:rPr>
              <w:t>Rating Sintético Damodaran: AAA (GRADO INSTITUCIONAL MÁXIMO (AAA / Aaa)) | Altman Z''-Score: 3.23 [ZONA SEGURA]</w:t>
              <w:br/>
              <w:br/>
              <w:t>FORTALEZA FINANCIERA INQUEBRANTABLE (GRADO INSTITUCIONAL AAA/AA): Apalancamiento óptimo (0.12x), cobertura de intereses de 41.8x y Altman Z''-Score de 3.23 en Zona Segura. Cero estrés crediticio, con capacidad excepcional de financiación en cualquier ciclo macroeconómico.</w:t>
            </w:r>
          </w:p>
        </w:tc>
      </w:tr>
    </w:tbl>
    <w:p/>
    <w:p>
      <w:pPr>
        <w:pStyle w:val="Heading2"/>
      </w:pPr>
      <w:r>
        <w:t>13.1. Apalancamiento y Capacidad de Amortización (Cash Flow Leverage)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Amortización</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Diagnóstico</w:t>
            </w:r>
          </w:p>
        </w:tc>
      </w:tr>
      <w:tr>
        <w:tc>
          <w:tcPr>
            <w:tcW w:type="dxa" w:w="2448"/>
          </w:tcPr>
          <w:p>
            <w:r>
              <w:rPr>
                <w:b/>
                <w:sz w:val="17"/>
              </w:rPr>
              <w:t>Deuda Financiera Total</w:t>
            </w:r>
          </w:p>
        </w:tc>
        <w:tc>
          <w:tcPr>
            <w:tcW w:type="dxa" w:w="2448"/>
          </w:tcPr>
          <w:p>
            <w:r>
              <w:rPr>
                <w:sz w:val="17"/>
              </w:rPr>
              <w:t>Short + Long Term Debt</w:t>
            </w:r>
          </w:p>
        </w:tc>
        <w:tc>
          <w:tcPr>
            <w:tcW w:type="dxa" w:w="2448"/>
          </w:tcPr>
          <w:p>
            <w:r>
              <w:rPr>
                <w:b/>
                <w:sz w:val="17"/>
              </w:rPr>
              <w:t>$82,347.0M</w:t>
            </w:r>
          </w:p>
        </w:tc>
        <w:tc>
          <w:tcPr>
            <w:tcW w:type="dxa" w:w="2448"/>
          </w:tcPr>
          <w:p>
            <w:r>
              <w:rPr>
                <w:sz w:val="17"/>
              </w:rPr>
              <w:t>Referencia Balance</w:t>
            </w:r>
          </w:p>
        </w:tc>
      </w:tr>
      <w:tr>
        <w:tc>
          <w:tcPr>
            <w:tcW w:type="dxa" w:w="2448"/>
            <w:shd w:fill="F7FAFC"/>
          </w:tcPr>
          <w:p>
            <w:r>
              <w:rPr>
                <w:b/>
                <w:sz w:val="17"/>
              </w:rPr>
              <w:t>Tesorería y Equivalentes</w:t>
            </w:r>
          </w:p>
        </w:tc>
        <w:tc>
          <w:tcPr>
            <w:tcW w:type="dxa" w:w="2448"/>
            <w:shd w:fill="F7FAFC"/>
          </w:tcPr>
          <w:p>
            <w:r>
              <w:rPr>
                <w:sz w:val="17"/>
              </w:rPr>
              <w:t>Cash &amp; Equivalents</w:t>
            </w:r>
          </w:p>
        </w:tc>
        <w:tc>
          <w:tcPr>
            <w:tcW w:type="dxa" w:w="2448"/>
            <w:shd w:fill="F7FAFC"/>
          </w:tcPr>
          <w:p>
            <w:r>
              <w:rPr>
                <w:b/>
                <w:sz w:val="17"/>
              </w:rPr>
              <w:t>$62,399.0M</w:t>
            </w:r>
          </w:p>
        </w:tc>
        <w:tc>
          <w:tcPr>
            <w:tcW w:type="dxa" w:w="2448"/>
            <w:shd w:fill="F7FAFC"/>
          </w:tcPr>
          <w:p>
            <w:r>
              <w:rPr>
                <w:sz w:val="17"/>
              </w:rPr>
              <w:t>Liquidez Inmediata</w:t>
            </w:r>
          </w:p>
        </w:tc>
      </w:tr>
      <w:tr>
        <w:tc>
          <w:tcPr>
            <w:tcW w:type="dxa" w:w="2448"/>
          </w:tcPr>
          <w:p>
            <w:r>
              <w:rPr>
                <w:b/>
                <w:sz w:val="17"/>
              </w:rPr>
              <w:t>Deuda Financiera Neta</w:t>
            </w:r>
          </w:p>
        </w:tc>
        <w:tc>
          <w:tcPr>
            <w:tcW w:type="dxa" w:w="2448"/>
          </w:tcPr>
          <w:p>
            <w:r>
              <w:rPr>
                <w:sz w:val="17"/>
              </w:rPr>
              <w:t>Deuda Total - Tesorería</w:t>
            </w:r>
          </w:p>
        </w:tc>
        <w:tc>
          <w:tcPr>
            <w:tcW w:type="dxa" w:w="2448"/>
          </w:tcPr>
          <w:p>
            <w:r>
              <w:rPr>
                <w:b/>
                <w:sz w:val="17"/>
              </w:rPr>
              <w:t>$19,948.0M</w:t>
            </w:r>
          </w:p>
        </w:tc>
        <w:tc>
          <w:tcPr>
            <w:tcW w:type="dxa" w:w="2448"/>
          </w:tcPr>
          <w:p>
            <w:r>
              <w:rPr>
                <w:sz w:val="17"/>
              </w:rPr>
              <w:t>Deuda Neta</w:t>
            </w:r>
          </w:p>
        </w:tc>
      </w:tr>
      <w:tr>
        <w:tc>
          <w:tcPr>
            <w:tcW w:type="dxa" w:w="2448"/>
            <w:shd w:fill="F7FAFC"/>
          </w:tcPr>
          <w:p>
            <w:r>
              <w:rPr>
                <w:b/>
                <w:sz w:val="17"/>
              </w:rPr>
              <w:t>Deuda Neta / EBITDA</w:t>
            </w:r>
          </w:p>
        </w:tc>
        <w:tc>
          <w:tcPr>
            <w:tcW w:type="dxa" w:w="2448"/>
            <w:shd w:fill="F7FAFC"/>
          </w:tcPr>
          <w:p>
            <w:r>
              <w:rPr>
                <w:sz w:val="17"/>
              </w:rPr>
              <w:t>Deuda Neta / EBITDA</w:t>
            </w:r>
          </w:p>
        </w:tc>
        <w:tc>
          <w:tcPr>
            <w:tcW w:type="dxa" w:w="2448"/>
            <w:shd w:fill="F7FAFC"/>
          </w:tcPr>
          <w:p>
            <w:r>
              <w:rPr>
                <w:b/>
                <w:sz w:val="17"/>
              </w:rPr>
              <w:t>0.12x</w:t>
            </w:r>
          </w:p>
        </w:tc>
        <w:tc>
          <w:tcPr>
            <w:tcW w:type="dxa" w:w="2448"/>
            <w:shd w:fill="F7FAFC"/>
          </w:tcPr>
          <w:p>
            <w:r>
              <w:rPr>
                <w:sz w:val="17"/>
              </w:rPr>
              <w:t>GRADO INVERSIÓN SUPERIOR (&lt; 1.5x)</w:t>
            </w:r>
          </w:p>
        </w:tc>
      </w:tr>
      <w:tr>
        <w:tc>
          <w:tcPr>
            <w:tcW w:type="dxa" w:w="2448"/>
          </w:tcPr>
          <w:p>
            <w:r>
              <w:rPr>
                <w:b/>
                <w:sz w:val="17"/>
              </w:rPr>
              <w:t>Deuda Neta / FCF</w:t>
            </w:r>
          </w:p>
        </w:tc>
        <w:tc>
          <w:tcPr>
            <w:tcW w:type="dxa" w:w="2448"/>
          </w:tcPr>
          <w:p>
            <w:r>
              <w:rPr>
                <w:sz w:val="17"/>
              </w:rPr>
              <w:t>Deuda Neta / FCF</w:t>
            </w:r>
          </w:p>
        </w:tc>
        <w:tc>
          <w:tcPr>
            <w:tcW w:type="dxa" w:w="2448"/>
          </w:tcPr>
          <w:p>
            <w:r>
              <w:rPr>
                <w:b/>
                <w:sz w:val="17"/>
              </w:rPr>
              <w:t>0.15x</w:t>
            </w:r>
          </w:p>
        </w:tc>
        <w:tc>
          <w:tcPr>
            <w:tcW w:type="dxa" w:w="2448"/>
          </w:tcPr>
          <w:p>
            <w:r>
              <w:rPr>
                <w:sz w:val="17"/>
              </w:rPr>
              <w:t>Años de Caja Libre</w:t>
            </w:r>
          </w:p>
        </w:tc>
      </w:tr>
    </w:tbl>
    <w:p/>
    <w:p>
      <w:pPr>
        <w:pStyle w:val="Heading2"/>
      </w:pPr>
      <w:r>
        <w:t>13.2. Cobertura de Intereses y Carga Financiera</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Métrica de Cobertura</w:t>
            </w:r>
          </w:p>
        </w:tc>
        <w:tc>
          <w:tcPr>
            <w:tcW w:type="dxa" w:w="2448"/>
            <w:shd w:fill="1B365D"/>
          </w:tcPr>
          <w:p>
            <w:r>
              <w:rPr>
                <w:b/>
                <w:color w:val="FFFFFF"/>
                <w:sz w:val="18"/>
              </w:rPr>
              <w:t>Fórmula Contable</w:t>
            </w:r>
          </w:p>
        </w:tc>
        <w:tc>
          <w:tcPr>
            <w:tcW w:type="dxa" w:w="2448"/>
            <w:shd w:fill="1B365D"/>
          </w:tcPr>
          <w:p>
            <w:r>
              <w:rPr>
                <w:b/>
                <w:color w:val="FFFFFF"/>
                <w:sz w:val="18"/>
              </w:rPr>
              <w:t>Valor LTM</w:t>
            </w:r>
          </w:p>
        </w:tc>
        <w:tc>
          <w:tcPr>
            <w:tcW w:type="dxa" w:w="2448"/>
            <w:shd w:fill="1B365D"/>
          </w:tcPr>
          <w:p>
            <w:r>
              <w:rPr>
                <w:b/>
                <w:color w:val="FFFFFF"/>
                <w:sz w:val="18"/>
              </w:rPr>
              <w:t>Evaluación</w:t>
            </w:r>
          </w:p>
        </w:tc>
      </w:tr>
      <w:tr>
        <w:tc>
          <w:tcPr>
            <w:tcW w:type="dxa" w:w="2448"/>
          </w:tcPr>
          <w:p>
            <w:r>
              <w:rPr>
                <w:b/>
                <w:sz w:val="17"/>
              </w:rPr>
              <w:t>Beneficio Operativo (EBIT)</w:t>
            </w:r>
          </w:p>
        </w:tc>
        <w:tc>
          <w:tcPr>
            <w:tcW w:type="dxa" w:w="2448"/>
          </w:tcPr>
          <w:p>
            <w:r>
              <w:rPr>
                <w:sz w:val="17"/>
              </w:rPr>
              <w:t>Operating Income</w:t>
            </w:r>
          </w:p>
        </w:tc>
        <w:tc>
          <w:tcPr>
            <w:tcW w:type="dxa" w:w="2448"/>
          </w:tcPr>
          <w:p>
            <w:r>
              <w:rPr>
                <w:b/>
                <w:sz w:val="17"/>
              </w:rPr>
              <w:t>$154,859.0M</w:t>
            </w:r>
          </w:p>
        </w:tc>
        <w:tc>
          <w:tcPr>
            <w:tcW w:type="dxa" w:w="2448"/>
          </w:tcPr>
          <w:p>
            <w:r>
              <w:rPr>
                <w:sz w:val="17"/>
              </w:rPr>
              <w:t>Fondo de Cobertura</w:t>
            </w:r>
          </w:p>
        </w:tc>
      </w:tr>
      <w:tr>
        <w:tc>
          <w:tcPr>
            <w:tcW w:type="dxa" w:w="2448"/>
            <w:shd w:fill="F7FAFC"/>
          </w:tcPr>
          <w:p>
            <w:r>
              <w:rPr>
                <w:b/>
                <w:sz w:val="17"/>
              </w:rPr>
              <w:t>Gasto por Intereses</w:t>
            </w:r>
          </w:p>
        </w:tc>
        <w:tc>
          <w:tcPr>
            <w:tcW w:type="dxa" w:w="2448"/>
            <w:shd w:fill="F7FAFC"/>
          </w:tcPr>
          <w:p>
            <w:r>
              <w:rPr>
                <w:sz w:val="17"/>
              </w:rPr>
              <w:t>Gasto Financiero Auditado/Estimado</w:t>
            </w:r>
          </w:p>
        </w:tc>
        <w:tc>
          <w:tcPr>
            <w:tcW w:type="dxa" w:w="2448"/>
            <w:shd w:fill="F7FAFC"/>
          </w:tcPr>
          <w:p>
            <w:r>
              <w:rPr>
                <w:b/>
                <w:sz w:val="17"/>
              </w:rPr>
              <w:t>$3,705.6M</w:t>
            </w:r>
          </w:p>
        </w:tc>
        <w:tc>
          <w:tcPr>
            <w:tcW w:type="dxa" w:w="2448"/>
            <w:shd w:fill="F7FAFC"/>
          </w:tcPr>
          <w:p>
            <w:r>
              <w:rPr>
                <w:sz w:val="17"/>
              </w:rPr>
              <w:t>Carga Obligatoria</w:t>
            </w:r>
          </w:p>
        </w:tc>
      </w:tr>
      <w:tr>
        <w:tc>
          <w:tcPr>
            <w:tcW w:type="dxa" w:w="2448"/>
          </w:tcPr>
          <w:p>
            <w:r>
              <w:rPr>
                <w:b/>
                <w:sz w:val="17"/>
              </w:rPr>
              <w:t>Cobertura de Intereses Operativa</w:t>
            </w:r>
          </w:p>
        </w:tc>
        <w:tc>
          <w:tcPr>
            <w:tcW w:type="dxa" w:w="2448"/>
          </w:tcPr>
          <w:p>
            <w:r>
              <w:rPr>
                <w:sz w:val="17"/>
              </w:rPr>
              <w:t>EBIT / Gasto Financiero</w:t>
            </w:r>
          </w:p>
        </w:tc>
        <w:tc>
          <w:tcPr>
            <w:tcW w:type="dxa" w:w="2448"/>
          </w:tcPr>
          <w:p>
            <w:r>
              <w:rPr>
                <w:b/>
                <w:sz w:val="17"/>
              </w:rPr>
              <w:t>41.8x</w:t>
            </w:r>
          </w:p>
        </w:tc>
        <w:tc>
          <w:tcPr>
            <w:tcW w:type="dxa" w:w="2448"/>
          </w:tcPr>
          <w:p>
            <w:r>
              <w:rPr>
                <w:sz w:val="17"/>
              </w:rPr>
              <w:t>COBERTURA EXCELENTE (&gt; 10.0x)</w:t>
            </w:r>
          </w:p>
        </w:tc>
      </w:tr>
      <w:tr>
        <w:tc>
          <w:tcPr>
            <w:tcW w:type="dxa" w:w="2448"/>
            <w:shd w:fill="F7FAFC"/>
          </w:tcPr>
          <w:p>
            <w:r>
              <w:rPr>
                <w:b/>
                <w:sz w:val="17"/>
              </w:rPr>
              <w:t>Carga Financiera sobre CFO</w:t>
            </w:r>
          </w:p>
        </w:tc>
        <w:tc>
          <w:tcPr>
            <w:tcW w:type="dxa" w:w="2448"/>
            <w:shd w:fill="F7FAFC"/>
          </w:tcPr>
          <w:p>
            <w:r>
              <w:rPr>
                <w:sz w:val="17"/>
              </w:rPr>
              <w:t>(Intereses / CFO) * 100</w:t>
            </w:r>
          </w:p>
        </w:tc>
        <w:tc>
          <w:tcPr>
            <w:tcW w:type="dxa" w:w="2448"/>
            <w:shd w:fill="F7FAFC"/>
          </w:tcPr>
          <w:p>
            <w:r>
              <w:rPr>
                <w:b/>
                <w:sz w:val="17"/>
              </w:rPr>
              <w:t>2.53%</w:t>
            </w:r>
          </w:p>
        </w:tc>
        <w:tc>
          <w:tcPr>
            <w:tcW w:type="dxa" w:w="2448"/>
            <w:shd w:fill="F7FAFC"/>
          </w:tcPr>
          <w:p>
            <w:r>
              <w:rPr>
                <w:sz w:val="17"/>
              </w:rPr>
              <w:t>Impacto en Caja</w:t>
            </w:r>
          </w:p>
        </w:tc>
      </w:tr>
    </w:tbl>
    <w:p/>
    <w:p>
      <w:pPr>
        <w:pStyle w:val="Heading2"/>
      </w:pPr>
      <w:r>
        <w:t>13.3. Modelos de Quiebra (Altman Z'') y Rating Sintético</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Instrumento Predictivo</w:t>
            </w:r>
          </w:p>
        </w:tc>
        <w:tc>
          <w:tcPr>
            <w:tcW w:type="dxa" w:w="2448"/>
            <w:shd w:fill="1B365D"/>
          </w:tcPr>
          <w:p>
            <w:r>
              <w:rPr>
                <w:b/>
                <w:color w:val="FFFFFF"/>
                <w:sz w:val="18"/>
              </w:rPr>
              <w:t>Resultado Cuantitativo</w:t>
            </w:r>
          </w:p>
        </w:tc>
        <w:tc>
          <w:tcPr>
            <w:tcW w:type="dxa" w:w="2448"/>
            <w:shd w:fill="1B365D"/>
          </w:tcPr>
          <w:p>
            <w:r>
              <w:rPr>
                <w:b/>
                <w:color w:val="FFFFFF"/>
                <w:sz w:val="18"/>
              </w:rPr>
              <w:t>Calificación / Zona</w:t>
            </w:r>
          </w:p>
        </w:tc>
        <w:tc>
          <w:tcPr>
            <w:tcW w:type="dxa" w:w="2448"/>
            <w:shd w:fill="1B365D"/>
          </w:tcPr>
          <w:p>
            <w:r>
              <w:rPr>
                <w:b/>
                <w:color w:val="FFFFFF"/>
                <w:sz w:val="18"/>
              </w:rPr>
              <w:t>Interpretación Institucional</w:t>
            </w:r>
          </w:p>
        </w:tc>
      </w:tr>
      <w:tr>
        <w:tc>
          <w:tcPr>
            <w:tcW w:type="dxa" w:w="2448"/>
          </w:tcPr>
          <w:p>
            <w:r>
              <w:rPr>
                <w:b/>
                <w:sz w:val="17"/>
              </w:rPr>
              <w:t>Altman Z''-Score (4 Variables)</w:t>
            </w:r>
          </w:p>
        </w:tc>
        <w:tc>
          <w:tcPr>
            <w:tcW w:type="dxa" w:w="2448"/>
          </w:tcPr>
          <w:p>
            <w:r>
              <w:rPr>
                <w:b/>
                <w:sz w:val="17"/>
              </w:rPr>
              <w:t>3.23</w:t>
            </w:r>
          </w:p>
        </w:tc>
        <w:tc>
          <w:tcPr>
            <w:tcW w:type="dxa" w:w="2448"/>
          </w:tcPr>
          <w:p>
            <w:r>
              <w:rPr>
                <w:sz w:val="17"/>
              </w:rPr>
              <w:t>ZONA SEGURA</w:t>
            </w:r>
          </w:p>
        </w:tc>
        <w:tc>
          <w:tcPr>
            <w:tcW w:type="dxa" w:w="2448"/>
          </w:tcPr>
          <w:p>
            <w:r>
              <w:rPr>
                <w:sz w:val="17"/>
              </w:rPr>
              <w:t>ZONA SEGURA (BAJO RIESGO DE QUIEBRA)</w:t>
            </w:r>
          </w:p>
        </w:tc>
      </w:tr>
      <w:tr>
        <w:tc>
          <w:tcPr>
            <w:tcW w:type="dxa" w:w="2448"/>
            <w:shd w:fill="F7FAFC"/>
          </w:tcPr>
          <w:p>
            <w:r>
              <w:rPr>
                <w:b/>
                <w:sz w:val="17"/>
              </w:rPr>
              <w:t>Rating Sintético Damodaran</w:t>
            </w:r>
          </w:p>
        </w:tc>
        <w:tc>
          <w:tcPr>
            <w:tcW w:type="dxa" w:w="2448"/>
            <w:shd w:fill="F7FAFC"/>
          </w:tcPr>
          <w:p>
            <w:r>
              <w:rPr>
                <w:b/>
                <w:sz w:val="17"/>
              </w:rPr>
              <w:t>AAA</w:t>
            </w:r>
          </w:p>
        </w:tc>
        <w:tc>
          <w:tcPr>
            <w:tcW w:type="dxa" w:w="2448"/>
            <w:shd w:fill="F7FAFC"/>
          </w:tcPr>
          <w:p>
            <w:r>
              <w:rPr>
                <w:sz w:val="17"/>
              </w:rPr>
              <w:t>GRADO INSTITUCIONAL MÁXIMO (AAA / Aaa)</w:t>
            </w:r>
          </w:p>
        </w:tc>
        <w:tc>
          <w:tcPr>
            <w:tcW w:type="dxa" w:w="2448"/>
            <w:shd w:fill="F7FAFC"/>
          </w:tcPr>
          <w:p>
            <w:r>
              <w:rPr>
                <w:sz w:val="17"/>
              </w:rPr>
              <w:t>Spread Teórico: +0.60%</w:t>
            </w:r>
          </w:p>
        </w:tc>
      </w:tr>
      <w:tr>
        <w:tc>
          <w:tcPr>
            <w:tcW w:type="dxa" w:w="2448"/>
          </w:tcPr>
          <w:p>
            <w:r>
              <w:rPr>
                <w:b/>
                <w:sz w:val="17"/>
              </w:rPr>
              <w:t>Probabilidad de Default a 10 Años</w:t>
            </w:r>
          </w:p>
        </w:tc>
        <w:tc>
          <w:tcPr>
            <w:tcW w:type="dxa" w:w="2448"/>
          </w:tcPr>
          <w:p>
            <w:r>
              <w:rPr>
                <w:b/>
                <w:sz w:val="17"/>
              </w:rPr>
              <w:t>&lt; 0.2%</w:t>
            </w:r>
          </w:p>
        </w:tc>
        <w:tc>
          <w:tcPr>
            <w:tcW w:type="dxa" w:w="2448"/>
          </w:tcPr>
          <w:p>
            <w:r>
              <w:rPr>
                <w:sz w:val="17"/>
              </w:rPr>
              <w:t>Estadística S&amp;P</w:t>
            </w:r>
          </w:p>
        </w:tc>
        <w:tc>
          <w:tcPr>
            <w:tcW w:type="dxa" w:w="2448"/>
          </w:tcPr>
          <w:p>
            <w:r>
              <w:rPr>
                <w:sz w:val="17"/>
              </w:rPr>
              <w:t>Mínimo riesgo crediticio histórico.</w:t>
            </w:r>
          </w:p>
        </w:tc>
      </w:tr>
    </w:tbl>
    <w:p>
      <w:pPr>
        <w:pStyle w:val="Heading1"/>
        <w:spacing w:before="280" w:after="80"/>
      </w:pPr>
      <w:r>
        <w:rPr>
          <w:rFonts w:ascii="Calibri" w:hAnsi="Calibri"/>
          <w:b/>
          <w:color w:val="1B365D"/>
          <w:sz w:val="28"/>
        </w:rPr>
        <w:t>14. Modelado Financiero y Descuento Inverso de Flujo de Caja (Reverse DCF &amp; Expectations)</w:t>
      </w:r>
    </w:p>
    <w:p>
      <w:pPr>
        <w:spacing w:before="80" w:after="160"/>
        <w:ind w:left="288" w:right="288"/>
      </w:pPr>
      <w:r>
        <w:rPr>
          <w:rFonts w:ascii="Calibri" w:hAnsi="Calibri"/>
          <w:b/>
          <w:color w:val="1B365D"/>
          <w:sz w:val="21"/>
        </w:rPr>
        <w:t>PROPÓSITO DE VALORACIÓN: INTEGRACIÓN FISCAL AI &amp; REVERSE DCF PROPIETARIO</w:t>
        <w:br/>
      </w:r>
      <w:r>
        <w:rPr>
          <w:rFonts w:ascii="Calibri" w:hAnsi="Calibri"/>
          <w:color w:val="2D3748"/>
          <w:sz w:val="19"/>
        </w:rPr>
        <w:t>• Precio de Referencia: $347.73  |  WACC Auditado: 10.0% (Rf: 4.99%, ERP: 4.75%)</w:t>
        <w:br/>
        <w:t>• Crecimiento Implícito Calculado: 16.2% Anual a 10 Años (vs. 8.7% Histórico)</w:t>
        <w:br/>
        <w:t>• Veredicto: Descuenta expectativas de 16.2% anual. Exigencia de crecimiento ambiciosa (+23.1% anual); requiere catalizadores sostenidos en IA y Servicios.</w:t>
      </w:r>
    </w:p>
    <w:p>
      <w:pPr>
        <w:pStyle w:val="Heading2"/>
      </w:pPr>
      <w:r>
        <w:rPr>
          <w:rFonts w:ascii="Calibri" w:hAnsi="Calibri"/>
          <w:b/>
          <w:color w:val="1B365D"/>
          <w:sz w:val="23"/>
        </w:rPr>
        <w:t>14.1. Configuración Óptima en Plataformas de Valoración (Fiscal AI)</w:t>
      </w:r>
    </w:p>
    <w:p>
      <w:r>
        <w:rPr>
          <w:rFonts w:ascii="Calibri" w:hAnsi="Calibri"/>
          <w:color w:val="2D3748"/>
          <w:sz w:val="18"/>
        </w:rPr>
        <w:t>Para evitar sesgos especulativos se recomienda configurar Fiscal AI con: (1) Modo Perpetuity (2.5%), anclando el valor terminal a la inflación/PIB sin especular con múltiplos de salida; (2) Pestaña Revenue Growth, por ser el motor económico más limpio contra distorsiones contables; y (3) Horizonte de 10 Años, capturando el ciclo completo de inversión y maduración.</w:t>
      </w:r>
    </w:p>
    <w:p>
      <w:pPr>
        <w:pStyle w:val="Heading2"/>
      </w:pPr>
      <w:r>
        <w:rPr>
          <w:rFonts w:ascii="Calibri" w:hAnsi="Calibri"/>
          <w:b/>
          <w:color w:val="1B365D"/>
          <w:sz w:val="23"/>
        </w:rPr>
        <w:t>14.2. Tabla Maestra de Parámetros Auditados en Tiempo Real (Advanced Mode)</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Casilla / Input Fiscal AI</w:t>
            </w:r>
          </w:p>
        </w:tc>
        <w:tc>
          <w:tcPr>
            <w:tcW w:type="dxa" w:w="2448"/>
            <w:shd w:fill="1B365D"/>
          </w:tcPr>
          <w:p>
            <w:r>
              <w:rPr>
                <w:b/>
                <w:color w:val="FFFFFF"/>
                <w:sz w:val="18"/>
              </w:rPr>
              <w:t>Valor Auditado</w:t>
            </w:r>
          </w:p>
        </w:tc>
        <w:tc>
          <w:tcPr>
            <w:tcW w:type="dxa" w:w="2448"/>
            <w:shd w:fill="1B365D"/>
          </w:tcPr>
          <w:p>
            <w:r>
              <w:rPr>
                <w:b/>
                <w:color w:val="FFFFFF"/>
                <w:sz w:val="18"/>
              </w:rPr>
              <w:t>Sección de Origen</w:t>
            </w:r>
          </w:p>
        </w:tc>
        <w:tc>
          <w:tcPr>
            <w:tcW w:type="dxa" w:w="2448"/>
            <w:shd w:fill="1B365D"/>
          </w:tcPr>
          <w:p>
            <w:r>
              <w:rPr>
                <w:b/>
                <w:color w:val="FFFFFF"/>
                <w:sz w:val="18"/>
              </w:rPr>
              <w:t>Racional Técnico y Sustento</w:t>
            </w:r>
          </w:p>
        </w:tc>
      </w:tr>
      <w:tr>
        <w:tc>
          <w:tcPr>
            <w:tcW w:type="dxa" w:w="2448"/>
          </w:tcPr>
          <w:p>
            <w:r>
              <w:rPr>
                <w:b/>
                <w:sz w:val="17"/>
              </w:rPr>
              <w:t>Current Share Price</w:t>
            </w:r>
          </w:p>
        </w:tc>
        <w:tc>
          <w:tcPr>
            <w:tcW w:type="dxa" w:w="2448"/>
          </w:tcPr>
          <w:p>
            <w:r>
              <w:rPr>
                <w:b/>
                <w:sz w:val="17"/>
              </w:rPr>
              <w:t>$347.73</w:t>
            </w:r>
          </w:p>
        </w:tc>
        <w:tc>
          <w:tcPr>
            <w:tcW w:type="dxa" w:w="2448"/>
          </w:tcPr>
          <w:p>
            <w:r>
              <w:rPr>
                <w:sz w:val="17"/>
              </w:rPr>
              <w:t>Mercado en Vivo</w:t>
            </w:r>
          </w:p>
        </w:tc>
        <w:tc>
          <w:tcPr>
            <w:tcW w:type="dxa" w:w="2448"/>
          </w:tcPr>
          <w:p>
            <w:r>
              <w:rPr>
                <w:sz w:val="17"/>
              </w:rPr>
              <w:t>Cotización bursátil en tiempo real.</w:t>
            </w:r>
          </w:p>
        </w:tc>
      </w:tr>
      <w:tr>
        <w:tc>
          <w:tcPr>
            <w:tcW w:type="dxa" w:w="2448"/>
            <w:shd w:fill="F7FAFC"/>
          </w:tcPr>
          <w:p>
            <w:r>
              <w:rPr>
                <w:b/>
                <w:sz w:val="17"/>
              </w:rPr>
              <w:t>Risk-Free Rate (Rf)</w:t>
            </w:r>
          </w:p>
        </w:tc>
        <w:tc>
          <w:tcPr>
            <w:tcW w:type="dxa" w:w="2448"/>
            <w:shd w:fill="F7FAFC"/>
          </w:tcPr>
          <w:p>
            <w:r>
              <w:rPr>
                <w:b/>
                <w:sz w:val="17"/>
              </w:rPr>
              <w:t>4.99%</w:t>
            </w:r>
          </w:p>
        </w:tc>
        <w:tc>
          <w:tcPr>
            <w:tcW w:type="dxa" w:w="2448"/>
            <w:shd w:fill="F7FAFC"/>
          </w:tcPr>
          <w:p>
            <w:r>
              <w:rPr>
                <w:sz w:val="17"/>
              </w:rPr>
              <w:t>Sección 11.2 (Bonos)</w:t>
            </w:r>
          </w:p>
        </w:tc>
        <w:tc>
          <w:tcPr>
            <w:tcW w:type="dxa" w:w="2448"/>
            <w:shd w:fill="F7FAFC"/>
          </w:tcPr>
          <w:p>
            <w:r>
              <w:rPr>
                <w:sz w:val="17"/>
              </w:rPr>
              <w:t>Rendimiento del Bono del Tesoro de EE.UU. a 10 años (^TNX).</w:t>
            </w:r>
          </w:p>
        </w:tc>
      </w:tr>
      <w:tr>
        <w:tc>
          <w:tcPr>
            <w:tcW w:type="dxa" w:w="2448"/>
          </w:tcPr>
          <w:p>
            <w:r>
              <w:rPr>
                <w:b/>
                <w:sz w:val="17"/>
              </w:rPr>
              <w:t>Equity Risk Premium</w:t>
            </w:r>
          </w:p>
        </w:tc>
        <w:tc>
          <w:tcPr>
            <w:tcW w:type="dxa" w:w="2448"/>
          </w:tcPr>
          <w:p>
            <w:r>
              <w:rPr>
                <w:b/>
                <w:sz w:val="17"/>
              </w:rPr>
              <w:t>4.75%</w:t>
            </w:r>
          </w:p>
        </w:tc>
        <w:tc>
          <w:tcPr>
            <w:tcW w:type="dxa" w:w="2448"/>
          </w:tcPr>
          <w:p>
            <w:r>
              <w:rPr>
                <w:sz w:val="17"/>
              </w:rPr>
              <w:t>Damodaran Benchmark</w:t>
            </w:r>
          </w:p>
        </w:tc>
        <w:tc>
          <w:tcPr>
            <w:tcW w:type="dxa" w:w="2448"/>
          </w:tcPr>
          <w:p>
            <w:r>
              <w:rPr>
                <w:sz w:val="17"/>
              </w:rPr>
              <w:t>Prima de riesgo de mercado institucional.</w:t>
            </w:r>
          </w:p>
        </w:tc>
      </w:tr>
      <w:tr>
        <w:tc>
          <w:tcPr>
            <w:tcW w:type="dxa" w:w="2448"/>
            <w:shd w:fill="F7FAFC"/>
          </w:tcPr>
          <w:p>
            <w:r>
              <w:rPr>
                <w:b/>
                <w:sz w:val="17"/>
              </w:rPr>
              <w:t>Beta (Levered)</w:t>
            </w:r>
          </w:p>
        </w:tc>
        <w:tc>
          <w:tcPr>
            <w:tcW w:type="dxa" w:w="2448"/>
            <w:shd w:fill="F7FAFC"/>
          </w:tcPr>
          <w:p>
            <w:r>
              <w:rPr>
                <w:b/>
                <w:sz w:val="17"/>
              </w:rPr>
              <w:t>1.07</w:t>
            </w:r>
          </w:p>
        </w:tc>
        <w:tc>
          <w:tcPr>
            <w:tcW w:type="dxa" w:w="2448"/>
            <w:shd w:fill="F7FAFC"/>
          </w:tcPr>
          <w:p>
            <w:r>
              <w:rPr>
                <w:sz w:val="17"/>
              </w:rPr>
              <w:t>Sección 11.2 (Arbitraje)</w:t>
            </w:r>
          </w:p>
        </w:tc>
        <w:tc>
          <w:tcPr>
            <w:tcW w:type="dxa" w:w="2448"/>
            <w:shd w:fill="F7FAFC"/>
          </w:tcPr>
          <w:p>
            <w:r>
              <w:rPr>
                <w:sz w:val="17"/>
              </w:rPr>
              <w:t>Sensibilidad sistemática frente al S&amp;P 500.</w:t>
            </w:r>
          </w:p>
        </w:tc>
      </w:tr>
      <w:tr>
        <w:tc>
          <w:tcPr>
            <w:tcW w:type="dxa" w:w="2448"/>
          </w:tcPr>
          <w:p>
            <w:r>
              <w:rPr>
                <w:b/>
                <w:sz w:val="17"/>
              </w:rPr>
              <w:t>Pre-Tax Cost of Debt</w:t>
            </w:r>
          </w:p>
        </w:tc>
        <w:tc>
          <w:tcPr>
            <w:tcW w:type="dxa" w:w="2448"/>
          </w:tcPr>
          <w:p>
            <w:r>
              <w:rPr>
                <w:b/>
                <w:sz w:val="17"/>
              </w:rPr>
              <w:t>4.5%</w:t>
            </w:r>
          </w:p>
        </w:tc>
        <w:tc>
          <w:tcPr>
            <w:tcW w:type="dxa" w:w="2448"/>
          </w:tcPr>
          <w:p>
            <w:r>
              <w:rPr>
                <w:sz w:val="17"/>
              </w:rPr>
              <w:t>Sección 11.2 (Sintético)</w:t>
            </w:r>
          </w:p>
        </w:tc>
        <w:tc>
          <w:tcPr>
            <w:tcW w:type="dxa" w:w="2448"/>
          </w:tcPr>
          <w:p>
            <w:r>
              <w:rPr>
                <w:sz w:val="17"/>
              </w:rPr>
              <w:t>Coste de financiamiento bruto por rating sintético.</w:t>
            </w:r>
          </w:p>
        </w:tc>
      </w:tr>
      <w:tr>
        <w:tc>
          <w:tcPr>
            <w:tcW w:type="dxa" w:w="2448"/>
            <w:shd w:fill="F7FAFC"/>
          </w:tcPr>
          <w:p>
            <w:r>
              <w:rPr>
                <w:b/>
                <w:sz w:val="17"/>
              </w:rPr>
              <w:t>After-Tax Cost of Debt</w:t>
            </w:r>
          </w:p>
        </w:tc>
        <w:tc>
          <w:tcPr>
            <w:tcW w:type="dxa" w:w="2448"/>
            <w:shd w:fill="F7FAFC"/>
          </w:tcPr>
          <w:p>
            <w:r>
              <w:rPr>
                <w:b/>
                <w:sz w:val="17"/>
              </w:rPr>
              <w:t>3.72%</w:t>
            </w:r>
          </w:p>
        </w:tc>
        <w:tc>
          <w:tcPr>
            <w:tcW w:type="dxa" w:w="2448"/>
            <w:shd w:fill="F7FAFC"/>
          </w:tcPr>
          <w:p>
            <w:r>
              <w:rPr>
                <w:sz w:val="17"/>
              </w:rPr>
              <w:t>Sección 11.2 (WACC)</w:t>
            </w:r>
          </w:p>
        </w:tc>
        <w:tc>
          <w:tcPr>
            <w:tcW w:type="dxa" w:w="2448"/>
            <w:shd w:fill="F7FAFC"/>
          </w:tcPr>
          <w:p>
            <w:r>
              <w:rPr>
                <w:sz w:val="17"/>
              </w:rPr>
              <w:t>Coste neto del escudo fiscal: Kd * (1 - t).</w:t>
            </w:r>
          </w:p>
        </w:tc>
      </w:tr>
      <w:tr>
        <w:tc>
          <w:tcPr>
            <w:tcW w:type="dxa" w:w="2448"/>
          </w:tcPr>
          <w:p>
            <w:r>
              <w:rPr>
                <w:b/>
                <w:sz w:val="17"/>
              </w:rPr>
              <w:t>Effective Tax Rate</w:t>
            </w:r>
          </w:p>
        </w:tc>
        <w:tc>
          <w:tcPr>
            <w:tcW w:type="dxa" w:w="2448"/>
          </w:tcPr>
          <w:p>
            <w:r>
              <w:rPr>
                <w:b/>
                <w:sz w:val="17"/>
              </w:rPr>
              <w:t>17.3%</w:t>
            </w:r>
          </w:p>
        </w:tc>
        <w:tc>
          <w:tcPr>
            <w:tcW w:type="dxa" w:w="2448"/>
          </w:tcPr>
          <w:p>
            <w:r>
              <w:rPr>
                <w:sz w:val="17"/>
              </w:rPr>
              <w:t>Sección 11.2 (SEC 10-K)</w:t>
            </w:r>
          </w:p>
        </w:tc>
        <w:tc>
          <w:tcPr>
            <w:tcW w:type="dxa" w:w="2448"/>
          </w:tcPr>
          <w:p>
            <w:r>
              <w:rPr>
                <w:sz w:val="17"/>
              </w:rPr>
              <w:t>Tasa impositiva estructural auditada.</w:t>
            </w:r>
          </w:p>
        </w:tc>
      </w:tr>
      <w:tr>
        <w:tc>
          <w:tcPr>
            <w:tcW w:type="dxa" w:w="2448"/>
            <w:shd w:fill="F7FAFC"/>
          </w:tcPr>
          <w:p>
            <w:r>
              <w:rPr>
                <w:b/>
                <w:sz w:val="17"/>
              </w:rPr>
              <w:t>Weight of Debt</w:t>
            </w:r>
          </w:p>
        </w:tc>
        <w:tc>
          <w:tcPr>
            <w:tcW w:type="dxa" w:w="2448"/>
            <w:shd w:fill="F7FAFC"/>
          </w:tcPr>
          <w:p>
            <w:r>
              <w:rPr>
                <w:b/>
                <w:sz w:val="17"/>
              </w:rPr>
              <w:t>1.6%</w:t>
            </w:r>
          </w:p>
        </w:tc>
        <w:tc>
          <w:tcPr>
            <w:tcW w:type="dxa" w:w="2448"/>
            <w:shd w:fill="F7FAFC"/>
          </w:tcPr>
          <w:p>
            <w:r>
              <w:rPr>
                <w:sz w:val="17"/>
              </w:rPr>
              <w:t>Estructura Capital</w:t>
            </w:r>
          </w:p>
        </w:tc>
        <w:tc>
          <w:tcPr>
            <w:tcW w:type="dxa" w:w="2448"/>
            <w:shd w:fill="F7FAFC"/>
          </w:tcPr>
          <w:p>
            <w:r>
              <w:rPr>
                <w:sz w:val="17"/>
              </w:rPr>
              <w:t>Peso de la deuda sobre el valor total.</w:t>
            </w:r>
          </w:p>
        </w:tc>
      </w:tr>
      <w:tr>
        <w:tc>
          <w:tcPr>
            <w:tcW w:type="dxa" w:w="2448"/>
          </w:tcPr>
          <w:p>
            <w:r>
              <w:rPr>
                <w:b/>
                <w:sz w:val="17"/>
              </w:rPr>
              <w:t>Weight of Equity</w:t>
            </w:r>
          </w:p>
        </w:tc>
        <w:tc>
          <w:tcPr>
            <w:tcW w:type="dxa" w:w="2448"/>
          </w:tcPr>
          <w:p>
            <w:r>
              <w:rPr>
                <w:b/>
                <w:sz w:val="17"/>
              </w:rPr>
              <w:t>98.4%</w:t>
            </w:r>
          </w:p>
        </w:tc>
        <w:tc>
          <w:tcPr>
            <w:tcW w:type="dxa" w:w="2448"/>
          </w:tcPr>
          <w:p>
            <w:r>
              <w:rPr>
                <w:sz w:val="17"/>
              </w:rPr>
              <w:t>Estructura Capital</w:t>
            </w:r>
          </w:p>
        </w:tc>
        <w:tc>
          <w:tcPr>
            <w:tcW w:type="dxa" w:w="2448"/>
          </w:tcPr>
          <w:p>
            <w:r>
              <w:rPr>
                <w:sz w:val="17"/>
              </w:rPr>
              <w:t>Peso de los fondos propios sobre el valor total.</w:t>
            </w:r>
          </w:p>
        </w:tc>
      </w:tr>
      <w:tr>
        <w:tc>
          <w:tcPr>
            <w:tcW w:type="dxa" w:w="2448"/>
            <w:shd w:fill="F7FAFC"/>
          </w:tcPr>
          <w:p>
            <w:r>
              <w:rPr>
                <w:b/>
                <w:sz w:val="17"/>
              </w:rPr>
              <w:t>WACC (Discount Rate)</w:t>
            </w:r>
          </w:p>
        </w:tc>
        <w:tc>
          <w:tcPr>
            <w:tcW w:type="dxa" w:w="2448"/>
            <w:shd w:fill="F7FAFC"/>
          </w:tcPr>
          <w:p>
            <w:r>
              <w:rPr>
                <w:b/>
                <w:sz w:val="17"/>
              </w:rPr>
              <w:t>10.0%</w:t>
            </w:r>
          </w:p>
        </w:tc>
        <w:tc>
          <w:tcPr>
            <w:tcW w:type="dxa" w:w="2448"/>
            <w:shd w:fill="F7FAFC"/>
          </w:tcPr>
          <w:p>
            <w:r>
              <w:rPr>
                <w:sz w:val="17"/>
              </w:rPr>
              <w:t>Sección 11.2 (WACC)</w:t>
            </w:r>
          </w:p>
        </w:tc>
        <w:tc>
          <w:tcPr>
            <w:tcW w:type="dxa" w:w="2448"/>
            <w:shd w:fill="F7FAFC"/>
          </w:tcPr>
          <w:p>
            <w:r>
              <w:rPr>
                <w:sz w:val="17"/>
              </w:rPr>
              <w:t>Tasa de descuento de corte auditada.</w:t>
            </w:r>
          </w:p>
        </w:tc>
      </w:tr>
      <w:tr>
        <w:tc>
          <w:tcPr>
            <w:tcW w:type="dxa" w:w="2448"/>
          </w:tcPr>
          <w:p>
            <w:r>
              <w:rPr>
                <w:b/>
                <w:sz w:val="17"/>
              </w:rPr>
              <w:t>Normalized FCF Margin</w:t>
            </w:r>
          </w:p>
        </w:tc>
        <w:tc>
          <w:tcPr>
            <w:tcW w:type="dxa" w:w="2448"/>
          </w:tcPr>
          <w:p>
            <w:r>
              <w:rPr>
                <w:b/>
                <w:sz w:val="17"/>
              </w:rPr>
              <w:t>29.3%</w:t>
            </w:r>
          </w:p>
        </w:tc>
        <w:tc>
          <w:tcPr>
            <w:tcW w:type="dxa" w:w="2448"/>
          </w:tcPr>
          <w:p>
            <w:r>
              <w:rPr>
                <w:sz w:val="17"/>
              </w:rPr>
              <w:t>Sección 4 &amp; Solvencia</w:t>
            </w:r>
          </w:p>
        </w:tc>
        <w:tc>
          <w:tcPr>
            <w:tcW w:type="dxa" w:w="2448"/>
          </w:tcPr>
          <w:p>
            <w:r>
              <w:rPr>
                <w:sz w:val="17"/>
              </w:rPr>
              <w:t>Conversión de ventas a caja libre tras CapEx.</w:t>
            </w:r>
          </w:p>
        </w:tc>
      </w:tr>
      <w:tr>
        <w:tc>
          <w:tcPr>
            <w:tcW w:type="dxa" w:w="2448"/>
            <w:shd w:fill="F7FAFC"/>
          </w:tcPr>
          <w:p>
            <w:r>
              <w:rPr>
                <w:b/>
                <w:sz w:val="17"/>
              </w:rPr>
              <w:t>Terminal Growth (gn)</w:t>
            </w:r>
          </w:p>
        </w:tc>
        <w:tc>
          <w:tcPr>
            <w:tcW w:type="dxa" w:w="2448"/>
            <w:shd w:fill="F7FAFC"/>
          </w:tcPr>
          <w:p>
            <w:r>
              <w:rPr>
                <w:b/>
                <w:sz w:val="17"/>
              </w:rPr>
              <w:t>2.5%</w:t>
            </w:r>
          </w:p>
        </w:tc>
        <w:tc>
          <w:tcPr>
            <w:tcW w:type="dxa" w:w="2448"/>
            <w:shd w:fill="F7FAFC"/>
          </w:tcPr>
          <w:p>
            <w:r>
              <w:rPr>
                <w:sz w:val="17"/>
              </w:rPr>
              <w:t>Hipótesis Canónica</w:t>
            </w:r>
          </w:p>
        </w:tc>
        <w:tc>
          <w:tcPr>
            <w:tcW w:type="dxa" w:w="2448"/>
            <w:shd w:fill="F7FAFC"/>
          </w:tcPr>
          <w:p>
            <w:r>
              <w:rPr>
                <w:sz w:val="17"/>
              </w:rPr>
              <w:t>Crecimiento tendencial de la economía global.</w:t>
            </w:r>
          </w:p>
        </w:tc>
      </w:tr>
      <w:tr>
        <w:tc>
          <w:tcPr>
            <w:tcW w:type="dxa" w:w="2448"/>
          </w:tcPr>
          <w:p>
            <w:r>
              <w:rPr>
                <w:b/>
                <w:sz w:val="17"/>
              </w:rPr>
              <w:t>Forecast Period</w:t>
            </w:r>
          </w:p>
        </w:tc>
        <w:tc>
          <w:tcPr>
            <w:tcW w:type="dxa" w:w="2448"/>
          </w:tcPr>
          <w:p>
            <w:r>
              <w:rPr>
                <w:b/>
                <w:sz w:val="17"/>
              </w:rPr>
              <w:t>10 Años</w:t>
            </w:r>
          </w:p>
        </w:tc>
        <w:tc>
          <w:tcPr>
            <w:tcW w:type="dxa" w:w="2448"/>
          </w:tcPr>
          <w:p>
            <w:r>
              <w:rPr>
                <w:sz w:val="17"/>
              </w:rPr>
              <w:t>Configuración Estándar</w:t>
            </w:r>
          </w:p>
        </w:tc>
        <w:tc>
          <w:tcPr>
            <w:tcW w:type="dxa" w:w="2448"/>
          </w:tcPr>
          <w:p>
            <w:r>
              <w:rPr>
                <w:sz w:val="17"/>
              </w:rPr>
              <w:t>Ciclo decenal de amortización y maduración.</w:t>
            </w:r>
          </w:p>
        </w:tc>
      </w:tr>
    </w:tbl>
    <w:p/>
    <w:p>
      <w:pPr>
        <w:pStyle w:val="Heading2"/>
      </w:pPr>
      <w:r>
        <w:rPr>
          <w:rFonts w:ascii="Calibri" w:hAnsi="Calibri"/>
          <w:b/>
          <w:color w:val="1B365D"/>
          <w:sz w:val="23"/>
        </w:rPr>
        <w:t>14.3. Matriz Bidimensional de Sensibilidad (WACC vs. gn)</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1224"/>
        <w:gridCol w:w="1224"/>
        <w:gridCol w:w="1224"/>
        <w:gridCol w:w="1224"/>
        <w:gridCol w:w="1224"/>
        <w:gridCol w:w="1224"/>
        <w:gridCol w:w="1224"/>
        <w:gridCol w:w="1224"/>
      </w:tblGrid>
      <w:tr>
        <w:tc>
          <w:tcPr>
            <w:tcW w:type="dxa" w:w="1224"/>
            <w:shd w:fill="1B365D"/>
          </w:tcPr>
          <w:p>
            <w:r>
              <w:rPr>
                <w:b/>
                <w:color w:val="FFFFFF"/>
                <w:sz w:val="17"/>
              </w:rPr>
              <w:t>WACC \ gn</w:t>
            </w:r>
          </w:p>
        </w:tc>
        <w:tc>
          <w:tcPr>
            <w:tcW w:type="dxa" w:w="1224"/>
            <w:shd w:fill="1B365D"/>
          </w:tcPr>
          <w:p>
            <w:r>
              <w:rPr>
                <w:b/>
                <w:color w:val="FFFFFF"/>
                <w:sz w:val="17"/>
              </w:rPr>
              <w:t>1.0%</w:t>
            </w:r>
          </w:p>
        </w:tc>
        <w:tc>
          <w:tcPr>
            <w:tcW w:type="dxa" w:w="1224"/>
            <w:shd w:fill="1B365D"/>
          </w:tcPr>
          <w:p>
            <w:r>
              <w:rPr>
                <w:b/>
                <w:color w:val="FFFFFF"/>
                <w:sz w:val="17"/>
              </w:rPr>
              <w:t>1.5%</w:t>
            </w:r>
          </w:p>
        </w:tc>
        <w:tc>
          <w:tcPr>
            <w:tcW w:type="dxa" w:w="1224"/>
            <w:shd w:fill="1B365D"/>
          </w:tcPr>
          <w:p>
            <w:r>
              <w:rPr>
                <w:b/>
                <w:color w:val="FFFFFF"/>
                <w:sz w:val="17"/>
              </w:rPr>
              <w:t>2.0%</w:t>
            </w:r>
          </w:p>
        </w:tc>
        <w:tc>
          <w:tcPr>
            <w:tcW w:type="dxa" w:w="1224"/>
            <w:shd w:fill="1B365D"/>
          </w:tcPr>
          <w:p>
            <w:r>
              <w:rPr>
                <w:b/>
                <w:color w:val="FFFFFF"/>
                <w:sz w:val="17"/>
              </w:rPr>
              <w:t>2.5%</w:t>
            </w:r>
          </w:p>
        </w:tc>
        <w:tc>
          <w:tcPr>
            <w:tcW w:type="dxa" w:w="1224"/>
            <w:shd w:fill="1B365D"/>
          </w:tcPr>
          <w:p>
            <w:r>
              <w:rPr>
                <w:b/>
                <w:color w:val="FFFFFF"/>
                <w:sz w:val="17"/>
              </w:rPr>
              <w:t>3.0%</w:t>
            </w:r>
          </w:p>
        </w:tc>
        <w:tc>
          <w:tcPr>
            <w:tcW w:type="dxa" w:w="1224"/>
            <w:shd w:fill="1B365D"/>
          </w:tcPr>
          <w:p>
            <w:r>
              <w:rPr>
                <w:b/>
                <w:color w:val="FFFFFF"/>
                <w:sz w:val="17"/>
              </w:rPr>
              <w:t>3.5%</w:t>
            </w:r>
          </w:p>
        </w:tc>
        <w:tc>
          <w:tcPr>
            <w:tcW w:type="dxa" w:w="1224"/>
            <w:shd w:fill="1B365D"/>
          </w:tcPr>
          <w:p>
            <w:r>
              <w:rPr>
                <w:b/>
                <w:color w:val="FFFFFF"/>
                <w:sz w:val="17"/>
              </w:rPr>
              <w:t>Diagnóstico</w:t>
            </w:r>
          </w:p>
        </w:tc>
      </w:tr>
      <w:tr>
        <w:tc>
          <w:tcPr>
            <w:tcW w:type="dxa" w:w="1224"/>
          </w:tcPr>
          <w:p>
            <w:r>
              <w:rPr>
                <w:sz w:val="16"/>
              </w:rPr>
              <w:t>9.00% (Bajo / Expansión)</w:t>
            </w:r>
          </w:p>
        </w:tc>
        <w:tc>
          <w:tcPr>
            <w:tcW w:type="dxa" w:w="1224"/>
          </w:tcPr>
          <w:p>
            <w:r>
              <w:rPr>
                <w:sz w:val="16"/>
              </w:rPr>
              <w:t>15.8%</w:t>
            </w:r>
          </w:p>
        </w:tc>
        <w:tc>
          <w:tcPr>
            <w:tcW w:type="dxa" w:w="1224"/>
          </w:tcPr>
          <w:p>
            <w:r>
              <w:rPr>
                <w:sz w:val="16"/>
              </w:rPr>
              <w:t>15.2%</w:t>
            </w:r>
          </w:p>
        </w:tc>
        <w:tc>
          <w:tcPr>
            <w:tcW w:type="dxa" w:w="1224"/>
          </w:tcPr>
          <w:p>
            <w:r>
              <w:rPr>
                <w:sz w:val="16"/>
              </w:rPr>
              <w:t>14.6%</w:t>
            </w:r>
          </w:p>
        </w:tc>
        <w:tc>
          <w:tcPr>
            <w:tcW w:type="dxa" w:w="1224"/>
          </w:tcPr>
          <w:p>
            <w:r>
              <w:rPr>
                <w:b/>
                <w:sz w:val="16"/>
              </w:rPr>
              <w:t>13.9%</w:t>
            </w:r>
          </w:p>
        </w:tc>
        <w:tc>
          <w:tcPr>
            <w:tcW w:type="dxa" w:w="1224"/>
          </w:tcPr>
          <w:p>
            <w:r>
              <w:rPr>
                <w:sz w:val="16"/>
              </w:rPr>
              <w:t>13.1%</w:t>
            </w:r>
          </w:p>
        </w:tc>
        <w:tc>
          <w:tcPr>
            <w:tcW w:type="dxa" w:w="1224"/>
          </w:tcPr>
          <w:p>
            <w:r>
              <w:rPr>
                <w:sz w:val="16"/>
              </w:rPr>
              <w:t>12.3%</w:t>
            </w:r>
          </w:p>
        </w:tc>
        <w:tc>
          <w:tcPr>
            <w:tcW w:type="dxa" w:w="1224"/>
          </w:tcPr>
          <w:p>
            <w:r>
              <w:rPr>
                <w:sz w:val="16"/>
              </w:rPr>
              <w:t>Escenario favorable; exigencia de crecimiento más moderada.</w:t>
            </w:r>
          </w:p>
        </w:tc>
      </w:tr>
      <w:tr>
        <w:tc>
          <w:tcPr>
            <w:tcW w:type="dxa" w:w="1224"/>
            <w:shd w:fill="F7FAFC"/>
          </w:tcPr>
          <w:p>
            <w:r>
              <w:rPr>
                <w:sz w:val="16"/>
              </w:rPr>
              <w:t>9.50% (Favorable)</w:t>
            </w:r>
          </w:p>
        </w:tc>
        <w:tc>
          <w:tcPr>
            <w:tcW w:type="dxa" w:w="1224"/>
            <w:shd w:fill="F7FAFC"/>
          </w:tcPr>
          <w:p>
            <w:r>
              <w:rPr>
                <w:sz w:val="16"/>
              </w:rPr>
              <w:t>16.8%</w:t>
            </w:r>
          </w:p>
        </w:tc>
        <w:tc>
          <w:tcPr>
            <w:tcW w:type="dxa" w:w="1224"/>
            <w:shd w:fill="F7FAFC"/>
          </w:tcPr>
          <w:p>
            <w:r>
              <w:rPr>
                <w:sz w:val="16"/>
              </w:rPr>
              <w:t>16.3%</w:t>
            </w:r>
          </w:p>
        </w:tc>
        <w:tc>
          <w:tcPr>
            <w:tcW w:type="dxa" w:w="1224"/>
            <w:shd w:fill="F7FAFC"/>
          </w:tcPr>
          <w:p>
            <w:r>
              <w:rPr>
                <w:sz w:val="16"/>
              </w:rPr>
              <w:t>15.7%</w:t>
            </w:r>
          </w:p>
        </w:tc>
        <w:tc>
          <w:tcPr>
            <w:tcW w:type="dxa" w:w="1224"/>
            <w:shd w:fill="F7FAFC"/>
          </w:tcPr>
          <w:p>
            <w:r>
              <w:rPr>
                <w:b/>
                <w:sz w:val="16"/>
              </w:rPr>
              <w:t>15.1%</w:t>
            </w:r>
          </w:p>
        </w:tc>
        <w:tc>
          <w:tcPr>
            <w:tcW w:type="dxa" w:w="1224"/>
            <w:shd w:fill="F7FAFC"/>
          </w:tcPr>
          <w:p>
            <w:r>
              <w:rPr>
                <w:sz w:val="16"/>
              </w:rPr>
              <w:t>14.4%</w:t>
            </w:r>
          </w:p>
        </w:tc>
        <w:tc>
          <w:tcPr>
            <w:tcW w:type="dxa" w:w="1224"/>
            <w:shd w:fill="F7FAFC"/>
          </w:tcPr>
          <w:p>
            <w:r>
              <w:rPr>
                <w:sz w:val="16"/>
              </w:rPr>
              <w:t>13.6%</w:t>
            </w:r>
          </w:p>
        </w:tc>
        <w:tc>
          <w:tcPr>
            <w:tcW w:type="dxa" w:w="1224"/>
            <w:shd w:fill="F7FAFC"/>
          </w:tcPr>
          <w:p>
            <w:r>
              <w:rPr>
                <w:sz w:val="16"/>
              </w:rPr>
              <w:t>Escenario de sensibilidad operativa.</w:t>
            </w:r>
          </w:p>
        </w:tc>
      </w:tr>
      <w:tr>
        <w:tc>
          <w:tcPr>
            <w:tcW w:type="dxa" w:w="1224"/>
            <w:shd w:fill="F7FAFC"/>
          </w:tcPr>
          <w:p>
            <w:r>
              <w:rPr>
                <w:sz w:val="16"/>
              </w:rPr>
              <w:t>10.00% (WACC Auditado Base)</w:t>
            </w:r>
          </w:p>
        </w:tc>
        <w:tc>
          <w:tcPr>
            <w:tcW w:type="dxa" w:w="1224"/>
            <w:shd w:fill="F7FAFC"/>
          </w:tcPr>
          <w:p>
            <w:r>
              <w:rPr>
                <w:b/>
                <w:sz w:val="16"/>
              </w:rPr>
              <w:t>17.9%</w:t>
            </w:r>
          </w:p>
        </w:tc>
        <w:tc>
          <w:tcPr>
            <w:tcW w:type="dxa" w:w="1224"/>
            <w:shd w:fill="F7FAFC"/>
          </w:tcPr>
          <w:p>
            <w:r>
              <w:rPr>
                <w:b/>
                <w:sz w:val="16"/>
              </w:rPr>
              <w:t>17.3%</w:t>
            </w:r>
          </w:p>
        </w:tc>
        <w:tc>
          <w:tcPr>
            <w:tcW w:type="dxa" w:w="1224"/>
            <w:shd w:fill="F7FAFC"/>
          </w:tcPr>
          <w:p>
            <w:r>
              <w:rPr>
                <w:b/>
                <w:sz w:val="16"/>
              </w:rPr>
              <w:t>16.8%</w:t>
            </w:r>
          </w:p>
        </w:tc>
        <w:tc>
          <w:tcPr>
            <w:tcW w:type="dxa" w:w="1224"/>
            <w:shd w:fill="FFF2CC"/>
          </w:tcPr>
          <w:p>
            <w:r>
              <w:rPr>
                <w:b/>
                <w:sz w:val="16"/>
              </w:rPr>
              <w:t>16.2%</w:t>
            </w:r>
          </w:p>
        </w:tc>
        <w:tc>
          <w:tcPr>
            <w:tcW w:type="dxa" w:w="1224"/>
            <w:shd w:fill="F7FAFC"/>
          </w:tcPr>
          <w:p>
            <w:r>
              <w:rPr>
                <w:b/>
                <w:sz w:val="16"/>
              </w:rPr>
              <w:t>15.5%</w:t>
            </w:r>
          </w:p>
        </w:tc>
        <w:tc>
          <w:tcPr>
            <w:tcW w:type="dxa" w:w="1224"/>
            <w:shd w:fill="F7FAFC"/>
          </w:tcPr>
          <w:p>
            <w:r>
              <w:rPr>
                <w:b/>
                <w:sz w:val="16"/>
              </w:rPr>
              <w:t>14.8%</w:t>
            </w:r>
          </w:p>
        </w:tc>
        <w:tc>
          <w:tcPr>
            <w:tcW w:type="dxa" w:w="1224"/>
            <w:shd w:fill="F7FAFC"/>
          </w:tcPr>
          <w:p>
            <w:r>
              <w:rPr>
                <w:sz w:val="16"/>
              </w:rPr>
              <w:t>ESCENARIO CENTRAL: Crecimiento implícito real de mercado.</w:t>
            </w:r>
          </w:p>
        </w:tc>
      </w:tr>
      <w:tr>
        <w:tc>
          <w:tcPr>
            <w:tcW w:type="dxa" w:w="1224"/>
            <w:shd w:fill="F7FAFC"/>
          </w:tcPr>
          <w:p>
            <w:r>
              <w:rPr>
                <w:sz w:val="16"/>
              </w:rPr>
              <w:t>10.50% (Exigente)</w:t>
            </w:r>
          </w:p>
        </w:tc>
        <w:tc>
          <w:tcPr>
            <w:tcW w:type="dxa" w:w="1224"/>
            <w:shd w:fill="F7FAFC"/>
          </w:tcPr>
          <w:p>
            <w:r>
              <w:rPr>
                <w:sz w:val="16"/>
              </w:rPr>
              <w:t>18.8%</w:t>
            </w:r>
          </w:p>
        </w:tc>
        <w:tc>
          <w:tcPr>
            <w:tcW w:type="dxa" w:w="1224"/>
            <w:shd w:fill="F7FAFC"/>
          </w:tcPr>
          <w:p>
            <w:r>
              <w:rPr>
                <w:sz w:val="16"/>
              </w:rPr>
              <w:t>18.4%</w:t>
            </w:r>
          </w:p>
        </w:tc>
        <w:tc>
          <w:tcPr>
            <w:tcW w:type="dxa" w:w="1224"/>
            <w:shd w:fill="F7FAFC"/>
          </w:tcPr>
          <w:p>
            <w:r>
              <w:rPr>
                <w:sz w:val="16"/>
              </w:rPr>
              <w:t>17.8%</w:t>
            </w:r>
          </w:p>
        </w:tc>
        <w:tc>
          <w:tcPr>
            <w:tcW w:type="dxa" w:w="1224"/>
            <w:shd w:fill="F7FAFC"/>
          </w:tcPr>
          <w:p>
            <w:r>
              <w:rPr>
                <w:b/>
                <w:sz w:val="16"/>
              </w:rPr>
              <w:t>17.3%</w:t>
            </w:r>
          </w:p>
        </w:tc>
        <w:tc>
          <w:tcPr>
            <w:tcW w:type="dxa" w:w="1224"/>
            <w:shd w:fill="F7FAFC"/>
          </w:tcPr>
          <w:p>
            <w:r>
              <w:rPr>
                <w:sz w:val="16"/>
              </w:rPr>
              <w:t>16.7%</w:t>
            </w:r>
          </w:p>
        </w:tc>
        <w:tc>
          <w:tcPr>
            <w:tcW w:type="dxa" w:w="1224"/>
            <w:shd w:fill="F7FAFC"/>
          </w:tcPr>
          <w:p>
            <w:r>
              <w:rPr>
                <w:sz w:val="16"/>
              </w:rPr>
              <w:t>16.0%</w:t>
            </w:r>
          </w:p>
        </w:tc>
        <w:tc>
          <w:tcPr>
            <w:tcW w:type="dxa" w:w="1224"/>
            <w:shd w:fill="F7FAFC"/>
          </w:tcPr>
          <w:p>
            <w:r>
              <w:rPr>
                <w:sz w:val="16"/>
              </w:rPr>
              <w:t>Escenario de sensibilidad operativa.</w:t>
            </w:r>
          </w:p>
        </w:tc>
      </w:tr>
      <w:tr>
        <w:tc>
          <w:tcPr>
            <w:tcW w:type="dxa" w:w="1224"/>
          </w:tcPr>
          <w:p>
            <w:r>
              <w:rPr>
                <w:sz w:val="16"/>
              </w:rPr>
              <w:t>11.00% (Estrés / Tipos Altos)</w:t>
            </w:r>
          </w:p>
        </w:tc>
        <w:tc>
          <w:tcPr>
            <w:tcW w:type="dxa" w:w="1224"/>
          </w:tcPr>
          <w:p>
            <w:r>
              <w:rPr>
                <w:sz w:val="16"/>
              </w:rPr>
              <w:t>19.8%</w:t>
            </w:r>
          </w:p>
        </w:tc>
        <w:tc>
          <w:tcPr>
            <w:tcW w:type="dxa" w:w="1224"/>
          </w:tcPr>
          <w:p>
            <w:r>
              <w:rPr>
                <w:sz w:val="16"/>
              </w:rPr>
              <w:t>19.3%</w:t>
            </w:r>
          </w:p>
        </w:tc>
        <w:tc>
          <w:tcPr>
            <w:tcW w:type="dxa" w:w="1224"/>
          </w:tcPr>
          <w:p>
            <w:r>
              <w:rPr>
                <w:sz w:val="16"/>
              </w:rPr>
              <w:t>18.8%</w:t>
            </w:r>
          </w:p>
        </w:tc>
        <w:tc>
          <w:tcPr>
            <w:tcW w:type="dxa" w:w="1224"/>
          </w:tcPr>
          <w:p>
            <w:r>
              <w:rPr>
                <w:b/>
                <w:sz w:val="16"/>
              </w:rPr>
              <w:t>18.3%</w:t>
            </w:r>
          </w:p>
        </w:tc>
        <w:tc>
          <w:tcPr>
            <w:tcW w:type="dxa" w:w="1224"/>
          </w:tcPr>
          <w:p>
            <w:r>
              <w:rPr>
                <w:sz w:val="16"/>
              </w:rPr>
              <w:t>17.8%</w:t>
            </w:r>
          </w:p>
        </w:tc>
        <w:tc>
          <w:tcPr>
            <w:tcW w:type="dxa" w:w="1224"/>
          </w:tcPr>
          <w:p>
            <w:r>
              <w:rPr>
                <w:sz w:val="16"/>
              </w:rPr>
              <w:t>17.1%</w:t>
            </w:r>
          </w:p>
        </w:tc>
        <w:tc>
          <w:tcPr>
            <w:tcW w:type="dxa" w:w="1224"/>
          </w:tcPr>
          <w:p>
            <w:r>
              <w:rPr>
                <w:sz w:val="16"/>
              </w:rPr>
              <w:t>Vulnerabilidad a correcciones si el coste de capital aumenta.</w:t>
            </w:r>
          </w:p>
        </w:tc>
      </w:tr>
    </w:tbl>
    <w:p/>
    <w:p>
      <w:pPr>
        <w:pStyle w:val="Heading2"/>
      </w:pPr>
      <w:r>
        <w:rPr>
          <w:rFonts w:ascii="Calibri" w:hAnsi="Calibri"/>
          <w:b/>
          <w:color w:val="1B365D"/>
          <w:sz w:val="23"/>
        </w:rPr>
        <w:t>14.4. Cuadro de Mando Consolidado y Tesis Final de Inversión</w:t>
      </w:r>
    </w:p>
    <w:tbl>
      <w:tblPr>
        <w:tblW w:type="auto" w:w="0"/>
        <w:jc w:val="center"/>
        <w:tblLook w:firstColumn="1" w:firstRow="1" w:lastColumn="0" w:lastRow="0" w:noHBand="0" w:noVBand="1" w:val="04A0"/>
        <w:tblBorders>
          <w:top w:val="single" w:sz="6" w:space="0" w:color="D2D6DC"/>
          <w:bottom w:val="single" w:sz="6" w:space="0" w:color="D2D6DC"/>
          <w:insideH w:val="single" w:sz="4" w:space="0" w:color="D2D6DC"/>
          <w:insideV w:val="none"/>
          <w:left w:val="none"/>
          <w:right w:val="none"/>
        </w:tblBorders>
      </w:tblPr>
      <w:tblGrid>
        <w:gridCol w:w="2448"/>
        <w:gridCol w:w="2448"/>
        <w:gridCol w:w="2448"/>
        <w:gridCol w:w="2448"/>
      </w:tblGrid>
      <w:tr>
        <w:tc>
          <w:tcPr>
            <w:tcW w:type="dxa" w:w="2448"/>
            <w:shd w:fill="1B365D"/>
          </w:tcPr>
          <w:p>
            <w:r>
              <w:rPr>
                <w:b/>
                <w:color w:val="FFFFFF"/>
                <w:sz w:val="18"/>
              </w:rPr>
              <w:t>Dimensión Fundamental</w:t>
            </w:r>
          </w:p>
        </w:tc>
        <w:tc>
          <w:tcPr>
            <w:tcW w:type="dxa" w:w="2448"/>
            <w:shd w:fill="1B365D"/>
          </w:tcPr>
          <w:p>
            <w:r>
              <w:rPr>
                <w:b/>
                <w:color w:val="FFFFFF"/>
                <w:sz w:val="18"/>
              </w:rPr>
              <w:t>Diagnóstico Auditado</w:t>
            </w:r>
          </w:p>
        </w:tc>
        <w:tc>
          <w:tcPr>
            <w:tcW w:type="dxa" w:w="2448"/>
            <w:shd w:fill="1B365D"/>
          </w:tcPr>
          <w:p>
            <w:r>
              <w:rPr>
                <w:b/>
                <w:color w:val="FFFFFF"/>
                <w:sz w:val="18"/>
              </w:rPr>
              <w:t>Calificación Institucional</w:t>
            </w:r>
          </w:p>
        </w:tc>
        <w:tc>
          <w:tcPr>
            <w:tcW w:type="dxa" w:w="2448"/>
            <w:shd w:fill="1B365D"/>
          </w:tcPr>
          <w:p>
            <w:r>
              <w:rPr>
                <w:b/>
                <w:color w:val="FFFFFF"/>
                <w:sz w:val="18"/>
              </w:rPr>
              <w:t>Veredicto de Asignación</w:t>
            </w:r>
          </w:p>
        </w:tc>
      </w:tr>
      <w:tr>
        <w:tc>
          <w:tcPr>
            <w:tcW w:type="dxa" w:w="2448"/>
          </w:tcPr>
          <w:p>
            <w:r>
              <w:rPr>
                <w:b/>
                <w:sz w:val="17"/>
              </w:rPr>
              <w:t>Ventaja Competitiva (Moat)</w:t>
            </w:r>
          </w:p>
        </w:tc>
        <w:tc>
          <w:tcPr>
            <w:tcW w:type="dxa" w:w="2448"/>
          </w:tcPr>
          <w:p>
            <w:r>
              <w:rPr>
                <w:sz w:val="17"/>
              </w:rPr>
              <w:t>Costes de Cambio (Switching Costs) + Activos Intangibles y Marca</w:t>
            </w:r>
          </w:p>
        </w:tc>
        <w:tc>
          <w:tcPr>
            <w:tcW w:type="dxa" w:w="2448"/>
          </w:tcPr>
          <w:p>
            <w:r>
              <w:rPr>
                <w:b/>
                <w:sz w:val="17"/>
              </w:rPr>
              <w:t>WIDE MOAT</w:t>
            </w:r>
          </w:p>
        </w:tc>
        <w:tc>
          <w:tcPr>
            <w:tcW w:type="dxa" w:w="2448"/>
          </w:tcPr>
          <w:p>
            <w:r>
              <w:rPr>
                <w:sz w:val="17"/>
              </w:rPr>
              <w:t>Poder de fijación de precios y resiliencia de márgenes (33.2% EBIT).</w:t>
            </w:r>
          </w:p>
        </w:tc>
      </w:tr>
      <w:tr>
        <w:tc>
          <w:tcPr>
            <w:tcW w:type="dxa" w:w="2448"/>
            <w:shd w:fill="F7FAFC"/>
          </w:tcPr>
          <w:p>
            <w:r>
              <w:rPr>
                <w:b/>
                <w:sz w:val="17"/>
              </w:rPr>
              <w:t>Calidad de Beneficios</w:t>
            </w:r>
          </w:p>
        </w:tc>
        <w:tc>
          <w:tcPr>
            <w:tcW w:type="dxa" w:w="2448"/>
            <w:shd w:fill="F7FAFC"/>
          </w:tcPr>
          <w:p>
            <w:r>
              <w:rPr>
                <w:sz w:val="17"/>
              </w:rPr>
              <w:t>Ratio Sloan: -4.79% / Montier: 2/6</w:t>
            </w:r>
          </w:p>
        </w:tc>
        <w:tc>
          <w:tcPr>
            <w:tcW w:type="dxa" w:w="2448"/>
            <w:shd w:fill="F7FAFC"/>
          </w:tcPr>
          <w:p>
            <w:r>
              <w:rPr>
                <w:b/>
                <w:sz w:val="17"/>
              </w:rPr>
              <w:t>CALIDAD SÓLIDA / BAJO RIESGO</w:t>
            </w:r>
          </w:p>
        </w:tc>
        <w:tc>
          <w:tcPr>
            <w:tcW w:type="dxa" w:w="2448"/>
            <w:shd w:fill="F7FAFC"/>
          </w:tcPr>
          <w:p>
            <w:r>
              <w:rPr>
                <w:sz w:val="17"/>
              </w:rPr>
              <w:t>Ganancias avaladas por caja real ($1.14 CFO por dólar de NI).</w:t>
            </w:r>
          </w:p>
        </w:tc>
      </w:tr>
      <w:tr>
        <w:tc>
          <w:tcPr>
            <w:tcW w:type="dxa" w:w="2448"/>
          </w:tcPr>
          <w:p>
            <w:r>
              <w:rPr>
                <w:b/>
                <w:sz w:val="17"/>
              </w:rPr>
              <w:t>Solvencia y Estructura</w:t>
            </w:r>
          </w:p>
        </w:tc>
        <w:tc>
          <w:tcPr>
            <w:tcW w:type="dxa" w:w="2448"/>
          </w:tcPr>
          <w:p>
            <w:r>
              <w:rPr>
                <w:sz w:val="17"/>
              </w:rPr>
              <w:t>Cobertura EBIT: 41.8x / Altman Z'': 3.23</w:t>
            </w:r>
          </w:p>
        </w:tc>
        <w:tc>
          <w:tcPr>
            <w:tcW w:type="dxa" w:w="2448"/>
          </w:tcPr>
          <w:p>
            <w:r>
              <w:rPr>
                <w:b/>
                <w:sz w:val="17"/>
              </w:rPr>
              <w:t>SINTÉTICO AAA</w:t>
            </w:r>
          </w:p>
        </w:tc>
        <w:tc>
          <w:tcPr>
            <w:tcW w:type="dxa" w:w="2448"/>
          </w:tcPr>
          <w:p>
            <w:r>
              <w:rPr>
                <w:sz w:val="17"/>
              </w:rPr>
              <w:t>Cero estrés financiero; colchón de $62.4B.</w:t>
            </w:r>
          </w:p>
        </w:tc>
      </w:tr>
      <w:tr>
        <w:tc>
          <w:tcPr>
            <w:tcW w:type="dxa" w:w="2448"/>
            <w:shd w:fill="F7FAFC"/>
          </w:tcPr>
          <w:p>
            <w:r>
              <w:rPr>
                <w:b/>
                <w:sz w:val="17"/>
              </w:rPr>
              <w:t>Productividad del Capital</w:t>
            </w:r>
          </w:p>
        </w:tc>
        <w:tc>
          <w:tcPr>
            <w:tcW w:type="dxa" w:w="2448"/>
            <w:shd w:fill="F7FAFC"/>
          </w:tcPr>
          <w:p>
            <w:r>
              <w:rPr>
                <w:sz w:val="17"/>
              </w:rPr>
              <w:t>ROC Greenblatt: 305.9% / ROIC Adj: 50.1%</w:t>
            </w:r>
          </w:p>
        </w:tc>
        <w:tc>
          <w:tcPr>
            <w:tcW w:type="dxa" w:w="2448"/>
            <w:shd w:fill="F7FAFC"/>
          </w:tcPr>
          <w:p>
            <w:r>
              <w:rPr>
                <w:b/>
                <w:sz w:val="17"/>
              </w:rPr>
              <w:t>COMPOUNDING MACHINE</w:t>
            </w:r>
          </w:p>
        </w:tc>
        <w:tc>
          <w:tcPr>
            <w:tcW w:type="dxa" w:w="2448"/>
            <w:shd w:fill="F7FAFC"/>
          </w:tcPr>
          <w:p>
            <w:r>
              <w:rPr>
                <w:sz w:val="17"/>
              </w:rPr>
              <w:t>Spread económico de +40.1 pp sobre WACC (Creación de valor de élite).</w:t>
            </w:r>
          </w:p>
        </w:tc>
      </w:tr>
      <w:tr>
        <w:tc>
          <w:tcPr>
            <w:tcW w:type="dxa" w:w="2448"/>
          </w:tcPr>
          <w:p>
            <w:r>
              <w:rPr>
                <w:b/>
                <w:sz w:val="17"/>
              </w:rPr>
              <w:t>Valoración de Mercado</w:t>
            </w:r>
          </w:p>
        </w:tc>
        <w:tc>
          <w:tcPr>
            <w:tcW w:type="dxa" w:w="2448"/>
          </w:tcPr>
          <w:p>
            <w:r>
              <w:rPr>
                <w:sz w:val="17"/>
              </w:rPr>
              <w:t>Crecimiento Implícito: 16.2% - 20.7%</w:t>
            </w:r>
          </w:p>
        </w:tc>
        <w:tc>
          <w:tcPr>
            <w:tcW w:type="dxa" w:w="2448"/>
          </w:tcPr>
          <w:p>
            <w:r>
              <w:rPr>
                <w:b/>
                <w:sz w:val="17"/>
              </w:rPr>
              <w:t>PRICED FOR PERFECTION</w:t>
            </w:r>
          </w:p>
        </w:tc>
        <w:tc>
          <w:tcPr>
            <w:tcW w:type="dxa" w:w="2448"/>
          </w:tcPr>
          <w:p>
            <w:r>
              <w:rPr>
                <w:sz w:val="17"/>
              </w:rPr>
              <w:t>Exigencia de crecimiento ambiciosa (+23.1% anual); requiere catalizadores sostenidos en IA y Servicios.</w:t>
            </w:r>
          </w:p>
        </w:tc>
      </w:tr>
    </w:tbl>
    <w:p>
      <w:pPr>
        <w:spacing w:before="400"/>
        <w:jc w:val="center"/>
      </w:pPr>
      <w:r>
        <w:rPr>
          <w:rFonts w:ascii="Calibri" w:hAnsi="Calibri"/>
          <w:i/>
          <w:color w:val="4A5568"/>
          <w:sz w:val="17"/>
        </w:rPr>
        <w:t>Fin del Informe Oficial de Investigación Fundamental — Apple Inc. (AAPL) | Wall Street Equity Research Platform</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