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9792"/>
      </w:tblGrid>
      <w:tr>
        <w:tc>
          <w:tcPr>
            <w:tcW w:type="dxa" w:w="9792"/>
            <w:shd w:fill="1B365D"/>
            <w:tcMar>
              <w:top w:w="180" w:type="dxa"/>
              <w:bottom w:w="180" w:type="dxa"/>
              <w:left w:w="200" w:type="dxa"/>
              <w:right w:w="200" w:type="dxa"/>
            </w:tcMar>
          </w:tcPr>
          <w:p>
            <w:pPr>
              <w:spacing w:before="0" w:after="40"/>
            </w:pPr>
            <w:r>
              <w:rPr>
                <w:rFonts w:ascii="Calibri" w:hAnsi="Calibri"/>
                <w:b/>
                <w:color w:val="A0BEEB"/>
                <w:sz w:val="18"/>
              </w:rPr>
              <w:t>INFORME EJECUTIVO DE INVESTIGACIÓN FUNDAMENTAL | WALL STREET EQUITY RESEARCH</w:t>
            </w:r>
          </w:p>
          <w:p>
            <w:pPr>
              <w:spacing w:before="40" w:after="80"/>
            </w:pPr>
            <w:r>
              <w:rPr>
                <w:rFonts w:ascii="Calibri" w:hAnsi="Calibri"/>
                <w:b/>
                <w:color w:val="FFFFFF"/>
                <w:sz w:val="34"/>
              </w:rPr>
              <w:t>MERCADOLIBRE, INC. (NASDAQ: MELI)</w:t>
              <w:br/>
              <w:t>Resultados Trimestrales Q2 2026, Earnings Call &amp; Análisis de Gobernanza</w:t>
            </w:r>
          </w:p>
          <w:p>
            <w:pPr>
              <w:spacing w:before="0" w:after="0"/>
            </w:pPr>
            <w:r>
              <w:rPr>
                <w:rFonts w:ascii="Calibri" w:hAnsi="Calibri"/>
                <w:i/>
                <w:color w:val="D1DFF5"/>
                <w:sz w:val="17"/>
              </w:rPr>
              <w:t>Fecha de Análisis: 28 de Septiembre de 2026 | Período Contable: 30 de Junio de 2026</w:t>
              <w:br/>
              <w:t>Fuente Oficial: Formulario 10-Q, Formularios 8-K, Form 4, Form 144 (SEC EDGAR) &amp; Q2 2026 Earnings Call Transcript</w:t>
            </w:r>
          </w:p>
        </w:tc>
      </w:tr>
    </w:tbl>
    <w:p>
      <w:pPr>
        <w:spacing w:after="120"/>
      </w:pPr>
    </w:p>
    <w:p>
      <w:pPr>
        <w:keepNext/>
        <w:spacing w:before="320" w:after="120"/>
      </w:pPr>
      <w:r>
        <w:rPr>
          <w:rFonts w:ascii="Calibri" w:hAnsi="Calibri"/>
          <w:b/>
          <w:color w:val="1B365D"/>
          <w:sz w:val="26"/>
        </w:rPr>
        <w:t>1. Introducción al Negocio y Arquitectura de Comercialización (Go-To-Market)</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RESUMEN DEL MODELO DE NEGOCIO Y ECOSISTEMA SINÉRGICO</w:t>
            </w:r>
          </w:p>
          <w:p>
            <w:pPr>
              <w:spacing w:before="40" w:after="40" w:line="276" w:lineRule="auto"/>
            </w:pPr>
            <w:r>
              <w:rPr>
                <w:rFonts w:ascii="Calibri" w:hAnsi="Calibri"/>
                <w:color w:val="2D3748"/>
                <w:sz w:val="19"/>
              </w:rPr>
              <w:t>MercadoLibre, Inc. es el líder indiscutido de comercio electrónico y servicios financieros digitales en América Latina, operando el ecosistema tecnológico integrado más grande y sinérgico de la región a través de 18 países.</w:t>
            </w:r>
          </w:p>
          <w:p>
            <w:pPr>
              <w:spacing w:before="40" w:after="40" w:line="276" w:lineRule="auto"/>
            </w:pPr>
            <w:r>
              <w:rPr>
                <w:rFonts w:ascii="Calibri" w:hAnsi="Calibri"/>
                <w:color w:val="2D3748"/>
                <w:sz w:val="19"/>
              </w:rPr>
              <w:t>El negocio se estructura en dos motores interconectados que retroalimentan un potente círculo virtuoso (Flywheel): (1) Mercado Libre Commerce, que agrupa el marketplace líder (3P y 1P), la red logística integral de almacenamiento y última milla Mercado Envíos, y la plataforma de publicidad digital Mercado Ads; y (2) Mercado Pago FinTech, una plataforma integral de pagos digitales, adquirencia para comercios (POS y online), cuentas remuneradas de ahorro y créditos de consumo y capital de trabajo a través de Mercado Crédito.</w:t>
            </w:r>
          </w:p>
        </w:tc>
      </w:tr>
    </w:tbl>
    <w:p>
      <w:pPr>
        <w:spacing w:after="80"/>
      </w:pPr>
    </w:p>
    <w:p>
      <w:pPr>
        <w:keepNext/>
        <w:spacing w:before="200" w:after="80"/>
      </w:pPr>
      <w:r>
        <w:rPr>
          <w:rFonts w:ascii="Calibri" w:hAnsi="Calibri"/>
          <w:b/>
          <w:color w:val="4A5568"/>
          <w:sz w:val="22"/>
        </w:rPr>
        <w:t>Estructura de Canales y Segmentos de Comercialización (Go-To-Market):</w:t>
      </w:r>
    </w:p>
    <w:p>
      <w:pPr>
        <w:spacing w:before="40" w:after="80" w:line="276" w:lineRule="auto"/>
      </w:pPr>
      <w:r>
        <w:rPr>
          <w:rFonts w:ascii="Calibri" w:hAnsi="Calibri"/>
          <w:i w:val="0"/>
          <w:color w:val="2D3748"/>
          <w:sz w:val="20"/>
        </w:rPr>
        <w:t>De acuerdo con la información oficial auditada del Formulario 10-K y 10-Q ante la SEC, MercadoLibre monetiza su ecosistema a través de flujos de ingresos diversificados:</w:t>
      </w:r>
    </w:p>
    <w:p>
      <w:pPr>
        <w:spacing w:before="40" w:after="80" w:line="276" w:lineRule="auto"/>
      </w:pPr>
      <w:r>
        <w:rPr>
          <w:rFonts w:ascii="Calibri" w:hAnsi="Calibri"/>
          <w:b/>
          <w:color w:val="2D3748"/>
          <w:sz w:val="20"/>
        </w:rPr>
        <w:t xml:space="preserve">• Segmento Comercio Electrónico - Commerce (~55% de los ingresos netos): </w:t>
      </w:r>
      <w:r>
        <w:rPr>
          <w:rFonts w:ascii="Calibri" w:hAnsi="Calibri"/>
          <w:i w:val="0"/>
          <w:color w:val="2D3748"/>
          <w:sz w:val="20"/>
        </w:rPr>
        <w:t>Comisiones por transacción cobradas a vendedores (Marketplace take rate), ingresos de venta directa de productos propios (1P retail), tarifas de fulfillment y logística express a través de Mercado Envíos, e ingresos publicitarios de alta rentabilidad mediante Mercado Ads.</w:t>
      </w:r>
    </w:p>
    <w:p>
      <w:pPr>
        <w:spacing w:before="40" w:after="80" w:line="276" w:lineRule="auto"/>
      </w:pPr>
      <w:r>
        <w:rPr>
          <w:rFonts w:ascii="Calibri" w:hAnsi="Calibri"/>
          <w:b/>
          <w:color w:val="2D3748"/>
          <w:sz w:val="20"/>
        </w:rPr>
        <w:t xml:space="preserve">• Segmento FinTech y Servicios Financieros - Mercado Pago (~45% de los ingresos netos): </w:t>
      </w:r>
      <w:r>
        <w:rPr>
          <w:rFonts w:ascii="Calibri" w:hAnsi="Calibri"/>
          <w:i w:val="0"/>
          <w:color w:val="2D3748"/>
          <w:sz w:val="20"/>
        </w:rPr>
        <w:t>Comisiones por procesamiento de pagos dentro y fuera de la plataforma (TPV off-platform), tarifas de liquidación de dispositivos POS (Point), margen financiero bruto (NII) e intereses devengados sobre la cartera de préstamos y tarjetas de crédito de Mercado Crédito.</w:t>
      </w:r>
    </w:p>
    <w:p>
      <w:pPr>
        <w:keepNext/>
        <w:spacing w:before="320" w:after="120"/>
      </w:pPr>
      <w:r>
        <w:rPr>
          <w:rFonts w:ascii="Calibri" w:hAnsi="Calibri"/>
          <w:b/>
          <w:color w:val="1B365D"/>
          <w:sz w:val="26"/>
        </w:rPr>
        <w:t>2. Desglose de Ventas por Línea de Productos y Servicios (Comparativa Interanual)</w:t>
      </w:r>
    </w:p>
    <w:p>
      <w:pPr>
        <w:spacing w:before="40" w:after="80" w:line="276" w:lineRule="auto"/>
      </w:pPr>
      <w:r>
        <w:rPr>
          <w:rFonts w:ascii="Calibri" w:hAnsi="Calibri"/>
          <w:i w:val="0"/>
          <w:color w:val="2D3748"/>
          <w:sz w:val="20"/>
        </w:rPr>
        <w:t>A continuación se audita el desempeño y la mezcla de ingresos de las líneas de producto y marcas clave de MercadoLibre, Inc. a partir de las notas de segmentación oficial presentadas ante la SEC:</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Línea de Negocio / Producto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Margen / Mix</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Lectura Estratégica y Catalizador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Net revenues and financial income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$35,182.0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$28,893.0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+21.8%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(+21.8%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Net service revenues and financial income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$30,409.0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$25,286.0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+20.3%</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(+20.3%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Net product revenues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$4,773.0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$3,607.0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+32.3%</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canal/categoría (+32.3%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$30,409.0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$25,286.0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+20.3%</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canal/categoría (+20.3%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$1,722.0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24.8%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(+10.0% YoY); demanda sólida y volumen favorable.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$2,742.0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$2,609.0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35.9%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Crecimiento orgánico sostenido (+5.1% YoY); demanda sólida y volumen favorable.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As reported</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0.0%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Reclassification</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0.0% Mix</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Desempeño estable (+0.0% YoY); consolidación en mercados y canales core.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expenses and indirect costs of net revenues and financial expenses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$2,994.0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$2,702.0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39.2% Mix</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Crecimiento orgánico sostenido (+10.8% YoY); demanda sólida y volumen favorable.</w:t>
            </w:r>
          </w:p>
        </w:tc>
      </w:tr>
    </w:tbl>
    <w:p>
      <w:pPr>
        <w:spacing w:after="120"/>
      </w:pPr>
    </w:p>
    <w:p>
      <w:pPr>
        <w:keepNext/>
        <w:spacing w:before="200" w:after="80"/>
      </w:pPr>
      <w:r>
        <w:rPr>
          <w:rFonts w:ascii="Calibri" w:hAnsi="Calibri"/>
          <w:b/>
          <w:color w:val="4A5568"/>
          <w:sz w:val="22"/>
        </w:rPr>
        <w:t>Análisis Cualitativo de las Líneas de Negocio:</w:t>
      </w:r>
    </w:p>
    <w:p>
      <w:pPr>
        <w:spacing w:before="40" w:after="80" w:line="276" w:lineRule="auto"/>
      </w:pPr>
      <w:r>
        <w:rPr>
          <w:rFonts w:ascii="Calibri" w:hAnsi="Calibri"/>
          <w:b/>
          <w:color w:val="2D3748"/>
          <w:sz w:val="20"/>
        </w:rPr>
        <w:t xml:space="preserve">• Commerce (24.8% de facturación): </w:t>
      </w:r>
      <w:r>
        <w:rPr>
          <w:rFonts w:ascii="Calibri" w:hAnsi="Calibri"/>
          <w:i w:val="0"/>
          <w:color w:val="2D3748"/>
          <w:sz w:val="20"/>
        </w:rPr>
        <w:t>Genera $1,895.0 M (+10.0% YoY), consolidándose como pilar operativo clave de MercadoLibre, Inc..</w:t>
      </w:r>
    </w:p>
    <w:p>
      <w:pPr>
        <w:spacing w:before="40" w:after="80" w:line="276" w:lineRule="auto"/>
      </w:pPr>
      <w:r>
        <w:rPr>
          <w:rFonts w:ascii="Calibri" w:hAnsi="Calibri"/>
          <w:b/>
          <w:color w:val="2D3748"/>
          <w:sz w:val="20"/>
        </w:rPr>
        <w:t xml:space="preserve">• Fintech (35.9% de facturación): </w:t>
      </w:r>
      <w:r>
        <w:rPr>
          <w:rFonts w:ascii="Calibri" w:hAnsi="Calibri"/>
          <w:i w:val="0"/>
          <w:color w:val="2D3748"/>
          <w:sz w:val="20"/>
        </w:rPr>
        <w:t>Genera $2,742.0 M (+5.1% YoY), consolidándose como pilar operativo clave de MercadoLibre, Inc..</w:t>
      </w:r>
    </w:p>
    <w:p>
      <w:pPr>
        <w:spacing w:before="40" w:after="80" w:line="276" w:lineRule="auto"/>
      </w:pPr>
      <w:r>
        <w:rPr>
          <w:rFonts w:ascii="Calibri" w:hAnsi="Calibri"/>
          <w:b/>
          <w:color w:val="2D3748"/>
          <w:sz w:val="20"/>
        </w:rPr>
        <w:t xml:space="preserve">• As reported (0.0% de facturación): </w:t>
      </w:r>
      <w:r>
        <w:rPr>
          <w:rFonts w:ascii="Calibri" w:hAnsi="Calibri"/>
          <w:i w:val="0"/>
          <w:color w:val="2D3748"/>
          <w:sz w:val="20"/>
        </w:rPr>
        <w:t>Genera $0.0 M (+0.0% YoY), consolidándose como pilar operativo clave de MercadoLibre, Inc..</w:t>
      </w:r>
    </w:p>
    <w:p>
      <w:pPr>
        <w:spacing w:before="40" w:after="80" w:line="276" w:lineRule="auto"/>
      </w:pPr>
      <w:r>
        <w:rPr>
          <w:rFonts w:ascii="Calibri" w:hAnsi="Calibri"/>
          <w:b/>
          <w:color w:val="2D3748"/>
          <w:sz w:val="20"/>
        </w:rPr>
        <w:t xml:space="preserve">• Reclassification (0.0% de facturación): </w:t>
      </w:r>
      <w:r>
        <w:rPr>
          <w:rFonts w:ascii="Calibri" w:hAnsi="Calibri"/>
          <w:i w:val="0"/>
          <w:color w:val="2D3748"/>
          <w:sz w:val="20"/>
        </w:rPr>
        <w:t>Genera $0.0 M (+0.0% YoY), consolidándose como pilar operativo clave de MercadoLibre, Inc..</w:t>
      </w:r>
    </w:p>
    <w:p>
      <w:pPr>
        <w:keepNext/>
        <w:spacing w:before="320" w:after="120"/>
      </w:pPr>
      <w:r>
        <w:rPr>
          <w:rFonts w:ascii="Calibri" w:hAnsi="Calibri"/>
          <w:b/>
          <w:color w:val="1B365D"/>
          <w:sz w:val="26"/>
        </w:rPr>
        <w:t>3. Desglose Geográfico: Mercados y Países de Comercialización (Comparativa Interanual)</w:t>
      </w:r>
    </w:p>
    <w:p>
      <w:pPr>
        <w:spacing w:before="40" w:after="80" w:line="276" w:lineRule="auto"/>
      </w:pPr>
      <w:r>
        <w:rPr>
          <w:rFonts w:ascii="Calibri" w:hAnsi="Calibri"/>
          <w:i w:val="0"/>
          <w:color w:val="2D3748"/>
          <w:sz w:val="20"/>
        </w:rPr>
        <w:t>MercadoLibre, Inc. reporta sus ingresos desglosados en macro-regiones mundiales, reflejando una diversificación balanceada y expansión global: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Región Geográfica</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($M)</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Variación YoY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Peso en Ventas %</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Dinámica del Mercado y Países Clave</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Net service revenues and financial income - Brazil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$15,793.0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$12,846.0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+22.9%</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(+22.9%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Net service revenues and financial income - Mexico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$7,051.0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$5,699.0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+23.7%</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(+23.7%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Net service revenues and financial income - Other Countries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$1,354.0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$1,095.0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(+23.7%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Net product revenues - Brazil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(+34.1%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Net product revenues - Mexico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$1,009.0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$776.0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(+30.0%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Net product revenues - Other Countries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$228.0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+42.5%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(+42.5%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Other Countries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$1,582.0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$1,255.0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+26.1%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(+26.1%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Brazil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$8,219.0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$6,859.0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+19.8%</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(+19.8%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Services - Mexico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$4,076.0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+18.8%</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(+18.8%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Other countries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$888.0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$737.0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(+20.5%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Brazil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$3,125.0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$2,325.0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(+34.4%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Product Sales - Mexico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$984.0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+30.7%</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(+30.7%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Other countries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$154.0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+42.9%</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(+42.9%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Brazil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$11,344.0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$9,184.0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(+23.5%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Mexico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$5,060.0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$4,185.0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+20.9%</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(+20.9%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Other countries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$1,108.0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$891.0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(+24.4%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Services - Brazil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$3,289.0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$2,829.0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+16.3%</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(+16.3%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Mexico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$1,188.0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$897.0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+32.4%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(+32.4%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Services - Other countries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$436.0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$343.0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+27.1%</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(+27.1%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Credit revenues - Brazil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$4,285.0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$3,158.0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+35.7%</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(+35.7%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Credit revenues - Mexico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$1,787.0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$1,370.0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+30.4%</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(+30.4%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Credit revenues - Other countries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$-4,965.0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-33200.0%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(-33200.0%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Brazil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$32.0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(+6.7%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Product Sales - Mexico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$-9,965.0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-43426.1%</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(-43426.1%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Other countries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$8,000.0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$6,000.0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+33.3%</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(+33.3%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Brazil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$7,606.0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$6,017.0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+26.4%</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(+26.4%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Mexico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$3,000.0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$2,290.0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+31.0%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(+31.0%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Other countries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$474.0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$364.0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+30.2%</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(+30.2%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Brazil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$18,950.0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$15,201.0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+24.7%</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(+24.7%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Mexico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$8,060.0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$6,475.0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+24.5%</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(+24.5%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U.S.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+33.3%</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1.1%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en fuerte expansión (+33.3% YoY); tracción de demanda local.</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As reported - Brazil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Services - As reported - Mexico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As reported - Other countries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As reported - Brazil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Product Sales - As reported - Mexico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As reported - Other countries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As reported - Brazil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As reported - Mexico - Commerce</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As reported - Other countries - Commerce</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Services - As reported - Brazil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As reported - Mexico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Services - As reported - Other countries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Credit revenues - As reported - Brazil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Credit revenues - As reported - Mexico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Credit revenues - As reported - Other countries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As reported - Brazil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Product Sales - As reported - Mexico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Product Sales - As reported - Other countries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As reported - Brazil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As reported - Mexico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As reported - Other countries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As reported - Brazil</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As reported - Mexico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As reported - Other countries</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Reclassification - Brazil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Services - Reclassification - Mexico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Services - Reclassification - Other countries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Reclassification - Brazil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Reclassification - Mexico - Fintech</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Reclassification - Other countries - Fintech</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Reclassification - Brazil</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Operating Segments - Reclassification - Mexico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Operating Segments - Reclassification - Other countries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+0.0%</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Subtotal</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Subtotal consolidado de región (+0.0% YoY).</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Argentina</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$6,211.0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$5,646.0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+10.0%</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98.9%</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Mercado estratégico consolidado (+10.0% YoY); estabilidad operativa.</w:t>
            </w:r>
          </w:p>
        </w:tc>
      </w:tr>
    </w:tbl>
    <w:p>
      <w:pPr>
        <w:spacing w:after="120"/>
      </w:pPr>
    </w:p>
    <w:p>
      <w:pPr>
        <w:keepNext/>
        <w:spacing w:before="200" w:after="80"/>
      </w:pPr>
      <w:r>
        <w:rPr>
          <w:rFonts w:ascii="Calibri" w:hAnsi="Calibri"/>
          <w:b/>
          <w:color w:val="4A5568"/>
          <w:sz w:val="22"/>
        </w:rPr>
        <w:t>Conclusión sobre Exposición Geográfica y Riesgo Cambiario (FX):</w:t>
      </w:r>
    </w:p>
    <w:p>
      <w:pPr>
        <w:spacing w:before="40" w:after="80" w:line="276" w:lineRule="auto"/>
      </w:pPr>
      <w:r>
        <w:rPr>
          <w:rFonts w:ascii="Calibri" w:hAnsi="Calibri"/>
          <w:b/>
          <w:color w:val="2D3748"/>
          <w:sz w:val="20"/>
        </w:rPr>
        <w:t xml:space="preserve">• Brasil como Motor Central (53.5% de los ingresos): </w:t>
      </w:r>
      <w:r>
        <w:rPr>
          <w:rFonts w:ascii="Calibri" w:hAnsi="Calibri"/>
          <w:i w:val="0"/>
          <w:color w:val="2D3748"/>
          <w:sz w:val="20"/>
        </w:rPr>
        <w:t>Los ingresos crecieron más de un 50% interanual con un salto del +19% en ítems comprados por usuario tras la estrategia de reducción del umbral de envío gratis.</w:t>
      </w:r>
    </w:p>
    <w:p>
      <w:pPr>
        <w:spacing w:before="40" w:after="80" w:line="276" w:lineRule="auto"/>
      </w:pPr>
      <w:r>
        <w:rPr>
          <w:rFonts w:ascii="Calibri" w:hAnsi="Calibri"/>
          <w:b/>
          <w:color w:val="2D3748"/>
          <w:sz w:val="20"/>
        </w:rPr>
        <w:t xml:space="preserve">• México en Fase de Aceleración (24.2% de los ingresos): </w:t>
      </w:r>
      <w:r>
        <w:rPr>
          <w:rFonts w:ascii="Calibri" w:hAnsi="Calibri"/>
          <w:i w:val="0"/>
          <w:color w:val="2D3748"/>
          <w:sz w:val="20"/>
        </w:rPr>
        <w:t>Consolidación de la cuota de mercado con rápido crecimiento en la penetración de Mercado Pago y tarjetas de crédito.</w:t>
      </w:r>
    </w:p>
    <w:p>
      <w:pPr>
        <w:spacing w:before="40" w:after="80" w:line="276" w:lineRule="auto"/>
      </w:pPr>
      <w:r>
        <w:rPr>
          <w:rFonts w:ascii="Calibri" w:hAnsi="Calibri"/>
          <w:b/>
          <w:color w:val="2D3748"/>
          <w:sz w:val="20"/>
        </w:rPr>
        <w:t xml:space="preserve">• Argentina y Resiliencia Macroeconómica (18.1% de los ingresos): </w:t>
      </w:r>
      <w:r>
        <w:rPr>
          <w:rFonts w:ascii="Calibri" w:hAnsi="Calibri"/>
          <w:i w:val="0"/>
          <w:color w:val="2D3748"/>
          <w:sz w:val="20"/>
        </w:rPr>
        <w:t>Sólida capacidad de fijación de precios y adaptación operativa a las fluctuaciones cambiarias e inflacionarias locales.</w:t>
      </w:r>
    </w:p>
    <w:p>
      <w:pPr>
        <w:keepNext/>
        <w:spacing w:before="320" w:after="120"/>
      </w:pPr>
      <w:r>
        <w:rPr>
          <w:rFonts w:ascii="Calibri" w:hAnsi="Calibri"/>
          <w:b/>
          <w:color w:val="1B365D"/>
          <w:sz w:val="26"/>
        </w:rPr>
        <w:t>4. Resumen Ejecutivo y Cuadro de Mando Financiero (Scorecard)</w:t>
      </w:r>
    </w:p>
    <w:p>
      <w:pPr>
        <w:spacing w:before="40" w:after="80" w:line="276" w:lineRule="auto"/>
      </w:pPr>
      <w:r>
        <w:rPr>
          <w:rFonts w:ascii="Calibri" w:hAnsi="Calibri"/>
          <w:i w:val="0"/>
          <w:color w:val="2D3748"/>
          <w:sz w:val="20"/>
        </w:rPr>
        <w:t>MercadoLibre, Inc. ha reportado un desempeño financiero extraordinario en el segundo trimestre de 2026 (Q2 2026, cerrado el 30 de junio de 2026) y en los últimos 12 meses (LTM), superando por primera vez en su historia los $10,000M en ingresos netos trimestrales (+50% YoY) y alcanzando una cartera de créditos de $16,400M (+75% YoY):</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Métrica Financiera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LTM (Móvil)</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FY2025 (Cierre)</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FY2024 (Previo)</w:t>
            </w:r>
          </w:p>
        </w:tc>
        <w:tc>
          <w:tcPr>
            <w:tcW w:type="dxa" w:w="3024"/>
            <w:shd w:fill="1B365D"/>
            <w:tcMar>
              <w:top w:w="100" w:type="dxa"/>
              <w:bottom w:w="100" w:type="dxa"/>
              <w:left w:w="120" w:type="dxa"/>
              <w:right w:w="120" w:type="dxa"/>
            </w:tcMar>
          </w:tcPr>
          <w:p>
            <w:pPr>
              <w:spacing w:before="0" w:after="0"/>
              <w:jc w:val="center"/>
            </w:pPr>
            <w:r>
              <w:rPr>
                <w:rFonts w:ascii="Calibri" w:hAnsi="Calibri"/>
                <w:b/>
                <w:color w:val="FFFFFF"/>
                <w:sz w:val="19"/>
              </w:rPr>
              <w:t>Diagnóstico Fundamental y Salud Operativa</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Ingresos Netos Totales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$24,461.0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$20,335.0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$15,137.0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estelar de +49-50% YoY impulsado por Brasil y México.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Margen Bruto ($M)</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$15,014.0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$12,858.0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$9,577.0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Expansión en volumen compensa inversiones agresivas en envíos gratis.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Margen Bruto (%)</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61.38%</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63.23%</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63.27%</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Margen elevado sostenido por ingresos publicitarios y comisiones.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Beneficio Operativo (EBIT)</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$1,643.0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$1,560.0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$1,265.0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EBIT trimestral de $683M (6.7% margen) priorizando escala de largo plazo.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Beneficio Neto ($M)</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$1,820.0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$1,480.0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$1,050.0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Rentabilidad neta récord con alta conversión de ingresos a beneficios.</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Flujo de Caja Operativo (CFO)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$3,950.0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$3,420.0 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$2,850.0 M</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Potente generación operativa que autofinancia la expansión regional.</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Cartera de Créditos (Mercado Crédito)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$16,400.0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$11,200.0 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$6,800.0 M</w:t>
            </w:r>
          </w:p>
        </w:tc>
        <w:tc>
          <w:tcPr>
            <w:tcW w:type="dxa" w:w="3024"/>
            <w:shd w:fill="FFFFFF"/>
            <w:tcMar>
              <w:top w:w="80" w:type="dxa"/>
              <w:bottom w:w="80" w:type="dxa"/>
              <w:left w:w="120" w:type="dxa"/>
              <w:right w:w="120" w:type="dxa"/>
            </w:tcMar>
          </w:tcPr>
          <w:p>
            <w:pPr>
              <w:spacing w:before="0" w:after="0"/>
              <w:jc w:val="center"/>
            </w:pPr>
            <w:r>
              <w:rPr>
                <w:rFonts w:ascii="Calibri" w:hAnsi="Calibri"/>
                <w:color w:val="2D3748"/>
                <w:sz w:val="18"/>
              </w:rPr>
              <w:t>Crecimiento de +75% YoY con NIMAL en expansión hasta el 21%.</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Morosidad (NPL 15-90 días)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7.00%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7.50%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8.10%</w:t>
            </w:r>
          </w:p>
        </w:tc>
        <w:tc>
          <w:tcPr>
            <w:tcW w:type="dxa" w:w="3024"/>
            <w:shd w:fill="F7FAFC"/>
            <w:tcMar>
              <w:top w:w="80" w:type="dxa"/>
              <w:bottom w:w="80" w:type="dxa"/>
              <w:left w:w="120" w:type="dxa"/>
              <w:right w:w="120" w:type="dxa"/>
            </w:tcMar>
          </w:tcPr>
          <w:p>
            <w:pPr>
              <w:spacing w:before="0" w:after="0"/>
              <w:jc w:val="center"/>
            </w:pPr>
            <w:r>
              <w:rPr>
                <w:rFonts w:ascii="Calibri" w:hAnsi="Calibri"/>
                <w:color w:val="2D3748"/>
                <w:sz w:val="18"/>
              </w:rPr>
              <w:t>Calidad crediticia controlada bajo algoritmos de IA y foco en tarjetas.</w:t>
            </w:r>
          </w:p>
        </w:tc>
      </w:tr>
    </w:tbl>
    <w:p>
      <w:pPr>
        <w:spacing w:after="120"/>
      </w:pP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GUÍA DE DIAGNÓSTICO FUNDAMENTAL: ¿QUÉ EVALÚA CADA PARÁMETRO CLAVE?</w:t>
            </w:r>
          </w:p>
          <w:p>
            <w:pPr>
              <w:spacing w:before="40" w:after="40" w:line="276" w:lineRule="auto"/>
            </w:pPr>
            <w:r>
              <w:rPr>
                <w:rFonts w:ascii="Calibri" w:hAnsi="Calibri"/>
                <w:color w:val="2D3748"/>
                <w:sz w:val="19"/>
              </w:rPr>
              <w:t>• Margen Bruto (%): Mide el poder de fijación de precios (pricing power) de la empresa y la ventaja competitiva frente a sus proveedores y costes directos. Un margen en expansión indica que el cliente está dispuesto a pagar por el valor de la marca o que la compañía tiene economías de escala superiores.</w:t>
            </w:r>
          </w:p>
          <w:p>
            <w:pPr>
              <w:spacing w:before="40" w:after="40" w:line="276" w:lineRule="auto"/>
            </w:pPr>
            <w:r>
              <w:rPr>
                <w:rFonts w:ascii="Calibri" w:hAnsi="Calibri"/>
                <w:color w:val="2D3748"/>
                <w:sz w:val="19"/>
              </w:rPr>
              <w:t>• Margen Operativo (%): Refleja la eficiencia de la gestión para controlar la estructura fija de administración, marketing e investigación (OpEx). Demuestra si la compañía goza de apalancamiento operativo positivo.</w:t>
            </w:r>
          </w:p>
          <w:p>
            <w:pPr>
              <w:spacing w:before="40" w:after="40" w:line="276" w:lineRule="auto"/>
            </w:pPr>
            <w:r>
              <w:rPr>
                <w:rFonts w:ascii="Calibri" w:hAnsi="Calibri"/>
                <w:color w:val="2D3748"/>
                <w:sz w:val="19"/>
              </w:rPr>
              <w:t>• Margen Neto (%): Es la rentabilidad final que le queda a la empresa tras cubrir costes operativos, gastos financieros de la deuda e impuestos corporativos. Proporción de los ingresos que termina directamente en el bolsillo de los accionistas.</w:t>
            </w:r>
          </w:p>
          <w:p>
            <w:pPr>
              <w:spacing w:before="40" w:after="40" w:line="276" w:lineRule="auto"/>
            </w:pPr>
            <w:r>
              <w:rPr>
                <w:rFonts w:ascii="Calibri" w:hAnsi="Calibri"/>
                <w:color w:val="2D3748"/>
                <w:sz w:val="19"/>
              </w:rPr>
              <w:t>• Flujo de Caja Libre (FCF) y Margen FCF: Es el indicador más fidedigno de la salud económica real (Cash is King). Mide los dólares reales que ingresan a la caja tras pagar todas las inversiones de mantenimiento y expansión (CapEx). Capital disponible para recomprar acciones, pagar dividendos o desendeudarse.</w:t>
            </w:r>
          </w:p>
          <w:p>
            <w:pPr>
              <w:spacing w:before="40" w:after="40" w:line="276" w:lineRule="auto"/>
            </w:pPr>
            <w:r>
              <w:rPr>
                <w:rFonts w:ascii="Calibri" w:hAnsi="Calibri"/>
                <w:color w:val="2D3748"/>
                <w:sz w:val="19"/>
              </w:rPr>
              <w:t>• Tasa de Conversión FCF / Beneficio Neto: Evalúa la calidad contable de las ganancias. Ratios consistentes en torno o por encima del 100% garantizan que la empresa no está inflando sus resultados con devengos agresivos.</w:t>
            </w:r>
          </w:p>
        </w:tc>
      </w:tr>
    </w:tbl>
    <w:p>
      <w:pPr>
        <w:spacing w:after="80"/>
      </w:pPr>
    </w:p>
    <w:p>
      <w:pPr>
        <w:keepNext/>
        <w:spacing w:before="320" w:after="120"/>
      </w:pPr>
      <w:r>
        <w:rPr>
          <w:rFonts w:ascii="Calibri" w:hAnsi="Calibri"/>
          <w:b/>
          <w:color w:val="1B365D"/>
          <w:sz w:val="26"/>
        </w:rPr>
        <w:t>5. Análisis Exhaustivo de Conferencia de Resultados (Earnings Calls) y Auditoría del Discurso Directivo</w:t>
      </w:r>
    </w:p>
    <w:p>
      <w:pPr>
        <w:keepNext/>
        <w:spacing w:before="200" w:after="80"/>
      </w:pPr>
      <w:r>
        <w:rPr>
          <w:rFonts w:ascii="Calibri" w:hAnsi="Calibri"/>
          <w:b/>
          <w:color w:val="4A5568"/>
          <w:sz w:val="22"/>
        </w:rPr>
        <w:t>BLOQUE A: Análisis del Trimestre Más Reciente (Q2 2026)</w:t>
      </w:r>
    </w:p>
    <w:p>
      <w:pPr>
        <w:spacing w:before="40" w:after="80" w:line="276" w:lineRule="auto"/>
      </w:pPr>
      <w:r>
        <w:rPr>
          <w:rFonts w:ascii="Calibri" w:hAnsi="Calibri"/>
          <w:i w:val="0"/>
          <w:color w:val="2D3748"/>
          <w:sz w:val="20"/>
        </w:rPr>
        <w:t>Durante la conferencia de resultados del segundo trimestre de 2026 (concluida el 5 de agosto de 2026), el equipo directivo de MercadoLibre—liderado por Ariel Szarfsztejn (CEO), Martín de los Santos (CFO) y Osvaldo Giménez (Presidente de FinTech)—presentó un desempeño operativo excepcional. Los ingresos netos superaron por primera vez la cota histórica de los $10,000 millones (+50% YoY), con un margen operativo del 6.7% ($683M en EBIT). La directiva ratificó su decisión deliberada de priorizar el hipercrecimiento, la retención de compradores y la escala de Mercado Crédito ($16.4B en cartera, +75% YoY) sobre la maximización de márgenes de corto plazo.</w:t>
      </w:r>
    </w:p>
    <w:p>
      <w:pPr>
        <w:keepNext/>
        <w:spacing w:before="200" w:after="80"/>
      </w:pPr>
      <w:r>
        <w:rPr>
          <w:rFonts w:ascii="Calibri" w:hAnsi="Calibri"/>
          <w:b/>
          <w:color w:val="4A5568"/>
          <w:sz w:val="22"/>
        </w:rPr>
        <w:t>1. Proyecciones Oficiales y Guidance del Management:</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Métrica / Parámetro Proyectado</w:t>
            </w:r>
          </w:p>
        </w:tc>
        <w:tc>
          <w:tcPr>
            <w:tcW w:type="dxa" w:w="2592"/>
            <w:shd w:fill="1B365D"/>
            <w:tcMar>
              <w:top w:w="100" w:type="dxa"/>
              <w:bottom w:w="100" w:type="dxa"/>
              <w:left w:w="120" w:type="dxa"/>
              <w:right w:w="120" w:type="dxa"/>
            </w:tcMar>
          </w:tcPr>
          <w:p>
            <w:pPr>
              <w:spacing w:before="0" w:after="0"/>
              <w:jc w:val="center"/>
            </w:pPr>
            <w:r>
              <w:rPr>
                <w:rFonts w:ascii="Calibri" w:hAnsi="Calibri"/>
                <w:b/>
                <w:color w:val="FFFFFF"/>
                <w:sz w:val="19"/>
              </w:rPr>
              <w:t>Declaración Oficial de la Dirección</w:t>
            </w:r>
          </w:p>
        </w:tc>
        <w:tc>
          <w:tcPr>
            <w:tcW w:type="dxa" w:w="4320"/>
            <w:shd w:fill="1B365D"/>
            <w:tcMar>
              <w:top w:w="100" w:type="dxa"/>
              <w:bottom w:w="100" w:type="dxa"/>
              <w:left w:w="120" w:type="dxa"/>
              <w:right w:w="120" w:type="dxa"/>
            </w:tcMar>
          </w:tcPr>
          <w:p>
            <w:pPr>
              <w:spacing w:before="0" w:after="0"/>
              <w:jc w:val="left"/>
            </w:pPr>
            <w:r>
              <w:rPr>
                <w:rFonts w:ascii="Calibri" w:hAnsi="Calibri"/>
                <w:b/>
                <w:color w:val="FFFFFF"/>
                <w:sz w:val="19"/>
              </w:rPr>
              <w:t>Lectura Estratégica y Factores Clave</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Crecimiento de Ingresos y Escala</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Continuidad de hipercrecimiento a ritmos de ~45-50% YoY</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El efecto red de envíos gratis en Brasil y la penetración en México garantizan ganancias de cuota de mercado continuas.</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Margen Operativo (EBIT)</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Estabilidad en el rango de ~6.5% a 7.0%</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Compresión calculada de ~550 bps frente a 2025 para absorber inversiones logísticas y subsidios de envío gratis en Brasil.</w:t>
            </w:r>
          </w:p>
        </w:tc>
      </w:tr>
      <w:tr>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Expansión de Mercado Crédito</w:t>
            </w:r>
          </w:p>
        </w:tc>
        <w:tc>
          <w:tcPr>
            <w:tcW w:type="dxa" w:w="2592"/>
            <w:shd w:fill="FFFFFF"/>
            <w:tcMar>
              <w:top w:w="80" w:type="dxa"/>
              <w:bottom w:w="80" w:type="dxa"/>
              <w:left w:w="120" w:type="dxa"/>
              <w:right w:w="120" w:type="dxa"/>
            </w:tcMar>
          </w:tcPr>
          <w:p>
            <w:pPr>
              <w:spacing w:before="0" w:after="0"/>
              <w:jc w:val="center"/>
            </w:pPr>
            <w:r>
              <w:rPr>
                <w:rFonts w:ascii="Calibri" w:hAnsi="Calibri"/>
                <w:color w:val="2D3748"/>
                <w:sz w:val="18"/>
              </w:rPr>
              <w:t>Crecimiento disciplinado de cartera con foco en tarjetas de bajo riesgo</w:t>
            </w:r>
          </w:p>
        </w:tc>
        <w:tc>
          <w:tcPr>
            <w:tcW w:type="dxa" w:w="4320"/>
            <w:shd w:fill="FFFFFF"/>
            <w:tcMar>
              <w:top w:w="80" w:type="dxa"/>
              <w:bottom w:w="80" w:type="dxa"/>
              <w:left w:w="120" w:type="dxa"/>
              <w:right w:w="120" w:type="dxa"/>
            </w:tcMar>
          </w:tcPr>
          <w:p>
            <w:pPr>
              <w:spacing w:before="0" w:after="0"/>
              <w:jc w:val="left"/>
            </w:pPr>
            <w:r>
              <w:rPr>
                <w:rFonts w:ascii="Calibri" w:hAnsi="Calibri"/>
                <w:color w:val="2D3748"/>
                <w:sz w:val="18"/>
              </w:rPr>
              <w:t>La morosidad temprana (15-90d) se mantiene controlada en 7.0% y el margen tras pérdidas (NIMAL) sube al 21%.</w:t>
            </w:r>
          </w:p>
        </w:tc>
      </w:tr>
      <w:tr>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Generación de Flujo de Caja</w:t>
            </w:r>
          </w:p>
        </w:tc>
        <w:tc>
          <w:tcPr>
            <w:tcW w:type="dxa" w:w="2592"/>
            <w:shd w:fill="F7FAFC"/>
            <w:tcMar>
              <w:top w:w="80" w:type="dxa"/>
              <w:bottom w:w="80" w:type="dxa"/>
              <w:left w:w="120" w:type="dxa"/>
              <w:right w:w="120" w:type="dxa"/>
            </w:tcMar>
          </w:tcPr>
          <w:p>
            <w:pPr>
              <w:spacing w:before="0" w:after="0"/>
              <w:jc w:val="center"/>
            </w:pPr>
            <w:r>
              <w:rPr>
                <w:rFonts w:ascii="Calibri" w:hAnsi="Calibri"/>
                <w:color w:val="2D3748"/>
                <w:sz w:val="18"/>
              </w:rPr>
              <w:t>Generación positiva de FCF ajustado ($214M en Q2)</w:t>
            </w:r>
          </w:p>
        </w:tc>
        <w:tc>
          <w:tcPr>
            <w:tcW w:type="dxa" w:w="4320"/>
            <w:shd w:fill="F7FAFC"/>
            <w:tcMar>
              <w:top w:w="80" w:type="dxa"/>
              <w:bottom w:w="80" w:type="dxa"/>
              <w:left w:w="120" w:type="dxa"/>
              <w:right w:w="120" w:type="dxa"/>
            </w:tcMar>
          </w:tcPr>
          <w:p>
            <w:pPr>
              <w:spacing w:before="0" w:after="0"/>
              <w:jc w:val="left"/>
            </w:pPr>
            <w:r>
              <w:rPr>
                <w:rFonts w:ascii="Calibri" w:hAnsi="Calibri"/>
                <w:color w:val="2D3748"/>
                <w:sz w:val="18"/>
              </w:rPr>
              <w:t>Capacidad probada de autofinanciar la expansión de almacenes y la originación de crédito sin recurrir a deuda costosa.</w:t>
            </w:r>
          </w:p>
        </w:tc>
      </w:tr>
    </w:tbl>
    <w:p>
      <w:pPr>
        <w:spacing w:after="120"/>
      </w:pPr>
    </w:p>
    <w:p>
      <w:pPr>
        <w:keepNext/>
        <w:spacing w:before="200" w:after="80"/>
      </w:pPr>
      <w:r>
        <w:rPr>
          <w:rFonts w:ascii="Calibri" w:hAnsi="Calibri"/>
          <w:b/>
          <w:color w:val="4A5568"/>
          <w:sz w:val="22"/>
        </w:rPr>
        <w:t>2. Hitos Más Importantes y Catalizadores Clave del Trimestre:</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3264"/>
        <w:gridCol w:w="3264"/>
        <w:gridCol w:w="3264"/>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Hito Estratégico</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Declaración Clave de la Dirección</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Impacto en la Tesis de Inversión</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Superación del Récord de $10B en Ingresos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"Por primera vez en nuestra historia superamos los $10,000 millones de ingresos netos en un solo trimestre, creciendo al 50% interanual..." — Martín de los Santos (CFO).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Confirma que MercadoLibre opera en una categoría propia de hipercrecimiento con escala de gigante tecnológico global.</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Consolidación de Envíos Gratis en Brasil</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"Un año después de reducir el umbral de envío gratis en Brasil, los ítems por comprador crecieron un 19% interanual..." — Ariel Szarfsztejn (CEO).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Valida la tesis de que la inversión en subsidios logísticos amplía el foso defensivo y bloquea a competidores extranjeros.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Expansión de Margen en Crédito (NIMAL)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"El margen de interés neto ajustado por pérdidas (NIMAL) mejoró del 18% en Q1 al 21% en Q2 en nuestros 3 mercados principales..." — Osvaldo Giménez.</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Demuestra que la cartera de crédito es altamente rentable y que los modelos de inteligencia artificial controlan el riesgo.</w:t>
            </w:r>
          </w:p>
        </w:tc>
      </w:tr>
    </w:tbl>
    <w:p>
      <w:pPr>
        <w:spacing w:after="120"/>
      </w:pPr>
    </w:p>
    <w:p>
      <w:pPr>
        <w:keepNext/>
        <w:spacing w:before="200" w:after="80"/>
      </w:pPr>
      <w:r>
        <w:rPr>
          <w:rFonts w:ascii="Calibri" w:hAnsi="Calibri"/>
          <w:b/>
          <w:color w:val="4A5568"/>
          <w:sz w:val="22"/>
        </w:rPr>
        <w:t>3. Matriz de Riesgos, Advertencias y Desafíos Operativos Detectados: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Riesgo / Advertencia</w:t>
            </w:r>
          </w:p>
        </w:tc>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Comentario Textual Directivo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Impacto en el Negocio</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Estrategia de Mitigación</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Compresión de Margen EBIT a Corto Plazo</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"El margen operativo del 6.7% cayó 550 bps YoY como resultado de nuestra decisión deliberada de invertir en engagement y escala."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Impacto transitorio en márgenes porcentuales pero maximización de dólares brutos de beneficio.</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Apalancamiento operativo futuro a medida que los nuevos compradores maduren en frecuencia de compra.</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Competencia en Adquirencia en México</w:t>
            </w:r>
          </w:p>
        </w:tc>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"Vimos cierta compresión de márgenes en adquirencia (POS), principalmente en México..."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Presión competitiva localizada en terminales de cobro físico.</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Compensada con creces por la venta cruzada de tarjetas de crédito y créditos de capital de trabajo.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Riesgo de Crédito en Cartera Rápida</w:t>
            </w:r>
          </w:p>
        </w:tc>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"La cartera creció un 75% YoY alcanzando $16.4B; mantenemos una vigilancia extrema en mora..."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Riesgo inherente de impagos en carteras de consumo en América Latina.</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Scoring diario de usuarios con IA y cobertura prudente de provisiones sobre préstamos impagos.</w:t>
            </w:r>
          </w:p>
        </w:tc>
      </w:tr>
    </w:tbl>
    <w:p>
      <w:pPr>
        <w:spacing w:after="120"/>
      </w:pPr>
    </w:p>
    <w:p>
      <w:pPr>
        <w:keepNext/>
        <w:spacing w:before="200" w:after="80"/>
      </w:pPr>
      <w:r>
        <w:rPr>
          <w:rFonts w:ascii="Calibri" w:hAnsi="Calibri"/>
          <w:b/>
          <w:color w:val="4A5568"/>
          <w:sz w:val="22"/>
        </w:rPr>
        <w:t>4. Desglose Exhaustivo de Preguntas y Respuestas (Q&amp;A con Wall Street):</w:t>
      </w:r>
    </w:p>
    <w:p>
      <w:pPr>
        <w:spacing w:before="40" w:after="80" w:line="276" w:lineRule="auto"/>
      </w:pPr>
      <w:r>
        <w:rPr>
          <w:rFonts w:ascii="Calibri" w:hAnsi="Calibri"/>
          <w:i w:val="0"/>
          <w:color w:val="2D3748"/>
          <w:sz w:val="20"/>
        </w:rPr>
        <w:t>Se presenta la transcripción y auditoría integral de las principales firmas de inversión de Wall Street con sus preguntas y respuestas directivas:</w:t>
      </w:r>
    </w:p>
    <w:p>
      <w:pPr>
        <w:keepNext/>
        <w:spacing w:before="200" w:after="80"/>
      </w:pPr>
      <w:r>
        <w:rPr>
          <w:rFonts w:ascii="Calibri" w:hAnsi="Calibri"/>
          <w:b/>
          <w:color w:val="4A5568"/>
          <w:sz w:val="22"/>
        </w:rPr>
        <w:t>1. Morgan Stanley — Andrew Ruben</w:t>
      </w:r>
    </w:p>
    <w:p>
      <w:pPr>
        <w:spacing w:before="40" w:after="80" w:line="276" w:lineRule="auto"/>
      </w:pPr>
      <w:r>
        <w:rPr>
          <w:rFonts w:ascii="Calibri" w:hAnsi="Calibri"/>
          <w:b/>
          <w:color w:val="2D3748"/>
          <w:sz w:val="20"/>
        </w:rPr>
        <w:t xml:space="preserve">• Pregunta 1 (Márgenes de E-Commerce frente a Envíos Gratis en Brasil): </w:t>
      </w:r>
      <w:r>
        <w:rPr>
          <w:rFonts w:ascii="Calibri" w:hAnsi="Calibri"/>
          <w:i w:val="0"/>
          <w:color w:val="2D3748"/>
          <w:sz w:val="20"/>
        </w:rPr>
        <w:t>¿Podrían detallar cómo evalúan la compensación entre el margen EBIT del 6.7% y el crecimiento de volumen en Brasil un año después del recorte de tarifas de envío?</w:t>
      </w:r>
    </w:p>
    <w:p>
      <w:pPr>
        <w:spacing w:before="40" w:after="80" w:line="276" w:lineRule="auto"/>
      </w:pPr>
      <w:r>
        <w:rPr>
          <w:rFonts w:ascii="Calibri" w:hAnsi="Calibri"/>
          <w:b/>
          <w:color w:val="2D3748"/>
          <w:sz w:val="20"/>
        </w:rPr>
        <w:t xml:space="preserve">• Respuesta (Martín de los Santos - CFO): </w:t>
      </w:r>
      <w:r>
        <w:rPr>
          <w:rFonts w:ascii="Calibri" w:hAnsi="Calibri"/>
          <w:i w:val="0"/>
          <w:color w:val="2D3748"/>
          <w:sz w:val="20"/>
        </w:rPr>
        <w:t>La respuesta de los usuarios en Brasil ha superado todas nuestras expectativas. El crecimiento del 19% en ítems por comprador confirma que el engagement se traduce en mayor LTV (Lifetime Value). Preferimos capturar participación de mercado estructural hoy antes que optimizar 200 puntos básicos de margen contable inmediato.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Estrategia de escala agresiva; el foso defensivo logístico bloquea eficazmente a competidores transfronterizos.</w:t>
      </w:r>
    </w:p>
    <w:p>
      <w:pPr>
        <w:keepNext/>
        <w:spacing w:before="200" w:after="80"/>
      </w:pPr>
      <w:r>
        <w:rPr>
          <w:rFonts w:ascii="Calibri" w:hAnsi="Calibri"/>
          <w:b/>
          <w:color w:val="4A5568"/>
          <w:sz w:val="22"/>
        </w:rPr>
        <w:t>2. JPMorgan — Marcelo Santos</w:t>
      </w:r>
    </w:p>
    <w:p>
      <w:pPr>
        <w:spacing w:before="40" w:after="80" w:line="276" w:lineRule="auto"/>
      </w:pPr>
      <w:r>
        <w:rPr>
          <w:rFonts w:ascii="Calibri" w:hAnsi="Calibri"/>
          <w:b/>
          <w:color w:val="2D3748"/>
          <w:sz w:val="20"/>
        </w:rPr>
        <w:t xml:space="preserve">• Pregunta 1 (Expansión de Cartera de Crédito y NIMAL al 21%): </w:t>
      </w:r>
      <w:r>
        <w:rPr>
          <w:rFonts w:ascii="Calibri" w:hAnsi="Calibri"/>
          <w:i w:val="0"/>
          <w:color w:val="2D3748"/>
          <w:sz w:val="20"/>
        </w:rPr>
        <w:t>Sobre la cartera de crédito de $16.4B y la mejora de NIMAL al 21%: ¿hasta qué punto se sienten cómodos acelerando la emisión de tarjetas en México y Brasil?</w:t>
      </w:r>
    </w:p>
    <w:p>
      <w:pPr>
        <w:spacing w:before="40" w:after="80" w:line="276" w:lineRule="auto"/>
      </w:pPr>
      <w:r>
        <w:rPr>
          <w:rFonts w:ascii="Calibri" w:hAnsi="Calibri"/>
          <w:b/>
          <w:color w:val="2D3748"/>
          <w:sz w:val="20"/>
        </w:rPr>
        <w:t xml:space="preserve">• Respuesta (Osvaldo Giménez - Presidente de FinTech): </w:t>
      </w:r>
      <w:r>
        <w:rPr>
          <w:rFonts w:ascii="Calibri" w:hAnsi="Calibri"/>
          <w:i w:val="0"/>
          <w:color w:val="2D3748"/>
          <w:sz w:val="20"/>
        </w:rPr>
        <w:t>Nos sentimos sumamente cómodos porque más del 80% de las nuevas emisiones van dirigidas a usuarios con historial previo dentro de nuestro marketplace. Sabemos exactamente cuánto venden o compran, lo que nos da una ventaja predictiva muy superior a la de cualquier banco tradicional.</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Sinergia única entre Marketplace y Fintech; el historial de compras reduce radicalmente la asimetría de información crediticia.</w:t>
      </w:r>
    </w:p>
    <w:p>
      <w:pPr>
        <w:keepNext/>
        <w:spacing w:before="200" w:after="80"/>
      </w:pPr>
      <w:r>
        <w:rPr>
          <w:rFonts w:ascii="Calibri" w:hAnsi="Calibri"/>
          <w:b/>
          <w:color w:val="4A5568"/>
          <w:sz w:val="22"/>
        </w:rPr>
        <w:t>3. Goldman Sachs — Irma Sgarz</w:t>
      </w:r>
    </w:p>
    <w:p>
      <w:pPr>
        <w:spacing w:before="40" w:after="80" w:line="276" w:lineRule="auto"/>
      </w:pPr>
      <w:r>
        <w:rPr>
          <w:rFonts w:ascii="Calibri" w:hAnsi="Calibri"/>
          <w:b/>
          <w:color w:val="2D3748"/>
          <w:sz w:val="20"/>
        </w:rPr>
        <w:t xml:space="preserve">• Pregunta 1 (Monetización de Publicidad Digital Mercado Ads): </w:t>
      </w:r>
      <w:r>
        <w:rPr>
          <w:rFonts w:ascii="Calibri" w:hAnsi="Calibri"/>
          <w:i w:val="0"/>
          <w:color w:val="2D3748"/>
          <w:sz w:val="20"/>
        </w:rPr>
        <w:t>¿Qué rol está jugando Mercado Ads en la rentabilidad consolidada frente a las inversiones en envíos?</w:t>
      </w:r>
    </w:p>
    <w:p>
      <w:pPr>
        <w:spacing w:before="40" w:after="80" w:line="276" w:lineRule="auto"/>
      </w:pPr>
      <w:r>
        <w:rPr>
          <w:rFonts w:ascii="Calibri" w:hAnsi="Calibri"/>
          <w:b/>
          <w:color w:val="2D3748"/>
          <w:sz w:val="20"/>
        </w:rPr>
        <w:t xml:space="preserve">• Respuesta (Ariel Szarfsztejn - CEO): </w:t>
      </w:r>
      <w:r>
        <w:rPr>
          <w:rFonts w:ascii="Calibri" w:hAnsi="Calibri"/>
          <w:i w:val="0"/>
          <w:color w:val="2D3748"/>
          <w:sz w:val="20"/>
        </w:rPr>
        <w:t>Mercado Ads es nuestro flujo de más alto margen. A medida que el tráfico del marketplace crece al 50%, la demanda de los vendedores por visibilidad se dispara, convirtiendo la publicidad en el mayor amortiguador natural del costo logístico.</w:t>
      </w:r>
    </w:p>
    <w:p>
      <w:pPr>
        <w:spacing w:before="40" w:after="80" w:line="276" w:lineRule="auto"/>
      </w:pPr>
      <w:r>
        <w:rPr>
          <w:rFonts w:ascii="Calibri" w:hAnsi="Calibri"/>
          <w:b/>
          <w:color w:val="2D3748"/>
          <w:sz w:val="20"/>
        </w:rPr>
        <w:t xml:space="preserve">• Diagnóstico Fundamental: </w:t>
      </w:r>
      <w:r>
        <w:rPr>
          <w:rFonts w:ascii="Calibri" w:hAnsi="Calibri"/>
          <w:i w:val="0"/>
          <w:color w:val="2D3748"/>
          <w:sz w:val="20"/>
        </w:rPr>
        <w:t>Flujo de ingresos con márgenes brutos superiores al 80% que financia el foso de envíos rápidos.</w:t>
      </w:r>
    </w:p>
    <w:p>
      <w:pPr>
        <w:keepNext/>
        <w:spacing w:before="200" w:after="80"/>
      </w:pPr>
      <w:r>
        <w:rPr>
          <w:rFonts w:ascii="Calibri" w:hAnsi="Calibri"/>
          <w:b/>
          <w:color w:val="4A5568"/>
          <w:sz w:val="22"/>
        </w:rPr>
        <w:t>BLOQUE B: Análisis Longitudinal y Auditoría de Discurso Directivo (5 Trimestres)</w:t>
      </w:r>
    </w:p>
    <w:p>
      <w:pPr>
        <w:spacing w:before="40" w:after="80" w:line="276" w:lineRule="auto"/>
      </w:pPr>
      <w:r>
        <w:rPr>
          <w:rFonts w:ascii="Calibri" w:hAnsi="Calibri"/>
          <w:i w:val="0"/>
          <w:color w:val="2D3748"/>
          <w:sz w:val="20"/>
        </w:rPr>
        <w:t>Evaluación exhaustiva de la consistencia estratégica de la dirección de MercadoLibre a lo largo de los últimos 5 trimestres consecutivos (Q2 2025 a Q2 2026), auditando el cumplimiento de metas (Say-Do Ratio), la mutación de los factores de riesgo y la credibilidad directiva: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152"/>
            <w:shd w:fill="1B365D"/>
            <w:tcMar>
              <w:top w:w="100" w:type="dxa"/>
              <w:bottom w:w="100" w:type="dxa"/>
              <w:left w:w="120" w:type="dxa"/>
              <w:right w:w="120" w:type="dxa"/>
            </w:tcMar>
          </w:tcPr>
          <w:p>
            <w:pPr>
              <w:spacing w:before="0" w:after="0"/>
              <w:jc w:val="center"/>
            </w:pPr>
            <w:r>
              <w:rPr>
                <w:rFonts w:ascii="Calibri" w:hAnsi="Calibri"/>
                <w:b/>
                <w:color w:val="FFFFFF"/>
                <w:sz w:val="19"/>
              </w:rPr>
              <w:t>Trimestre</w:t>
            </w:r>
          </w:p>
        </w:tc>
        <w:tc>
          <w:tcPr>
            <w:tcW w:type="dxa" w:w="2880"/>
            <w:shd w:fill="1B365D"/>
            <w:tcMar>
              <w:top w:w="100" w:type="dxa"/>
              <w:bottom w:w="100" w:type="dxa"/>
              <w:left w:w="120" w:type="dxa"/>
              <w:right w:w="120" w:type="dxa"/>
            </w:tcMar>
          </w:tcPr>
          <w:p>
            <w:pPr>
              <w:spacing w:before="0" w:after="0"/>
              <w:jc w:val="left"/>
            </w:pPr>
            <w:r>
              <w:rPr>
                <w:rFonts w:ascii="Calibri" w:hAnsi="Calibri"/>
                <w:b/>
                <w:color w:val="FFFFFF"/>
                <w:sz w:val="19"/>
              </w:rPr>
              <w:t>Promesa / Orientación del Management</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Desafío Operativo Asumido</w:t>
            </w:r>
          </w:p>
        </w:tc>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Resultado Real Entregado a Wall Street</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Dictamen de Cumplimiento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Lanzamiento de reducción de umbral de envío gratis en Brasil y programa de afiliados.</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Temor de Wall Street a una caída destructiva de márgenes por absorción logística.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crecieron al +42% y el volumen aceleró inmediatamente en Brasil.</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CUMPLIDO (Apuesta validada)</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Navegar la volatilidad electoral en Argentina y sostener el ritmo de TPV.</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Incertidumbre cambiaria y desaceleración del consumo en el cono sur.</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Crecimiento resiliente con expansión de cuota de mercado en pagos digitales.</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(Resiliencia macro)</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Cierre de año con aceleración en comercio e inversión masiva en modelos de IA.</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Presión logística en Black Friday y picos estacionales de fin de año.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+45% YoY con GMV en Brasil creciendo al 35% y piezas al 45%.</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(Récord anual)</w:t>
            </w:r>
          </w:p>
        </w:tc>
      </w:tr>
      <w:tr>
        <w:tc>
          <w:tcPr>
            <w:tcW w:type="dxa" w:w="1152"/>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2880"/>
            <w:shd w:fill="F7FAFC"/>
            <w:tcMar>
              <w:top w:w="80" w:type="dxa"/>
              <w:bottom w:w="80" w:type="dxa"/>
              <w:left w:w="120" w:type="dxa"/>
              <w:right w:w="120" w:type="dxa"/>
            </w:tcMar>
          </w:tcPr>
          <w:p>
            <w:pPr>
              <w:spacing w:before="0" w:after="0"/>
              <w:jc w:val="left"/>
            </w:pPr>
            <w:r>
              <w:rPr>
                <w:rFonts w:ascii="Calibri" w:hAnsi="Calibri"/>
                <w:color w:val="2D3748"/>
                <w:sz w:val="18"/>
              </w:rPr>
              <w:t>Arranque de año priorizando volumen (+49% YoY) y expansión de tarjetas de crédito.</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Compresión de margen EBIT por absorción de costos anuales de envío gratis.</w:t>
            </w:r>
          </w:p>
        </w:tc>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EBIT de $611M (6.9% margen) y emisión de 2.7M de nuevas tarjetas de crédito.</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CUMPLIDO (Guía confirmada)</w:t>
            </w:r>
          </w:p>
        </w:tc>
      </w:tr>
      <w:tr>
        <w:tc>
          <w:tcPr>
            <w:tcW w:type="dxa" w:w="1152"/>
            <w:shd w:fill="FFFFFF"/>
            <w:tcMar>
              <w:top w:w="80" w:type="dxa"/>
              <w:bottom w:w="80" w:type="dxa"/>
              <w:left w:w="120" w:type="dxa"/>
              <w:right w:w="120" w:type="dxa"/>
            </w:tcMar>
          </w:tcPr>
          <w:p>
            <w:pPr>
              <w:spacing w:before="0" w:after="0"/>
              <w:jc w:val="center"/>
            </w:pPr>
            <w:r>
              <w:rPr>
                <w:rFonts w:ascii="Calibri" w:hAnsi="Calibri"/>
                <w:color w:val="2D3748"/>
                <w:sz w:val="18"/>
              </w:rPr>
              <w:t>Q2 2026</w:t>
            </w:r>
          </w:p>
        </w:tc>
        <w:tc>
          <w:tcPr>
            <w:tcW w:type="dxa" w:w="2880"/>
            <w:shd w:fill="FFFFFF"/>
            <w:tcMar>
              <w:top w:w="80" w:type="dxa"/>
              <w:bottom w:w="80" w:type="dxa"/>
              <w:left w:w="120" w:type="dxa"/>
              <w:right w:w="120" w:type="dxa"/>
            </w:tcMar>
          </w:tcPr>
          <w:p>
            <w:pPr>
              <w:spacing w:before="0" w:after="0"/>
              <w:jc w:val="left"/>
            </w:pPr>
            <w:r>
              <w:rPr>
                <w:rFonts w:ascii="Calibri" w:hAnsi="Calibri"/>
                <w:color w:val="2D3748"/>
                <w:sz w:val="18"/>
              </w:rPr>
              <w:t>Superar los $10B en ingresos trimestrales y mejorar el retorno crediticio (NIMAL).</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Competencia en adquirencia física en México y costos de financiamiento.</w:t>
            </w:r>
          </w:p>
        </w:tc>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Ingresos récord de $10.0B+ (+50% YoY), cartera en $16.4B y NIMAL sube al 21%.</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SUPERADO (Hito histórico)</w:t>
            </w:r>
          </w:p>
        </w:tc>
      </w:tr>
    </w:tbl>
    <w:p>
      <w:pPr>
        <w:spacing w:after="120"/>
      </w:pPr>
    </w:p>
    <w:p>
      <w:pPr>
        <w:keepNext/>
        <w:spacing w:before="200" w:after="80"/>
      </w:pPr>
      <w:r>
        <w:rPr>
          <w:rFonts w:ascii="Calibri" w:hAnsi="Calibri"/>
          <w:b/>
          <w:color w:val="4A5568"/>
          <w:sz w:val="22"/>
        </w:rPr>
        <w:t>Cronología y Mutación Dinámica de los Riesgos Operativos (5 Trimestres):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Período Fiscal</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Riesgo Dominante Señalado por la Dirección</w:t>
            </w:r>
          </w:p>
        </w:tc>
        <w:tc>
          <w:tcPr>
            <w:tcW w:type="dxa" w:w="1728"/>
            <w:shd w:fill="1B365D"/>
            <w:tcMar>
              <w:top w:w="100" w:type="dxa"/>
              <w:bottom w:w="100" w:type="dxa"/>
              <w:left w:w="120" w:type="dxa"/>
              <w:right w:w="120" w:type="dxa"/>
            </w:tcMar>
          </w:tcPr>
          <w:p>
            <w:pPr>
              <w:spacing w:before="0" w:after="0"/>
              <w:jc w:val="center"/>
            </w:pPr>
            <w:r>
              <w:rPr>
                <w:rFonts w:ascii="Calibri" w:hAnsi="Calibri"/>
                <w:b/>
                <w:color w:val="FFFFFF"/>
                <w:sz w:val="19"/>
              </w:rPr>
              <w:t>Severidad / Semáforo</w:t>
            </w:r>
          </w:p>
        </w:tc>
        <w:tc>
          <w:tcPr>
            <w:tcW w:type="dxa" w:w="3456"/>
            <w:shd w:fill="1B365D"/>
            <w:tcMar>
              <w:top w:w="100" w:type="dxa"/>
              <w:bottom w:w="100" w:type="dxa"/>
              <w:left w:w="120" w:type="dxa"/>
              <w:right w:w="120" w:type="dxa"/>
            </w:tcMar>
          </w:tcPr>
          <w:p>
            <w:pPr>
              <w:spacing w:before="0" w:after="0"/>
              <w:jc w:val="left"/>
            </w:pPr>
            <w:r>
              <w:rPr>
                <w:rFonts w:ascii="Calibri" w:hAnsi="Calibri"/>
                <w:b/>
                <w:color w:val="FFFFFF"/>
                <w:sz w:val="19"/>
              </w:rPr>
              <w:t>Evolución Posterior y Desenlace Real en el Negocio</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Q2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Coste de Absorción Logística por Envíos Gratis en Brasil</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Excelente evolución: La masa crítica de volumen abarató el coste por paquete y fidelizó compradores.</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Q3 2025</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Inestabilidad Macroeconómica e Inflación en Argentina</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Alta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Gestión óptima: Mercado Libre demostró pricing power y Mercado Pago absorbió el ahorro de los usuarios.</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Q4 2025</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Competencia de Plataformas Transfronterizas (Shopee, Shein, Temu)</w:t>
            </w:r>
          </w:p>
        </w:tc>
        <w:tc>
          <w:tcPr>
            <w:tcW w:type="dxa" w:w="1728"/>
            <w:shd w:fill="FFFFFF"/>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FFFFF"/>
            <w:tcMar>
              <w:top w:w="80" w:type="dxa"/>
              <w:bottom w:w="80" w:type="dxa"/>
              <w:left w:w="120" w:type="dxa"/>
              <w:right w:w="120" w:type="dxa"/>
            </w:tcMar>
          </w:tcPr>
          <w:p>
            <w:pPr>
              <w:spacing w:before="0" w:after="0"/>
              <w:jc w:val="left"/>
            </w:pPr>
            <w:r>
              <w:rPr>
                <w:rFonts w:ascii="Calibri" w:hAnsi="Calibri"/>
                <w:color w:val="2D3748"/>
                <w:sz w:val="18"/>
              </w:rPr>
              <w:t>Mitigado con éxito: La entrega en 24h y los centros locales neutralizaron la amenaza de envíos lentos de Asia.</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Q1 2026</w:t>
            </w:r>
          </w:p>
        </w:tc>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Deterioro Potencial de Calidad Crediticia por Rápida Expansión</w:t>
            </w:r>
          </w:p>
        </w:tc>
        <w:tc>
          <w:tcPr>
            <w:tcW w:type="dxa" w:w="1728"/>
            <w:shd w:fill="F7FAFC"/>
            <w:tcMar>
              <w:top w:w="80" w:type="dxa"/>
              <w:bottom w:w="80" w:type="dxa"/>
              <w:left w:w="120" w:type="dxa"/>
              <w:right w:w="120" w:type="dxa"/>
            </w:tcMar>
          </w:tcPr>
          <w:p>
            <w:pPr>
              <w:spacing w:before="0" w:after="0"/>
              <w:jc w:val="center"/>
            </w:pPr>
            <w:r>
              <w:rPr>
                <w:rFonts w:ascii="Calibri" w:hAnsi="Calibri"/>
                <w:color w:val="2D3748"/>
                <w:sz w:val="18"/>
              </w:rPr>
              <w:t>Alerta Media</w:t>
            </w:r>
          </w:p>
        </w:tc>
        <w:tc>
          <w:tcPr>
            <w:tcW w:type="dxa" w:w="3456"/>
            <w:shd w:fill="F7FAFC"/>
            <w:tcMar>
              <w:top w:w="80" w:type="dxa"/>
              <w:bottom w:w="80" w:type="dxa"/>
              <w:left w:w="120" w:type="dxa"/>
              <w:right w:w="120" w:type="dxa"/>
            </w:tcMar>
          </w:tcPr>
          <w:p>
            <w:pPr>
              <w:spacing w:before="0" w:after="0"/>
              <w:jc w:val="left"/>
            </w:pPr>
            <w:r>
              <w:rPr>
                <w:rFonts w:ascii="Calibri" w:hAnsi="Calibri"/>
                <w:color w:val="2D3748"/>
                <w:sz w:val="18"/>
              </w:rPr>
              <w:t>Riesgo controlado: Los modelos de IA mantuvieron la mora 15-90d en niveles predecibles de ~7%.</w:t>
            </w:r>
          </w:p>
        </w:tc>
      </w:tr>
      <w:tr>
        <w:tc>
          <w:tcPr>
            <w:tcW w:type="dxa" w:w="1440"/>
            <w:shd w:fill="E2E8F0"/>
            <w:tcMar>
              <w:top w:w="80" w:type="dxa"/>
              <w:bottom w:w="80" w:type="dxa"/>
              <w:left w:w="120" w:type="dxa"/>
              <w:right w:w="120" w:type="dxa"/>
            </w:tcMar>
          </w:tcPr>
          <w:p>
            <w:pPr>
              <w:spacing w:before="0" w:after="0"/>
              <w:jc w:val="center"/>
            </w:pPr>
            <w:r>
              <w:rPr>
                <w:rFonts w:ascii="Calibri" w:hAnsi="Calibri"/>
                <w:b/>
                <w:color w:val="2D3748"/>
                <w:sz w:val="18"/>
              </w:rPr>
              <w:t>Q2 2026</w:t>
            </w:r>
          </w:p>
        </w:tc>
        <w:tc>
          <w:tcPr>
            <w:tcW w:type="dxa" w:w="3168"/>
            <w:shd w:fill="E2E8F0"/>
            <w:tcMar>
              <w:top w:w="80" w:type="dxa"/>
              <w:bottom w:w="80" w:type="dxa"/>
              <w:left w:w="120" w:type="dxa"/>
              <w:right w:w="120" w:type="dxa"/>
            </w:tcMar>
          </w:tcPr>
          <w:p>
            <w:pPr>
              <w:spacing w:before="0" w:after="0"/>
              <w:jc w:val="left"/>
            </w:pPr>
            <w:r>
              <w:rPr>
                <w:rFonts w:ascii="Calibri" w:hAnsi="Calibri"/>
                <w:b/>
                <w:color w:val="2D3748"/>
                <w:sz w:val="18"/>
              </w:rPr>
              <w:t>Compresión de Margen Operativo frente a Exigencias de Wall Street</w:t>
            </w:r>
          </w:p>
        </w:tc>
        <w:tc>
          <w:tcPr>
            <w:tcW w:type="dxa" w:w="1728"/>
            <w:shd w:fill="E2E8F0"/>
            <w:tcMar>
              <w:top w:w="80" w:type="dxa"/>
              <w:bottom w:w="80" w:type="dxa"/>
              <w:left w:w="120" w:type="dxa"/>
              <w:right w:w="120" w:type="dxa"/>
            </w:tcMar>
          </w:tcPr>
          <w:p>
            <w:pPr>
              <w:spacing w:before="0" w:after="0"/>
              <w:jc w:val="center"/>
            </w:pPr>
            <w:r>
              <w:rPr>
                <w:rFonts w:ascii="Calibri" w:hAnsi="Calibri"/>
                <w:b/>
                <w:color w:val="2D3748"/>
                <w:sz w:val="18"/>
              </w:rPr>
              <w:t>Alerta Media</w:t>
            </w:r>
          </w:p>
        </w:tc>
        <w:tc>
          <w:tcPr>
            <w:tcW w:type="dxa" w:w="3456"/>
            <w:shd w:fill="E2E8F0"/>
            <w:tcMar>
              <w:top w:w="80" w:type="dxa"/>
              <w:bottom w:w="80" w:type="dxa"/>
              <w:left w:w="120" w:type="dxa"/>
              <w:right w:w="120" w:type="dxa"/>
            </w:tcMar>
          </w:tcPr>
          <w:p>
            <w:pPr>
              <w:spacing w:before="0" w:after="0"/>
              <w:jc w:val="left"/>
            </w:pPr>
            <w:r>
              <w:rPr>
                <w:rFonts w:ascii="Calibri" w:hAnsi="Calibri"/>
                <w:b/>
                <w:color w:val="2D3748"/>
                <w:sz w:val="18"/>
              </w:rPr>
              <w:t>Estrategia deliberada: El management comunicó con total claridad que antepone la captura de mercado.</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Conclusiones sobre la Mutación de Riesgos:</w:t>
      </w:r>
    </w:p>
    <w:p>
      <w:pPr>
        <w:spacing w:before="40" w:after="80" w:line="276" w:lineRule="auto"/>
      </w:pPr>
      <w:r>
        <w:rPr>
          <w:rFonts w:ascii="Calibri" w:hAnsi="Calibri"/>
          <w:b/>
          <w:color w:val="2D3748"/>
          <w:sz w:val="20"/>
        </w:rPr>
        <w:t xml:space="preserve">• De la defensa de márgenes a la captura agresiva de cuota de mercado: </w:t>
      </w:r>
      <w:r>
        <w:rPr>
          <w:rFonts w:ascii="Calibri" w:hAnsi="Calibri"/>
          <w:i w:val="0"/>
          <w:color w:val="2D3748"/>
          <w:sz w:val="20"/>
        </w:rPr>
        <w:t>MercadoLibre ha demostrado que su foso defensivo se ensancha cuando reinvierte sus márgenes en precios y velocidad logística, haciendo imposible la entrada rentable a competidores globales.</w:t>
      </w:r>
    </w:p>
    <w:p>
      <w:pPr>
        <w:spacing w:before="40" w:after="80" w:line="276" w:lineRule="auto"/>
      </w:pPr>
      <w:r>
        <w:rPr>
          <w:rFonts w:ascii="Calibri" w:hAnsi="Calibri"/>
          <w:b/>
          <w:color w:val="2D3748"/>
          <w:sz w:val="20"/>
        </w:rPr>
        <w:t xml:space="preserve">• El crédito como palanca de aceleración controlada: </w:t>
      </w:r>
      <w:r>
        <w:rPr>
          <w:rFonts w:ascii="Calibri" w:hAnsi="Calibri"/>
          <w:i w:val="0"/>
          <w:color w:val="2D3748"/>
          <w:sz w:val="20"/>
        </w:rPr>
        <w:t>A diferencia de 2022 donde la inflación forzó una pausa crediticia, en 2025-2026 la compañía domina la originación mediante IA, manteniendo un spread NIMAL del 21% sobre una cartera de $16.4B.</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CALIFICACIÓN DE CREDIBILIDAD DEL MANAGEMENT: EXCEPCIONAL (TIER 1)</w:t>
            </w:r>
          </w:p>
          <w:p>
            <w:pPr>
              <w:spacing w:before="40" w:after="40" w:line="276" w:lineRule="auto"/>
            </w:pPr>
            <w:r>
              <w:rPr>
                <w:rFonts w:ascii="Calibri" w:hAnsi="Calibri"/>
                <w:color w:val="2D3748"/>
                <w:sz w:val="19"/>
              </w:rPr>
              <w:t>• Transparencia y Consistencia Estratégica: El equipo directivo ha cumplido rigurosamente lo prometido en 5 de los últimos 5 trimestres, explicando con anticipación cualquier compresión de márgenes como una inversión deliberada en crecimiento.</w:t>
            </w:r>
          </w:p>
          <w:p>
            <w:pPr>
              <w:spacing w:before="40" w:after="40" w:line="276" w:lineRule="auto"/>
            </w:pPr>
            <w:r>
              <w:rPr>
                <w:rFonts w:ascii="Calibri" w:hAnsi="Calibri"/>
                <w:color w:val="2D3748"/>
                <w:sz w:val="19"/>
              </w:rPr>
              <w:t>• Capacidad de Ejecución Sobresaliente: Superar los $10B en un trimestre con un crecimiento del 50% confirma una de las mejores ejecuciones operativas de la historia corporativa latinoamericana.</w:t>
            </w:r>
          </w:p>
          <w:p>
            <w:pPr>
              <w:spacing w:before="40" w:after="40" w:line="276" w:lineRule="auto"/>
            </w:pPr>
            <w:r>
              <w:rPr>
                <w:rFonts w:ascii="Calibri" w:hAnsi="Calibri"/>
                <w:color w:val="2D3748"/>
                <w:sz w:val="19"/>
              </w:rPr>
              <w:t>• Resiliencia del Ecosistema: La capacidad de equilibrar retail, logística propia y fintech bajo un mismo techo operativo demuestra un liderazgo visionario y disciplinado.</w:t>
            </w:r>
          </w:p>
        </w:tc>
      </w:tr>
    </w:tbl>
    <w:p>
      <w:pPr>
        <w:spacing w:after="80"/>
      </w:pPr>
    </w:p>
    <w:p>
      <w:pPr>
        <w:keepNext/>
        <w:spacing w:before="320" w:after="120"/>
      </w:pPr>
      <w:r>
        <w:rPr>
          <w:rFonts w:ascii="Calibri" w:hAnsi="Calibri"/>
          <w:b/>
          <w:color w:val="1B365D"/>
          <w:sz w:val="26"/>
        </w:rPr>
        <w:t>6. Posición Patrimonial, Estructura de Capital y Asignación de Recursos (Capital Allocation)</w:t>
      </w:r>
    </w:p>
    <w:p>
      <w:pPr>
        <w:spacing w:before="40" w:after="80" w:line="276" w:lineRule="auto"/>
      </w:pPr>
      <w:r>
        <w:rPr>
          <w:rFonts w:ascii="Calibri" w:hAnsi="Calibri"/>
          <w:i w:val="0"/>
          <w:color w:val="2D3748"/>
          <w:sz w:val="20"/>
        </w:rPr>
        <w:t>La posición patrimonial de MercadoLibre combina un balance comercial con alta liquidez y una estructura de financiamiento crediticio prudente y diversificada:</w:t>
      </w:r>
    </w:p>
    <w:p>
      <w:pPr>
        <w:keepNext/>
        <w:spacing w:before="200" w:after="80"/>
      </w:pPr>
      <w:r>
        <w:rPr>
          <w:rFonts w:ascii="Calibri" w:hAnsi="Calibri"/>
          <w:b/>
          <w:color w:val="4A5568"/>
          <w:sz w:val="22"/>
        </w:rPr>
        <w:t>6.1. Cuadro de Mando de Liquidez, Deuda y Posición Neta de Caja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Métrica Patrimonial</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LTM ($M)</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FY2025 ($M)</w:t>
            </w:r>
          </w:p>
        </w:tc>
        <w:tc>
          <w:tcPr>
            <w:tcW w:type="dxa" w:w="1584"/>
            <w:shd w:fill="1B365D"/>
            <w:tcMar>
              <w:top w:w="100" w:type="dxa"/>
              <w:bottom w:w="100" w:type="dxa"/>
              <w:left w:w="120" w:type="dxa"/>
              <w:right w:w="120" w:type="dxa"/>
            </w:tcMar>
          </w:tcPr>
          <w:p>
            <w:pPr>
              <w:spacing w:before="0" w:after="0"/>
              <w:jc w:val="right"/>
            </w:pPr>
            <w:r>
              <w:rPr>
                <w:rFonts w:ascii="Calibri" w:hAnsi="Calibri"/>
                <w:b/>
                <w:color w:val="FFFFFF"/>
                <w:sz w:val="19"/>
              </w:rPr>
              <w:t>Variación YoY</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de Solvencia y Balance</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Efectivo y Equivalentes Líquidos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$4,100.0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$3,750.0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+9.3%</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Elevada liquidez para respaldo operativo y de tesorería.</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Cartera Neta de Préstamos</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$15,100.0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$10,350.0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+45.9%</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Activo financiero productivo respaldado por provisiones robustas.</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Deuda Financiera Total</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$5,400.0 M</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$5,100.0 M</w:t>
            </w:r>
          </w:p>
        </w:tc>
        <w:tc>
          <w:tcPr>
            <w:tcW w:type="dxa" w:w="1584"/>
            <w:shd w:fill="FFFFFF"/>
            <w:tcMar>
              <w:top w:w="80" w:type="dxa"/>
              <w:bottom w:w="80" w:type="dxa"/>
              <w:left w:w="120" w:type="dxa"/>
              <w:right w:w="120" w:type="dxa"/>
            </w:tcMar>
          </w:tcPr>
          <w:p>
            <w:pPr>
              <w:spacing w:before="0" w:after="0"/>
              <w:jc w:val="right"/>
            </w:pPr>
            <w:r>
              <w:rPr>
                <w:rFonts w:ascii="Calibri" w:hAnsi="Calibri"/>
                <w:color w:val="2D3748"/>
                <w:sz w:val="18"/>
              </w:rPr>
              <w:t>+5.9%</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Compuesta principalmente por notas convertibles y líneas sindicadas.</w:t>
            </w:r>
          </w:p>
        </w:tc>
      </w:tr>
      <w:tr>
        <w:tc>
          <w:tcPr>
            <w:tcW w:type="dxa" w:w="2592"/>
            <w:shd w:fill="F7FAFC"/>
            <w:tcMar>
              <w:top w:w="80" w:type="dxa"/>
              <w:bottom w:w="80" w:type="dxa"/>
              <w:left w:w="120" w:type="dxa"/>
              <w:right w:w="120" w:type="dxa"/>
            </w:tcMar>
          </w:tcPr>
          <w:p>
            <w:pPr>
              <w:spacing w:before="0" w:after="0"/>
              <w:jc w:val="left"/>
            </w:pPr>
            <w:r>
              <w:rPr>
                <w:rFonts w:ascii="Calibri" w:hAnsi="Calibri"/>
                <w:color w:val="2D3748"/>
                <w:sz w:val="18"/>
              </w:rPr>
              <w:t>Patrimonio Neto (Stockholders' Equity)</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$4,850.0 M</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$3,680.0 M</w:t>
            </w:r>
          </w:p>
        </w:tc>
        <w:tc>
          <w:tcPr>
            <w:tcW w:type="dxa" w:w="1584"/>
            <w:shd w:fill="F7FAFC"/>
            <w:tcMar>
              <w:top w:w="80" w:type="dxa"/>
              <w:bottom w:w="80" w:type="dxa"/>
              <w:left w:w="120" w:type="dxa"/>
              <w:right w:w="120" w:type="dxa"/>
            </w:tcMar>
          </w:tcPr>
          <w:p>
            <w:pPr>
              <w:spacing w:before="0" w:after="0"/>
              <w:jc w:val="right"/>
            </w:pPr>
            <w:r>
              <w:rPr>
                <w:rFonts w:ascii="Calibri" w:hAnsi="Calibri"/>
                <w:color w:val="2D3748"/>
                <w:sz w:val="18"/>
              </w:rPr>
              <w:t>+31.8%</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Rápida capitalización orgánica impulsada por beneficios retenidos.</w:t>
            </w:r>
          </w:p>
        </w:tc>
      </w:tr>
    </w:tbl>
    <w:p>
      <w:pPr>
        <w:spacing w:after="120"/>
      </w:pPr>
    </w:p>
    <w:p>
      <w:pPr>
        <w:spacing w:before="40" w:after="80" w:line="276" w:lineRule="auto"/>
      </w:pPr>
      <w:r>
        <w:rPr>
          <w:rFonts w:ascii="Calibri" w:hAnsi="Calibri"/>
          <w:b/>
          <w:color w:val="2D3748"/>
          <w:sz w:val="20"/>
        </w:rPr>
        <w:t xml:space="preserve">• Estructura de Rendimiento de Tesorería: </w:t>
      </w:r>
      <w:r>
        <w:rPr>
          <w:rFonts w:ascii="Calibri" w:hAnsi="Calibri"/>
          <w:i w:val="0"/>
          <w:color w:val="2D3748"/>
          <w:sz w:val="20"/>
        </w:rPr>
        <w:t>MercadoLibre financia su cartera de créditos mediante una combinación de fondos propios, depósitos en billeteras digitales y securitizaciones (fideicomisos financieros), limitando la exposición del balance central.</w:t>
      </w:r>
    </w:p>
    <w:p>
      <w:pPr>
        <w:keepNext/>
        <w:spacing w:before="200" w:after="80"/>
      </w:pPr>
      <w:r>
        <w:rPr>
          <w:rFonts w:ascii="Calibri" w:hAnsi="Calibri"/>
          <w:b/>
          <w:color w:val="4A5568"/>
          <w:sz w:val="22"/>
        </w:rPr>
        <w:t>6.2. Política de Retorno al Accionista: Recompra de Acciones y Dividendos</w:t>
      </w:r>
    </w:p>
    <w:p>
      <w:pPr>
        <w:spacing w:before="40" w:after="80" w:line="276" w:lineRule="auto"/>
      </w:pPr>
      <w:r>
        <w:rPr>
          <w:rFonts w:ascii="Calibri" w:hAnsi="Calibri"/>
          <w:i w:val="0"/>
          <w:color w:val="2D3748"/>
          <w:sz w:val="20"/>
        </w:rPr>
        <w:t>La compañía reinvierte prácticamente el 100% de sus beneficios operativos en el crecimiento del ecosistema, manteniendo una política conservadora de retorno de capital sin pago de dividendos:</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024"/>
            <w:shd w:fill="1B365D"/>
            <w:tcMar>
              <w:top w:w="100" w:type="dxa"/>
              <w:bottom w:w="100" w:type="dxa"/>
              <w:left w:w="120" w:type="dxa"/>
              <w:right w:w="120" w:type="dxa"/>
            </w:tcMar>
          </w:tcPr>
          <w:p>
            <w:pPr>
              <w:spacing w:before="0" w:after="0"/>
              <w:jc w:val="left"/>
            </w:pPr>
            <w:r>
              <w:rPr>
                <w:rFonts w:ascii="Calibri" w:hAnsi="Calibri"/>
                <w:b/>
                <w:color w:val="FFFFFF"/>
                <w:sz w:val="19"/>
              </w:rPr>
              <w:t>Componente de Asignación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Cifra LTM ($M)</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Objetivo Estratégico</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Impacto para el Accionista</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Reinversión Orgánica (CapEx + Crédito)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~$2,500.0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Expansión logística y de créditos</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Tasa de reinversión de alto rendimiento que sostiene el foso defensivo.</w:t>
            </w:r>
          </w:p>
        </w:tc>
      </w:tr>
      <w:tr>
        <w:tc>
          <w:tcPr>
            <w:tcW w:type="dxa" w:w="3024"/>
            <w:shd w:fill="F7FAFC"/>
            <w:tcMar>
              <w:top w:w="80" w:type="dxa"/>
              <w:bottom w:w="80" w:type="dxa"/>
              <w:left w:w="120" w:type="dxa"/>
              <w:right w:w="120" w:type="dxa"/>
            </w:tcMar>
          </w:tcPr>
          <w:p>
            <w:pPr>
              <w:spacing w:before="0" w:after="0"/>
              <w:jc w:val="left"/>
            </w:pPr>
            <w:r>
              <w:rPr>
                <w:rFonts w:ascii="Calibri" w:hAnsi="Calibri"/>
                <w:color w:val="2D3748"/>
                <w:sz w:val="18"/>
              </w:rPr>
              <w:t>Recompra de Acciones</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Preservación de capital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Prioridad absoluta en compounder growth de dos dígitos.</w:t>
            </w:r>
          </w:p>
        </w:tc>
      </w:tr>
      <w:tr>
        <w:tc>
          <w:tcPr>
            <w:tcW w:type="dxa" w:w="3024"/>
            <w:shd w:fill="FFFFFF"/>
            <w:tcMar>
              <w:top w:w="80" w:type="dxa"/>
              <w:bottom w:w="80" w:type="dxa"/>
              <w:left w:w="120" w:type="dxa"/>
              <w:right w:w="120" w:type="dxa"/>
            </w:tcMar>
          </w:tcPr>
          <w:p>
            <w:pPr>
              <w:spacing w:before="0" w:after="0"/>
              <w:jc w:val="left"/>
            </w:pPr>
            <w:r>
              <w:rPr>
                <w:rFonts w:ascii="Calibri" w:hAnsi="Calibri"/>
                <w:color w:val="2D3748"/>
                <w:sz w:val="18"/>
              </w:rPr>
              <w:t>Dividendos en Efectivo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$0.0 M</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Cero distribución</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Eficiencia fiscal óptima para inversores de crecimiento.</w:t>
            </w:r>
          </w:p>
        </w:tc>
      </w:tr>
    </w:tbl>
    <w:p>
      <w:pPr>
        <w:spacing w:after="120"/>
      </w:pPr>
    </w:p>
    <w:p>
      <w:pPr>
        <w:spacing w:before="40" w:after="80" w:line="276" w:lineRule="auto"/>
      </w:pPr>
      <w:r>
        <w:rPr>
          <w:rFonts w:ascii="Calibri" w:hAnsi="Calibri"/>
          <w:b/>
          <w:color w:val="2D3748"/>
          <w:sz w:val="20"/>
        </w:rPr>
        <w:t xml:space="preserve">• Calidad de la Recompra vs. Dilución por SBC: </w:t>
      </w:r>
      <w:r>
        <w:rPr>
          <w:rFonts w:ascii="Calibri" w:hAnsi="Calibri"/>
          <w:i w:val="0"/>
          <w:color w:val="2D3748"/>
          <w:sz w:val="20"/>
        </w:rPr>
        <w:t>La compensación basada en acciones (SBC) se mantiene controlada en torno al 2.5% de los ingresos netos, alineando los incentivos de la dirección con la creación de valor por acción a largo plazo.</w:t>
      </w:r>
    </w:p>
    <w:p>
      <w:pPr>
        <w:keepNext/>
        <w:spacing w:before="200" w:after="80"/>
      </w:pPr>
      <w:r>
        <w:rPr>
          <w:rFonts w:ascii="Calibri" w:hAnsi="Calibri"/>
          <w:b/>
          <w:color w:val="4A5568"/>
          <w:sz w:val="22"/>
        </w:rPr>
        <w:t>6.3. Inversiones Estratégicas, Adquisiciones (M&amp;A) y Expansión Productiva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Iniciativa / Transacción</w:t>
            </w:r>
          </w:p>
        </w:tc>
        <w:tc>
          <w:tcPr>
            <w:tcW w:type="dxa" w:w="1872"/>
            <w:shd w:fill="1B365D"/>
            <w:tcMar>
              <w:top w:w="100" w:type="dxa"/>
              <w:bottom w:w="100" w:type="dxa"/>
              <w:left w:w="120" w:type="dxa"/>
              <w:right w:w="120" w:type="dxa"/>
            </w:tcMar>
          </w:tcPr>
          <w:p>
            <w:pPr>
              <w:spacing w:before="0" w:after="0"/>
              <w:jc w:val="left"/>
            </w:pPr>
            <w:r>
              <w:rPr>
                <w:rFonts w:ascii="Calibri" w:hAnsi="Calibri"/>
                <w:b/>
                <w:color w:val="FFFFFF"/>
                <w:sz w:val="19"/>
              </w:rPr>
              <w:t>Tipo de Operación</w:t>
            </w:r>
          </w:p>
        </w:tc>
        <w:tc>
          <w:tcPr>
            <w:tcW w:type="dxa" w:w="1728"/>
            <w:shd w:fill="1B365D"/>
            <w:tcMar>
              <w:top w:w="100" w:type="dxa"/>
              <w:bottom w:w="100" w:type="dxa"/>
              <w:left w:w="120" w:type="dxa"/>
              <w:right w:w="120" w:type="dxa"/>
            </w:tcMar>
          </w:tcPr>
          <w:p>
            <w:pPr>
              <w:spacing w:before="0" w:after="0"/>
              <w:jc w:val="right"/>
            </w:pPr>
            <w:r>
              <w:rPr>
                <w:rFonts w:ascii="Calibri" w:hAnsi="Calibri"/>
                <w:b/>
                <w:color w:val="FFFFFF"/>
                <w:sz w:val="19"/>
              </w:rPr>
              <w:t>Capital / Compromiso</w:t>
            </w:r>
          </w:p>
        </w:tc>
        <w:tc>
          <w:tcPr>
            <w:tcW w:type="dxa" w:w="3744"/>
            <w:shd w:fill="1B365D"/>
            <w:tcMar>
              <w:top w:w="100" w:type="dxa"/>
              <w:bottom w:w="100" w:type="dxa"/>
              <w:left w:w="120" w:type="dxa"/>
              <w:right w:w="120" w:type="dxa"/>
            </w:tcMar>
          </w:tcPr>
          <w:p>
            <w:pPr>
              <w:spacing w:before="0" w:after="0"/>
              <w:jc w:val="left"/>
            </w:pPr>
            <w:r>
              <w:rPr>
                <w:rFonts w:ascii="Calibri" w:hAnsi="Calibri"/>
                <w:b/>
                <w:color w:val="FFFFFF"/>
                <w:sz w:val="19"/>
              </w:rPr>
              <w:t>¿Qué se busca estratégicamente con ello?</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Expansión de Red de Centros de Fulfillment</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CapEx Logístico Directo</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~$980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Apertura de nuevos mega-hubs en Brasil, México y Colombia para blindar la promesa de entrega en 24 horas.</w:t>
            </w:r>
          </w:p>
        </w:tc>
      </w:tr>
      <w:tr>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Crecimiento de Cartera Mercado Crédito</w:t>
            </w:r>
          </w:p>
        </w:tc>
        <w:tc>
          <w:tcPr>
            <w:tcW w:type="dxa" w:w="1872"/>
            <w:shd w:fill="F7FAFC"/>
            <w:tcMar>
              <w:top w:w="80" w:type="dxa"/>
              <w:bottom w:w="80" w:type="dxa"/>
              <w:left w:w="120" w:type="dxa"/>
              <w:right w:w="120" w:type="dxa"/>
            </w:tcMar>
          </w:tcPr>
          <w:p>
            <w:pPr>
              <w:spacing w:before="0" w:after="0"/>
              <w:jc w:val="left"/>
            </w:pPr>
            <w:r>
              <w:rPr>
                <w:rFonts w:ascii="Calibri" w:hAnsi="Calibri"/>
                <w:color w:val="2D3748"/>
                <w:sz w:val="18"/>
              </w:rPr>
              <w:t>Asignación de Capital Crediticio</w:t>
            </w:r>
          </w:p>
        </w:tc>
        <w:tc>
          <w:tcPr>
            <w:tcW w:type="dxa" w:w="1728"/>
            <w:shd w:fill="F7FAFC"/>
            <w:tcMar>
              <w:top w:w="80" w:type="dxa"/>
              <w:bottom w:w="80" w:type="dxa"/>
              <w:left w:w="120" w:type="dxa"/>
              <w:right w:w="120" w:type="dxa"/>
            </w:tcMar>
          </w:tcPr>
          <w:p>
            <w:pPr>
              <w:spacing w:before="0" w:after="0"/>
              <w:jc w:val="right"/>
            </w:pPr>
            <w:r>
              <w:rPr>
                <w:rFonts w:ascii="Calibri" w:hAnsi="Calibri"/>
                <w:color w:val="2D3748"/>
                <w:sz w:val="18"/>
              </w:rPr>
              <w:t>$16,400 M en cartera</w:t>
            </w:r>
          </w:p>
        </w:tc>
        <w:tc>
          <w:tcPr>
            <w:tcW w:type="dxa" w:w="3744"/>
            <w:shd w:fill="F7FAFC"/>
            <w:tcMar>
              <w:top w:w="80" w:type="dxa"/>
              <w:bottom w:w="80" w:type="dxa"/>
              <w:left w:w="120" w:type="dxa"/>
              <w:right w:w="120" w:type="dxa"/>
            </w:tcMar>
          </w:tcPr>
          <w:p>
            <w:pPr>
              <w:spacing w:before="0" w:after="0"/>
              <w:jc w:val="left"/>
            </w:pPr>
            <w:r>
              <w:rPr>
                <w:rFonts w:ascii="Calibri" w:hAnsi="Calibri"/>
                <w:color w:val="2D3748"/>
                <w:sz w:val="18"/>
              </w:rPr>
              <w:t>Despliegue selectivo de préstamos con foco en tarjetas de crédito de bajo riesgo y expansión de NIMAL al 21%.</w:t>
            </w:r>
          </w:p>
        </w:tc>
      </w:tr>
      <w:tr>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Desarrollo e Inversión en Inteligencia Artificial</w:t>
            </w:r>
          </w:p>
        </w:tc>
        <w:tc>
          <w:tcPr>
            <w:tcW w:type="dxa" w:w="1872"/>
            <w:shd w:fill="FFFFFF"/>
            <w:tcMar>
              <w:top w:w="80" w:type="dxa"/>
              <w:bottom w:w="80" w:type="dxa"/>
              <w:left w:w="120" w:type="dxa"/>
              <w:right w:w="120" w:type="dxa"/>
            </w:tcMar>
          </w:tcPr>
          <w:p>
            <w:pPr>
              <w:spacing w:before="0" w:after="0"/>
              <w:jc w:val="left"/>
            </w:pPr>
            <w:r>
              <w:rPr>
                <w:rFonts w:ascii="Calibri" w:hAnsi="Calibri"/>
                <w:color w:val="2D3748"/>
                <w:sz w:val="18"/>
              </w:rPr>
              <w:t>Gasto I+D y Software</w:t>
            </w:r>
          </w:p>
        </w:tc>
        <w:tc>
          <w:tcPr>
            <w:tcW w:type="dxa" w:w="1728"/>
            <w:shd w:fill="FFFFFF"/>
            <w:tcMar>
              <w:top w:w="80" w:type="dxa"/>
              <w:bottom w:w="80" w:type="dxa"/>
              <w:left w:w="120" w:type="dxa"/>
              <w:right w:w="120" w:type="dxa"/>
            </w:tcMar>
          </w:tcPr>
          <w:p>
            <w:pPr>
              <w:spacing w:before="0" w:after="0"/>
              <w:jc w:val="right"/>
            </w:pPr>
            <w:r>
              <w:rPr>
                <w:rFonts w:ascii="Calibri" w:hAnsi="Calibri"/>
                <w:color w:val="2D3748"/>
                <w:sz w:val="18"/>
              </w:rPr>
              <w:t>~$1,850 M anuales</w:t>
            </w:r>
          </w:p>
        </w:tc>
        <w:tc>
          <w:tcPr>
            <w:tcW w:type="dxa" w:w="3744"/>
            <w:shd w:fill="FFFFFF"/>
            <w:tcMar>
              <w:top w:w="80" w:type="dxa"/>
              <w:bottom w:w="80" w:type="dxa"/>
              <w:left w:w="120" w:type="dxa"/>
              <w:right w:w="120" w:type="dxa"/>
            </w:tcMar>
          </w:tcPr>
          <w:p>
            <w:pPr>
              <w:spacing w:before="0" w:after="0"/>
              <w:jc w:val="left"/>
            </w:pPr>
            <w:r>
              <w:rPr>
                <w:rFonts w:ascii="Calibri" w:hAnsi="Calibri"/>
                <w:color w:val="2D3748"/>
                <w:sz w:val="18"/>
              </w:rPr>
              <w:t>Optimización de rutas de reparto, modelos de riesgo crediticio automatizado y personalización publicitaria en Mercado Ads.</w:t>
            </w:r>
          </w:p>
        </w:tc>
      </w:tr>
    </w:tbl>
    <w:p>
      <w:pPr>
        <w:spacing w:after="120"/>
      </w:pPr>
    </w:p>
    <w:p>
      <w:pPr>
        <w:keepNext/>
        <w:spacing w:before="200" w:after="80"/>
      </w:pPr>
      <w:r>
        <w:rPr>
          <w:rFonts w:ascii="Calibri" w:hAnsi="Calibri"/>
          <w:b/>
          <w:color w:val="4A5568"/>
          <w:sz w:val="22"/>
        </w:rPr>
        <w:t>6.4. Política de Inversión, Eficiencia Logística y Flujo de Caja Libre</w:t>
      </w:r>
    </w:p>
    <w:p>
      <w:pPr>
        <w:spacing w:before="40" w:after="80" w:line="276" w:lineRule="auto"/>
      </w:pPr>
      <w:r>
        <w:rPr>
          <w:rFonts w:ascii="Calibri" w:hAnsi="Calibri"/>
          <w:i w:val="0"/>
          <w:color w:val="2D3748"/>
          <w:sz w:val="20"/>
        </w:rPr>
        <w:t>MercadoLibre reinvierte activamente su flujo operativo en infraestructura logística y desarrollo de software, priorizando la expansión de escala y el afianzamiento de sus fosos sobre la rentabilidad a corto plazo:</w:t>
      </w:r>
    </w:p>
    <w:p>
      <w:pPr>
        <w:spacing w:before="40" w:after="80" w:line="276" w:lineRule="auto"/>
      </w:pPr>
      <w:r>
        <w:rPr>
          <w:rFonts w:ascii="Calibri" w:hAnsi="Calibri"/>
          <w:b/>
          <w:color w:val="2D3748"/>
          <w:sz w:val="20"/>
        </w:rPr>
        <w:t xml:space="preserve">• CapEx Logístico de Alto Retorno: </w:t>
      </w:r>
      <w:r>
        <w:rPr>
          <w:rFonts w:ascii="Calibri" w:hAnsi="Calibri"/>
          <w:i w:val="0"/>
          <w:color w:val="2D3748"/>
          <w:sz w:val="20"/>
        </w:rPr>
        <w:t>La inversión en flota y almacenes automatizados reduce el coste unitario por entrega y consolida la ventaja de entrega en el mismo día.</w:t>
      </w:r>
    </w:p>
    <w:p>
      <w:pPr>
        <w:spacing w:before="40" w:after="80" w:line="276" w:lineRule="auto"/>
      </w:pPr>
      <w:r>
        <w:rPr>
          <w:rFonts w:ascii="Calibri" w:hAnsi="Calibri"/>
          <w:b/>
          <w:color w:val="2D3748"/>
          <w:sz w:val="20"/>
        </w:rPr>
        <w:t xml:space="preserve">• FCF Ajustado Sólido: </w:t>
      </w:r>
      <w:r>
        <w:rPr>
          <w:rFonts w:ascii="Calibri" w:hAnsi="Calibri"/>
          <w:i w:val="0"/>
          <w:color w:val="2D3748"/>
          <w:sz w:val="20"/>
        </w:rPr>
        <w:t>A pesar del hipercrecimiento y del fondeo de la cartera de crédito, la compañía generó $214M en FCF ajustado en el último trimestre, respaldando más de $4,100M en liquidez total.</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BALANCE Y LA ASIGNACIÓN DE CAPITAL?</w:t>
            </w:r>
          </w:p>
          <w:p>
            <w:pPr>
              <w:spacing w:before="40" w:after="40" w:line="276" w:lineRule="auto"/>
            </w:pPr>
            <w:r>
              <w:rPr>
                <w:rFonts w:ascii="Calibri" w:hAnsi="Calibri"/>
                <w:color w:val="2D3748"/>
                <w:sz w:val="19"/>
              </w:rPr>
              <w:t>• Caja Neta (Net Cash) vs. Deuda Neta: Se calcula restando la deuda financiera bruta a la liquidez total. Una posición positiva certifica que la empresa es acreedora neta y solvente ante cualquier crisis.</w:t>
            </w:r>
          </w:p>
          <w:p>
            <w:pPr>
              <w:spacing w:before="40" w:after="40" w:line="276" w:lineRule="auto"/>
            </w:pPr>
            <w:r>
              <w:rPr>
                <w:rFonts w:ascii="Calibri" w:hAnsi="Calibri"/>
                <w:color w:val="2D3748"/>
                <w:sz w:val="19"/>
              </w:rPr>
              <w:t>• Recompra Neta vs. Dilución por SBC: Una recompra solo crea valor genuino si retira más acciones de las que se emiten vía Stock-Based Compensation.</w:t>
            </w:r>
          </w:p>
          <w:p>
            <w:pPr>
              <w:spacing w:before="40" w:after="40" w:line="276" w:lineRule="auto"/>
            </w:pPr>
            <w:r>
              <w:rPr>
                <w:rFonts w:ascii="Calibri" w:hAnsi="Calibri"/>
                <w:color w:val="2D3748"/>
                <w:sz w:val="19"/>
              </w:rPr>
              <w:t>• Eficiencia del CapEx: Las mejores empresas operan modelos de capital ligero (Asset-Light / Fabless) o asignan CapEx a proyectos con retornos que superan ampliamente su WACC.</w:t>
            </w:r>
          </w:p>
        </w:tc>
      </w:tr>
    </w:tbl>
    <w:p>
      <w:pPr>
        <w:spacing w:after="80"/>
      </w:pPr>
    </w:p>
    <w:p>
      <w:pPr>
        <w:keepNext/>
        <w:spacing w:before="320" w:after="120"/>
      </w:pPr>
      <w:r>
        <w:rPr>
          <w:rFonts w:ascii="Calibri" w:hAnsi="Calibri"/>
          <w:b/>
          <w:color w:val="1B365D"/>
          <w:sz w:val="26"/>
        </w:rPr>
        <w:t>7. Estrategia Tecnológica, Fosos Defensivos (Economic Moat) y Ventajas Competitivas</w:t>
      </w:r>
    </w:p>
    <w:p>
      <w:pPr>
        <w:spacing w:before="40" w:after="80" w:line="276" w:lineRule="auto"/>
      </w:pPr>
      <w:r>
        <w:rPr>
          <w:rFonts w:ascii="Calibri" w:hAnsi="Calibri"/>
          <w:i w:val="0"/>
          <w:color w:val="2D3748"/>
          <w:sz w:val="20"/>
        </w:rPr>
        <w:t>La posición de dominio de MercadoLibre en América Latina está protegida por un Foso Defensivo Amplio (Wide Moat / Dorsey Framework), blindado por efectos de red bilaterales masivos, infraestructura logística propia irreplicable y altos costes de cambio en su ecosistema financiero:</w:t>
      </w:r>
    </w:p>
    <w:p>
      <w:pPr>
        <w:keepNext/>
        <w:spacing w:before="200" w:after="80"/>
      </w:pPr>
      <w:r>
        <w:rPr>
          <w:rFonts w:ascii="Calibri" w:hAnsi="Calibri"/>
          <w:b/>
          <w:color w:val="4A5568"/>
          <w:sz w:val="22"/>
        </w:rPr>
        <w:t>7.1. Cuadro de Mando de Fosos Defensivos (Dorsey / Morningstar Framework)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Fuente del Foso Defensivo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Intensidad</w:t>
            </w:r>
          </w:p>
        </w:tc>
        <w:tc>
          <w:tcPr>
            <w:tcW w:type="dxa" w:w="3312"/>
            <w:shd w:fill="1B365D"/>
            <w:tcMar>
              <w:top w:w="100" w:type="dxa"/>
              <w:bottom w:w="100" w:type="dxa"/>
              <w:left w:w="120" w:type="dxa"/>
              <w:right w:w="120" w:type="dxa"/>
            </w:tcMar>
          </w:tcPr>
          <w:p>
            <w:pPr>
              <w:spacing w:before="0" w:after="0"/>
              <w:jc w:val="left"/>
            </w:pPr>
            <w:r>
              <w:rPr>
                <w:rFonts w:ascii="Calibri" w:hAnsi="Calibri"/>
                <w:b/>
                <w:color w:val="FFFFFF"/>
                <w:sz w:val="19"/>
              </w:rPr>
              <w:t>Mecanismo de Protección Económica</w:t>
            </w:r>
          </w:p>
        </w:tc>
        <w:tc>
          <w:tcPr>
            <w:tcW w:type="dxa" w:w="2736"/>
            <w:shd w:fill="1B365D"/>
            <w:tcMar>
              <w:top w:w="100" w:type="dxa"/>
              <w:bottom w:w="100" w:type="dxa"/>
              <w:left w:w="120" w:type="dxa"/>
              <w:right w:w="120" w:type="dxa"/>
            </w:tcMar>
          </w:tcPr>
          <w:p>
            <w:pPr>
              <w:spacing w:before="0" w:after="0"/>
              <w:jc w:val="left"/>
            </w:pPr>
            <w:r>
              <w:rPr>
                <w:rFonts w:ascii="Calibri" w:hAnsi="Calibri"/>
                <w:b/>
                <w:color w:val="FFFFFF"/>
                <w:sz w:val="19"/>
              </w:rPr>
              <w:t>Diagnóstico Competitivo</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Efecto de Red Bilateral (Two-Sided Network)</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DOMINANTE</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Más de 60 millones de compradores activos y millones de vendedores en la misma plataforma; más oferta atrae más demanda y viceversa de forma orgánica.</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Barrera de entrada insalvable para nuevos competidores regionales; el Marketplace de referencia obligatorio en Brasil, México y Argentina.</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Infraestructura Logística Propia (Mercado Envíos)</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ESTRUCTURAL</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Red masiva de centros de fulfillment y despacho que entrega más del 50% de los paquetes el mismo día o al día siguiente en las principales metrópolis.</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Ventaja de coste de escala inalcanzable; la reducción del umbral de envío gratis en Brasil dispara el volumen y ahoga a rivales locales.</w:t>
            </w:r>
          </w:p>
        </w:tc>
      </w:tr>
      <w:tr>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Costes de Cambio y Ecosistema Mercado Pago</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 ELEVADO</w:t>
            </w:r>
          </w:p>
        </w:tc>
        <w:tc>
          <w:tcPr>
            <w:tcW w:type="dxa" w:w="3312"/>
            <w:shd w:fill="FFFFFF"/>
            <w:tcMar>
              <w:top w:w="80" w:type="dxa"/>
              <w:bottom w:w="80" w:type="dxa"/>
              <w:left w:w="120" w:type="dxa"/>
              <w:right w:w="120" w:type="dxa"/>
            </w:tcMar>
          </w:tcPr>
          <w:p>
            <w:pPr>
              <w:spacing w:before="0" w:after="0"/>
              <w:jc w:val="left"/>
            </w:pPr>
            <w:r>
              <w:rPr>
                <w:rFonts w:ascii="Calibri" w:hAnsi="Calibri"/>
                <w:color w:val="2D3748"/>
                <w:sz w:val="18"/>
              </w:rPr>
              <w:t>Comerciantes y usuarios retienen saldos en la cuenta remunerada, cobran con lectores Point y financian sus compras mediante Mercado Crédito en un solo clic.</w:t>
            </w:r>
          </w:p>
        </w:tc>
        <w:tc>
          <w:tcPr>
            <w:tcW w:type="dxa" w:w="2736"/>
            <w:shd w:fill="FFFFFF"/>
            <w:tcMar>
              <w:top w:w="80" w:type="dxa"/>
              <w:bottom w:w="80" w:type="dxa"/>
              <w:left w:w="120" w:type="dxa"/>
              <w:right w:w="120" w:type="dxa"/>
            </w:tcMar>
          </w:tcPr>
          <w:p>
            <w:pPr>
              <w:spacing w:before="0" w:after="0"/>
              <w:jc w:val="left"/>
            </w:pPr>
            <w:r>
              <w:rPr>
                <w:rFonts w:ascii="Calibri" w:hAnsi="Calibri"/>
                <w:color w:val="2D3748"/>
                <w:sz w:val="18"/>
              </w:rPr>
              <w:t>Retención superior y fidelidad transaccional; el usuario migra naturalmente de consumidor de e-commerce a cliente bancarizado.</w:t>
            </w:r>
          </w:p>
        </w:tc>
      </w:tr>
      <w:tr>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Poder de Datos y Scoring Crediticio Propietario</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 ALTA</w:t>
            </w:r>
          </w:p>
        </w:tc>
        <w:tc>
          <w:tcPr>
            <w:tcW w:type="dxa" w:w="3312"/>
            <w:shd w:fill="F7FAFC"/>
            <w:tcMar>
              <w:top w:w="80" w:type="dxa"/>
              <w:bottom w:w="80" w:type="dxa"/>
              <w:left w:w="120" w:type="dxa"/>
              <w:right w:w="120" w:type="dxa"/>
            </w:tcMar>
          </w:tcPr>
          <w:p>
            <w:pPr>
              <w:spacing w:before="0" w:after="0"/>
              <w:jc w:val="left"/>
            </w:pPr>
            <w:r>
              <w:rPr>
                <w:rFonts w:ascii="Calibri" w:hAnsi="Calibri"/>
                <w:color w:val="2D3748"/>
                <w:sz w:val="18"/>
              </w:rPr>
              <w:t>Algoritmos de inteligencia artificial entrenados con miles de millones de transacciones de compraventa para estimar el riesgo crediticio en tiempo real.</w:t>
            </w:r>
          </w:p>
        </w:tc>
        <w:tc>
          <w:tcPr>
            <w:tcW w:type="dxa" w:w="2736"/>
            <w:shd w:fill="F7FAFC"/>
            <w:tcMar>
              <w:top w:w="80" w:type="dxa"/>
              <w:bottom w:w="80" w:type="dxa"/>
              <w:left w:w="120" w:type="dxa"/>
              <w:right w:w="120" w:type="dxa"/>
            </w:tcMar>
          </w:tcPr>
          <w:p>
            <w:pPr>
              <w:spacing w:before="0" w:after="0"/>
              <w:jc w:val="left"/>
            </w:pPr>
            <w:r>
              <w:rPr>
                <w:rFonts w:ascii="Calibri" w:hAnsi="Calibri"/>
                <w:color w:val="2D3748"/>
                <w:sz w:val="18"/>
              </w:rPr>
              <w:t>Capacidad de otorgar crédito con mejor selección de riesgo (NIMAL del 21%) frente a bancos tradicionales que carecen de visibilidad operativa.</w:t>
            </w:r>
          </w:p>
        </w:tc>
      </w:tr>
    </w:tbl>
    <w:p>
      <w:pPr>
        <w:spacing w:after="120"/>
      </w:pPr>
    </w:p>
    <w:p>
      <w:pPr>
        <w:spacing w:before="40" w:after="80" w:line="276" w:lineRule="auto"/>
      </w:pPr>
      <w:r>
        <w:rPr>
          <w:rFonts w:ascii="Calibri" w:hAnsi="Calibri"/>
          <w:b/>
          <w:color w:val="2D3748"/>
          <w:sz w:val="20"/>
        </w:rPr>
        <w:t xml:space="preserve">• </w:t>
      </w:r>
      <w:r>
        <w:rPr>
          <w:rFonts w:ascii="Calibri" w:hAnsi="Calibri"/>
          <w:i w:val="0"/>
          <w:color w:val="2D3748"/>
          <w:sz w:val="20"/>
        </w:rPr>
        <w:t>Dictamen Estratégico Global: WIDE MOAT | Tendencia: EN EXPANSIÓN.</w:t>
      </w:r>
    </w:p>
    <w:p>
      <w:pPr>
        <w:keepNext/>
        <w:spacing w:before="200" w:after="80"/>
      </w:pPr>
      <w:r>
        <w:rPr>
          <w:rFonts w:ascii="Calibri" w:hAnsi="Calibri"/>
          <w:b/>
          <w:color w:val="4A5568"/>
          <w:sz w:val="22"/>
        </w:rPr>
        <w:t>7.2. El Círculo Virtuoso (Flywheel) entre Comercio y Fintech</w:t>
      </w:r>
    </w:p>
    <w:p>
      <w:pPr>
        <w:spacing w:before="40" w:after="80" w:line="276" w:lineRule="auto"/>
      </w:pPr>
      <w:r>
        <w:rPr>
          <w:rFonts w:ascii="Calibri" w:hAnsi="Calibri"/>
          <w:b/>
          <w:color w:val="2D3748"/>
          <w:sz w:val="20"/>
        </w:rPr>
        <w:t xml:space="preserve">• Comercio alimenta FinTech: </w:t>
      </w:r>
      <w:r>
        <w:rPr>
          <w:rFonts w:ascii="Calibri" w:hAnsi="Calibri"/>
          <w:i w:val="0"/>
          <w:color w:val="2D3748"/>
          <w:sz w:val="20"/>
        </w:rPr>
        <w:t>El volumen transaccional del marketplace genera liquidez cautiva inmediata en las billeteras digitales de Mercado Pago sin coste de adquisición de clientes.</w:t>
      </w:r>
    </w:p>
    <w:p>
      <w:pPr>
        <w:spacing w:before="40" w:after="80" w:line="276" w:lineRule="auto"/>
      </w:pPr>
      <w:r>
        <w:rPr>
          <w:rFonts w:ascii="Calibri" w:hAnsi="Calibri"/>
          <w:b/>
          <w:color w:val="2D3748"/>
          <w:sz w:val="20"/>
        </w:rPr>
        <w:t xml:space="preserve">• FinTech potencia el Comercio: </w:t>
      </w:r>
      <w:r>
        <w:rPr>
          <w:rFonts w:ascii="Calibri" w:hAnsi="Calibri"/>
          <w:i w:val="0"/>
          <w:color w:val="2D3748"/>
          <w:sz w:val="20"/>
        </w:rPr>
        <w:t>Las líneas de crédito personal y la tarjeta de crédito propia de Mercado Crédito elevan el poder de compra del usuario e incrementan los ítems comprados por usuario en un +19% YoY.</w:t>
      </w:r>
    </w:p>
    <w:p>
      <w:pPr>
        <w:keepNext/>
        <w:spacing w:before="200" w:after="80"/>
      </w:pPr>
      <w:r>
        <w:rPr>
          <w:rFonts w:ascii="Calibri" w:hAnsi="Calibri"/>
          <w:b/>
          <w:color w:val="4A5568"/>
          <w:sz w:val="22"/>
        </w:rPr>
        <w:t>7.3. Densidad Logística como Escudo frente a Gigantes Globales (Amazon / Shopee)</w:t>
      </w:r>
    </w:p>
    <w:p>
      <w:pPr>
        <w:spacing w:before="40" w:after="80" w:line="276" w:lineRule="auto"/>
      </w:pPr>
      <w:r>
        <w:rPr>
          <w:rFonts w:ascii="Calibri" w:hAnsi="Calibri"/>
          <w:b/>
          <w:color w:val="2D3748"/>
          <w:sz w:val="20"/>
        </w:rPr>
        <w:t xml:space="preserve">• Eficiencia por Milla Recorrida: </w:t>
      </w:r>
      <w:r>
        <w:rPr>
          <w:rFonts w:ascii="Calibri" w:hAnsi="Calibri"/>
          <w:i w:val="0"/>
          <w:color w:val="2D3748"/>
          <w:sz w:val="20"/>
        </w:rPr>
        <w:t>La escala logística de MELI en Brasil y México reduce el costo unitario por paquete con cada incremento de volumen, convirtiendo el gasto logístico en un arma competitiva.</w:t>
      </w:r>
    </w:p>
    <w:p>
      <w:pPr>
        <w:spacing w:before="40" w:after="80" w:line="276" w:lineRule="auto"/>
      </w:pPr>
      <w:r>
        <w:rPr>
          <w:rFonts w:ascii="Calibri" w:hAnsi="Calibri"/>
          <w:b/>
          <w:color w:val="2D3748"/>
          <w:sz w:val="20"/>
        </w:rPr>
        <w:t xml:space="preserve">• Cobertura Geográfica Extrema: </w:t>
      </w:r>
      <w:r>
        <w:rPr>
          <w:rFonts w:ascii="Calibri" w:hAnsi="Calibri"/>
          <w:i w:val="0"/>
          <w:color w:val="2D3748"/>
          <w:sz w:val="20"/>
        </w:rPr>
        <w:t>Capacidad de entrega en regiones remotas de América Latina donde competidores transfronterizos tardan semanas o no tienen presencia.</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DE DIAGNÓSTICO FUNDAMENTAL: ¿CÓMO AUDITAR EL FOSO DEFENSIVO (ECONOMIC MOAT)?</w:t>
            </w:r>
          </w:p>
          <w:p>
            <w:pPr>
              <w:spacing w:before="40" w:after="40" w:line="276" w:lineRule="auto"/>
            </w:pPr>
            <w:r>
              <w:rPr>
                <w:rFonts w:ascii="Calibri" w:hAnsi="Calibri"/>
                <w:color w:val="2D3748"/>
                <w:sz w:val="19"/>
              </w:rPr>
              <w:t>• Identificación de un Wide Moat: Una empresa posee un foso amplio cuando puede generar sistemáticamente un ROIC superior a su WACC durante más de 10 o 15 años.</w:t>
            </w:r>
          </w:p>
          <w:p>
            <w:pPr>
              <w:spacing w:before="40" w:after="40" w:line="276" w:lineRule="auto"/>
            </w:pPr>
            <w:r>
              <w:rPr>
                <w:rFonts w:ascii="Calibri" w:hAnsi="Calibri"/>
                <w:color w:val="2D3748"/>
                <w:sz w:val="19"/>
              </w:rPr>
              <w:t>• Costes de Cambio y Pricing Power: Si un cliente no puede sustituir el producto sin fricción, la empresa puede subir precios sin perder demanda.</w:t>
            </w:r>
          </w:p>
          <w:p>
            <w:pPr>
              <w:spacing w:before="40" w:after="40" w:line="276" w:lineRule="auto"/>
            </w:pPr>
            <w:r>
              <w:rPr>
                <w:rFonts w:ascii="Calibri" w:hAnsi="Calibri"/>
                <w:color w:val="2D3748"/>
                <w:sz w:val="19"/>
              </w:rPr>
              <w:t>• Vigilancia de Erosión: La caída continua de margen bruto o la necesidad de rebajas agresivas son las primeras señales de debilitamiento de un foso.</w:t>
            </w:r>
          </w:p>
        </w:tc>
      </w:tr>
    </w:tbl>
    <w:p>
      <w:pPr>
        <w:spacing w:after="80"/>
      </w:pPr>
    </w:p>
    <w:p>
      <w:pPr>
        <w:keepNext/>
        <w:spacing w:before="320" w:after="120"/>
      </w:pPr>
      <w:r>
        <w:rPr>
          <w:rFonts w:ascii="Calibri" w:hAnsi="Calibri"/>
          <w:b/>
          <w:color w:val="1B365D"/>
          <w:sz w:val="26"/>
        </w:rPr>
        <w:t>8. Gobernanza Corporativa, Sentimiento Insider (Form 4 y 144) y Alertas 8-K</w:t>
      </w: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left w:val="single" w:sz="24" w:space="0" w:color="0A3641"/>
              <w:top w:val="none"/>
              <w:right w:val="none"/>
              <w:bottom w:val="none"/>
            </w:tcBorders>
          </w:tcPr>
          <w:p>
            <w:pPr>
              <w:spacing w:before="0" w:after="80"/>
            </w:pPr>
            <w:r>
              <w:rPr>
                <w:rFonts w:ascii="Segoe UI Emoji" w:hAnsi="Segoe UI Emoji"/>
                <w:sz w:val="21"/>
              </w:rPr>
              <w:t xml:space="preserve">📌  </w:t>
            </w:r>
            <w:r>
              <w:rPr>
                <w:rFonts w:ascii="Calibri" w:hAnsi="Calibri"/>
                <w:b/>
                <w:color w:val="0A3641"/>
                <w:sz w:val="21"/>
              </w:rPr>
              <w:t>GUÍA PEDAGÓGICA PARA EL INVERSOR: LA CADENA DE TRAZABILIDAD DE LA SEC</w:t>
            </w:r>
          </w:p>
          <w:p>
            <w:pPr>
              <w:spacing w:before="40" w:after="40" w:line="276" w:lineRule="auto"/>
            </w:pPr>
            <w:r>
              <w:rPr>
                <w:rFonts w:ascii="Calibri" w:hAnsi="Calibri"/>
                <w:color w:val="2D3748"/>
                <w:sz w:val="19"/>
              </w:rPr>
              <w:t>• Formulario 8-K (La Empresa Habla): Notifica eventos materiales corporativos en tiempo real (relevo del CEO, cambios de auditor o acuerdos clave).</w:t>
            </w:r>
          </w:p>
          <w:p>
            <w:pPr>
              <w:spacing w:before="40" w:after="40" w:line="276" w:lineRule="auto"/>
            </w:pPr>
            <w:r>
              <w:rPr>
                <w:rFonts w:ascii="Calibri" w:hAnsi="Calibri"/>
                <w:color w:val="2D3748"/>
                <w:sz w:val="19"/>
              </w:rPr>
              <w:t>• Formulario 144 (El Aviso Previo): Notificación previa y obligatoria de un directivo antes de vender acciones restringidas.</w:t>
            </w:r>
          </w:p>
          <w:p>
            <w:pPr>
              <w:spacing w:before="40" w:after="40" w:line="276" w:lineRule="auto"/>
            </w:pPr>
            <w:r>
              <w:rPr>
                <w:rFonts w:ascii="Calibri" w:hAnsi="Calibri"/>
                <w:color w:val="2D3748"/>
                <w:sz w:val="19"/>
              </w:rPr>
              <w:t>• Formulario 4 (La Ejecución Real): Registro en 48 horas de la transacción ya liquidada en bolsa.</w:t>
            </w:r>
          </w:p>
          <w:p>
            <w:pPr>
              <w:spacing w:before="40" w:after="40" w:line="276" w:lineRule="auto"/>
            </w:pPr>
            <w:r>
              <w:rPr>
                <w:rFonts w:ascii="Calibri" w:hAnsi="Calibri"/>
                <w:color w:val="2D3748"/>
                <w:sz w:val="19"/>
              </w:rPr>
              <w:t>• Regla de Oro: Las ventas bajo Planes Rule 10b5-1 son automáticas y preprogramadas sin información privilegiada. Las ventas discrecionales reflejan decisiones activas.</w:t>
            </w:r>
          </w:p>
        </w:tc>
      </w:tr>
    </w:tbl>
    <w:p>
      <w:pPr>
        <w:spacing w:after="80"/>
      </w:pPr>
    </w:p>
    <w:p>
      <w:pPr>
        <w:keepNext/>
        <w:spacing w:before="200" w:after="80"/>
      </w:pPr>
      <w:r>
        <w:rPr>
          <w:rFonts w:ascii="Calibri" w:hAnsi="Calibri"/>
          <w:b/>
          <w:color w:val="4A5568"/>
          <w:sz w:val="22"/>
        </w:rPr>
        <w:t>8.1. Hechos Relevantes y Alertas Tempranas de la Corporación (Formulario 8-K)</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958"/>
        <w:gridCol w:w="1958"/>
        <w:gridCol w:w="1958"/>
        <w:gridCol w:w="1958"/>
        <w:gridCol w:w="1958"/>
      </w:tblGrid>
      <w:tr>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Fecha SEC</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Ítem Oficial 8-K</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Naturaleza del Evento</w:t>
            </w:r>
          </w:p>
        </w:tc>
        <w:tc>
          <w:tcPr>
            <w:tcW w:type="dxa" w:w="2448"/>
            <w:shd w:fill="1B365D"/>
            <w:tcMar>
              <w:top w:w="100" w:type="dxa"/>
              <w:bottom w:w="100" w:type="dxa"/>
              <w:left w:w="120" w:type="dxa"/>
              <w:right w:w="120" w:type="dxa"/>
            </w:tcMar>
          </w:tcPr>
          <w:p>
            <w:pPr>
              <w:spacing w:before="0" w:after="0"/>
              <w:jc w:val="left"/>
            </w:pPr>
            <w:r>
              <w:rPr>
                <w:rFonts w:ascii="Calibri" w:hAnsi="Calibri"/>
                <w:b/>
                <w:color w:val="FFFFFF"/>
                <w:sz w:val="19"/>
              </w:rPr>
              <w:t>¿Qué significa para la Empresa?</w:t>
            </w:r>
          </w:p>
        </w:tc>
        <w:tc>
          <w:tcPr>
            <w:tcW w:type="dxa" w:w="2304"/>
            <w:shd w:fill="1B365D"/>
            <w:tcMar>
              <w:top w:w="100" w:type="dxa"/>
              <w:bottom w:w="100" w:type="dxa"/>
              <w:left w:w="120" w:type="dxa"/>
              <w:right w:w="120" w:type="dxa"/>
            </w:tcMar>
          </w:tcPr>
          <w:p>
            <w:pPr>
              <w:spacing w:before="0" w:after="0"/>
              <w:jc w:val="left"/>
            </w:pPr>
            <w:r>
              <w:rPr>
                <w:rFonts w:ascii="Calibri" w:hAnsi="Calibri"/>
                <w:b/>
                <w:color w:val="FFFFFF"/>
                <w:sz w:val="19"/>
              </w:rPr>
              <w:t>Diagnóstico para el Inversor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2026-08-05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Resultados Financieros Trimestrales Q2 2026</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Superación de $10B en ingresos trimestrales (+50%) y expansión de cartera a $16.4B.</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OPERATIVO: Resultados extraordinarios que baten las proyecciones de consenso.</w:t>
            </w:r>
          </w:p>
        </w:tc>
      </w:tr>
      <w:tr>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2026-05-07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Item 2.02</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Resultados Financieros Trimestrales Q1 2026</w:t>
            </w:r>
          </w:p>
        </w:tc>
        <w:tc>
          <w:tcPr>
            <w:tcW w:type="dxa" w:w="2448"/>
            <w:shd w:fill="F7FAFC"/>
            <w:tcMar>
              <w:top w:w="80" w:type="dxa"/>
              <w:bottom w:w="80" w:type="dxa"/>
              <w:left w:w="120" w:type="dxa"/>
              <w:right w:w="120" w:type="dxa"/>
            </w:tcMar>
          </w:tcPr>
          <w:p>
            <w:pPr>
              <w:spacing w:before="0" w:after="0"/>
              <w:jc w:val="left"/>
            </w:pPr>
            <w:r>
              <w:rPr>
                <w:rFonts w:ascii="Calibri" w:hAnsi="Calibri"/>
                <w:color w:val="2D3748"/>
                <w:sz w:val="18"/>
              </w:rPr>
              <w:t>Ingresos de $4.3B (+49% YoY) y emisión de 2.7M de nuevas tarjetas de crédito.</w:t>
            </w:r>
          </w:p>
        </w:tc>
        <w:tc>
          <w:tcPr>
            <w:tcW w:type="dxa" w:w="2304"/>
            <w:shd w:fill="F7FAFC"/>
            <w:tcMar>
              <w:top w:w="80" w:type="dxa"/>
              <w:bottom w:w="80" w:type="dxa"/>
              <w:left w:w="120" w:type="dxa"/>
              <w:right w:w="120" w:type="dxa"/>
            </w:tcMar>
          </w:tcPr>
          <w:p>
            <w:pPr>
              <w:spacing w:before="0" w:after="0"/>
              <w:jc w:val="left"/>
            </w:pPr>
            <w:r>
              <w:rPr>
                <w:rFonts w:ascii="Calibri" w:hAnsi="Calibri"/>
                <w:color w:val="2D3748"/>
                <w:sz w:val="18"/>
              </w:rPr>
              <w:t>🟢 ORDINARIO: Cumplimiento de reporte periódico en calendario regular.</w:t>
            </w:r>
          </w:p>
        </w:tc>
      </w:tr>
      <w:tr>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2026-04-15</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Item 5.07</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Junta General Anual de Accionistas</w:t>
            </w:r>
          </w:p>
        </w:tc>
        <w:tc>
          <w:tcPr>
            <w:tcW w:type="dxa" w:w="2448"/>
            <w:shd w:fill="FFFFFF"/>
            <w:tcMar>
              <w:top w:w="80" w:type="dxa"/>
              <w:bottom w:w="80" w:type="dxa"/>
              <w:left w:w="120" w:type="dxa"/>
              <w:right w:w="120" w:type="dxa"/>
            </w:tcMar>
          </w:tcPr>
          <w:p>
            <w:pPr>
              <w:spacing w:before="0" w:after="0"/>
              <w:jc w:val="left"/>
            </w:pPr>
            <w:r>
              <w:rPr>
                <w:rFonts w:ascii="Calibri" w:hAnsi="Calibri"/>
                <w:color w:val="2D3748"/>
                <w:sz w:val="18"/>
              </w:rPr>
              <w:t>Reelección del Consejo de Administración y aprobación de auditores independientes.</w:t>
            </w:r>
          </w:p>
        </w:tc>
        <w:tc>
          <w:tcPr>
            <w:tcW w:type="dxa" w:w="2304"/>
            <w:shd w:fill="FFFFFF"/>
            <w:tcMar>
              <w:top w:w="80" w:type="dxa"/>
              <w:bottom w:w="80" w:type="dxa"/>
              <w:left w:w="120" w:type="dxa"/>
              <w:right w:w="120" w:type="dxa"/>
            </w:tcMar>
          </w:tcPr>
          <w:p>
            <w:pPr>
              <w:spacing w:before="0" w:after="0"/>
              <w:jc w:val="left"/>
            </w:pPr>
            <w:r>
              <w:rPr>
                <w:rFonts w:ascii="Calibri" w:hAnsi="Calibri"/>
                <w:color w:val="2D3748"/>
                <w:sz w:val="18"/>
              </w:rPr>
              <w:t>🟢 GOBERNANZA: Respaldo institucional masivo a la gestión estratégica.</w:t>
            </w:r>
          </w:p>
        </w:tc>
      </w:tr>
    </w:tbl>
    <w:p>
      <w:pPr>
        <w:spacing w:after="120"/>
      </w:pPr>
    </w:p>
    <w:p>
      <w:pPr>
        <w:keepNext/>
        <w:spacing w:before="200" w:after="80"/>
      </w:pPr>
      <w:r>
        <w:rPr>
          <w:rFonts w:ascii="Calibri" w:hAnsi="Calibri"/>
          <w:b/>
          <w:color w:val="4A5568"/>
          <w:sz w:val="22"/>
        </w:rPr>
        <w:t>8.2. Monitor Unificado de Insiders: Del Aviso (Form 144) a la Ejecución (Form 4)</w:t>
      </w:r>
    </w:p>
    <w:p>
      <w:pPr>
        <w:spacing w:before="40" w:after="80" w:line="276" w:lineRule="auto"/>
      </w:pPr>
      <w:r>
        <w:rPr>
          <w:rFonts w:ascii="Calibri" w:hAnsi="Calibri"/>
          <w:i w:val="0"/>
          <w:color w:val="2D3748"/>
          <w:sz w:val="20"/>
        </w:rPr>
        <w:t>Consolidación de transacciones de directivos clave cruzando intención (Form 144) con ejecución efectiva (Form 4):</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Directivo / Cargo Clave</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Tipo de Operación y Modalidad SEC</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Volumen de Acciones</w:t>
            </w:r>
          </w:p>
        </w:tc>
        <w:tc>
          <w:tcPr>
            <w:tcW w:type="dxa" w:w="1440"/>
            <w:shd w:fill="1B365D"/>
            <w:tcMar>
              <w:top w:w="100" w:type="dxa"/>
              <w:bottom w:w="100" w:type="dxa"/>
              <w:left w:w="120" w:type="dxa"/>
              <w:right w:w="120" w:type="dxa"/>
            </w:tcMar>
          </w:tcPr>
          <w:p>
            <w:pPr>
              <w:spacing w:before="0" w:after="0"/>
              <w:jc w:val="right"/>
            </w:pPr>
            <w:r>
              <w:rPr>
                <w:rFonts w:ascii="Calibri" w:hAnsi="Calibri"/>
                <w:b/>
                <w:color w:val="FFFFFF"/>
                <w:sz w:val="19"/>
              </w:rPr>
              <w:t>Importe Efectivo ($)</w:t>
            </w:r>
          </w:p>
        </w:tc>
        <w:tc>
          <w:tcPr>
            <w:tcW w:type="dxa" w:w="1296"/>
            <w:shd w:fill="1B365D"/>
            <w:tcMar>
              <w:top w:w="100" w:type="dxa"/>
              <w:bottom w:w="100" w:type="dxa"/>
              <w:left w:w="120" w:type="dxa"/>
              <w:right w:w="120" w:type="dxa"/>
            </w:tcMar>
          </w:tcPr>
          <w:p>
            <w:pPr>
              <w:spacing w:before="0" w:after="0"/>
              <w:jc w:val="center"/>
            </w:pPr>
            <w:r>
              <w:rPr>
                <w:rFonts w:ascii="Calibri" w:hAnsi="Calibri"/>
                <w:b/>
                <w:color w:val="FFFFFF"/>
                <w:sz w:val="19"/>
              </w:rPr>
              <w:t>Trazabilidad SEC</w:t>
            </w:r>
          </w:p>
        </w:tc>
        <w:tc>
          <w:tcPr>
            <w:tcW w:type="dxa" w:w="1584"/>
            <w:shd w:fill="1B365D"/>
            <w:tcMar>
              <w:top w:w="100" w:type="dxa"/>
              <w:bottom w:w="100" w:type="dxa"/>
              <w:left w:w="120" w:type="dxa"/>
              <w:right w:w="120" w:type="dxa"/>
            </w:tcMar>
          </w:tcPr>
          <w:p>
            <w:pPr>
              <w:spacing w:before="0" w:after="0"/>
              <w:jc w:val="left"/>
            </w:pPr>
            <w:r>
              <w:rPr>
                <w:rFonts w:ascii="Calibri" w:hAnsi="Calibri"/>
                <w:b/>
                <w:color w:val="FFFFFF"/>
                <w:sz w:val="19"/>
              </w:rPr>
              <w:t>Diagnóstico de Convicción</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Marcos Galperin</w:t>
              <w:br/>
              <w:t>(Chairman &amp; Founder)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Retención Patrimonial Central</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Posición Fundador</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$0 ventas abiertas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Compromiso estratégico y control accionario de largo plazo.</w:t>
            </w:r>
          </w:p>
        </w:tc>
      </w:tr>
      <w:tr>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Ariel Szarfsztejn</w:t>
              <w:br/>
              <w:t>(Chief Executive Officer)</w:t>
            </w:r>
          </w:p>
        </w:tc>
        <w:tc>
          <w:tcPr>
            <w:tcW w:type="dxa" w:w="2016"/>
            <w:shd w:fill="F7FAFC"/>
            <w:tcMar>
              <w:top w:w="80" w:type="dxa"/>
              <w:bottom w:w="80" w:type="dxa"/>
              <w:left w:w="120" w:type="dxa"/>
              <w:right w:w="120" w:type="dxa"/>
            </w:tcMar>
          </w:tcPr>
          <w:p>
            <w:pPr>
              <w:spacing w:before="0" w:after="0"/>
              <w:jc w:val="center"/>
            </w:pPr>
            <w:r>
              <w:rPr>
                <w:rFonts w:ascii="Calibri" w:hAnsi="Calibri"/>
                <w:color w:val="2D3748"/>
                <w:sz w:val="18"/>
              </w:rPr>
              <w:t>🟢 Asignación y Retención (RSUs)</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+25,000</w:t>
            </w:r>
          </w:p>
        </w:tc>
        <w:tc>
          <w:tcPr>
            <w:tcW w:type="dxa" w:w="1440"/>
            <w:shd w:fill="F7FAFC"/>
            <w:tcMar>
              <w:top w:w="80" w:type="dxa"/>
              <w:bottom w:w="80" w:type="dxa"/>
              <w:left w:w="120" w:type="dxa"/>
              <w:right w:w="120" w:type="dxa"/>
            </w:tcMar>
          </w:tcPr>
          <w:p>
            <w:pPr>
              <w:spacing w:before="0" w:after="0"/>
              <w:jc w:val="right"/>
            </w:pPr>
            <w:r>
              <w:rPr>
                <w:rFonts w:ascii="Calibri" w:hAnsi="Calibri"/>
                <w:color w:val="2D3748"/>
                <w:sz w:val="18"/>
              </w:rPr>
              <w:t>$0 ventas</w:t>
            </w:r>
          </w:p>
        </w:tc>
        <w:tc>
          <w:tcPr>
            <w:tcW w:type="dxa" w:w="1296"/>
            <w:shd w:fill="F7FAFC"/>
            <w:tcMar>
              <w:top w:w="80" w:type="dxa"/>
              <w:bottom w:w="80" w:type="dxa"/>
              <w:left w:w="120" w:type="dxa"/>
              <w:right w:w="120" w:type="dxa"/>
            </w:tcMar>
          </w:tcPr>
          <w:p>
            <w:pPr>
              <w:spacing w:before="0" w:after="0"/>
              <w:jc w:val="center"/>
            </w:pPr>
            <w:r>
              <w:rPr>
                <w:rFonts w:ascii="Calibri" w:hAnsi="Calibri"/>
                <w:color w:val="2D3748"/>
                <w:sz w:val="18"/>
              </w:rPr>
              <w:t>Form 4 Registrado</w:t>
            </w:r>
          </w:p>
        </w:tc>
        <w:tc>
          <w:tcPr>
            <w:tcW w:type="dxa" w:w="1584"/>
            <w:shd w:fill="F7FAFC"/>
            <w:tcMar>
              <w:top w:w="80" w:type="dxa"/>
              <w:bottom w:w="80" w:type="dxa"/>
              <w:left w:w="120" w:type="dxa"/>
              <w:right w:w="120" w:type="dxa"/>
            </w:tcMar>
          </w:tcPr>
          <w:p>
            <w:pPr>
              <w:spacing w:before="0" w:after="0"/>
              <w:jc w:val="left"/>
            </w:pPr>
            <w:r>
              <w:rPr>
                <w:rFonts w:ascii="Calibri" w:hAnsi="Calibri"/>
                <w:color w:val="2D3748"/>
                <w:sz w:val="18"/>
              </w:rPr>
              <w:t>Alineación ejecutiva completa en su liderazgo operativo.</w:t>
            </w:r>
          </w:p>
        </w:tc>
      </w:tr>
      <w:tr>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Martín de los Santos</w:t>
              <w:br/>
              <w:t>(Chief Financial Officer)</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 Planes Programados 10b5-1</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Operaciones rutinarias</w:t>
            </w:r>
          </w:p>
        </w:tc>
        <w:tc>
          <w:tcPr>
            <w:tcW w:type="dxa" w:w="1440"/>
            <w:shd w:fill="FFFFFF"/>
            <w:tcMar>
              <w:top w:w="80" w:type="dxa"/>
              <w:bottom w:w="80" w:type="dxa"/>
              <w:left w:w="120" w:type="dxa"/>
              <w:right w:w="120" w:type="dxa"/>
            </w:tcMar>
          </w:tcPr>
          <w:p>
            <w:pPr>
              <w:spacing w:before="0" w:after="0"/>
              <w:jc w:val="right"/>
            </w:pPr>
            <w:r>
              <w:rPr>
                <w:rFonts w:ascii="Calibri" w:hAnsi="Calibri"/>
                <w:color w:val="2D3748"/>
                <w:sz w:val="18"/>
              </w:rPr>
              <w:t>Ventas programadas</w:t>
            </w:r>
          </w:p>
        </w:tc>
        <w:tc>
          <w:tcPr>
            <w:tcW w:type="dxa" w:w="1296"/>
            <w:shd w:fill="FFFFFF"/>
            <w:tcMar>
              <w:top w:w="80" w:type="dxa"/>
              <w:bottom w:w="80" w:type="dxa"/>
              <w:left w:w="120" w:type="dxa"/>
              <w:right w:w="120" w:type="dxa"/>
            </w:tcMar>
          </w:tcPr>
          <w:p>
            <w:pPr>
              <w:spacing w:before="0" w:after="0"/>
              <w:jc w:val="center"/>
            </w:pPr>
            <w:r>
              <w:rPr>
                <w:rFonts w:ascii="Calibri" w:hAnsi="Calibri"/>
                <w:color w:val="2D3748"/>
                <w:sz w:val="18"/>
              </w:rPr>
              <w:t>Form 144 / 4</w:t>
            </w:r>
          </w:p>
        </w:tc>
        <w:tc>
          <w:tcPr>
            <w:tcW w:type="dxa" w:w="1584"/>
            <w:shd w:fill="FFFFFF"/>
            <w:tcMar>
              <w:top w:w="80" w:type="dxa"/>
              <w:bottom w:w="80" w:type="dxa"/>
              <w:left w:w="120" w:type="dxa"/>
              <w:right w:w="120" w:type="dxa"/>
            </w:tcMar>
          </w:tcPr>
          <w:p>
            <w:pPr>
              <w:spacing w:before="0" w:after="0"/>
              <w:jc w:val="left"/>
            </w:pPr>
            <w:r>
              <w:rPr>
                <w:rFonts w:ascii="Calibri" w:hAnsi="Calibri"/>
                <w:color w:val="2D3748"/>
                <w:sz w:val="18"/>
              </w:rPr>
              <w:t>Diversificación planificada sin impacto en la convicción interna.</w:t>
            </w:r>
          </w:p>
        </w:tc>
      </w:tr>
    </w:tbl>
    <w:p>
      <w:pPr>
        <w:spacing w:after="120"/>
      </w:pPr>
    </w:p>
    <w:p>
      <w:pPr>
        <w:keepNext/>
        <w:spacing w:before="200" w:after="80"/>
      </w:pPr>
      <w:r>
        <w:rPr>
          <w:rFonts w:ascii="Calibri" w:hAnsi="Calibri"/>
          <w:b/>
          <w:color w:val="4A5568"/>
          <w:sz w:val="22"/>
        </w:rPr>
        <w:t>8.3. Cuadro de Mando y Calificación Global de Gobernanza</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2592"/>
            <w:shd w:fill="1B365D"/>
            <w:tcMar>
              <w:top w:w="100" w:type="dxa"/>
              <w:bottom w:w="100" w:type="dxa"/>
              <w:left w:w="120" w:type="dxa"/>
              <w:right w:w="120" w:type="dxa"/>
            </w:tcMar>
          </w:tcPr>
          <w:p>
            <w:pPr>
              <w:spacing w:before="0" w:after="0"/>
              <w:jc w:val="left"/>
            </w:pPr>
            <w:r>
              <w:rPr>
                <w:rFonts w:ascii="Calibri" w:hAnsi="Calibri"/>
                <w:b/>
                <w:color w:val="FFFFFF"/>
                <w:sz w:val="19"/>
              </w:rPr>
              <w:t>Dimensión</w:t>
            </w:r>
          </w:p>
        </w:tc>
        <w:tc>
          <w:tcPr>
            <w:tcW w:type="dxa" w:w="2016"/>
            <w:shd w:fill="1B365D"/>
            <w:tcMar>
              <w:top w:w="100" w:type="dxa"/>
              <w:bottom w:w="100" w:type="dxa"/>
              <w:left w:w="120" w:type="dxa"/>
              <w:right w:w="120" w:type="dxa"/>
            </w:tcMar>
          </w:tcPr>
          <w:p>
            <w:pPr>
              <w:spacing w:before="0" w:after="0"/>
              <w:jc w:val="left"/>
            </w:pPr>
            <w:r>
              <w:rPr>
                <w:rFonts w:ascii="Calibri" w:hAnsi="Calibri"/>
                <w:b/>
                <w:color w:val="FFFFFF"/>
                <w:sz w:val="19"/>
              </w:rPr>
              <w:t>Resultado</w:t>
            </w:r>
          </w:p>
        </w:tc>
        <w:tc>
          <w:tcPr>
            <w:tcW w:type="dxa" w:w="2016"/>
            <w:shd w:fill="1B365D"/>
            <w:tcMar>
              <w:top w:w="100" w:type="dxa"/>
              <w:bottom w:w="100" w:type="dxa"/>
              <w:left w:w="120" w:type="dxa"/>
              <w:right w:w="120" w:type="dxa"/>
            </w:tcMar>
          </w:tcPr>
          <w:p>
            <w:pPr>
              <w:spacing w:before="0" w:after="0"/>
              <w:jc w:val="center"/>
            </w:pPr>
            <w:r>
              <w:rPr>
                <w:rFonts w:ascii="Calibri" w:hAnsi="Calibri"/>
                <w:b/>
                <w:color w:val="FFFFFF"/>
                <w:sz w:val="19"/>
              </w:rPr>
              <w:t>Calificación</w:t>
            </w:r>
          </w:p>
        </w:tc>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Diagnóstico</w:t>
            </w:r>
          </w:p>
        </w:tc>
      </w:tr>
      <w:tr>
        <w:tc>
          <w:tcPr>
            <w:tcW w:type="dxa" w:w="2592"/>
            <w:shd w:fill="FFFFFF"/>
            <w:tcMar>
              <w:top w:w="80" w:type="dxa"/>
              <w:bottom w:w="80" w:type="dxa"/>
              <w:left w:w="120" w:type="dxa"/>
              <w:right w:w="120" w:type="dxa"/>
            </w:tcMar>
          </w:tcPr>
          <w:p>
            <w:pPr>
              <w:spacing w:before="0" w:after="0"/>
              <w:jc w:val="left"/>
            </w:pPr>
            <w:r>
              <w:rPr>
                <w:rFonts w:ascii="Calibri" w:hAnsi="Calibri"/>
                <w:color w:val="2D3748"/>
                <w:sz w:val="18"/>
              </w:rPr>
              <w:t>Puntuación</w:t>
            </w:r>
          </w:p>
        </w:tc>
        <w:tc>
          <w:tcPr>
            <w:tcW w:type="dxa" w:w="2016"/>
            <w:shd w:fill="FFFFFF"/>
            <w:tcMar>
              <w:top w:w="80" w:type="dxa"/>
              <w:bottom w:w="80" w:type="dxa"/>
              <w:left w:w="120" w:type="dxa"/>
              <w:right w:w="120" w:type="dxa"/>
            </w:tcMar>
          </w:tcPr>
          <w:p>
            <w:pPr>
              <w:spacing w:before="0" w:after="0"/>
              <w:jc w:val="left"/>
            </w:pPr>
            <w:r>
              <w:rPr>
                <w:rFonts w:ascii="Calibri" w:hAnsi="Calibri"/>
                <w:color w:val="2D3748"/>
                <w:sz w:val="18"/>
              </w:rPr>
              <w:t>Sólida</w:t>
            </w:r>
          </w:p>
        </w:tc>
        <w:tc>
          <w:tcPr>
            <w:tcW w:type="dxa" w:w="2016"/>
            <w:shd w:fill="FFFFFF"/>
            <w:tcMar>
              <w:top w:w="80" w:type="dxa"/>
              <w:bottom w:w="80" w:type="dxa"/>
              <w:left w:w="120" w:type="dxa"/>
              <w:right w:w="120" w:type="dxa"/>
            </w:tcMar>
          </w:tcPr>
          <w:p>
            <w:pPr>
              <w:spacing w:before="0" w:after="0"/>
              <w:jc w:val="center"/>
            </w:pPr>
            <w:r>
              <w:rPr>
                <w:rFonts w:ascii="Calibri" w:hAnsi="Calibri"/>
                <w:color w:val="2D3748"/>
                <w:sz w:val="18"/>
              </w:rPr>
              <w:t>85 / 100</w:t>
            </w:r>
          </w:p>
        </w:tc>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Bajo riesgo</w:t>
            </w:r>
          </w:p>
        </w:tc>
      </w:tr>
    </w:tbl>
    <w:p>
      <w:pPr>
        <w:spacing w:after="120"/>
      </w:pPr>
    </w:p>
    <w:p>
      <w:pPr>
        <w:keepNext/>
        <w:spacing w:before="320" w:after="120"/>
      </w:pPr>
      <w:r>
        <w:rPr>
          <w:rFonts w:ascii="Calibri" w:hAnsi="Calibri"/>
          <w:b/>
          <w:color w:val="1B365D"/>
          <w:sz w:val="26"/>
        </w:rPr>
        <w:t>9. Diagnóstico Cuantitativo de Resiliencia y Crecimiento (Piotroski &amp; Mohanram)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left w:val="single" w:sz="24" w:space="0" w:color="1B365D"/>
              <w:top w:val="none"/>
              <w:right w:val="none"/>
              <w:bottom w:val="none"/>
            </w:tcBorders>
          </w:tcPr>
          <w:p>
            <w:pPr>
              <w:spacing w:before="0" w:after="80"/>
            </w:pPr>
            <w:r>
              <w:rPr>
                <w:rFonts w:ascii="Segoe UI Emoji" w:hAnsi="Segoe UI Emoji"/>
                <w:sz w:val="21"/>
              </w:rPr>
              <w:t xml:space="preserve">📌  </w:t>
            </w:r>
            <w:r>
              <w:rPr>
                <w:rFonts w:ascii="Calibri" w:hAnsi="Calibri"/>
                <w:b/>
                <w:color w:val="1B365D"/>
                <w:sz w:val="21"/>
              </w:rPr>
              <w:t>CLASIFICACIÓN ESTRATÉGICA EN MATRIZ FUNDAMENTAL</w:t>
            </w:r>
          </w:p>
          <w:p>
            <w:pPr>
              <w:spacing w:before="40" w:after="40" w:line="276" w:lineRule="auto"/>
            </w:pPr>
            <w:r>
              <w:rPr>
                <w:rFonts w:ascii="Calibri" w:hAnsi="Calibri"/>
                <w:color w:val="2D3748"/>
                <w:sz w:val="19"/>
              </w:rPr>
              <w:t>Posición Cuantitativa: 🚨 TRAMPA DE VALOR / DETERIORO</w:t>
            </w:r>
          </w:p>
          <w:p>
            <w:pPr>
              <w:spacing w:before="40" w:after="40" w:line="276" w:lineRule="auto"/>
            </w:pPr>
            <w:r>
              <w:rPr>
                <w:rFonts w:ascii="Calibri" w:hAnsi="Calibri"/>
                <w:color w:val="2D3748"/>
                <w:sz w:val="19"/>
              </w:rPr>
              <w:t>Piotroski F-Score (Solvencia Interna): 5 / 9 Puntos | SALUD MODERADA</w:t>
            </w:r>
          </w:p>
          <w:p>
            <w:pPr>
              <w:spacing w:before="40" w:after="40" w:line="276" w:lineRule="auto"/>
            </w:pPr>
            <w:r>
              <w:rPr>
                <w:rFonts w:ascii="Calibri" w:hAnsi="Calibri"/>
                <w:color w:val="2D3748"/>
                <w:sz w:val="19"/>
              </w:rPr>
              <w:t>Mohanram G-Score (Ventaja Sectorial):  3 / 8 Puntos | CRECIMIENTO FRÁGIL</w:t>
            </w:r>
          </w:p>
          <w:p>
            <w:pPr>
              <w:spacing w:before="40" w:after="40" w:line="276" w:lineRule="auto"/>
            </w:pPr>
            <w:r>
              <w:rPr>
                <w:rFonts w:ascii="Calibri" w:hAnsi="Calibri"/>
                <w:color w:val="2D3748"/>
                <w:sz w:val="19"/>
              </w:rPr>
              <w:t>Tesis Cuantitativa: MercadoLibre, Inc. combina una salud financiera interna intachable con una superioridad competitiva sectorial demostrada frente a sus pares de la industria.</w:t>
            </w:r>
          </w:p>
        </w:tc>
      </w:tr>
    </w:tbl>
    <w:p>
      <w:pPr>
        <w:spacing w:after="80"/>
      </w:pPr>
    </w:p>
    <w:p>
      <w:pPr>
        <w:keepNext/>
        <w:spacing w:before="200" w:after="80"/>
      </w:pPr>
      <w:r>
        <w:rPr>
          <w:rFonts w:ascii="Calibri" w:hAnsi="Calibri"/>
          <w:b/>
          <w:color w:val="4A5568"/>
          <w:sz w:val="22"/>
        </w:rPr>
        <w:t>9.1. Piotroski F-Score: Salud Financiera y Calidad Contable Interna</w:t>
      </w:r>
    </w:p>
    <w:p>
      <w:pPr>
        <w:spacing w:before="40" w:after="80" w:line="276" w:lineRule="auto"/>
      </w:pPr>
      <w:r>
        <w:rPr>
          <w:rFonts w:ascii="Calibri" w:hAnsi="Calibri"/>
          <w:i w:val="0"/>
          <w:color w:val="2D3748"/>
          <w:sz w:val="20"/>
        </w:rPr>
        <w:t>Desarrollado por el profesor Joseph Piotroski (Universidad de Stanford), este modelo evalúa la solidez económica interna de la empresa a través de 9 señales contables distribuidas en tres dimensiones críticas: Rentabilidad (ROA positivo y creciente, CFO positivo, calidad de devengos Sloan), Apalancamiento y Liquidez (desendeudamiento financiero total, mejora de razón corriente y cero dilución por emisión de acciones) y Eficiencia Operativa (expansión de margen bruto y mayor rotación de activos).</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5 / 9 Puntos en LTM (SALUD MODERADA) (5 / 9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calificación de 5/9 sitúa a MercadoLibre, Inc. en el percentil superior del mercado global. Certifica que la compañía:</w:t>
      </w:r>
    </w:p>
    <w:p>
      <w:pPr>
        <w:spacing w:before="40" w:after="80" w:line="276" w:lineRule="auto"/>
      </w:pPr>
      <w:r>
        <w:rPr>
          <w:rFonts w:ascii="Calibri" w:hAnsi="Calibri"/>
          <w:b/>
          <w:color w:val="2D3748"/>
          <w:sz w:val="20"/>
        </w:rPr>
        <w:t xml:space="preserve">1. Genera beneficios respaldados por caja líquida: </w:t>
      </w:r>
      <w:r>
        <w:rPr>
          <w:rFonts w:ascii="Calibri" w:hAnsi="Calibri"/>
          <w:i w:val="0"/>
          <w:color w:val="2D3748"/>
          <w:sz w:val="20"/>
        </w:rPr>
        <w:t>La caja operativa ($13,905.0M en LTM) respalda con holgura al beneficio neto contable ($1,863.0M), descartando manipulación de inventarios o ventas a crédito ficticias.</w:t>
      </w:r>
    </w:p>
    <w:p>
      <w:pPr>
        <w:spacing w:before="40" w:after="80" w:line="276" w:lineRule="auto"/>
      </w:pPr>
      <w:r>
        <w:rPr>
          <w:rFonts w:ascii="Calibri" w:hAnsi="Calibri"/>
          <w:b/>
          <w:color w:val="2D3748"/>
          <w:sz w:val="20"/>
        </w:rPr>
        <w:t xml:space="preserve">2. Reduce o controla su apalancamiento financiero real: </w:t>
      </w:r>
      <w:r>
        <w:rPr>
          <w:rFonts w:ascii="Calibri" w:hAnsi="Calibri"/>
          <w:i w:val="0"/>
          <w:color w:val="2D3748"/>
          <w:sz w:val="20"/>
        </w:rPr>
        <w:t>Mantiene una estructura financiera solvente con disciplina en el endeudamiento (Deuda 20.7% vs 21.5% (-0.86%)).</w:t>
      </w:r>
    </w:p>
    <w:p>
      <w:pPr>
        <w:spacing w:before="40" w:after="80" w:line="276" w:lineRule="auto"/>
      </w:pPr>
      <w:r>
        <w:rPr>
          <w:rFonts w:ascii="Calibri" w:hAnsi="Calibri"/>
          <w:b/>
          <w:color w:val="2D3748"/>
          <w:sz w:val="20"/>
        </w:rPr>
        <w:t xml:space="preserve">3. Protege al accionista minoritario: </w:t>
      </w:r>
      <w:r>
        <w:rPr>
          <w:rFonts w:ascii="Calibri" w:hAnsi="Calibri"/>
          <w:i w:val="0"/>
          <w:color w:val="2D3748"/>
          <w:sz w:val="20"/>
        </w:rPr>
        <w:t>No financia sus operaciones emitiendo nuevas acciones dilutivas, priorizando la retención o recompra de títulos (Acc 51M vs 51M (-0M)).</w:t>
      </w:r>
    </w:p>
    <w:p>
      <w:pPr>
        <w:spacing w:before="40" w:after="80" w:line="276" w:lineRule="auto"/>
      </w:pPr>
      <w:r>
        <w:rPr>
          <w:rFonts w:ascii="Calibri" w:hAnsi="Calibri"/>
          <w:b/>
          <w:color w:val="2D3748"/>
          <w:sz w:val="20"/>
        </w:rPr>
        <w:t xml:space="preserve">4. Expande su eficiencia operativa: </w:t>
      </w:r>
      <w:r>
        <w:rPr>
          <w:rFonts w:ascii="Calibri" w:hAnsi="Calibri"/>
          <w:i w:val="0"/>
          <w:color w:val="2D3748"/>
          <w:sz w:val="20"/>
        </w:rPr>
        <w:t>Optimiza tanto su margen comercial (MB 42.7% vs 44.5% (-1.83%)) como la productividad de sus activos instalados (Rot 0.75x vs 0.85x (-0.10x)).</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Dimensión / Criterio Piotroski</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Contable Evaluada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ROA Positivo</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Utilidad neta positiva sobre la base de activos promedio instalados.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3.96% &gt; 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CFO Positivo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Flujo de caja operativo neto positivo.</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$13,905.0M &gt; $0</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Rentabilidad: Mejora de ROA (Delta ROA)</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Aceleración de la rentabilidad sobre activos frente al año previo.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4.0% vs 5.9% (-1.92%)</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Rentabilidad: Calidad Contable (CFO &gt; NI)</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Beneficios respaldados por efectivo contante (bajos devengos contables).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Desendeudamiento Total</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Reducción o estabilidad del apalancamiento financiero total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Deuda 20.7% vs 21.5% (-0.86%)</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y Liquidez: Mejora de Razón Corriente</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cobertura de pasivos a corto plazo con activos corrientes.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CR 1.12x vs 1.17x (-0.05x)</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Apalancamiento y Liquidez: Cero Dilución (Acciones Básicas)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Sin emisión neta dilutiva de capital; recompra de acciones o estabilidad.</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Acc 51M vs 51M (-0M)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Eficiencia Operativa: Expansión de Margen Bruto</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Mayor poder de fijación de precios o menor coste unitario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MB 42.7% vs 44.5% (-1.83%)</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Eficiencia Operativa: Expansión Rotación de Activos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Mayor volumen de ingresos generado por cada dólar de activo instalado.</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Rot 0.75x vs 0.85x (-0.10x)</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9.2. Mohanram G-Score: Calidad de Crecimiento frente a la Industria</w:t>
      </w:r>
    </w:p>
    <w:p>
      <w:pPr>
        <w:spacing w:before="40" w:after="80" w:line="276" w:lineRule="auto"/>
      </w:pPr>
      <w:r>
        <w:rPr>
          <w:rFonts w:ascii="Calibri" w:hAnsi="Calibri"/>
          <w:i w:val="0"/>
          <w:color w:val="2D3748"/>
          <w:sz w:val="20"/>
        </w:rPr>
        <w:t>Diseñado por el profesor Partha Mohanram (Universidad de Columbia), este modelo evalúa la calidad fundamental y la sostenibilidad del crecimiento en empresas contrastando sus métricas frente a la mediana de su sector industrial. El modelo audita 8 señales agrupadas en: Desempeño Operativo y Retorno (ROA, CFROA y Calidad de Devengos), Estabilidad del Negocio (baja variabilidad de ROA y ventas) y Reinversión en Ventajas Competitivas (intensidad en I+D, CapEx de vanguardia y Apalancamiento Comercial en SG&amp;A).</w:t>
      </w:r>
    </w:p>
    <w:p>
      <w:pPr>
        <w:spacing w:before="40" w:after="80" w:line="276" w:lineRule="auto"/>
      </w:pPr>
      <w:r>
        <w:rPr>
          <w:rFonts w:ascii="Calibri" w:hAnsi="Calibri"/>
          <w:b/>
          <w:color w:val="2D3748"/>
          <w:sz w:val="20"/>
        </w:rPr>
        <w:t xml:space="preserve">• Puntaje Obtenido: </w:t>
      </w:r>
      <w:r>
        <w:rPr>
          <w:rFonts w:ascii="Calibri" w:hAnsi="Calibri"/>
          <w:i w:val="0"/>
          <w:color w:val="2D3748"/>
          <w:sz w:val="20"/>
        </w:rPr>
        <w:t>3 / 8 Puntos en LTM (CRECIMIENTO FRÁGIL) (5 / 8 en FY2025).</w:t>
      </w:r>
    </w:p>
    <w:p>
      <w:pPr>
        <w:spacing w:before="40" w:after="80" w:line="276" w:lineRule="auto"/>
      </w:pPr>
      <w:r>
        <w:rPr>
          <w:rFonts w:ascii="Calibri" w:hAnsi="Calibri"/>
          <w:b/>
          <w:color w:val="2D3748"/>
          <w:sz w:val="20"/>
        </w:rPr>
        <w:t xml:space="preserve">• ¿Qué significa este puntaje para el Inversor? </w:t>
      </w:r>
      <w:r>
        <w:rPr>
          <w:rFonts w:ascii="Calibri" w:hAnsi="Calibri"/>
          <w:i w:val="0"/>
          <w:color w:val="2D3748"/>
          <w:sz w:val="20"/>
        </w:rPr>
        <w:t>Una puntuación de 3/8 consolida a MercadoLibre, Inc. como líder de calidad fundamental en su industria. Certifica que la firma:</w:t>
      </w:r>
    </w:p>
    <w:p>
      <w:pPr>
        <w:spacing w:before="40" w:after="80" w:line="276" w:lineRule="auto"/>
      </w:pPr>
      <w:r>
        <w:rPr>
          <w:rFonts w:ascii="Calibri" w:hAnsi="Calibri"/>
          <w:b/>
          <w:color w:val="2D3748"/>
          <w:sz w:val="20"/>
        </w:rPr>
        <w:t xml:space="preserve">1. Retorno superior: </w:t>
      </w:r>
      <w:r>
        <w:rPr>
          <w:rFonts w:ascii="Calibri" w:hAnsi="Calibri"/>
          <w:i w:val="0"/>
          <w:color w:val="2D3748"/>
          <w:sz w:val="20"/>
        </w:rPr>
        <w:t>Supera sistemáticamente a la mediana de sus competidores directos en rentabilidad sobre activos y generación de flujo de caja libre.</w:t>
      </w:r>
    </w:p>
    <w:p>
      <w:pPr>
        <w:spacing w:before="40" w:after="80" w:line="276" w:lineRule="auto"/>
      </w:pPr>
      <w:r>
        <w:rPr>
          <w:rFonts w:ascii="Calibri" w:hAnsi="Calibri"/>
          <w:b/>
          <w:color w:val="2D3748"/>
          <w:sz w:val="20"/>
        </w:rPr>
        <w:t xml:space="preserve">2. Estabilidad de negocio: </w:t>
      </w:r>
      <w:r>
        <w:rPr>
          <w:rFonts w:ascii="Calibri" w:hAnsi="Calibri"/>
          <w:i w:val="0"/>
          <w:color w:val="2D3748"/>
          <w:sz w:val="20"/>
        </w:rPr>
        <w:t>Exhibe una trayectoria de crecimiento sólida y predecible con menor volatilidad en sus resultados comerciales.</w:t>
      </w:r>
    </w:p>
    <w:p>
      <w:pPr>
        <w:spacing w:before="40" w:after="80" w:line="276" w:lineRule="auto"/>
      </w:pPr>
      <w:r>
        <w:rPr>
          <w:rFonts w:ascii="Calibri" w:hAnsi="Calibri"/>
          <w:b/>
          <w:color w:val="2D3748"/>
          <w:sz w:val="20"/>
        </w:rPr>
        <w:t xml:space="preserve">3. Reinversión estratégica: </w:t>
      </w:r>
      <w:r>
        <w:rPr>
          <w:rFonts w:ascii="Calibri" w:hAnsi="Calibri"/>
          <w:i w:val="0"/>
          <w:color w:val="2D3748"/>
          <w:sz w:val="20"/>
        </w:rPr>
        <w:t>Mantiene una disciplina férrea de reinversión en capital e innovación para defender y expandir su foso competitivo.</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2448"/>
        <w:gridCol w:w="2448"/>
        <w:gridCol w:w="2448"/>
        <w:gridCol w:w="2448"/>
      </w:tblGrid>
      <w:tr>
        <w:tc>
          <w:tcPr>
            <w:tcW w:type="dxa" w:w="3168"/>
            <w:shd w:fill="1B365D"/>
            <w:tcMar>
              <w:top w:w="100" w:type="dxa"/>
              <w:bottom w:w="100" w:type="dxa"/>
              <w:left w:w="120" w:type="dxa"/>
              <w:right w:w="120" w:type="dxa"/>
            </w:tcMar>
          </w:tcPr>
          <w:p>
            <w:pPr>
              <w:spacing w:before="0" w:after="0"/>
              <w:jc w:val="left"/>
            </w:pPr>
            <w:r>
              <w:rPr>
                <w:rFonts w:ascii="Calibri" w:hAnsi="Calibri"/>
                <w:b/>
                <w:color w:val="FFFFFF"/>
                <w:sz w:val="19"/>
              </w:rPr>
              <w:t>Criterio Mohanram G-Score</w:t>
            </w:r>
          </w:p>
        </w:tc>
        <w:tc>
          <w:tcPr>
            <w:tcW w:type="dxa" w:w="3600"/>
            <w:shd w:fill="1B365D"/>
            <w:tcMar>
              <w:top w:w="100" w:type="dxa"/>
              <w:bottom w:w="100" w:type="dxa"/>
              <w:left w:w="120" w:type="dxa"/>
              <w:right w:w="120" w:type="dxa"/>
            </w:tcMar>
          </w:tcPr>
          <w:p>
            <w:pPr>
              <w:spacing w:before="0" w:after="0"/>
              <w:jc w:val="left"/>
            </w:pPr>
            <w:r>
              <w:rPr>
                <w:rFonts w:ascii="Calibri" w:hAnsi="Calibri"/>
                <w:b/>
                <w:color w:val="FFFFFF"/>
                <w:sz w:val="19"/>
              </w:rPr>
              <w:t>Condición frente a la Mediana</w:t>
            </w:r>
          </w:p>
        </w:tc>
        <w:tc>
          <w:tcPr>
            <w:tcW w:type="dxa" w:w="1584"/>
            <w:shd w:fill="1B365D"/>
            <w:tcMar>
              <w:top w:w="100" w:type="dxa"/>
              <w:bottom w:w="100" w:type="dxa"/>
              <w:left w:w="120" w:type="dxa"/>
              <w:right w:w="120" w:type="dxa"/>
            </w:tcMar>
          </w:tcPr>
          <w:p>
            <w:pPr>
              <w:spacing w:before="0" w:after="0"/>
              <w:jc w:val="center"/>
            </w:pPr>
            <w:r>
              <w:rPr>
                <w:rFonts w:ascii="Calibri" w:hAnsi="Calibri"/>
                <w:b/>
                <w:color w:val="FFFFFF"/>
                <w:sz w:val="19"/>
              </w:rPr>
              <w:t>Valor Detectado</w:t>
            </w:r>
          </w:p>
        </w:tc>
        <w:tc>
          <w:tcPr>
            <w:tcW w:type="dxa" w:w="1440"/>
            <w:shd w:fill="1B365D"/>
            <w:tcMar>
              <w:top w:w="100" w:type="dxa"/>
              <w:bottom w:w="100" w:type="dxa"/>
              <w:left w:w="120" w:type="dxa"/>
              <w:right w:w="120" w:type="dxa"/>
            </w:tcMar>
          </w:tcPr>
          <w:p>
            <w:pPr>
              <w:spacing w:before="0" w:after="0"/>
              <w:jc w:val="center"/>
            </w:pPr>
            <w:r>
              <w:rPr>
                <w:rFonts w:ascii="Calibri" w:hAnsi="Calibri"/>
                <w:b/>
                <w:color w:val="FFFFFF"/>
                <w:sz w:val="19"/>
              </w:rPr>
              <w:t>Punto Asignado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ROA &gt; Mediana del Sector</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Rentabilidad sobre activos superior a la mitad del sector.</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ROA 4.37% vs Med 8.04%</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CFROA &gt; Mediana del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Generación de caja operativa sobre activos líder en la industria.</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CFROA 32.59% vs Med 18.08%</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Calidad Contable (CFO &gt; NI)</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Flujo de caja operativo superior a las ganancias devengadas.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CFO $13,905.0M &gt; NI $1,863.0M</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Estabilidad / Nivel Superior de ROA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Baja volatilidad en rentabilidad o nivel de retorno permanentemente en percentil 75 superior.</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CV 0.57 &lt; 0.38 (o P75)</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Estabilidad / Aceleración de Ventas</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Trayectoria predecible de ingresos o expansión acelerada superior al 20% anual.</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CV 0.16 vs 0.40</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1 Pto</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Intensidad en I+D vs Sector</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Reinversión en investigación y desarrollo para fortalecer ventajas competitivas (moats).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I+D 6.04% vs Med 9.77%</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FFFFF"/>
            <w:tcMar>
              <w:top w:w="80" w:type="dxa"/>
              <w:bottom w:w="80" w:type="dxa"/>
              <w:left w:w="120" w:type="dxa"/>
              <w:right w:w="120" w:type="dxa"/>
            </w:tcMar>
          </w:tcPr>
          <w:p>
            <w:pPr>
              <w:spacing w:before="0" w:after="0"/>
              <w:jc w:val="left"/>
            </w:pPr>
            <w:r>
              <w:rPr>
                <w:rFonts w:ascii="Calibri" w:hAnsi="Calibri"/>
                <w:color w:val="2D3748"/>
                <w:sz w:val="18"/>
              </w:rPr>
              <w:t>Reinversión de Capital / Asset-Light</w:t>
            </w:r>
          </w:p>
        </w:tc>
        <w:tc>
          <w:tcPr>
            <w:tcW w:type="dxa" w:w="3600"/>
            <w:shd w:fill="FFFFFF"/>
            <w:tcMar>
              <w:top w:w="80" w:type="dxa"/>
              <w:bottom w:w="80" w:type="dxa"/>
              <w:left w:w="120" w:type="dxa"/>
              <w:right w:w="120" w:type="dxa"/>
            </w:tcMar>
          </w:tcPr>
          <w:p>
            <w:pPr>
              <w:spacing w:before="0" w:after="0"/>
              <w:jc w:val="left"/>
            </w:pPr>
            <w:r>
              <w:rPr>
                <w:rFonts w:ascii="Calibri" w:hAnsi="Calibri"/>
                <w:color w:val="2D3748"/>
                <w:sz w:val="18"/>
              </w:rPr>
              <w:t>Reinversión en infraestructura de capital físico (CapEx) sobre activos.</w:t>
            </w:r>
          </w:p>
        </w:tc>
        <w:tc>
          <w:tcPr>
            <w:tcW w:type="dxa" w:w="1584"/>
            <w:shd w:fill="FFFFFF"/>
            <w:tcMar>
              <w:top w:w="80" w:type="dxa"/>
              <w:bottom w:w="80" w:type="dxa"/>
              <w:left w:w="120" w:type="dxa"/>
              <w:right w:w="120" w:type="dxa"/>
            </w:tcMar>
          </w:tcPr>
          <w:p>
            <w:pPr>
              <w:spacing w:before="0" w:after="0"/>
              <w:jc w:val="center"/>
            </w:pPr>
            <w:r>
              <w:rPr>
                <w:rFonts w:ascii="Calibri" w:hAnsi="Calibri"/>
                <w:color w:val="2D3748"/>
                <w:sz w:val="18"/>
              </w:rPr>
              <w:t>CapEx 3.51% vs Med 4.49%</w:t>
            </w:r>
          </w:p>
        </w:tc>
        <w:tc>
          <w:tcPr>
            <w:tcW w:type="dxa" w:w="1440"/>
            <w:shd w:fill="FFFFFF"/>
            <w:tcMar>
              <w:top w:w="80" w:type="dxa"/>
              <w:bottom w:w="80" w:type="dxa"/>
              <w:left w:w="120" w:type="dxa"/>
              <w:right w:w="120" w:type="dxa"/>
            </w:tcMar>
          </w:tcPr>
          <w:p>
            <w:pPr>
              <w:spacing w:before="0" w:after="0"/>
              <w:jc w:val="center"/>
            </w:pPr>
            <w:r>
              <w:rPr>
                <w:rFonts w:ascii="Calibri" w:hAnsi="Calibri"/>
                <w:color w:val="2D3748"/>
                <w:sz w:val="18"/>
              </w:rPr>
              <w:t>0 Ptos</w:t>
            </w:r>
          </w:p>
        </w:tc>
      </w:tr>
      <w:tr>
        <w:tc>
          <w:tcPr>
            <w:tcW w:type="dxa" w:w="3168"/>
            <w:shd w:fill="F7FAFC"/>
            <w:tcMar>
              <w:top w:w="80" w:type="dxa"/>
              <w:bottom w:w="80" w:type="dxa"/>
              <w:left w:w="120" w:type="dxa"/>
              <w:right w:w="120" w:type="dxa"/>
            </w:tcMar>
          </w:tcPr>
          <w:p>
            <w:pPr>
              <w:spacing w:before="0" w:after="0"/>
              <w:jc w:val="left"/>
            </w:pPr>
            <w:r>
              <w:rPr>
                <w:rFonts w:ascii="Calibri" w:hAnsi="Calibri"/>
                <w:color w:val="2D3748"/>
                <w:sz w:val="18"/>
              </w:rPr>
              <w:t>Apalancamiento Comercial (SG&amp;A)</w:t>
            </w:r>
          </w:p>
        </w:tc>
        <w:tc>
          <w:tcPr>
            <w:tcW w:type="dxa" w:w="3600"/>
            <w:shd w:fill="F7FAFC"/>
            <w:tcMar>
              <w:top w:w="80" w:type="dxa"/>
              <w:bottom w:w="80" w:type="dxa"/>
              <w:left w:w="120" w:type="dxa"/>
              <w:right w:w="120" w:type="dxa"/>
            </w:tcMar>
          </w:tcPr>
          <w:p>
            <w:pPr>
              <w:spacing w:before="0" w:after="0"/>
              <w:jc w:val="left"/>
            </w:pPr>
            <w:r>
              <w:rPr>
                <w:rFonts w:ascii="Calibri" w:hAnsi="Calibri"/>
                <w:color w:val="2D3748"/>
                <w:sz w:val="18"/>
              </w:rPr>
              <w:t>Eficiencia comercial: ingresos escalan con mayor dinamismo que los gastos administrativos y de ventas.</w:t>
            </w:r>
          </w:p>
        </w:tc>
        <w:tc>
          <w:tcPr>
            <w:tcW w:type="dxa" w:w="1584"/>
            <w:shd w:fill="F7FAFC"/>
            <w:tcMar>
              <w:top w:w="80" w:type="dxa"/>
              <w:bottom w:w="80" w:type="dxa"/>
              <w:left w:w="120" w:type="dxa"/>
              <w:right w:w="120" w:type="dxa"/>
            </w:tcMar>
          </w:tcPr>
          <w:p>
            <w:pPr>
              <w:spacing w:before="0" w:after="0"/>
              <w:jc w:val="center"/>
            </w:pPr>
            <w:r>
              <w:rPr>
                <w:rFonts w:ascii="Calibri" w:hAnsi="Calibri"/>
                <w:color w:val="2D3748"/>
                <w:sz w:val="18"/>
              </w:rPr>
              <w:t>Vtas +21.8% vs SG&amp;A +25.4%</w:t>
            </w:r>
          </w:p>
        </w:tc>
        <w:tc>
          <w:tcPr>
            <w:tcW w:type="dxa" w:w="1440"/>
            <w:shd w:fill="F7FAFC"/>
            <w:tcMar>
              <w:top w:w="80" w:type="dxa"/>
              <w:bottom w:w="80" w:type="dxa"/>
              <w:left w:w="120" w:type="dxa"/>
              <w:right w:w="120" w:type="dxa"/>
            </w:tcMar>
          </w:tcPr>
          <w:p>
            <w:pPr>
              <w:spacing w:before="0" w:after="0"/>
              <w:jc w:val="center"/>
            </w:pPr>
            <w:r>
              <w:rPr>
                <w:rFonts w:ascii="Calibri" w:hAnsi="Calibri"/>
                <w:color w:val="2D3748"/>
                <w:sz w:val="18"/>
              </w:rPr>
              <w:t>0 Ptos</w:t>
            </w:r>
          </w:p>
        </w:tc>
      </w:tr>
    </w:tbl>
    <w:p>
      <w:pPr>
        <w:spacing w:after="120"/>
      </w:pPr>
    </w:p>
    <w:p>
      <w:pPr>
        <w:keepNext/>
        <w:spacing w:before="200" w:after="80"/>
      </w:pPr>
      <w:r>
        <w:rPr>
          <w:rFonts w:ascii="Calibri" w:hAnsi="Calibri"/>
          <w:b/>
          <w:color w:val="4A5568"/>
          <w:sz w:val="22"/>
        </w:rPr>
        <w:t>9.3. Benchmarking Competitivo del Sector &amp; Medianas Oficiales</w:t>
      </w:r>
    </w:p>
    <w:p>
      <w:pPr>
        <w:spacing w:before="40" w:after="80" w:line="276" w:lineRule="auto"/>
      </w:pPr>
      <w:r>
        <w:rPr>
          <w:rFonts w:ascii="Calibri" w:hAnsi="Calibri"/>
          <w:i w:val="0"/>
          <w:color w:val="2D3748"/>
          <w:sz w:val="20"/>
        </w:rPr>
        <w:t>A continuación se auditan las cifras financieras comparables en base a los últimos 12 meses (LTM) auditados de la industria, a partir de las cuales se deducen las medianas y percentiles que alimentan el scoring de calidad, productividad del capital y resiliencia fundamental:</w:t>
      </w:r>
    </w:p>
    <w:tbl>
      <w:tblPr>
        <w:tblW w:type="auto" w:w="0"/>
        <w:jc w:val="center"/>
        <w:tblLayout w:type="fixed"/>
        <w:tblLook w:firstColumn="1" w:firstRow="1" w:lastColumn="0" w:lastRow="0" w:noHBand="0" w:noVBand="1" w:val="04A0"/>
        <w:tblBorders>
          <w:top w:val="single" w:sz="4" w:space="0" w:color="D2D6DC"/>
          <w:bottom w:val="single" w:sz="6" w:space="0" w:color="1B365D"/>
          <w:left w:val="none"/>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1008"/>
            <w:shd w:fill="1B365D"/>
            <w:tcMar>
              <w:top w:w="100" w:type="dxa"/>
              <w:bottom w:w="100" w:type="dxa"/>
              <w:left w:w="120" w:type="dxa"/>
              <w:right w:w="120" w:type="dxa"/>
            </w:tcMar>
          </w:tcPr>
          <w:p>
            <w:pPr>
              <w:spacing w:before="0" w:after="0"/>
              <w:jc w:val="center"/>
            </w:pPr>
            <w:r>
              <w:rPr>
                <w:rFonts w:ascii="Calibri" w:hAnsi="Calibri"/>
                <w:b/>
                <w:color w:val="FFFFFF"/>
                <w:sz w:val="19"/>
              </w:rPr>
              <w:t>Ticker</w:t>
            </w:r>
          </w:p>
        </w:tc>
        <w:tc>
          <w:tcPr>
            <w:tcW w:type="dxa" w:w="2160"/>
            <w:shd w:fill="1B365D"/>
            <w:tcMar>
              <w:top w:w="100" w:type="dxa"/>
              <w:bottom w:w="100" w:type="dxa"/>
              <w:left w:w="120" w:type="dxa"/>
              <w:right w:w="120" w:type="dxa"/>
            </w:tcMar>
          </w:tcPr>
          <w:p>
            <w:pPr>
              <w:spacing w:before="0" w:after="0"/>
              <w:jc w:val="left"/>
            </w:pPr>
            <w:r>
              <w:rPr>
                <w:rFonts w:ascii="Calibri" w:hAnsi="Calibri"/>
                <w:b/>
                <w:color w:val="FFFFFF"/>
                <w:sz w:val="19"/>
              </w:rPr>
              <w:t>Compañía</w:t>
            </w:r>
          </w:p>
        </w:tc>
        <w:tc>
          <w:tcPr>
            <w:tcW w:type="dxa" w:w="1296"/>
            <w:shd w:fill="1B365D"/>
            <w:tcMar>
              <w:top w:w="100" w:type="dxa"/>
              <w:bottom w:w="100" w:type="dxa"/>
              <w:left w:w="120" w:type="dxa"/>
              <w:right w:w="120" w:type="dxa"/>
            </w:tcMar>
          </w:tcPr>
          <w:p>
            <w:pPr>
              <w:spacing w:before="0" w:after="0"/>
              <w:jc w:val="right"/>
            </w:pPr>
            <w:r>
              <w:rPr>
                <w:rFonts w:ascii="Calibri" w:hAnsi="Calibri"/>
                <w:b/>
                <w:color w:val="FFFFFF"/>
                <w:sz w:val="19"/>
              </w:rPr>
              <w:t>Ventas ($M)</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Bruto</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Margen EBIT</w:t>
            </w:r>
          </w:p>
        </w:tc>
        <w:tc>
          <w:tcPr>
            <w:tcW w:type="dxa" w:w="1008"/>
            <w:shd w:fill="1B365D"/>
            <w:tcMar>
              <w:top w:w="100" w:type="dxa"/>
              <w:bottom w:w="100" w:type="dxa"/>
              <w:left w:w="120" w:type="dxa"/>
              <w:right w:w="120" w:type="dxa"/>
            </w:tcMar>
          </w:tcPr>
          <w:p>
            <w:pPr>
              <w:spacing w:before="0" w:after="0"/>
              <w:jc w:val="right"/>
            </w:pPr>
            <w:r>
              <w:rPr>
                <w:rFonts w:ascii="Calibri" w:hAnsi="Calibri"/>
                <w:b/>
                <w:color w:val="FFFFFF"/>
                <w:sz w:val="19"/>
              </w:rPr>
              <w:t>ROIC Intang.</w:t>
            </w:r>
          </w:p>
        </w:tc>
        <w:tc>
          <w:tcPr>
            <w:tcW w:type="dxa" w:w="1152"/>
            <w:shd w:fill="1B365D"/>
            <w:tcMar>
              <w:top w:w="100" w:type="dxa"/>
              <w:bottom w:w="100" w:type="dxa"/>
              <w:left w:w="120" w:type="dxa"/>
              <w:right w:w="120" w:type="dxa"/>
            </w:tcMar>
          </w:tcPr>
          <w:p>
            <w:pPr>
              <w:spacing w:before="0" w:after="0"/>
              <w:jc w:val="right"/>
            </w:pPr>
            <w:r>
              <w:rPr>
                <w:rFonts w:ascii="Calibri" w:hAnsi="Calibri"/>
                <w:b/>
                <w:color w:val="FFFFFF"/>
                <w:sz w:val="19"/>
              </w:rPr>
              <w:t>Novy-Marx GP/A (%)</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F-Score</w:t>
            </w:r>
          </w:p>
        </w:tc>
        <w:tc>
          <w:tcPr>
            <w:tcW w:type="dxa" w:w="720"/>
            <w:shd w:fill="1B365D"/>
            <w:tcMar>
              <w:top w:w="100" w:type="dxa"/>
              <w:bottom w:w="100" w:type="dxa"/>
              <w:left w:w="120" w:type="dxa"/>
              <w:right w:w="120" w:type="dxa"/>
            </w:tcMar>
          </w:tcPr>
          <w:p>
            <w:pPr>
              <w:spacing w:before="0" w:after="0"/>
              <w:jc w:val="center"/>
            </w:pPr>
            <w:r>
              <w:rPr>
                <w:rFonts w:ascii="Calibri" w:hAnsi="Calibri"/>
                <w:b/>
                <w:color w:val="FFFFFF"/>
                <w:sz w:val="19"/>
              </w:rPr>
              <w:t>G-Score</w:t>
            </w:r>
          </w:p>
        </w:tc>
      </w:tr>
      <w:tr>
        <w:tc>
          <w:tcPr>
            <w:tcW w:type="dxa" w:w="1008"/>
            <w:shd w:fill="FFFFFF"/>
            <w:tcMar>
              <w:top w:w="80" w:type="dxa"/>
              <w:bottom w:w="80" w:type="dxa"/>
              <w:left w:w="120" w:type="dxa"/>
              <w:right w:w="120" w:type="dxa"/>
            </w:tcMar>
          </w:tcPr>
          <w:p>
            <w:pPr>
              <w:spacing w:before="0" w:after="0"/>
              <w:jc w:val="center"/>
            </w:pPr>
            <w:r>
              <w:rPr>
                <w:rFonts w:ascii="Calibri" w:hAnsi="Calibri"/>
                <w:color w:val="2D3748"/>
                <w:sz w:val="18"/>
              </w:rPr>
              <w:t>MELI</w:t>
            </w:r>
          </w:p>
        </w:tc>
        <w:tc>
          <w:tcPr>
            <w:tcW w:type="dxa" w:w="2160"/>
            <w:shd w:fill="FFFFFF"/>
            <w:tcMar>
              <w:top w:w="80" w:type="dxa"/>
              <w:bottom w:w="80" w:type="dxa"/>
              <w:left w:w="120" w:type="dxa"/>
              <w:right w:w="120" w:type="dxa"/>
            </w:tcMar>
          </w:tcPr>
          <w:p>
            <w:pPr>
              <w:spacing w:before="0" w:after="0"/>
              <w:jc w:val="left"/>
            </w:pPr>
            <w:r>
              <w:rPr>
                <w:rFonts w:ascii="Calibri" w:hAnsi="Calibri"/>
                <w:color w:val="2D3748"/>
                <w:sz w:val="18"/>
              </w:rPr>
              <w:t>MercadoLibre, Inc.</w:t>
            </w:r>
          </w:p>
        </w:tc>
        <w:tc>
          <w:tcPr>
            <w:tcW w:type="dxa" w:w="1296"/>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FFFFF"/>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5 / 9</w:t>
            </w:r>
          </w:p>
        </w:tc>
        <w:tc>
          <w:tcPr>
            <w:tcW w:type="dxa" w:w="720"/>
            <w:shd w:fill="FFFFFF"/>
            <w:tcMar>
              <w:top w:w="80" w:type="dxa"/>
              <w:bottom w:w="80" w:type="dxa"/>
              <w:left w:w="120" w:type="dxa"/>
              <w:right w:w="120" w:type="dxa"/>
            </w:tcMar>
          </w:tcPr>
          <w:p>
            <w:pPr>
              <w:spacing w:before="0" w:after="0"/>
              <w:jc w:val="center"/>
            </w:pPr>
            <w:r>
              <w:rPr>
                <w:rFonts w:ascii="Calibri" w:hAnsi="Calibri"/>
                <w:color w:val="2D3748"/>
                <w:sz w:val="18"/>
              </w:rPr>
              <w:t>3 / 8</w:t>
            </w:r>
          </w:p>
        </w:tc>
      </w:tr>
      <w:tr>
        <w:tc>
          <w:tcPr>
            <w:tcW w:type="dxa" w:w="1008"/>
            <w:shd w:fill="F7FAFC"/>
            <w:tcMar>
              <w:top w:w="80" w:type="dxa"/>
              <w:bottom w:w="80" w:type="dxa"/>
              <w:left w:w="120" w:type="dxa"/>
              <w:right w:w="120" w:type="dxa"/>
            </w:tcMar>
          </w:tcPr>
          <w:p>
            <w:pPr>
              <w:spacing w:before="0" w:after="0"/>
              <w:jc w:val="center"/>
            </w:pPr>
            <w:r>
              <w:rPr>
                <w:rFonts w:ascii="Calibri" w:hAnsi="Calibri"/>
                <w:color w:val="2D3748"/>
                <w:sz w:val="18"/>
              </w:rPr>
              <w:t>MEDIANA</w:t>
            </w:r>
          </w:p>
        </w:tc>
        <w:tc>
          <w:tcPr>
            <w:tcW w:type="dxa" w:w="2160"/>
            <w:shd w:fill="F7FAFC"/>
            <w:tcMar>
              <w:top w:w="80" w:type="dxa"/>
              <w:bottom w:w="80" w:type="dxa"/>
              <w:left w:w="120" w:type="dxa"/>
              <w:right w:w="120" w:type="dxa"/>
            </w:tcMar>
          </w:tcPr>
          <w:p>
            <w:pPr>
              <w:spacing w:before="0" w:after="0"/>
              <w:jc w:val="left"/>
            </w:pPr>
            <w:r>
              <w:rPr>
                <w:rFonts w:ascii="Calibri" w:hAnsi="Calibri"/>
                <w:color w:val="2D3748"/>
                <w:sz w:val="18"/>
              </w:rPr>
              <w:t>Mediana Sectorial</w:t>
            </w:r>
          </w:p>
        </w:tc>
        <w:tc>
          <w:tcPr>
            <w:tcW w:type="dxa" w:w="1296"/>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008"/>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1152"/>
            <w:shd w:fill="F7FAFC"/>
            <w:tcMar>
              <w:top w:w="80" w:type="dxa"/>
              <w:bottom w:w="80" w:type="dxa"/>
              <w:left w:w="120" w:type="dxa"/>
              <w:right w:w="120" w:type="dxa"/>
            </w:tcMar>
          </w:tcPr>
          <w:p>
            <w:pPr>
              <w:spacing w:before="0" w:after="0"/>
              <w:jc w:val="right"/>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c>
          <w:tcPr>
            <w:tcW w:type="dxa" w:w="720"/>
            <w:shd w:fill="F7FAFC"/>
            <w:tcMar>
              <w:top w:w="80" w:type="dxa"/>
              <w:bottom w:w="80" w:type="dxa"/>
              <w:left w:w="120" w:type="dxa"/>
              <w:right w:w="120" w:type="dxa"/>
            </w:tcMar>
          </w:tcPr>
          <w:p>
            <w:pPr>
              <w:spacing w:before="0" w:after="0"/>
              <w:jc w:val="center"/>
            </w:pPr>
            <w:r>
              <w:rPr>
                <w:rFonts w:ascii="Calibri" w:hAnsi="Calibri"/>
                <w:color w:val="2D3748"/>
                <w:sz w:val="18"/>
              </w:rPr>
              <w:t>N/D</w:t>
            </w:r>
          </w:p>
        </w:tc>
      </w:tr>
    </w:tbl>
    <w:p>
      <w:pPr>
        <w:spacing w:after="120"/>
      </w:pPr>
    </w:p>
    <w:p>
      <w:pPr>
        <w:keepNext/>
        <w:spacing w:before="320" w:after="120"/>
      </w:pPr>
      <w:r>
        <w:rPr>
          <w:rFonts w:ascii="Calibri" w:hAnsi="Calibri"/>
          <w:b/>
          <w:color w:val="1B365D"/>
          <w:sz w:val="28"/>
        </w:rPr>
        <w:t>10. Productividad Pura del Capital: Rentabilidad Bruta sobre Activos (Novy-Marx GP/A)</w:t>
      </w:r>
    </w:p>
    <w:p>
      <w:pPr>
        <w:spacing w:before="0" w:after="80" w:line="276" w:lineRule="auto"/>
      </w:pPr>
      <w:r>
        <w:rPr>
          <w:rFonts w:ascii="Calibri" w:hAnsi="Calibri"/>
          <w:i w:val="0"/>
          <w:color w:val="2D3748"/>
          <w:sz w:val="20"/>
        </w:rPr>
        <w:t>La investigación empírica seminal del Prof. Robert Novy-Marx (University of Rochester / NBER, 'The Other Side of Value: The Gross Profitability Premium', Journal of Financial Economics, 2013) demostró que la Rentabilidad Bruta sobre Activos (Gross Profitability to Assets, GP/A) es el predictor cuantitativo más potente de los rendimientos futuros de una corporación. A diferencia del ROE o ROIC, que sufren la contaminación contable de depreciaciones discrecionales, partidas extraordinarias o gastos de I+D/marketing (que en realidad son inversiones generadoras de valor futuro), la métrica de Novy-Marx evalúa la productividad económica pura del capital instalado en su estado original.</w:t>
      </w:r>
    </w:p>
    <w:p>
      <w:pPr>
        <w:keepNext/>
        <w:spacing w:before="240" w:after="80"/>
      </w:pPr>
      <w:r>
        <w:rPr>
          <w:rFonts w:ascii="Calibri" w:hAnsi="Calibri"/>
          <w:b/>
          <w:color w:val="4A5568"/>
          <w:sz w:val="23"/>
        </w:rPr>
        <w:t>Bloque A: Diagnóstico Dual de Productividad y Efecto Arrastre de Caja (Cash Drag)</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CALIFICACIÓN Y CALIDAD DE CAPITAL: PRODUCTIVIDAD REZAGADA (INFERIOR A LA MEDIANA (&lt; PERCENTIL 50))</w:t>
              <w:br/>
            </w:r>
          </w:p>
          <w:p>
            <w:pPr>
              <w:spacing w:before="40" w:after="40" w:line="276" w:lineRule="auto"/>
            </w:pPr>
            <w:r>
              <w:rPr>
                <w:rFonts w:ascii="Calibri" w:hAnsi="Calibri"/>
                <w:color w:val="2D3748"/>
                <w:sz w:val="19"/>
              </w:rPr>
              <w:t>• Gross Profitability Total (LTM): 29.24% de los Activos Totales (vs. Mediana Sector: 54.46%).</w:t>
            </w:r>
          </w:p>
          <w:p>
            <w:pPr>
              <w:spacing w:before="40" w:after="40" w:line="276" w:lineRule="auto"/>
            </w:pPr>
            <w:r>
              <w:rPr>
                <w:rFonts w:ascii="Calibri" w:hAnsi="Calibri"/>
                <w:color w:val="2D3748"/>
                <w:sz w:val="19"/>
              </w:rPr>
              <w:t>• Gross Profitability Operativa Ex-Caja (LTM): 31.47% de los Activos Operativos (vs. Mediana Sector: 71.88%).</w:t>
            </w:r>
          </w:p>
          <w:p>
            <w:pPr>
              <w:spacing w:before="40" w:after="40" w:line="276" w:lineRule="auto"/>
            </w:pPr>
            <w:r>
              <w:rPr>
                <w:rFonts w:ascii="Calibri" w:hAnsi="Calibri"/>
                <w:color w:val="2D3748"/>
                <w:sz w:val="19"/>
              </w:rPr>
              <w:t>• Efecto Arrastre de Caja (Cash Drag): +2.24 p.p. de penalización contable por atesoramiento de liquidez ociosa.</w:t>
            </w:r>
          </w:p>
          <w:p>
            <w:pPr>
              <w:spacing w:before="40" w:after="40" w:line="276" w:lineRule="auto"/>
            </w:pPr>
            <w:r>
              <w:rPr>
                <w:rFonts w:ascii="Calibri" w:hAnsi="Calibri"/>
                <w:color w:val="2D3748"/>
                <w:sz w:val="19"/>
              </w:rPr>
              <w:t>• Posición Sectorial (Industry De-meaning): Supera a la mediana de competidores en +-25.23 p.p., confirmando un foso de capital de primer orden mundial.</w:t>
            </w:r>
          </w:p>
        </w:tc>
      </w:tr>
    </w:tbl>
    <w:p>
      <w:pPr>
        <w:spacing w:after="80"/>
      </w:pPr>
    </w:p>
    <w:tbl>
      <w:tblPr>
        <w:tblW w:type="auto" w:w="0"/>
        <w:jc w:val="center"/>
        <w:tblLayout w:type="fixed"/>
        <w:tblLook w:firstColumn="1" w:firstRow="1" w:lastColumn="0" w:lastRow="0" w:noHBand="0" w:noVBand="1" w:val="04A0"/>
      </w:tblPr>
      <w:tblGrid>
        <w:gridCol w:w="9792"/>
      </w:tblGrid>
      <w:tr>
        <w:tc>
          <w:tcPr>
            <w:tcW w:type="dxa" w:w="9792"/>
            <w:shd w:fill="E8EEF5"/>
            <w:tcMar>
              <w:top w:w="140" w:type="dxa"/>
              <w:bottom w:w="140" w:type="dxa"/>
              <w:left w:w="180" w:type="dxa"/>
              <w:right w:w="180" w:type="dxa"/>
            </w:tcMar>
            <w:tcBorders>
              <w:top w:val="none"/>
              <w:left w:val="single" w:sz="24" w:space="0" w:color="0A3641"/>
              <w:bottom w:val="none"/>
              <w:right w:val="none"/>
            </w:tcBorders>
          </w:tcPr>
          <w:p>
            <w:pPr>
              <w:spacing w:before="0" w:after="60" w:line="276" w:lineRule="auto"/>
            </w:pPr>
            <w:r>
              <w:rPr>
                <w:rFonts w:ascii="Calibri" w:hAnsi="Calibri"/>
                <w:b/>
                <w:color w:val="1B365D"/>
                <w:sz w:val="21"/>
              </w:rPr>
              <w:t>📌 GUÍA DIDÁCTICA: ¿QUÉ SIGNIFICAN ESTOS RESULTADOS Y PERCENTILES?</w:t>
              <w:br/>
            </w:r>
          </w:p>
          <w:p>
            <w:pPr>
              <w:spacing w:before="40" w:after="40" w:line="276" w:lineRule="auto"/>
            </w:pPr>
            <w:r>
              <w:rPr>
                <w:rFonts w:ascii="Calibri" w:hAnsi="Calibri"/>
                <w:color w:val="2D3748"/>
                <w:sz w:val="19"/>
              </w:rPr>
              <w:t>1. ¿Qué significa el Inferior a la Mediana (&lt; Percentil 50)?: Significa que la rentabilidad de capital de MELI supera al 95% de sus competidores directos en la industria. De cada 100 empresas comparables, solo 5 logran una eficiencia igual o superior en la generación de utilidad bruta por dólar de activo instalado.</w:t>
            </w:r>
          </w:p>
          <w:p>
            <w:pPr>
              <w:spacing w:before="40" w:after="40" w:line="276" w:lineRule="auto"/>
            </w:pPr>
            <w:r>
              <w:rPr>
                <w:rFonts w:ascii="Calibri" w:hAnsi="Calibri"/>
                <w:color w:val="2D3748"/>
                <w:sz w:val="19"/>
              </w:rPr>
              <w:t>2. ¿Qué significa Gross Profitability de 29.24%?: Por cada $1.00 de activo total en su balance general, la empresa produce $0.29 de utilidad bruta pura al año, antes de deducciones operativas, intereses e impuestos.</w:t>
            </w:r>
          </w:p>
          <w:p>
            <w:pPr>
              <w:spacing w:before="40" w:after="40" w:line="276" w:lineRule="auto"/>
            </w:pPr>
            <w:r>
              <w:rPr>
                <w:rFonts w:ascii="Calibri" w:hAnsi="Calibri"/>
                <w:color w:val="2D3748"/>
                <w:sz w:val="19"/>
              </w:rPr>
              <w:t>3. ¿Qué significa Ex-Caja (31.47%)?: Al excluir el efectivo y valores negociables líquidos (capital ocioso en caja que no produce bienes), el negocio puramente operativo rinde $0.31 por cada dólar en activos operativos en funcionamiento.</w:t>
            </w:r>
          </w:p>
          <w:p>
            <w:pPr>
              <w:spacing w:before="40" w:after="40" w:line="276" w:lineRule="auto"/>
            </w:pPr>
            <w:r>
              <w:rPr>
                <w:rFonts w:ascii="Calibri" w:hAnsi="Calibri"/>
                <w:color w:val="2D3748"/>
                <w:sz w:val="19"/>
              </w:rPr>
              <w:t>4. ¿Qué revela el Cash Drag (+2.24 p.p.)?: La acumulación de enormes colchones de caja reduce artificialmente el ratio nominal agregado. Esto demuestra que la fuerza motriz del negocio subyacente es significativamente más potente de lo que aparenta el balance global consolidado.</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Métrica de Productividad</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Diagnóstico</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Lectura Didáctica</w:t>
            </w:r>
          </w:p>
        </w:tc>
      </w:tr>
      <w:tr>
        <w:tc>
          <w:tcPr>
            <w:tcW w:type="dxa" w:w="2160"/>
            <w:shd w:fill="FFFFFF"/>
            <w:tcMar>
              <w:top w:w="70" w:type="dxa"/>
              <w:bottom w:w="70" w:type="dxa"/>
              <w:left w:w="100" w:type="dxa"/>
              <w:right w:w="100" w:type="dxa"/>
            </w:tcMar>
          </w:tcPr>
          <w:p>
            <w:pPr>
              <w:spacing w:before="0" w:after="0"/>
              <w:jc w:val="left"/>
            </w:pPr>
            <w:r>
              <w:rPr>
                <w:rFonts w:ascii="Calibri" w:hAnsi="Calibri"/>
                <w:b/>
                <w:color w:val="1B365D"/>
                <w:sz w:val="17"/>
              </w:rPr>
              <w:t>GP / Activos Totales (Nominal)</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FFFFF"/>
            <w:tcMar>
              <w:top w:w="70" w:type="dxa"/>
              <w:bottom w:w="70" w:type="dxa"/>
              <w:left w:w="100" w:type="dxa"/>
              <w:right w:w="100" w:type="dxa"/>
            </w:tcMar>
          </w:tcPr>
          <w:p>
            <w:pPr>
              <w:spacing w:before="0" w:after="0"/>
              <w:jc w:val="right"/>
            </w:pPr>
            <w:r>
              <w:rPr>
                <w:rFonts w:ascii="Calibri" w:hAnsi="Calibri"/>
                <w:b/>
                <w:color w:val="1B365D"/>
                <w:sz w:val="17"/>
              </w:rPr>
              <w:t>✅ Inferior a la Mediana (&lt; Percentil 50)</w:t>
            </w:r>
          </w:p>
        </w:tc>
        <w:tc>
          <w:tcPr>
            <w:tcW w:type="dxa" w:w="2448"/>
            <w:shd w:fill="FFFFFF"/>
            <w:tcMar>
              <w:top w:w="70" w:type="dxa"/>
              <w:bottom w:w="70" w:type="dxa"/>
              <w:left w:w="100" w:type="dxa"/>
              <w:right w:w="100" w:type="dxa"/>
            </w:tcMar>
          </w:tcPr>
          <w:p>
            <w:pPr>
              <w:spacing w:before="0" w:after="0"/>
              <w:jc w:val="left"/>
            </w:pPr>
            <w:r>
              <w:rPr>
                <w:rFonts w:ascii="Calibri" w:hAnsi="Calibri"/>
                <w:b/>
                <w:color w:val="1B365D"/>
                <w:sz w:val="17"/>
              </w:rPr>
              <w:t>Genera $0.29 de utilidad bruta por cada $1.00 de activo total.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 / Activos Operativos (Ex-Caja)</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31.47%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Alta Eficiencia</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Al aislar la caja ociosa, rinde $0.31 por dólar productivo.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Efecto Arrastre de Caja (Cash Drag)</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+2.24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+17.41 pp</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ℹ️ Dilución Solvente</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La acumulación de liquidez deprime el ratio nominal.</w:t>
            </w:r>
          </w:p>
        </w:tc>
      </w:tr>
      <w:tr>
        <w:tc>
          <w:tcPr>
            <w:tcW w:type="dxa" w:w="2160"/>
            <w:shd w:fill="F7FAFC"/>
            <w:tcMar>
              <w:top w:w="70" w:type="dxa"/>
              <w:bottom w:w="70" w:type="dxa"/>
              <w:left w:w="100" w:type="dxa"/>
              <w:right w:w="100" w:type="dxa"/>
            </w:tcMar>
          </w:tcPr>
          <w:p>
            <w:pPr>
              <w:spacing w:before="0" w:after="0"/>
              <w:jc w:val="left"/>
            </w:pPr>
            <w:r>
              <w:rPr>
                <w:rFonts w:ascii="Calibri" w:hAnsi="Calibri"/>
                <w:b w:val="0"/>
                <w:color w:val="2D3748"/>
                <w:sz w:val="17"/>
              </w:rPr>
              <w:t>GP/A Ajustada (De-meaning)</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+-25.23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+-24.33 pp</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0.00 pp</w:t>
            </w:r>
          </w:p>
        </w:tc>
        <w:tc>
          <w:tcPr>
            <w:tcW w:type="dxa" w:w="1728"/>
            <w:shd w:fill="F7FAFC"/>
            <w:tcMar>
              <w:top w:w="70" w:type="dxa"/>
              <w:bottom w:w="70" w:type="dxa"/>
              <w:left w:w="100" w:type="dxa"/>
              <w:right w:w="100" w:type="dxa"/>
            </w:tcMar>
          </w:tcPr>
          <w:p>
            <w:pPr>
              <w:spacing w:before="0" w:after="0"/>
              <w:jc w:val="right"/>
            </w:pPr>
            <w:r>
              <w:rPr>
                <w:rFonts w:ascii="Calibri" w:hAnsi="Calibri"/>
                <w:b w:val="0"/>
                <w:color w:val="2D3748"/>
                <w:sz w:val="17"/>
              </w:rPr>
              <w:t>🟢 Ventaja Fuerte</w:t>
            </w:r>
          </w:p>
        </w:tc>
        <w:tc>
          <w:tcPr>
            <w:tcW w:type="dxa" w:w="2448"/>
            <w:shd w:fill="F7FAFC"/>
            <w:tcMar>
              <w:top w:w="70" w:type="dxa"/>
              <w:bottom w:w="70" w:type="dxa"/>
              <w:left w:w="100" w:type="dxa"/>
              <w:right w:w="100" w:type="dxa"/>
            </w:tcMar>
          </w:tcPr>
          <w:p>
            <w:pPr>
              <w:spacing w:before="0" w:after="0"/>
              <w:jc w:val="left"/>
            </w:pPr>
            <w:r>
              <w:rPr>
                <w:rFonts w:ascii="Calibri" w:hAnsi="Calibri"/>
                <w:b w:val="0"/>
                <w:color w:val="2D3748"/>
                <w:sz w:val="17"/>
              </w:rPr>
              <w:t>Supera en +-25.23 puntos porcentuales a la mediana del sector.</w:t>
            </w:r>
          </w:p>
        </w:tc>
      </w:tr>
    </w:tbl>
    <w:p>
      <w:pPr>
        <w:spacing w:after="120"/>
      </w:pPr>
    </w:p>
    <w:p>
      <w:pPr>
        <w:keepNext/>
        <w:spacing w:before="240" w:after="80"/>
      </w:pPr>
      <w:r>
        <w:rPr>
          <w:rFonts w:ascii="Calibri" w:hAnsi="Calibri"/>
          <w:b/>
          <w:color w:val="4A5568"/>
          <w:sz w:val="23"/>
        </w:rPr>
        <w:t>Bloque B: Descomposición DuPont de Novy-Marx &amp; Matriz de 4 Cuadrantes</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MATRIZ DE DECISIÓN COMPETITIVA: ⚠️ BAJA PRODUCTIVIDAD DE CAPITAL</w:t>
              <w:br/>
            </w:r>
          </w:p>
          <w:p>
            <w:pPr>
              <w:spacing w:before="40" w:after="40" w:line="276" w:lineRule="auto"/>
            </w:pPr>
            <w:r>
              <w:rPr>
                <w:rFonts w:ascii="Calibri" w:hAnsi="Calibri"/>
                <w:color w:val="2D3748"/>
                <w:sz w:val="19"/>
              </w:rPr>
              <w:t>Alerta de eficiencia: tanto el margen bruto (42.7%) como la rotación (0.69x) se sitúan por debajo de las medianas de la industria. El capital instalado no genera suficiente valor económico por unidad de costo.</w:t>
            </w:r>
          </w:p>
          <w:p>
            <w:pPr>
              <w:spacing w:before="40" w:after="40" w:line="276" w:lineRule="auto"/>
            </w:pPr>
            <w:r>
              <w:rPr>
                <w:rFonts w:ascii="Calibri" w:hAnsi="Calibri"/>
                <w:color w:val="2D3748"/>
                <w:sz w:val="19"/>
              </w:rPr>
              <w:t>• Verificación Matemática de Identidad DuPont (LTM):</w:t>
            </w:r>
          </w:p>
          <w:p>
            <w:pPr>
              <w:spacing w:before="40" w:after="40" w:line="276" w:lineRule="auto"/>
            </w:pPr>
            <w:r>
              <w:rPr>
                <w:rFonts w:ascii="Calibri" w:hAnsi="Calibri"/>
                <w:color w:val="2D3748"/>
                <w:sz w:val="19"/>
              </w:rPr>
              <w:t xml:space="preserve">  Margen Bruto (42.68%) × Rotación de Activos (0.685x) = 29.24% (Concilia al 100.0% con GP/A de 29.24%).</w:t>
            </w:r>
          </w:p>
          <w:p>
            <w:pPr>
              <w:spacing w:before="40" w:after="40" w:line="276" w:lineRule="auto"/>
            </w:pPr>
            <w:r>
              <w:rPr>
                <w:rFonts w:ascii="Calibri" w:hAnsi="Calibri"/>
                <w:color w:val="2D3748"/>
                <w:sz w:val="19"/>
              </w:rPr>
              <w:t>• Identidad Operativa Ex-Caja: Margen Bruto (42.68%) × Rotación Ex-Caja (0.737x) = 31.47% (concilia con 31.47%).</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632"/>
        <w:gridCol w:w="1632"/>
        <w:gridCol w:w="1632"/>
        <w:gridCol w:w="1632"/>
        <w:gridCol w:w="1632"/>
        <w:gridCol w:w="1632"/>
      </w:tblGrid>
      <w:tr>
        <w:tc>
          <w:tcPr>
            <w:tcW w:type="dxa" w:w="2160"/>
            <w:shd w:fill="1B365D"/>
            <w:tcMar>
              <w:top w:w="90" w:type="dxa"/>
              <w:bottom w:w="90" w:type="dxa"/>
              <w:left w:w="100" w:type="dxa"/>
              <w:right w:w="100" w:type="dxa"/>
            </w:tcMar>
          </w:tcPr>
          <w:p>
            <w:pPr>
              <w:spacing w:before="0" w:after="0"/>
              <w:jc w:val="left"/>
            </w:pPr>
            <w:r>
              <w:rPr>
                <w:rFonts w:ascii="Calibri" w:hAnsi="Calibri"/>
                <w:b/>
                <w:color w:val="FFFFFF"/>
                <w:sz w:val="18"/>
              </w:rPr>
              <w:t>Palanca DuPont</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LTM</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FY2025</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Mediana Ind.</w:t>
            </w:r>
          </w:p>
        </w:tc>
        <w:tc>
          <w:tcPr>
            <w:tcW w:type="dxa" w:w="1728"/>
            <w:shd w:fill="1B365D"/>
            <w:tcMar>
              <w:top w:w="90" w:type="dxa"/>
              <w:bottom w:w="90" w:type="dxa"/>
              <w:left w:w="100" w:type="dxa"/>
              <w:right w:w="100" w:type="dxa"/>
            </w:tcMar>
          </w:tcPr>
          <w:p>
            <w:pPr>
              <w:spacing w:before="0" w:after="0"/>
              <w:jc w:val="right"/>
            </w:pPr>
            <w:r>
              <w:rPr>
                <w:rFonts w:ascii="Calibri" w:hAnsi="Calibri"/>
                <w:b/>
                <w:color w:val="FFFFFF"/>
                <w:sz w:val="18"/>
              </w:rPr>
              <w:t>Estatus vs Mediana</w:t>
            </w:r>
          </w:p>
        </w:tc>
        <w:tc>
          <w:tcPr>
            <w:tcW w:type="dxa" w:w="2448"/>
            <w:shd w:fill="1B365D"/>
            <w:tcMar>
              <w:top w:w="90" w:type="dxa"/>
              <w:bottom w:w="90" w:type="dxa"/>
              <w:left w:w="100" w:type="dxa"/>
              <w:right w:w="100" w:type="dxa"/>
            </w:tcMar>
          </w:tcPr>
          <w:p>
            <w:pPr>
              <w:spacing w:before="0" w:after="0"/>
              <w:jc w:val="left"/>
            </w:pPr>
            <w:r>
              <w:rPr>
                <w:rFonts w:ascii="Calibri" w:hAnsi="Calibri"/>
                <w:b/>
                <w:color w:val="FFFFFF"/>
                <w:sz w:val="18"/>
              </w:rPr>
              <w:t>Implicación Estratégica</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Margen Bruto (Utilidad Bruta / Ventas)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-6.51 pp</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Pricing power, lealtad de clientes y disciplina de costes directos.</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Rotación Activos Totales (Ventas / Activos)</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0.677x</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1.119x</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-0.43x</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Velocidad de comercialización y aprovechamiento del capital instalado.</w:t>
            </w:r>
          </w:p>
        </w:tc>
      </w:tr>
      <w:tr>
        <w:tc>
          <w:tcPr>
            <w:tcW w:type="dxa" w:w="2160"/>
            <w:shd w:fill="FFFFFF"/>
            <w:tcMar>
              <w:top w:w="70" w:type="dxa"/>
              <w:bottom w:w="70" w:type="dxa"/>
              <w:left w:w="100" w:type="dxa"/>
              <w:right w:w="100" w:type="dxa"/>
            </w:tcMar>
          </w:tcPr>
          <w:p>
            <w:pPr>
              <w:spacing w:before="0" w:after="0"/>
              <w:jc w:val="left"/>
            </w:pPr>
            <w:r>
              <w:rPr>
                <w:rFonts w:ascii="Calibri" w:hAnsi="Calibri"/>
                <w:b w:val="0"/>
                <w:color w:val="2D3748"/>
                <w:sz w:val="17"/>
              </w:rPr>
              <w:t>Rotación Activos Ex-Caja (Ventas / Act. Operativos)</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0.737x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0.741x</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1.231x</w:t>
            </w:r>
          </w:p>
        </w:tc>
        <w:tc>
          <w:tcPr>
            <w:tcW w:type="dxa" w:w="1728"/>
            <w:shd w:fill="FFFFFF"/>
            <w:tcMar>
              <w:top w:w="70" w:type="dxa"/>
              <w:bottom w:w="70" w:type="dxa"/>
              <w:left w:w="100" w:type="dxa"/>
              <w:right w:w="100" w:type="dxa"/>
            </w:tcMar>
          </w:tcPr>
          <w:p>
            <w:pPr>
              <w:spacing w:before="0" w:after="0"/>
              <w:jc w:val="right"/>
            </w:pPr>
            <w:r>
              <w:rPr>
                <w:rFonts w:ascii="Calibri" w:hAnsi="Calibri"/>
                <w:b w:val="0"/>
                <w:color w:val="2D3748"/>
                <w:sz w:val="17"/>
              </w:rPr>
              <w:t>Expansión Operativa</w:t>
            </w:r>
          </w:p>
        </w:tc>
        <w:tc>
          <w:tcPr>
            <w:tcW w:type="dxa" w:w="2448"/>
            <w:shd w:fill="FFFFFF"/>
            <w:tcMar>
              <w:top w:w="70" w:type="dxa"/>
              <w:bottom w:w="70" w:type="dxa"/>
              <w:left w:w="100" w:type="dxa"/>
              <w:right w:w="100" w:type="dxa"/>
            </w:tcMar>
          </w:tcPr>
          <w:p>
            <w:pPr>
              <w:spacing w:before="0" w:after="0"/>
              <w:jc w:val="left"/>
            </w:pPr>
            <w:r>
              <w:rPr>
                <w:rFonts w:ascii="Calibri" w:hAnsi="Calibri"/>
                <w:b w:val="0"/>
                <w:color w:val="2D3748"/>
                <w:sz w:val="17"/>
              </w:rPr>
              <w:t>Velocidad pura del capital en planta, logística y desarrollo.</w:t>
            </w:r>
          </w:p>
        </w:tc>
      </w:tr>
      <w:tr>
        <w:tc>
          <w:tcPr>
            <w:tcW w:type="dxa" w:w="2160"/>
            <w:shd w:fill="F7FAFC"/>
            <w:tcMar>
              <w:top w:w="70" w:type="dxa"/>
              <w:bottom w:w="70" w:type="dxa"/>
              <w:left w:w="100" w:type="dxa"/>
              <w:right w:w="100" w:type="dxa"/>
            </w:tcMar>
          </w:tcPr>
          <w:p>
            <w:pPr>
              <w:spacing w:before="0" w:after="0"/>
              <w:jc w:val="left"/>
            </w:pPr>
            <w:r>
              <w:rPr>
                <w:rFonts w:ascii="Calibri" w:hAnsi="Calibri"/>
                <w:b/>
                <w:color w:val="1B365D"/>
                <w:sz w:val="17"/>
              </w:rPr>
              <w:t>PRODUCTIVIDAD CONSOLIDADA (GP/A)</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30.14%</w:t>
            </w:r>
          </w:p>
        </w:tc>
        <w:tc>
          <w:tcPr>
            <w:tcW w:type="dxa" w:w="1152"/>
            <w:shd w:fill="F7FAFC"/>
            <w:tcMar>
              <w:top w:w="70" w:type="dxa"/>
              <w:bottom w:w="70" w:type="dxa"/>
              <w:left w:w="100" w:type="dxa"/>
              <w:right w:w="100" w:type="dxa"/>
            </w:tcMar>
          </w:tcPr>
          <w:p>
            <w:pPr>
              <w:spacing w:before="0" w:after="0"/>
              <w:jc w:val="right"/>
            </w:pPr>
            <w:r>
              <w:rPr>
                <w:rFonts w:ascii="Calibri" w:hAnsi="Calibri"/>
                <w:b/>
                <w:color w:val="1B365D"/>
                <w:sz w:val="17"/>
              </w:rPr>
              <w:t>54.46%</w:t>
            </w:r>
          </w:p>
        </w:tc>
        <w:tc>
          <w:tcPr>
            <w:tcW w:type="dxa" w:w="1728"/>
            <w:shd w:fill="F7FAFC"/>
            <w:tcMar>
              <w:top w:w="70" w:type="dxa"/>
              <w:bottom w:w="70" w:type="dxa"/>
              <w:left w:w="100" w:type="dxa"/>
              <w:right w:w="100" w:type="dxa"/>
            </w:tcMar>
          </w:tcPr>
          <w:p>
            <w:pPr>
              <w:spacing w:before="0" w:after="0"/>
              <w:jc w:val="right"/>
            </w:pPr>
            <w:r>
              <w:rPr>
                <w:rFonts w:ascii="Calibri" w:hAnsi="Calibri"/>
                <w:b/>
                <w:color w:val="1B365D"/>
                <w:sz w:val="17"/>
              </w:rPr>
              <w:t>+-25.23 pp</w:t>
            </w:r>
          </w:p>
        </w:tc>
        <w:tc>
          <w:tcPr>
            <w:tcW w:type="dxa" w:w="2448"/>
            <w:shd w:fill="F7FAFC"/>
            <w:tcMar>
              <w:top w:w="70" w:type="dxa"/>
              <w:bottom w:w="70" w:type="dxa"/>
              <w:left w:w="100" w:type="dxa"/>
              <w:right w:w="100" w:type="dxa"/>
            </w:tcMar>
          </w:tcPr>
          <w:p>
            <w:pPr>
              <w:spacing w:before="0" w:after="0"/>
              <w:jc w:val="left"/>
            </w:pPr>
            <w:r>
              <w:rPr>
                <w:rFonts w:ascii="Calibri" w:hAnsi="Calibri"/>
                <w:b/>
                <w:color w:val="1B365D"/>
                <w:sz w:val="17"/>
              </w:rPr>
              <w:t>CAPITAL PRODUCTIVO DE MÁXIMA GENERACIÓN ECONÓMICA.</w:t>
            </w:r>
          </w:p>
        </w:tc>
      </w:tr>
    </w:tbl>
    <w:p>
      <w:pPr>
        <w:spacing w:after="120"/>
      </w:pPr>
    </w:p>
    <w:p>
      <w:pPr>
        <w:keepNext/>
        <w:spacing w:before="240" w:after="80"/>
      </w:pPr>
      <w:r>
        <w:rPr>
          <w:rFonts w:ascii="Calibri" w:hAnsi="Calibri"/>
          <w:b/>
          <w:color w:val="4A5568"/>
          <w:sz w:val="23"/>
        </w:rPr>
        <w:t>Bloque C: Evolución Histórica Multianual y Consistencia de Tendencia</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DIAGNÓSTICO DE SOSTENIBILIDAD TEMPORAL</w:t>
              <w:br/>
            </w:r>
          </w:p>
          <w:p>
            <w:pPr>
              <w:spacing w:before="40" w:after="40" w:line="276" w:lineRule="auto"/>
            </w:pPr>
            <w:r>
              <w:rPr>
                <w:rFonts w:ascii="Calibri" w:hAnsi="Calibri"/>
                <w:color w:val="2D3748"/>
                <w:sz w:val="19"/>
              </w:rPr>
              <w:t>• Expansión a 3 Años (vs. FY2023): -13.86 puntos porcentuales.</w:t>
            </w:r>
          </w:p>
          <w:p>
            <w:pPr>
              <w:spacing w:before="40" w:after="40" w:line="276" w:lineRule="auto"/>
            </w:pPr>
            <w:r>
              <w:rPr>
                <w:rFonts w:ascii="Calibri" w:hAnsi="Calibri"/>
                <w:color w:val="2D3748"/>
                <w:sz w:val="19"/>
              </w:rPr>
              <w:t>• Expansión a 5 Años (vs. FY2021): -0.51 puntos porcentuales.</w:t>
            </w:r>
          </w:p>
          <w:p>
            <w:pPr>
              <w:spacing w:before="40" w:after="40" w:line="276" w:lineRule="auto"/>
            </w:pPr>
            <w:r>
              <w:rPr>
                <w:rFonts w:ascii="Calibri" w:hAnsi="Calibri"/>
                <w:color w:val="2D3748"/>
                <w:sz w:val="19"/>
              </w:rPr>
              <w:t>• Coeficiente de Variación (CV GP/A): 0.160 (indica una trayectoria predecible y baja volatilidad operativa).</w:t>
            </w:r>
          </w:p>
          <w:p>
            <w:pPr>
              <w:spacing w:before="40" w:after="40" w:line="276" w:lineRule="auto"/>
            </w:pPr>
            <w:r>
              <w:rPr>
                <w:rFonts w:ascii="Calibri" w:hAnsi="Calibri"/>
                <w:color w:val="2D3748"/>
                <w:sz w:val="19"/>
              </w:rPr>
              <w:t>• Conclusión de Tendencia: Compresión de rentabilidad sobre activos (-0.51 p.p. en 5 años); vigilar presión en costos directos o acumulación de activos.</w:t>
            </w:r>
          </w:p>
        </w:tc>
      </w:tr>
    </w:tbl>
    <w:p>
      <w:pPr>
        <w:spacing w:after="80"/>
      </w:pP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399"/>
        <w:gridCol w:w="1399"/>
        <w:gridCol w:w="1399"/>
        <w:gridCol w:w="1399"/>
        <w:gridCol w:w="1399"/>
        <w:gridCol w:w="1399"/>
        <w:gridCol w:w="1399"/>
      </w:tblGrid>
      <w:tr>
        <w:tc>
          <w:tcPr>
            <w:tcW w:type="dxa" w:w="1440"/>
            <w:shd w:fill="1B365D"/>
            <w:tcMar>
              <w:top w:w="90" w:type="dxa"/>
              <w:bottom w:w="90" w:type="dxa"/>
              <w:left w:w="100" w:type="dxa"/>
              <w:right w:w="100" w:type="dxa"/>
            </w:tcMar>
          </w:tcPr>
          <w:p>
            <w:pPr>
              <w:spacing w:before="0" w:after="0"/>
              <w:jc w:val="left"/>
            </w:pPr>
            <w:r>
              <w:rPr>
                <w:rFonts w:ascii="Calibri" w:hAnsi="Calibri"/>
                <w:b/>
                <w:color w:val="FFFFFF"/>
                <w:sz w:val="18"/>
              </w:rPr>
              <w:t>Período Fiscal</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 Activos (%)</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GP Ex-Caja (%)</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Cash Drag (pp)</w:t>
            </w:r>
          </w:p>
        </w:tc>
        <w:tc>
          <w:tcPr>
            <w:tcW w:type="dxa" w:w="1440"/>
            <w:shd w:fill="1B365D"/>
            <w:tcMar>
              <w:top w:w="90" w:type="dxa"/>
              <w:bottom w:w="90" w:type="dxa"/>
              <w:left w:w="100" w:type="dxa"/>
              <w:right w:w="100" w:type="dxa"/>
            </w:tcMar>
          </w:tcPr>
          <w:p>
            <w:pPr>
              <w:spacing w:before="0" w:after="0"/>
              <w:jc w:val="right"/>
            </w:pPr>
            <w:r>
              <w:rPr>
                <w:rFonts w:ascii="Calibri" w:hAnsi="Calibri"/>
                <w:b/>
                <w:color w:val="FFFFFF"/>
                <w:sz w:val="18"/>
              </w:rPr>
              <w:t>Margen Bruto (%)</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Rotación (x)</w:t>
            </w:r>
          </w:p>
        </w:tc>
        <w:tc>
          <w:tcPr>
            <w:tcW w:type="dxa" w:w="1584"/>
            <w:shd w:fill="1B365D"/>
            <w:tcMar>
              <w:top w:w="90" w:type="dxa"/>
              <w:bottom w:w="90" w:type="dxa"/>
              <w:left w:w="100" w:type="dxa"/>
              <w:right w:w="100" w:type="dxa"/>
            </w:tcMar>
          </w:tcPr>
          <w:p>
            <w:pPr>
              <w:spacing w:before="0" w:after="0"/>
              <w:jc w:val="left"/>
            </w:pPr>
            <w:r>
              <w:rPr>
                <w:rFonts w:ascii="Calibri" w:hAnsi="Calibri"/>
                <w:b/>
                <w:color w:val="FFFFFF"/>
                <w:sz w:val="18"/>
              </w:rPr>
              <w:t>Cuadrante Estratégico</w:t>
            </w:r>
          </w:p>
        </w:tc>
      </w:tr>
      <w:tr>
        <w:tc>
          <w:tcPr>
            <w:tcW w:type="dxa" w:w="1440"/>
            <w:shd w:fill="FFFFFF"/>
            <w:tcMar>
              <w:top w:w="70" w:type="dxa"/>
              <w:bottom w:w="70" w:type="dxa"/>
              <w:left w:w="100" w:type="dxa"/>
              <w:right w:w="100" w:type="dxa"/>
            </w:tcMar>
          </w:tcPr>
          <w:p>
            <w:pPr>
              <w:spacing w:before="0" w:after="0"/>
              <w:jc w:val="left"/>
            </w:pPr>
            <w:r>
              <w:rPr>
                <w:rFonts w:ascii="Calibri" w:hAnsi="Calibri"/>
                <w:b/>
                <w:color w:val="1B365D"/>
                <w:sz w:val="17"/>
              </w:rPr>
              <w:t>LTM</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+2.24 pp</w:t>
            </w:r>
          </w:p>
        </w:tc>
        <w:tc>
          <w:tcPr>
            <w:tcW w:type="dxa" w:w="1440"/>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0.685x</w:t>
            </w:r>
          </w:p>
        </w:tc>
        <w:tc>
          <w:tcPr>
            <w:tcW w:type="dxa" w:w="1584"/>
            <w:shd w:fill="FFFFFF"/>
            <w:tcMar>
              <w:top w:w="70" w:type="dxa"/>
              <w:bottom w:w="70" w:type="dxa"/>
              <w:left w:w="100" w:type="dxa"/>
              <w:right w:w="100" w:type="dxa"/>
            </w:tcMar>
          </w:tcPr>
          <w:p>
            <w:pPr>
              <w:spacing w:before="0" w:after="0"/>
              <w:jc w:val="left"/>
            </w:pPr>
            <w:r>
              <w:rPr>
                <w:rFonts w:ascii="Calibri" w:hAnsi="Calibri"/>
                <w:b/>
                <w:color w:val="1B365D"/>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30.14%</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32.97%</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+2.84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44.50%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0.677x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38.01%</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42.45%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+4.44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46.09%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0.825x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FY2023</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43.10%</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50.41%</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+7.32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50.24%</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0.858x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MONOPOLIO / PODER DE MARCA</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FY2022</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37.84%</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43.95%</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+6.11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48.22%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0.785x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FY2021</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29.75%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39.98%</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+10.23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42.51%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0.700x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FFFFF"/>
            <w:tcMar>
              <w:top w:w="70" w:type="dxa"/>
              <w:bottom w:w="70" w:type="dxa"/>
              <w:left w:w="100" w:type="dxa"/>
              <w:right w:w="100" w:type="dxa"/>
            </w:tcMar>
          </w:tcPr>
          <w:p>
            <w:pPr>
              <w:spacing w:before="0" w:after="0"/>
              <w:jc w:val="left"/>
            </w:pPr>
            <w:r>
              <w:rPr>
                <w:rFonts w:ascii="Calibri" w:hAnsi="Calibri"/>
                <w:b w:val="0"/>
                <w:color w:val="2D3748"/>
                <w:sz w:val="17"/>
              </w:rPr>
              <w:t>FY2020</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26.19%</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36.60%</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+10.41 pp</w:t>
            </w:r>
          </w:p>
        </w:tc>
        <w:tc>
          <w:tcPr>
            <w:tcW w:type="dxa" w:w="1440"/>
            <w:shd w:fill="FFFFFF"/>
            <w:tcMar>
              <w:top w:w="70" w:type="dxa"/>
              <w:bottom w:w="70" w:type="dxa"/>
              <w:left w:w="100" w:type="dxa"/>
              <w:right w:w="100" w:type="dxa"/>
            </w:tcMar>
          </w:tcPr>
          <w:p>
            <w:pPr>
              <w:spacing w:before="0" w:after="0"/>
              <w:jc w:val="right"/>
            </w:pPr>
            <w:r>
              <w:rPr>
                <w:rFonts w:ascii="Calibri" w:hAnsi="Calibri"/>
                <w:b w:val="0"/>
                <w:color w:val="2D3748"/>
                <w:sz w:val="17"/>
              </w:rPr>
              <w:t>43.00%</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0.609x</w:t>
            </w:r>
          </w:p>
        </w:tc>
        <w:tc>
          <w:tcPr>
            <w:tcW w:type="dxa" w:w="1584"/>
            <w:shd w:fill="FFFFFF"/>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r>
        <w:tc>
          <w:tcPr>
            <w:tcW w:type="dxa" w:w="1440"/>
            <w:shd w:fill="F7FAFC"/>
            <w:tcMar>
              <w:top w:w="70" w:type="dxa"/>
              <w:bottom w:w="70" w:type="dxa"/>
              <w:left w:w="100" w:type="dxa"/>
              <w:right w:w="100" w:type="dxa"/>
            </w:tcMar>
          </w:tcPr>
          <w:p>
            <w:pPr>
              <w:spacing w:before="0" w:after="0"/>
              <w:jc w:val="left"/>
            </w:pPr>
            <w:r>
              <w:rPr>
                <w:rFonts w:ascii="Calibri" w:hAnsi="Calibri"/>
                <w:b w:val="0"/>
                <w:color w:val="2D3748"/>
                <w:sz w:val="17"/>
              </w:rPr>
              <w:t>FY2019</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23.05%</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32.44%</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+9.40 pp</w:t>
            </w:r>
          </w:p>
        </w:tc>
        <w:tc>
          <w:tcPr>
            <w:tcW w:type="dxa" w:w="1440"/>
            <w:shd w:fill="F7FAFC"/>
            <w:tcMar>
              <w:top w:w="70" w:type="dxa"/>
              <w:bottom w:w="70" w:type="dxa"/>
              <w:left w:w="100" w:type="dxa"/>
              <w:right w:w="100" w:type="dxa"/>
            </w:tcMar>
          </w:tcPr>
          <w:p>
            <w:pPr>
              <w:spacing w:before="0" w:after="0"/>
              <w:jc w:val="right"/>
            </w:pPr>
            <w:r>
              <w:rPr>
                <w:rFonts w:ascii="Calibri" w:hAnsi="Calibri"/>
                <w:b w:val="0"/>
                <w:color w:val="2D3748"/>
                <w:sz w:val="17"/>
              </w:rPr>
              <w:t>48.00%</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0.480x</w:t>
            </w:r>
          </w:p>
        </w:tc>
        <w:tc>
          <w:tcPr>
            <w:tcW w:type="dxa" w:w="1584"/>
            <w:shd w:fill="F7FAFC"/>
            <w:tcMar>
              <w:top w:w="70" w:type="dxa"/>
              <w:bottom w:w="70" w:type="dxa"/>
              <w:left w:w="100" w:type="dxa"/>
              <w:right w:w="100" w:type="dxa"/>
            </w:tcMar>
          </w:tcPr>
          <w:p>
            <w:pPr>
              <w:spacing w:before="0" w:after="0"/>
              <w:jc w:val="left"/>
            </w:pPr>
            <w:r>
              <w:rPr>
                <w:rFonts w:ascii="Calibri" w:hAnsi="Calibri"/>
                <w:b w:val="0"/>
                <w:color w:val="2D3748"/>
                <w:sz w:val="17"/>
              </w:rPr>
              <w:t>BAJA PRODUCTIVIDAD DE CAPITAL</w:t>
            </w:r>
          </w:p>
        </w:tc>
      </w:tr>
    </w:tbl>
    <w:p>
      <w:pPr>
        <w:spacing w:after="120"/>
      </w:pPr>
    </w:p>
    <w:p>
      <w:pPr>
        <w:keepNext/>
        <w:spacing w:before="240" w:after="80"/>
      </w:pPr>
      <w:r>
        <w:rPr>
          <w:rFonts w:ascii="Calibri" w:hAnsi="Calibri"/>
          <w:b/>
          <w:color w:val="4A5568"/>
          <w:sz w:val="23"/>
        </w:rPr>
        <w:t>Bloque D: Benchmarking Sectorial y Ranking Competitivo de la Industria</w:t>
      </w:r>
    </w:p>
    <w:p>
      <w:pPr>
        <w:spacing w:before="0" w:after="80" w:line="276" w:lineRule="auto"/>
      </w:pPr>
      <w:r>
        <w:rPr>
          <w:rFonts w:ascii="Calibri" w:hAnsi="Calibri"/>
          <w:i w:val="0"/>
          <w:color w:val="2D3748"/>
          <w:sz w:val="20"/>
        </w:rPr>
        <w:t>A continuación se presenta el ranking institucional de la canasta de pares directos ordenados rigurosamente por su Rentabilidad Bruta sobre Activos Totales (Gross Profitability de Novy-Marx), contrastando la métrica nominal con la métrica operativa ex-caja y la distancia en puntos porcentuales frente a la mediana de la industria: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088"/>
        <w:gridCol w:w="1088"/>
        <w:gridCol w:w="1088"/>
        <w:gridCol w:w="1088"/>
        <w:gridCol w:w="1088"/>
        <w:gridCol w:w="1088"/>
        <w:gridCol w:w="1088"/>
        <w:gridCol w:w="1088"/>
        <w:gridCol w:w="1088"/>
      </w:tblGrid>
      <w:tr>
        <w:tc>
          <w:tcPr>
            <w:tcW w:type="dxa" w:w="720"/>
            <w:shd w:fill="1B365D"/>
            <w:tcMar>
              <w:top w:w="90" w:type="dxa"/>
              <w:bottom w:w="90" w:type="dxa"/>
              <w:left w:w="100" w:type="dxa"/>
              <w:right w:w="100" w:type="dxa"/>
            </w:tcMar>
          </w:tcPr>
          <w:p>
            <w:pPr>
              <w:spacing w:before="0" w:after="0"/>
              <w:jc w:val="left"/>
            </w:pPr>
            <w:r>
              <w:rPr>
                <w:rFonts w:ascii="Calibri" w:hAnsi="Calibri"/>
                <w:b/>
                <w:color w:val="FFFFFF"/>
                <w:sz w:val="18"/>
              </w:rPr>
              <w:t>Rank</w:t>
            </w:r>
          </w:p>
        </w:tc>
        <w:tc>
          <w:tcPr>
            <w:tcW w:type="dxa" w:w="1008"/>
            <w:shd w:fill="1B365D"/>
            <w:tcMar>
              <w:top w:w="90" w:type="dxa"/>
              <w:bottom w:w="90" w:type="dxa"/>
              <w:left w:w="100" w:type="dxa"/>
              <w:right w:w="100" w:type="dxa"/>
            </w:tcMar>
          </w:tcPr>
          <w:p>
            <w:pPr>
              <w:spacing w:before="0" w:after="0"/>
              <w:jc w:val="right"/>
            </w:pPr>
            <w:r>
              <w:rPr>
                <w:rFonts w:ascii="Calibri" w:hAnsi="Calibri"/>
                <w:b/>
                <w:color w:val="FFFFFF"/>
                <w:sz w:val="18"/>
              </w:rPr>
              <w:t>Ticker</w:t>
            </w:r>
          </w:p>
        </w:tc>
        <w:tc>
          <w:tcPr>
            <w:tcW w:type="dxa" w:w="2016"/>
            <w:shd w:fill="1B365D"/>
            <w:tcMar>
              <w:top w:w="90" w:type="dxa"/>
              <w:bottom w:w="90" w:type="dxa"/>
              <w:left w:w="100" w:type="dxa"/>
              <w:right w:w="100" w:type="dxa"/>
            </w:tcMar>
          </w:tcPr>
          <w:p>
            <w:pPr>
              <w:spacing w:before="0" w:after="0"/>
              <w:jc w:val="right"/>
            </w:pPr>
            <w:r>
              <w:rPr>
                <w:rFonts w:ascii="Calibri" w:hAnsi="Calibri"/>
                <w:b/>
                <w:color w:val="FFFFFF"/>
                <w:sz w:val="18"/>
              </w:rPr>
              <w:t>Empresa Competidora</w:t>
            </w:r>
          </w:p>
        </w:tc>
        <w:tc>
          <w:tcPr>
            <w:tcW w:type="dxa" w:w="1296"/>
            <w:shd w:fill="1B365D"/>
            <w:tcMar>
              <w:top w:w="90" w:type="dxa"/>
              <w:bottom w:w="90" w:type="dxa"/>
              <w:left w:w="100" w:type="dxa"/>
              <w:right w:w="100" w:type="dxa"/>
            </w:tcMar>
          </w:tcPr>
          <w:p>
            <w:pPr>
              <w:spacing w:before="0" w:after="0"/>
              <w:jc w:val="right"/>
            </w:pPr>
            <w:r>
              <w:rPr>
                <w:rFonts w:ascii="Calibri" w:hAnsi="Calibri"/>
                <w:b/>
                <w:color w:val="FFFFFF"/>
                <w:sz w:val="18"/>
              </w:rPr>
              <w:t>Período</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 Activos</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GP Ex-Caja</w:t>
            </w:r>
          </w:p>
        </w:tc>
        <w:tc>
          <w:tcPr>
            <w:tcW w:type="dxa" w:w="1152"/>
            <w:shd w:fill="1B365D"/>
            <w:tcMar>
              <w:top w:w="90" w:type="dxa"/>
              <w:bottom w:w="90" w:type="dxa"/>
              <w:left w:w="100" w:type="dxa"/>
              <w:right w:w="100" w:type="dxa"/>
            </w:tcMar>
          </w:tcPr>
          <w:p>
            <w:pPr>
              <w:spacing w:before="0" w:after="0"/>
              <w:jc w:val="right"/>
            </w:pPr>
            <w:r>
              <w:rPr>
                <w:rFonts w:ascii="Calibri" w:hAnsi="Calibri"/>
                <w:b/>
                <w:color w:val="FFFFFF"/>
                <w:sz w:val="18"/>
              </w:rPr>
              <w:t>Margen Bruto</w:t>
            </w:r>
          </w:p>
        </w:tc>
        <w:tc>
          <w:tcPr>
            <w:tcW w:type="dxa" w:w="720"/>
            <w:shd w:fill="1B365D"/>
            <w:tcMar>
              <w:top w:w="90" w:type="dxa"/>
              <w:bottom w:w="90" w:type="dxa"/>
              <w:left w:w="100" w:type="dxa"/>
              <w:right w:w="100" w:type="dxa"/>
            </w:tcMar>
          </w:tcPr>
          <w:p>
            <w:pPr>
              <w:spacing w:before="0" w:after="0"/>
              <w:jc w:val="right"/>
            </w:pPr>
            <w:r>
              <w:rPr>
                <w:rFonts w:ascii="Calibri" w:hAnsi="Calibri"/>
                <w:b/>
                <w:color w:val="FFFFFF"/>
                <w:sz w:val="18"/>
              </w:rPr>
              <w:t>Rotación</w:t>
            </w:r>
          </w:p>
        </w:tc>
        <w:tc>
          <w:tcPr>
            <w:tcW w:type="dxa" w:w="1152"/>
            <w:shd w:fill="1B365D"/>
            <w:tcMar>
              <w:top w:w="90" w:type="dxa"/>
              <w:bottom w:w="90" w:type="dxa"/>
              <w:left w:w="100" w:type="dxa"/>
              <w:right w:w="100" w:type="dxa"/>
            </w:tcMar>
          </w:tcPr>
          <w:p>
            <w:pPr>
              <w:spacing w:before="0" w:after="0"/>
              <w:jc w:val="left"/>
            </w:pPr>
            <w:r>
              <w:rPr>
                <w:rFonts w:ascii="Calibri" w:hAnsi="Calibri"/>
                <w:b/>
                <w:color w:val="FFFFFF"/>
                <w:sz w:val="18"/>
              </w:rPr>
              <w:t>Brecha vs Mediana</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#1</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AMZN</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Amazon.com, Inc.</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64.62%</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1.11x</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#2</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SE</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Sea Limited</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 (FY2024 Auditado)</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53.91%</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43.67%</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1.23x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-0.56 pp</w:t>
            </w:r>
          </w:p>
        </w:tc>
      </w:tr>
      <w:tr>
        <w:tc>
          <w:tcPr>
            <w:tcW w:type="dxa" w:w="720"/>
            <w:shd w:fill="FFFFFF"/>
            <w:tcMar>
              <w:top w:w="70" w:type="dxa"/>
              <w:bottom w:w="70" w:type="dxa"/>
              <w:left w:w="100" w:type="dxa"/>
              <w:right w:w="100" w:type="dxa"/>
            </w:tcMar>
          </w:tcPr>
          <w:p>
            <w:pPr>
              <w:spacing w:before="0" w:after="0"/>
              <w:jc w:val="left"/>
            </w:pPr>
            <w:r>
              <w:rPr>
                <w:rFonts w:ascii="Calibri" w:hAnsi="Calibri"/>
                <w:b/>
                <w:color w:val="1B365D"/>
                <w:sz w:val="17"/>
              </w:rPr>
              <w:t>#3</w:t>
            </w:r>
          </w:p>
        </w:tc>
        <w:tc>
          <w:tcPr>
            <w:tcW w:type="dxa" w:w="1008"/>
            <w:shd w:fill="FFFFFF"/>
            <w:tcMar>
              <w:top w:w="70" w:type="dxa"/>
              <w:bottom w:w="70" w:type="dxa"/>
              <w:left w:w="100" w:type="dxa"/>
              <w:right w:w="100" w:type="dxa"/>
            </w:tcMar>
          </w:tcPr>
          <w:p>
            <w:pPr>
              <w:spacing w:before="0" w:after="0"/>
              <w:jc w:val="right"/>
            </w:pPr>
            <w:r>
              <w:rPr>
                <w:rFonts w:ascii="Calibri" w:hAnsi="Calibri"/>
                <w:b/>
                <w:color w:val="1B365D"/>
                <w:sz w:val="17"/>
              </w:rPr>
              <w:t>MELI</w:t>
            </w:r>
          </w:p>
        </w:tc>
        <w:tc>
          <w:tcPr>
            <w:tcW w:type="dxa" w:w="2016"/>
            <w:shd w:fill="FFFFFF"/>
            <w:tcMar>
              <w:top w:w="70" w:type="dxa"/>
              <w:bottom w:w="70" w:type="dxa"/>
              <w:left w:w="100" w:type="dxa"/>
              <w:right w:w="100" w:type="dxa"/>
            </w:tcMar>
          </w:tcPr>
          <w:p>
            <w:pPr>
              <w:spacing w:before="0" w:after="0"/>
              <w:jc w:val="right"/>
            </w:pPr>
            <w:r>
              <w:rPr>
                <w:rFonts w:ascii="Calibri" w:hAnsi="Calibri"/>
                <w:b/>
                <w:color w:val="1B365D"/>
                <w:sz w:val="17"/>
              </w:rPr>
              <w:t>MERCADOLIBRE INC</w:t>
            </w:r>
          </w:p>
        </w:tc>
        <w:tc>
          <w:tcPr>
            <w:tcW w:type="dxa" w:w="1296"/>
            <w:shd w:fill="FFFFFF"/>
            <w:tcMar>
              <w:top w:w="70" w:type="dxa"/>
              <w:bottom w:w="70" w:type="dxa"/>
              <w:left w:w="100" w:type="dxa"/>
              <w:right w:w="100" w:type="dxa"/>
            </w:tcMar>
          </w:tcPr>
          <w:p>
            <w:pPr>
              <w:spacing w:before="0" w:after="0"/>
              <w:jc w:val="right"/>
            </w:pPr>
            <w:r>
              <w:rPr>
                <w:rFonts w:ascii="Calibri" w:hAnsi="Calibri"/>
                <w:b/>
                <w:color w:val="1B365D"/>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29.24%</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31.47%</w:t>
            </w:r>
          </w:p>
        </w:tc>
        <w:tc>
          <w:tcPr>
            <w:tcW w:type="dxa" w:w="1152"/>
            <w:shd w:fill="FFFFFF"/>
            <w:tcMar>
              <w:top w:w="70" w:type="dxa"/>
              <w:bottom w:w="70" w:type="dxa"/>
              <w:left w:w="100" w:type="dxa"/>
              <w:right w:w="100" w:type="dxa"/>
            </w:tcMar>
          </w:tcPr>
          <w:p>
            <w:pPr>
              <w:spacing w:before="0" w:after="0"/>
              <w:jc w:val="right"/>
            </w:pPr>
            <w:r>
              <w:rPr>
                <w:rFonts w:ascii="Calibri" w:hAnsi="Calibri"/>
                <w:b/>
                <w:color w:val="1B365D"/>
                <w:sz w:val="17"/>
              </w:rPr>
              <w:t>42.68%</w:t>
            </w:r>
          </w:p>
        </w:tc>
        <w:tc>
          <w:tcPr>
            <w:tcW w:type="dxa" w:w="720"/>
            <w:shd w:fill="FFFFFF"/>
            <w:tcMar>
              <w:top w:w="70" w:type="dxa"/>
              <w:bottom w:w="70" w:type="dxa"/>
              <w:left w:w="100" w:type="dxa"/>
              <w:right w:w="100" w:type="dxa"/>
            </w:tcMar>
          </w:tcPr>
          <w:p>
            <w:pPr>
              <w:spacing w:before="0" w:after="0"/>
              <w:jc w:val="right"/>
            </w:pPr>
            <w:r>
              <w:rPr>
                <w:rFonts w:ascii="Calibri" w:hAnsi="Calibri"/>
                <w:b/>
                <w:color w:val="1B365D"/>
                <w:sz w:val="17"/>
              </w:rPr>
              <w:t>0.69x</w:t>
            </w:r>
          </w:p>
        </w:tc>
        <w:tc>
          <w:tcPr>
            <w:tcW w:type="dxa" w:w="1152"/>
            <w:shd w:fill="FFFFFF"/>
            <w:tcMar>
              <w:top w:w="70" w:type="dxa"/>
              <w:bottom w:w="70" w:type="dxa"/>
              <w:left w:w="100" w:type="dxa"/>
              <w:right w:w="100" w:type="dxa"/>
            </w:tcMar>
          </w:tcPr>
          <w:p>
            <w:pPr>
              <w:spacing w:before="0" w:after="0"/>
              <w:jc w:val="left"/>
            </w:pPr>
            <w:r>
              <w:rPr>
                <w:rFonts w:ascii="Calibri" w:hAnsi="Calibri"/>
                <w:b/>
                <w:color w:val="1B365D"/>
                <w:sz w:val="17"/>
              </w:rPr>
              <w:t>-25.23 pp</w:t>
            </w:r>
          </w:p>
        </w:tc>
      </w:tr>
      <w:tr>
        <w:tc>
          <w:tcPr>
            <w:tcW w:type="dxa" w:w="720"/>
            <w:shd w:fill="F7FAFC"/>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7FAFC"/>
            <w:tcMar>
              <w:top w:w="70" w:type="dxa"/>
              <w:bottom w:w="70" w:type="dxa"/>
              <w:left w:w="100" w:type="dxa"/>
              <w:right w:w="100" w:type="dxa"/>
            </w:tcMar>
          </w:tcPr>
          <w:p>
            <w:pPr>
              <w:spacing w:before="0" w:after="0"/>
              <w:jc w:val="right"/>
            </w:pPr>
            <w:r>
              <w:rPr>
                <w:rFonts w:ascii="Calibri" w:hAnsi="Calibri"/>
                <w:b w:val="0"/>
                <w:color w:val="2D3748"/>
                <w:sz w:val="17"/>
              </w:rPr>
              <w:t>MEDIANA</w:t>
            </w:r>
          </w:p>
        </w:tc>
        <w:tc>
          <w:tcPr>
            <w:tcW w:type="dxa" w:w="2016"/>
            <w:shd w:fill="F7FAFC"/>
            <w:tcMar>
              <w:top w:w="70" w:type="dxa"/>
              <w:bottom w:w="70" w:type="dxa"/>
              <w:left w:w="100" w:type="dxa"/>
              <w:right w:w="100" w:type="dxa"/>
            </w:tcMar>
          </w:tcPr>
          <w:p>
            <w:pPr>
              <w:spacing w:before="0" w:after="0"/>
              <w:jc w:val="right"/>
            </w:pPr>
            <w:r>
              <w:rPr>
                <w:rFonts w:ascii="Calibri" w:hAnsi="Calibri"/>
                <w:b w:val="0"/>
                <w:color w:val="2D3748"/>
                <w:sz w:val="17"/>
              </w:rPr>
              <w:t>Mediana Sectorial</w:t>
            </w:r>
          </w:p>
        </w:tc>
        <w:tc>
          <w:tcPr>
            <w:tcW w:type="dxa" w:w="1296"/>
            <w:shd w:fill="F7FAFC"/>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54.46%</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71.88%</w:t>
            </w:r>
          </w:p>
        </w:tc>
        <w:tc>
          <w:tcPr>
            <w:tcW w:type="dxa" w:w="1152"/>
            <w:shd w:fill="F7FAFC"/>
            <w:tcMar>
              <w:top w:w="70" w:type="dxa"/>
              <w:bottom w:w="70" w:type="dxa"/>
              <w:left w:w="100" w:type="dxa"/>
              <w:right w:w="100" w:type="dxa"/>
            </w:tcMar>
          </w:tcPr>
          <w:p>
            <w:pPr>
              <w:spacing w:before="0" w:after="0"/>
              <w:jc w:val="right"/>
            </w:pPr>
            <w:r>
              <w:rPr>
                <w:rFonts w:ascii="Calibri" w:hAnsi="Calibri"/>
                <w:b w:val="0"/>
                <w:color w:val="2D3748"/>
                <w:sz w:val="17"/>
              </w:rPr>
              <w:t>49.18%</w:t>
            </w:r>
          </w:p>
        </w:tc>
        <w:tc>
          <w:tcPr>
            <w:tcW w:type="dxa" w:w="720"/>
            <w:shd w:fill="F7FAFC"/>
            <w:tcMar>
              <w:top w:w="70" w:type="dxa"/>
              <w:bottom w:w="70" w:type="dxa"/>
              <w:left w:w="100" w:type="dxa"/>
              <w:right w:w="100" w:type="dxa"/>
            </w:tcMar>
          </w:tcPr>
          <w:p>
            <w:pPr>
              <w:spacing w:before="0" w:after="0"/>
              <w:jc w:val="right"/>
            </w:pPr>
            <w:r>
              <w:rPr>
                <w:rFonts w:ascii="Calibri" w:hAnsi="Calibri"/>
                <w:b w:val="0"/>
                <w:color w:val="2D3748"/>
                <w:sz w:val="17"/>
              </w:rPr>
              <w:t>1.12x</w:t>
            </w:r>
          </w:p>
        </w:tc>
        <w:tc>
          <w:tcPr>
            <w:tcW w:type="dxa" w:w="1152"/>
            <w:shd w:fill="F7FAFC"/>
            <w:tcMar>
              <w:top w:w="70" w:type="dxa"/>
              <w:bottom w:w="70" w:type="dxa"/>
              <w:left w:w="100" w:type="dxa"/>
              <w:right w:w="100" w:type="dxa"/>
            </w:tcMar>
          </w:tcPr>
          <w:p>
            <w:pPr>
              <w:spacing w:before="0" w:after="0"/>
              <w:jc w:val="left"/>
            </w:pPr>
            <w:r>
              <w:rPr>
                <w:rFonts w:ascii="Calibri" w:hAnsi="Calibri"/>
                <w:b w:val="0"/>
                <w:color w:val="2D3748"/>
                <w:sz w:val="17"/>
              </w:rPr>
              <w:t>0.00 pp</w:t>
            </w:r>
          </w:p>
        </w:tc>
      </w:tr>
      <w:tr>
        <w:tc>
          <w:tcPr>
            <w:tcW w:type="dxa" w:w="720"/>
            <w:shd w:fill="FFFFFF"/>
            <w:tcMar>
              <w:top w:w="70" w:type="dxa"/>
              <w:bottom w:w="70" w:type="dxa"/>
              <w:left w:w="100" w:type="dxa"/>
              <w:right w:w="100" w:type="dxa"/>
            </w:tcMar>
          </w:tcPr>
          <w:p>
            <w:pPr>
              <w:spacing w:before="0" w:after="0"/>
              <w:jc w:val="left"/>
            </w:pPr>
            <w:r>
              <w:rPr>
                <w:rFonts w:ascii="Calibri" w:hAnsi="Calibri"/>
                <w:b w:val="0"/>
                <w:color w:val="2D3748"/>
                <w:sz w:val="17"/>
              </w:rPr>
              <w:t>-</w:t>
            </w:r>
          </w:p>
        </w:tc>
        <w:tc>
          <w:tcPr>
            <w:tcW w:type="dxa" w:w="1008"/>
            <w:shd w:fill="FFFFFF"/>
            <w:tcMar>
              <w:top w:w="70" w:type="dxa"/>
              <w:bottom w:w="70" w:type="dxa"/>
              <w:left w:w="100" w:type="dxa"/>
              <w:right w:w="100" w:type="dxa"/>
            </w:tcMar>
          </w:tcPr>
          <w:p>
            <w:pPr>
              <w:spacing w:before="0" w:after="0"/>
              <w:jc w:val="right"/>
            </w:pPr>
            <w:r>
              <w:rPr>
                <w:rFonts w:ascii="Calibri" w:hAnsi="Calibri"/>
                <w:b w:val="0"/>
                <w:color w:val="2D3748"/>
                <w:sz w:val="17"/>
              </w:rPr>
              <w:t>P75</w:t>
            </w:r>
          </w:p>
        </w:tc>
        <w:tc>
          <w:tcPr>
            <w:tcW w:type="dxa" w:w="2016"/>
            <w:shd w:fill="FFFFFF"/>
            <w:tcMar>
              <w:top w:w="70" w:type="dxa"/>
              <w:bottom w:w="70" w:type="dxa"/>
              <w:left w:w="100" w:type="dxa"/>
              <w:right w:w="100" w:type="dxa"/>
            </w:tcMar>
          </w:tcPr>
          <w:p>
            <w:pPr>
              <w:spacing w:before="0" w:after="0"/>
              <w:jc w:val="right"/>
            </w:pPr>
            <w:r>
              <w:rPr>
                <w:rFonts w:ascii="Calibri" w:hAnsi="Calibri"/>
                <w:b w:val="0"/>
                <w:color w:val="2D3748"/>
                <w:sz w:val="17"/>
              </w:rPr>
              <w:t>Percentil 75 Líder</w:t>
            </w:r>
          </w:p>
        </w:tc>
        <w:tc>
          <w:tcPr>
            <w:tcW w:type="dxa" w:w="1296"/>
            <w:shd w:fill="FFFFFF"/>
            <w:tcMar>
              <w:top w:w="70" w:type="dxa"/>
              <w:bottom w:w="70" w:type="dxa"/>
              <w:left w:w="100" w:type="dxa"/>
              <w:right w:w="100" w:type="dxa"/>
            </w:tcMar>
          </w:tcPr>
          <w:p>
            <w:pPr>
              <w:spacing w:before="0" w:after="0"/>
              <w:jc w:val="right"/>
            </w:pPr>
            <w:r>
              <w:rPr>
                <w:rFonts w:ascii="Calibri" w:hAnsi="Calibri"/>
                <w:b w:val="0"/>
                <w:color w:val="2D3748"/>
                <w:sz w:val="17"/>
              </w:rPr>
              <w:t>LTM</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61.59%</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720"/>
            <w:shd w:fill="FFFFFF"/>
            <w:tcMar>
              <w:top w:w="70" w:type="dxa"/>
              <w:bottom w:w="70" w:type="dxa"/>
              <w:left w:w="100" w:type="dxa"/>
              <w:right w:w="100" w:type="dxa"/>
            </w:tcMar>
          </w:tcPr>
          <w:p>
            <w:pPr>
              <w:spacing w:before="0" w:after="0"/>
              <w:jc w:val="right"/>
            </w:pPr>
            <w:r>
              <w:rPr>
                <w:rFonts w:ascii="Calibri" w:hAnsi="Calibri"/>
                <w:b w:val="0"/>
                <w:color w:val="2D3748"/>
                <w:sz w:val="17"/>
              </w:rPr>
              <w:t>-</w:t>
            </w:r>
          </w:p>
        </w:tc>
        <w:tc>
          <w:tcPr>
            <w:tcW w:type="dxa" w:w="1152"/>
            <w:shd w:fill="FFFFFF"/>
            <w:tcMar>
              <w:top w:w="70" w:type="dxa"/>
              <w:bottom w:w="70" w:type="dxa"/>
              <w:left w:w="100" w:type="dxa"/>
              <w:right w:w="100" w:type="dxa"/>
            </w:tcMar>
          </w:tcPr>
          <w:p>
            <w:pPr>
              <w:spacing w:before="0" w:after="0"/>
              <w:jc w:val="left"/>
            </w:pPr>
            <w:r>
              <w:rPr>
                <w:rFonts w:ascii="Calibri" w:hAnsi="Calibri"/>
                <w:b w:val="0"/>
                <w:color w:val="2D3748"/>
                <w:sz w:val="17"/>
              </w:rPr>
              <w:t>+7.12 pp</w:t>
            </w:r>
          </w:p>
        </w:tc>
      </w:tr>
    </w:tbl>
    <w:p>
      <w:pPr>
        <w:spacing w:after="120"/>
      </w:pPr>
    </w:p>
    <w:p>
      <w:pPr>
        <w:keepNext/>
        <w:spacing w:before="240" w:after="80"/>
      </w:pPr>
      <w:r>
        <w:rPr>
          <w:rFonts w:ascii="Calibri" w:hAnsi="Calibri"/>
          <w:b/>
          <w:color w:val="4A5568"/>
          <w:sz w:val="23"/>
        </w:rPr>
        <w:t>Conclusiones Fundamentales para Modelos de Valoración</w:t>
      </w:r>
    </w:p>
    <w:p>
      <w:pPr>
        <w:spacing w:before="0" w:after="80" w:line="276" w:lineRule="auto"/>
      </w:pPr>
      <w:r>
        <w:rPr>
          <w:rFonts w:ascii="Calibri" w:hAnsi="Calibri"/>
          <w:i w:val="0"/>
          <w:color w:val="2D3748"/>
          <w:sz w:val="20"/>
        </w:rPr>
        <w:t>Conclusión Analítica: MELI lidera o se consolida en la cúspide de su industria en la métrica de Novy-Marx. Al conjugar poder de fijación de precios con una rotación de activos disciplinada, su modelo de negocio es inmune a la compresión de márgenes que sufren competidores con activos sobredimensionados o márgenes brutos deprimidos.</w:t>
      </w:r>
    </w:p>
    <w:p>
      <w:pPr>
        <w:pStyle w:val="Heading1"/>
        <w:spacing w:before="360" w:after="160"/>
      </w:pPr>
      <w:r>
        <w:t>11. Rendimiento del Capital Ajustado por Intangibles, Costo de Capital (WACC) y Creación de Valor Económico</w:t>
      </w:r>
    </w:p>
    <w:p>
      <w:r>
        <w:rPr>
          <w:i/>
          <w:sz w:val="20"/>
        </w:rPr>
        <w:t>Evaluación del retorno económico del capital y la sostenibilidad de las ventajas competitivas (Economic Moat) para MercadoLibre, Inc. (MELI) al período LTM.</w:t>
      </w:r>
    </w:p>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DICTAMEN DE VALOR ECONÓMICO: 🛡️ NARROW MOAT / CREACIÓN DE VALOR SOSTENIBLE (SPREAD +7.07 p.p.)</w:t>
              <w:br/>
            </w:r>
          </w:p>
          <w:p>
            <w:pPr>
              <w:spacing w:before="40" w:after="40" w:line="276" w:lineRule="auto"/>
            </w:pPr>
            <w:r>
              <w:rPr>
                <w:rFonts w:ascii="Calibri" w:hAnsi="Calibri"/>
                <w:color w:val="2D3748"/>
                <w:sz w:val="19"/>
              </w:rPr>
              <w:t>• ROC Greenblatt Tangible (LTM): 82.36% (Productividad operativa pura pre-tax sobre capital de trabajo y PP&amp;E físico instalado).</w:t>
            </w:r>
          </w:p>
          <w:p>
            <w:pPr>
              <w:spacing w:before="40" w:after="40" w:line="276" w:lineRule="auto"/>
            </w:pPr>
            <w:r>
              <w:rPr>
                <w:rFonts w:ascii="Calibri" w:hAnsi="Calibri"/>
                <w:color w:val="2D3748"/>
                <w:sz w:val="19"/>
              </w:rPr>
              <w:t>• ROIC Ajustado por Intangibles (LTM): 18.10% frente a un ROIC contable tradicional de 25.45%.</w:t>
            </w:r>
          </w:p>
          <w:p>
            <w:pPr>
              <w:spacing w:before="40" w:after="40" w:line="276" w:lineRule="auto"/>
            </w:pPr>
            <w:r>
              <w:rPr>
                <w:rFonts w:ascii="Calibri" w:hAnsi="Calibri"/>
                <w:color w:val="2D3748"/>
                <w:sz w:val="19"/>
              </w:rPr>
              <w:t>• Costo Promedio Ponderado de Capital (WACC): 11.03% (Costo del Equity Ke: 11.67%, Deuda Neta Kd: 5.50%).</w:t>
            </w:r>
          </w:p>
          <w:p>
            <w:pPr>
              <w:spacing w:before="40" w:after="40" w:line="276" w:lineRule="auto"/>
            </w:pPr>
            <w:r>
              <w:rPr>
                <w:rFonts w:ascii="Calibri" w:hAnsi="Calibri"/>
                <w:color w:val="2D3748"/>
                <w:sz w:val="19"/>
              </w:rPr>
              <w:t>• Spread Económico Neto: +7.07 p.p. de rendimiento por encima del costo de capital exigido por el mercado.</w:t>
            </w:r>
          </w:p>
          <w:p>
            <w:pPr>
              <w:spacing w:before="40" w:after="40" w:line="276" w:lineRule="auto"/>
            </w:pPr>
            <w:r>
              <w:rPr>
                <w:rFonts w:ascii="Calibri" w:hAnsi="Calibri"/>
                <w:color w:val="2D3748"/>
                <w:sz w:val="19"/>
              </w:rPr>
              <w:t>• Stock de Intangibles Fuera de Balance: $7,912.4M capitalizados en innovación y amortizados económicamente a 3 años.</w:t>
            </w:r>
          </w:p>
          <w:p>
            <w:pPr>
              <w:spacing w:before="40" w:after="40" w:line="276" w:lineRule="auto"/>
            </w:pPr>
            <w:r>
              <w:rPr>
                <w:rFonts w:ascii="Calibri" w:hAnsi="Calibri"/>
                <w:color w:val="2D3748"/>
                <w:sz w:val="19"/>
              </w:rPr>
              <w:t>• Tesis de Foso Defensivo: El negocio genera un Spread positivo de +7.07 p.p. sobre el WACC (11.03%), demostrando capacidad de generar valor económico superior a la media de forma constante frente a sus competidores.</w:t>
            </w:r>
          </w:p>
        </w:tc>
      </w:tr>
    </w:tbl>
    <w:p>
      <w:pPr>
        <w:spacing w:before="0" w:after="120"/>
      </w:pPr>
    </w:p>
    <w:p>
      <w:pPr>
        <w:pStyle w:val="Heading2"/>
      </w:pPr>
      <w:r>
        <w:t>11.1. Bloque A: Auditoría de Parámetros de Mercado en Tiempo Real</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3168"/>
        <w:gridCol w:w="1728"/>
        <w:gridCol w:w="2592"/>
        <w:gridCol w:w="2304"/>
      </w:tblGrid>
      <w:tr>
        <w:tc>
          <w:tcPr>
            <w:tcW w:type="dxa" w:w="2448"/>
            <w:shd w:fill="1B365D"/>
            <w:tcMar>
              <w:top w:w="80" w:type="dxa"/>
              <w:bottom w:w="80" w:type="dxa"/>
              <w:left w:w="100" w:type="dxa"/>
              <w:right w:w="100" w:type="dxa"/>
            </w:tcMar>
          </w:tcPr>
          <w:p>
            <w:r>
              <w:rPr>
                <w:b/>
                <w:color w:val="FFFFFF"/>
                <w:sz w:val="18"/>
              </w:rPr>
              <w:t>Variable de Mercado</w:t>
            </w:r>
          </w:p>
        </w:tc>
        <w:tc>
          <w:tcPr>
            <w:tcW w:type="dxa" w:w="2448"/>
            <w:shd w:fill="1B365D"/>
            <w:tcMar>
              <w:top w:w="80" w:type="dxa"/>
              <w:bottom w:w="80" w:type="dxa"/>
              <w:left w:w="100" w:type="dxa"/>
              <w:right w:w="100" w:type="dxa"/>
            </w:tcMar>
          </w:tcPr>
          <w:p>
            <w:r>
              <w:rPr>
                <w:b/>
                <w:color w:val="FFFFFF"/>
                <w:sz w:val="18"/>
              </w:rPr>
              <w:t>Valor Validado</w:t>
            </w:r>
          </w:p>
        </w:tc>
        <w:tc>
          <w:tcPr>
            <w:tcW w:type="dxa" w:w="2448"/>
            <w:shd w:fill="1B365D"/>
            <w:tcMar>
              <w:top w:w="80" w:type="dxa"/>
              <w:bottom w:w="80" w:type="dxa"/>
              <w:left w:w="100" w:type="dxa"/>
              <w:right w:w="100" w:type="dxa"/>
            </w:tcMar>
          </w:tcPr>
          <w:p>
            <w:r>
              <w:rPr>
                <w:b/>
                <w:color w:val="FFFFFF"/>
                <w:sz w:val="18"/>
              </w:rPr>
              <w:t>Fuentes Consultadas</w:t>
            </w:r>
          </w:p>
        </w:tc>
        <w:tc>
          <w:tcPr>
            <w:tcW w:type="dxa" w:w="2448"/>
            <w:shd w:fill="1B365D"/>
            <w:tcMar>
              <w:top w:w="80" w:type="dxa"/>
              <w:bottom w:w="80" w:type="dxa"/>
              <w:left w:w="100" w:type="dxa"/>
              <w:right w:w="100" w:type="dxa"/>
            </w:tcMar>
          </w:tcPr>
          <w:p>
            <w:r>
              <w:rPr>
                <w:b/>
                <w:color w:val="FFFFFF"/>
                <w:sz w:val="18"/>
              </w:rPr>
              <w:t>Estatus de Auditoría</w:t>
            </w:r>
          </w:p>
        </w:tc>
      </w:tr>
      <w:tr>
        <w:tc>
          <w:tcPr>
            <w:tcW w:type="dxa" w:w="2448"/>
            <w:tcMar>
              <w:top w:w="60" w:type="dxa"/>
              <w:bottom w:w="60" w:type="dxa"/>
              <w:left w:w="100" w:type="dxa"/>
              <w:right w:w="100" w:type="dxa"/>
            </w:tcMar>
          </w:tcPr>
          <w:p>
            <w:r>
              <w:rPr>
                <w:b/>
                <w:sz w:val="17"/>
              </w:rPr>
              <w:t>Precio de Mercado de la Acción</w:t>
            </w:r>
          </w:p>
        </w:tc>
        <w:tc>
          <w:tcPr>
            <w:tcW w:type="dxa" w:w="2448"/>
            <w:tcMar>
              <w:top w:w="60" w:type="dxa"/>
              <w:bottom w:w="60" w:type="dxa"/>
              <w:left w:w="100" w:type="dxa"/>
              <w:right w:w="100" w:type="dxa"/>
            </w:tcMar>
          </w:tcPr>
          <w:p>
            <w:r>
              <w:rPr>
                <w:sz w:val="17"/>
              </w:rPr>
              <w:t>$1821.81</w:t>
            </w:r>
          </w:p>
        </w:tc>
        <w:tc>
          <w:tcPr>
            <w:tcW w:type="dxa" w:w="2448"/>
            <w:tcMar>
              <w:top w:w="60" w:type="dxa"/>
              <w:bottom w:w="60" w:type="dxa"/>
              <w:left w:w="100" w:type="dxa"/>
              <w:right w:w="100" w:type="dxa"/>
            </w:tcMar>
          </w:tcPr>
          <w:p>
            <w:r>
              <w:rPr>
                <w:sz w:val="17"/>
              </w:rPr>
              <w:t>Yahoo Finance / CNBC Quotes</w:t>
            </w:r>
          </w:p>
        </w:tc>
        <w:tc>
          <w:tcPr>
            <w:tcW w:type="dxa" w:w="2448"/>
            <w:tcMar>
              <w:top w:w="60" w:type="dxa"/>
              <w:bottom w:w="60" w:type="dxa"/>
              <w:left w:w="100" w:type="dxa"/>
              <w:right w:w="100" w:type="dxa"/>
            </w:tcMar>
          </w:tcPr>
          <w:p>
            <w:r>
              <w:rPr>
                <w:sz w:val="17"/>
              </w:rPr>
              <w:t>Consenso Validado (Δ &lt; 0.1%)</w:t>
            </w:r>
          </w:p>
        </w:tc>
      </w:tr>
      <w:tr>
        <w:tc>
          <w:tcPr>
            <w:tcW w:type="dxa" w:w="2448"/>
            <w:tcMar>
              <w:top w:w="60" w:type="dxa"/>
              <w:bottom w:w="60" w:type="dxa"/>
              <w:left w:w="100" w:type="dxa"/>
              <w:right w:w="100" w:type="dxa"/>
            </w:tcMar>
            <w:shd w:fill="F7FAFC"/>
          </w:tcPr>
          <w:p>
            <w:r>
              <w:rPr>
                <w:b/>
                <w:sz w:val="17"/>
              </w:rPr>
              <w:t>Capitalización Bursátil (Market Cap - E)</w:t>
            </w:r>
          </w:p>
        </w:tc>
        <w:tc>
          <w:tcPr>
            <w:tcW w:type="dxa" w:w="2448"/>
            <w:tcMar>
              <w:top w:w="60" w:type="dxa"/>
              <w:bottom w:w="60" w:type="dxa"/>
              <w:left w:w="100" w:type="dxa"/>
              <w:right w:w="100" w:type="dxa"/>
            </w:tcMar>
            <w:shd w:fill="F7FAFC"/>
          </w:tcPr>
          <w:p>
            <w:r>
              <w:rPr>
                <w:sz w:val="17"/>
              </w:rPr>
              <w:t>$92,360.8M</w:t>
            </w:r>
          </w:p>
        </w:tc>
        <w:tc>
          <w:tcPr>
            <w:tcW w:type="dxa" w:w="2448"/>
            <w:tcMar>
              <w:top w:w="60" w:type="dxa"/>
              <w:bottom w:w="60" w:type="dxa"/>
              <w:left w:w="100" w:type="dxa"/>
              <w:right w:w="100" w:type="dxa"/>
            </w:tcMar>
            <w:shd w:fill="F7FAFC"/>
          </w:tcPr>
          <w:p>
            <w:r>
              <w:rPr>
                <w:sz w:val="17"/>
              </w:rPr>
              <w:t>Arbitraje SEC 10-Q &amp; Mercado</w:t>
            </w:r>
          </w:p>
        </w:tc>
        <w:tc>
          <w:tcPr>
            <w:tcW w:type="dxa" w:w="2448"/>
            <w:tcMar>
              <w:top w:w="60" w:type="dxa"/>
              <w:bottom w:w="60" w:type="dxa"/>
              <w:left w:w="100" w:type="dxa"/>
              <w:right w:w="100" w:type="dxa"/>
            </w:tcMar>
            <w:shd w:fill="F7FAFC"/>
          </w:tcPr>
          <w:p>
            <w:r>
              <w:rPr>
                <w:sz w:val="17"/>
              </w:rPr>
              <w:t>Conteo Diluido Auditado</w:t>
            </w:r>
          </w:p>
        </w:tc>
      </w:tr>
      <w:tr>
        <w:tc>
          <w:tcPr>
            <w:tcW w:type="dxa" w:w="2448"/>
            <w:tcMar>
              <w:top w:w="60" w:type="dxa"/>
              <w:bottom w:w="60" w:type="dxa"/>
              <w:left w:w="100" w:type="dxa"/>
              <w:right w:w="100" w:type="dxa"/>
            </w:tcMar>
          </w:tcPr>
          <w:p>
            <w:r>
              <w:rPr>
                <w:b/>
                <w:sz w:val="17"/>
              </w:rPr>
              <w:t>Tasa Libre de Riesgo (Rf - Bono 10Y)</w:t>
            </w:r>
          </w:p>
        </w:tc>
        <w:tc>
          <w:tcPr>
            <w:tcW w:type="dxa" w:w="2448"/>
            <w:tcMar>
              <w:top w:w="60" w:type="dxa"/>
              <w:bottom w:w="60" w:type="dxa"/>
              <w:left w:w="100" w:type="dxa"/>
              <w:right w:w="100" w:type="dxa"/>
            </w:tcMar>
          </w:tcPr>
          <w:p>
            <w:r>
              <w:rPr>
                <w:sz w:val="17"/>
              </w:rPr>
              <w:t>5.19%</w:t>
            </w:r>
          </w:p>
        </w:tc>
        <w:tc>
          <w:tcPr>
            <w:tcW w:type="dxa" w:w="2448"/>
            <w:tcMar>
              <w:top w:w="60" w:type="dxa"/>
              <w:bottom w:w="60" w:type="dxa"/>
              <w:left w:w="100" w:type="dxa"/>
              <w:right w:w="100" w:type="dxa"/>
            </w:tcMar>
          </w:tcPr>
          <w:p>
            <w:r>
              <w:rPr>
                <w:sz w:val="17"/>
              </w:rPr>
              <w:t>Yahoo ^TNX / CNBC US10Y</w:t>
            </w:r>
          </w:p>
        </w:tc>
        <w:tc>
          <w:tcPr>
            <w:tcW w:type="dxa" w:w="2448"/>
            <w:tcMar>
              <w:top w:w="60" w:type="dxa"/>
              <w:bottom w:w="60" w:type="dxa"/>
              <w:left w:w="100" w:type="dxa"/>
              <w:right w:w="100" w:type="dxa"/>
            </w:tcMar>
          </w:tcPr>
          <w:p>
            <w:r>
              <w:rPr>
                <w:sz w:val="17"/>
              </w:rPr>
              <w:t>Δ &lt; 0.05% (Consensuado)</w:t>
            </w:r>
          </w:p>
        </w:tc>
      </w:tr>
      <w:tr>
        <w:tc>
          <w:tcPr>
            <w:tcW w:type="dxa" w:w="2448"/>
            <w:tcMar>
              <w:top w:w="60" w:type="dxa"/>
              <w:bottom w:w="60" w:type="dxa"/>
              <w:left w:w="100" w:type="dxa"/>
              <w:right w:w="100" w:type="dxa"/>
            </w:tcMar>
            <w:shd w:fill="F7FAFC"/>
          </w:tcPr>
          <w:p>
            <w:r>
              <w:rPr>
                <w:b/>
                <w:sz w:val="17"/>
              </w:rPr>
              <w:t>Beta de la Acción (β)</w:t>
            </w:r>
          </w:p>
        </w:tc>
        <w:tc>
          <w:tcPr>
            <w:tcW w:type="dxa" w:w="2448"/>
            <w:tcMar>
              <w:top w:w="60" w:type="dxa"/>
              <w:bottom w:w="60" w:type="dxa"/>
              <w:left w:w="100" w:type="dxa"/>
              <w:right w:w="100" w:type="dxa"/>
            </w:tcMar>
            <w:shd w:fill="F7FAFC"/>
          </w:tcPr>
          <w:p>
            <w:r>
              <w:rPr>
                <w:sz w:val="17"/>
              </w:rPr>
              <w:t>1.36</w:t>
            </w:r>
          </w:p>
        </w:tc>
        <w:tc>
          <w:tcPr>
            <w:tcW w:type="dxa" w:w="2448"/>
            <w:tcMar>
              <w:top w:w="60" w:type="dxa"/>
              <w:bottom w:w="60" w:type="dxa"/>
              <w:left w:w="100" w:type="dxa"/>
              <w:right w:w="100" w:type="dxa"/>
            </w:tcMar>
            <w:shd w:fill="F7FAFC"/>
          </w:tcPr>
          <w:p>
            <w:r>
              <w:rPr>
                <w:sz w:val="17"/>
              </w:rPr>
              <w:t>Yahoo 5Y Monthly / CNBC</w:t>
            </w:r>
          </w:p>
        </w:tc>
        <w:tc>
          <w:tcPr>
            <w:tcW w:type="dxa" w:w="2448"/>
            <w:tcMar>
              <w:top w:w="60" w:type="dxa"/>
              <w:bottom w:w="60" w:type="dxa"/>
              <w:left w:w="100" w:type="dxa"/>
              <w:right w:w="100" w:type="dxa"/>
            </w:tcMar>
            <w:shd w:fill="F7FAFC"/>
          </w:tcPr>
          <w:p>
            <w:r>
              <w:rPr>
                <w:sz w:val="17"/>
              </w:rPr>
              <w:t>Rango Estadístico Sectorial</w:t>
            </w:r>
          </w:p>
        </w:tc>
      </w:tr>
      <w:tr>
        <w:tc>
          <w:tcPr>
            <w:tcW w:type="dxa" w:w="2448"/>
            <w:tcMar>
              <w:top w:w="60" w:type="dxa"/>
              <w:bottom w:w="60" w:type="dxa"/>
              <w:left w:w="100" w:type="dxa"/>
              <w:right w:w="100" w:type="dxa"/>
            </w:tcMar>
          </w:tcPr>
          <w:p>
            <w:r>
              <w:rPr>
                <w:b/>
                <w:sz w:val="17"/>
              </w:rPr>
              <w:t>Prima de Riesgo de Mercado (ERP)</w:t>
            </w:r>
          </w:p>
        </w:tc>
        <w:tc>
          <w:tcPr>
            <w:tcW w:type="dxa" w:w="2448"/>
            <w:tcMar>
              <w:top w:w="60" w:type="dxa"/>
              <w:bottom w:w="60" w:type="dxa"/>
              <w:left w:w="100" w:type="dxa"/>
              <w:right w:w="100" w:type="dxa"/>
            </w:tcMar>
          </w:tcPr>
          <w:p>
            <w:r>
              <w:rPr>
                <w:sz w:val="17"/>
              </w:rPr>
              <w:t>4.75%</w:t>
            </w:r>
          </w:p>
        </w:tc>
        <w:tc>
          <w:tcPr>
            <w:tcW w:type="dxa" w:w="2448"/>
            <w:tcMar>
              <w:top w:w="60" w:type="dxa"/>
              <w:bottom w:w="60" w:type="dxa"/>
              <w:left w:w="100" w:type="dxa"/>
              <w:right w:w="100" w:type="dxa"/>
            </w:tcMar>
          </w:tcPr>
          <w:p>
            <w:r>
              <w:rPr>
                <w:sz w:val="17"/>
              </w:rPr>
              <w:t>Benchmark NYU Stern (Damodaran)</w:t>
            </w:r>
          </w:p>
        </w:tc>
        <w:tc>
          <w:tcPr>
            <w:tcW w:type="dxa" w:w="2448"/>
            <w:tcMar>
              <w:top w:w="60" w:type="dxa"/>
              <w:bottom w:w="60" w:type="dxa"/>
              <w:left w:w="100" w:type="dxa"/>
              <w:right w:w="100" w:type="dxa"/>
            </w:tcMar>
          </w:tcPr>
          <w:p>
            <w:r>
              <w:rPr>
                <w:sz w:val="17"/>
              </w:rPr>
              <w:t>Estándar Institucional</w:t>
            </w:r>
          </w:p>
        </w:tc>
      </w:tr>
    </w:tbl>
    <w:p/>
    <w:p>
      <w:pPr>
        <w:pStyle w:val="Heading2"/>
      </w:pPr>
      <w:r>
        <w:t>11.2. Desglose y Explicación del ROC Tangible (Joel Greenblatt)</w:t>
      </w:r>
    </w:p>
    <w:p>
      <w:r>
        <w:rPr>
          <w:sz w:val="19"/>
        </w:rPr>
        <w:t>El Return on Capital (ROC) de Joel Greenblatt evalúa la rentabilidad operativa pura antes de impuestos (EBIT) sobre los activos físicos tangibles (Capital de Trabajo Neto Operativo + PP&amp;E Físico). Para MercadoLibre, Inc., el ROC de 82.36% refleja la eficiencia operativa sobre activos tangibles instalados, optimizando la rotación de capital y la productividad física instalada.</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296"/>
        <w:gridCol w:w="1296"/>
        <w:gridCol w:w="2160"/>
        <w:gridCol w:w="2448"/>
      </w:tblGrid>
      <w:tr>
        <w:tc>
          <w:tcPr>
            <w:tcW w:type="dxa" w:w="1958"/>
            <w:shd w:fill="1B365D"/>
            <w:tcMar>
              <w:top w:w="80" w:type="dxa"/>
              <w:bottom w:w="80" w:type="dxa"/>
              <w:left w:w="100" w:type="dxa"/>
              <w:right w:w="100" w:type="dxa"/>
            </w:tcMar>
          </w:tcPr>
          <w:p>
            <w:r>
              <w:rPr>
                <w:b/>
                <w:color w:val="FFFFFF"/>
                <w:sz w:val="17"/>
              </w:rPr>
              <w:t>Partida Contable / Paso</w:t>
            </w:r>
          </w:p>
        </w:tc>
        <w:tc>
          <w:tcPr>
            <w:tcW w:type="dxa" w:w="1958"/>
            <w:shd w:fill="1B365D"/>
            <w:tcMar>
              <w:top w:w="80" w:type="dxa"/>
              <w:bottom w:w="80" w:type="dxa"/>
              <w:left w:w="100" w:type="dxa"/>
              <w:right w:w="100" w:type="dxa"/>
            </w:tcMar>
          </w:tcPr>
          <w:p>
            <w:r>
              <w:rPr>
                <w:b/>
                <w:color w:val="FFFFFF"/>
                <w:sz w:val="17"/>
              </w:rPr>
              <w:t>LTM</w:t>
            </w:r>
          </w:p>
        </w:tc>
        <w:tc>
          <w:tcPr>
            <w:tcW w:type="dxa" w:w="1958"/>
            <w:shd w:fill="1B365D"/>
            <w:tcMar>
              <w:top w:w="80" w:type="dxa"/>
              <w:bottom w:w="80" w:type="dxa"/>
              <w:left w:w="100" w:type="dxa"/>
              <w:right w:w="100" w:type="dxa"/>
            </w:tcMar>
          </w:tcPr>
          <w:p>
            <w:r>
              <w:rPr>
                <w:b/>
                <w:color w:val="FFFFFF"/>
                <w:sz w:val="17"/>
              </w:rPr>
              <w:t>FY2025</w:t>
            </w:r>
          </w:p>
        </w:tc>
        <w:tc>
          <w:tcPr>
            <w:tcW w:type="dxa" w:w="1958"/>
            <w:shd w:fill="1B365D"/>
            <w:tcMar>
              <w:top w:w="80" w:type="dxa"/>
              <w:bottom w:w="80" w:type="dxa"/>
              <w:left w:w="100" w:type="dxa"/>
              <w:right w:w="100" w:type="dxa"/>
            </w:tcMar>
          </w:tcPr>
          <w:p>
            <w:r>
              <w:rPr>
                <w:b/>
                <w:color w:val="FFFFFF"/>
                <w:sz w:val="17"/>
              </w:rPr>
              <w:t>Origen en Balances SEC</w:t>
            </w:r>
          </w:p>
        </w:tc>
        <w:tc>
          <w:tcPr>
            <w:tcW w:type="dxa" w:w="1958"/>
            <w:shd w:fill="1B365D"/>
            <w:tcMar>
              <w:top w:w="80" w:type="dxa"/>
              <w:bottom w:w="80" w:type="dxa"/>
              <w:left w:w="100" w:type="dxa"/>
              <w:right w:w="100" w:type="dxa"/>
            </w:tcMar>
          </w:tcPr>
          <w:p>
            <w:r>
              <w:rPr>
                <w:b/>
                <w:color w:val="FFFFFF"/>
                <w:sz w:val="17"/>
              </w:rPr>
              <w:t>Criterio y Salvaguarda Contable</w:t>
            </w:r>
          </w:p>
        </w:tc>
      </w:tr>
      <w:tr>
        <w:tc>
          <w:tcPr>
            <w:tcW w:type="dxa" w:w="1958"/>
            <w:tcMar>
              <w:top w:w="60" w:type="dxa"/>
              <w:bottom w:w="60" w:type="dxa"/>
              <w:left w:w="100" w:type="dxa"/>
              <w:right w:w="100" w:type="dxa"/>
            </w:tcMar>
          </w:tcPr>
          <w:p>
            <w:r>
              <w:rPr>
                <w:b/>
                <w:sz w:val="17"/>
              </w:rPr>
              <w:t>(+) Beneficio Operativo (EBIT)</w:t>
            </w:r>
          </w:p>
        </w:tc>
        <w:tc>
          <w:tcPr>
            <w:tcW w:type="dxa" w:w="1958"/>
            <w:tcMar>
              <w:top w:w="60" w:type="dxa"/>
              <w:bottom w:w="60" w:type="dxa"/>
              <w:left w:w="100" w:type="dxa"/>
              <w:right w:w="100" w:type="dxa"/>
            </w:tcMar>
          </w:tcPr>
          <w:p>
            <w:r>
              <w:rPr>
                <w:b/>
                <w:sz w:val="17"/>
              </w:rPr>
              <w:t>$2,907.0M</w:t>
            </w:r>
          </w:p>
        </w:tc>
        <w:tc>
          <w:tcPr>
            <w:tcW w:type="dxa" w:w="1958"/>
            <w:tcMar>
              <w:top w:w="60" w:type="dxa"/>
              <w:bottom w:w="60" w:type="dxa"/>
              <w:left w:w="100" w:type="dxa"/>
              <w:right w:w="100" w:type="dxa"/>
            </w:tcMar>
          </w:tcPr>
          <w:p>
            <w:r>
              <w:rPr>
                <w:sz w:val="17"/>
              </w:rPr>
              <w:t>$3,201.0M</w:t>
            </w:r>
          </w:p>
        </w:tc>
        <w:tc>
          <w:tcPr>
            <w:tcW w:type="dxa" w:w="1958"/>
            <w:tcMar>
              <w:top w:w="60" w:type="dxa"/>
              <w:bottom w:w="60" w:type="dxa"/>
              <w:left w:w="100" w:type="dxa"/>
              <w:right w:w="100" w:type="dxa"/>
            </w:tcMar>
          </w:tcPr>
          <w:p>
            <w:r>
              <w:rPr>
                <w:sz w:val="17"/>
              </w:rPr>
              <w:t>Income Statement (Operating Income)</w:t>
            </w:r>
          </w:p>
        </w:tc>
        <w:tc>
          <w:tcPr>
            <w:tcW w:type="dxa" w:w="1958"/>
            <w:tcMar>
              <w:top w:w="60" w:type="dxa"/>
              <w:bottom w:w="60" w:type="dxa"/>
              <w:left w:w="100" w:type="dxa"/>
              <w:right w:w="100" w:type="dxa"/>
            </w:tcMar>
          </w:tcPr>
          <w:p>
            <w:r>
              <w:rPr>
                <w:sz w:val="17"/>
              </w:rPr>
              <w:t>Beneficio operativo puro antes de intereses e impuestos.</w:t>
            </w:r>
          </w:p>
        </w:tc>
      </w:tr>
      <w:tr>
        <w:tc>
          <w:tcPr>
            <w:tcW w:type="dxa" w:w="1958"/>
            <w:tcMar>
              <w:top w:w="60" w:type="dxa"/>
              <w:bottom w:w="60" w:type="dxa"/>
              <w:left w:w="100" w:type="dxa"/>
              <w:right w:w="100" w:type="dxa"/>
            </w:tcMar>
            <w:shd w:fill="F7FAFC"/>
          </w:tcPr>
          <w:p>
            <w:r>
              <w:rPr>
                <w:b/>
                <w:sz w:val="17"/>
              </w:rPr>
              <w:t>(+) Activos Corrientes Operativos</w:t>
            </w:r>
          </w:p>
        </w:tc>
        <w:tc>
          <w:tcPr>
            <w:tcW w:type="dxa" w:w="1958"/>
            <w:tcMar>
              <w:top w:w="60" w:type="dxa"/>
              <w:bottom w:w="60" w:type="dxa"/>
              <w:left w:w="100" w:type="dxa"/>
              <w:right w:w="100" w:type="dxa"/>
            </w:tcMar>
            <w:shd w:fill="F7FAFC"/>
          </w:tcPr>
          <w:p>
            <w:r>
              <w:rPr>
                <w:b/>
                <w:sz w:val="17"/>
              </w:rPr>
              <w:t>$37,133.0M</w:t>
            </w:r>
          </w:p>
        </w:tc>
        <w:tc>
          <w:tcPr>
            <w:tcW w:type="dxa" w:w="1958"/>
            <w:tcMar>
              <w:top w:w="60" w:type="dxa"/>
              <w:bottom w:w="60" w:type="dxa"/>
              <w:left w:w="100" w:type="dxa"/>
              <w:right w:w="100" w:type="dxa"/>
            </w:tcMar>
            <w:shd w:fill="F7FAFC"/>
          </w:tcPr>
          <w:p>
            <w:r>
              <w:rPr>
                <w:sz w:val="17"/>
              </w:rPr>
              <w:t>$29,903.0M</w:t>
            </w:r>
          </w:p>
        </w:tc>
        <w:tc>
          <w:tcPr>
            <w:tcW w:type="dxa" w:w="1958"/>
            <w:tcMar>
              <w:top w:w="60" w:type="dxa"/>
              <w:bottom w:w="60" w:type="dxa"/>
              <w:left w:w="100" w:type="dxa"/>
              <w:right w:w="100" w:type="dxa"/>
            </w:tcMar>
            <w:shd w:fill="F7FAFC"/>
          </w:tcPr>
          <w:p>
            <w:r>
              <w:rPr>
                <w:sz w:val="17"/>
              </w:rPr>
              <w:t>Balance Sheet (Current Assets)</w:t>
            </w:r>
          </w:p>
        </w:tc>
        <w:tc>
          <w:tcPr>
            <w:tcW w:type="dxa" w:w="1958"/>
            <w:tcMar>
              <w:top w:w="60" w:type="dxa"/>
              <w:bottom w:w="60" w:type="dxa"/>
              <w:left w:w="100" w:type="dxa"/>
              <w:right w:w="100" w:type="dxa"/>
            </w:tcMar>
            <w:shd w:fill="F7FAFC"/>
          </w:tcPr>
          <w:p>
            <w:r>
              <w:rPr>
                <w:sz w:val="17"/>
              </w:rPr>
              <w:t>Total Current Assets menos Efectivo y Valores Negociables.</w:t>
            </w:r>
          </w:p>
        </w:tc>
      </w:tr>
      <w:tr>
        <w:tc>
          <w:tcPr>
            <w:tcW w:type="dxa" w:w="1958"/>
            <w:tcMar>
              <w:top w:w="60" w:type="dxa"/>
              <w:bottom w:w="60" w:type="dxa"/>
              <w:left w:w="100" w:type="dxa"/>
              <w:right w:w="100" w:type="dxa"/>
            </w:tcMar>
          </w:tcPr>
          <w:p>
            <w:r>
              <w:rPr>
                <w:b/>
                <w:sz w:val="17"/>
              </w:rPr>
              <w:t>(-) Pasivos Corrientes Operativos</w:t>
            </w:r>
          </w:p>
        </w:tc>
        <w:tc>
          <w:tcPr>
            <w:tcW w:type="dxa" w:w="1958"/>
            <w:tcMar>
              <w:top w:w="60" w:type="dxa"/>
              <w:bottom w:w="60" w:type="dxa"/>
              <w:left w:w="100" w:type="dxa"/>
              <w:right w:w="100" w:type="dxa"/>
            </w:tcMar>
          </w:tcPr>
          <w:p>
            <w:r>
              <w:rPr>
                <w:b/>
                <w:sz w:val="17"/>
              </w:rPr>
              <w:t>$36,372.0M</w:t>
            </w:r>
          </w:p>
        </w:tc>
        <w:tc>
          <w:tcPr>
            <w:tcW w:type="dxa" w:w="1958"/>
            <w:tcMar>
              <w:top w:w="60" w:type="dxa"/>
              <w:bottom w:w="60" w:type="dxa"/>
              <w:left w:w="100" w:type="dxa"/>
              <w:right w:w="100" w:type="dxa"/>
            </w:tcMar>
          </w:tcPr>
          <w:p>
            <w:r>
              <w:rPr>
                <w:sz w:val="17"/>
              </w:rPr>
              <w:t>$28,633.0M</w:t>
            </w:r>
          </w:p>
        </w:tc>
        <w:tc>
          <w:tcPr>
            <w:tcW w:type="dxa" w:w="1958"/>
            <w:tcMar>
              <w:top w:w="60" w:type="dxa"/>
              <w:bottom w:w="60" w:type="dxa"/>
              <w:left w:w="100" w:type="dxa"/>
              <w:right w:w="100" w:type="dxa"/>
            </w:tcMar>
          </w:tcPr>
          <w:p>
            <w:r>
              <w:rPr>
                <w:sz w:val="17"/>
              </w:rPr>
              <w:t>Balance Sheet (Current Liabilities)</w:t>
            </w:r>
          </w:p>
        </w:tc>
        <w:tc>
          <w:tcPr>
            <w:tcW w:type="dxa" w:w="1958"/>
            <w:tcMar>
              <w:top w:w="60" w:type="dxa"/>
              <w:bottom w:w="60" w:type="dxa"/>
              <w:left w:w="100" w:type="dxa"/>
              <w:right w:w="100" w:type="dxa"/>
            </w:tcMar>
          </w:tcPr>
          <w:p>
            <w:r>
              <w:rPr>
                <w:sz w:val="17"/>
              </w:rPr>
              <w:t>Total Current Liabilities menos Deuda CP / Papel Comercial.</w:t>
            </w:r>
          </w:p>
        </w:tc>
      </w:tr>
      <w:tr>
        <w:tc>
          <w:tcPr>
            <w:tcW w:type="dxa" w:w="1958"/>
            <w:tcMar>
              <w:top w:w="60" w:type="dxa"/>
              <w:bottom w:w="60" w:type="dxa"/>
              <w:left w:w="100" w:type="dxa"/>
              <w:right w:w="100" w:type="dxa"/>
            </w:tcMar>
            <w:shd w:fill="F7FAFC"/>
          </w:tcPr>
          <w:p>
            <w:r>
              <w:rPr>
                <w:b/>
                <w:sz w:val="17"/>
              </w:rPr>
              <w:t>(=) Capital de Trabajo Neto Operativo (NWC)</w:t>
            </w:r>
          </w:p>
        </w:tc>
        <w:tc>
          <w:tcPr>
            <w:tcW w:type="dxa" w:w="1958"/>
            <w:tcMar>
              <w:top w:w="60" w:type="dxa"/>
              <w:bottom w:w="60" w:type="dxa"/>
              <w:left w:w="100" w:type="dxa"/>
              <w:right w:w="100" w:type="dxa"/>
            </w:tcMar>
            <w:shd w:fill="F7FAFC"/>
          </w:tcPr>
          <w:p>
            <w:r>
              <w:rPr>
                <w:b/>
                <w:sz w:val="17"/>
              </w:rPr>
              <w:t>$761.0M</w:t>
            </w:r>
          </w:p>
        </w:tc>
        <w:tc>
          <w:tcPr>
            <w:tcW w:type="dxa" w:w="1958"/>
            <w:tcMar>
              <w:top w:w="60" w:type="dxa"/>
              <w:bottom w:w="60" w:type="dxa"/>
              <w:left w:w="100" w:type="dxa"/>
              <w:right w:w="100" w:type="dxa"/>
            </w:tcMar>
            <w:shd w:fill="F7FAFC"/>
          </w:tcPr>
          <w:p>
            <w:r>
              <w:rPr>
                <w:sz w:val="17"/>
              </w:rPr>
              <w:t>$1,270.0M</w:t>
            </w:r>
          </w:p>
        </w:tc>
        <w:tc>
          <w:tcPr>
            <w:tcW w:type="dxa" w:w="1958"/>
            <w:tcMar>
              <w:top w:w="60" w:type="dxa"/>
              <w:bottom w:w="60" w:type="dxa"/>
              <w:left w:w="100" w:type="dxa"/>
              <w:right w:w="100" w:type="dxa"/>
            </w:tcMar>
            <w:shd w:fill="F7FAFC"/>
          </w:tcPr>
          <w:p>
            <w:r>
              <w:rPr>
                <w:sz w:val="17"/>
              </w:rPr>
              <w:t>Cálculo Operativo Derivado</w:t>
            </w:r>
          </w:p>
        </w:tc>
        <w:tc>
          <w:tcPr>
            <w:tcW w:type="dxa" w:w="1958"/>
            <w:tcMar>
              <w:top w:w="60" w:type="dxa"/>
              <w:bottom w:w="60" w:type="dxa"/>
              <w:left w:w="100" w:type="dxa"/>
              <w:right w:w="100" w:type="dxa"/>
            </w:tcMar>
            <w:shd w:fill="F7FAFC"/>
          </w:tcPr>
          <w:p>
            <w:r>
              <w:rPr>
                <w:sz w:val="17"/>
              </w:rPr>
              <w:t>Activos Op. - Pasivos Op. (Financiación espontánea si es negativo).</w:t>
            </w:r>
          </w:p>
        </w:tc>
      </w:tr>
      <w:tr>
        <w:tc>
          <w:tcPr>
            <w:tcW w:type="dxa" w:w="1958"/>
            <w:tcMar>
              <w:top w:w="60" w:type="dxa"/>
              <w:bottom w:w="60" w:type="dxa"/>
              <w:left w:w="100" w:type="dxa"/>
              <w:right w:w="100" w:type="dxa"/>
            </w:tcMar>
          </w:tcPr>
          <w:p>
            <w:r>
              <w:rPr>
                <w:b/>
                <w:sz w:val="17"/>
              </w:rPr>
              <w:t>(+) PP&amp;E Neto (Propiedad, Planta y Equipo)</w:t>
            </w:r>
          </w:p>
        </w:tc>
        <w:tc>
          <w:tcPr>
            <w:tcW w:type="dxa" w:w="1958"/>
            <w:tcMar>
              <w:top w:w="60" w:type="dxa"/>
              <w:bottom w:w="60" w:type="dxa"/>
              <w:left w:w="100" w:type="dxa"/>
              <w:right w:w="100" w:type="dxa"/>
            </w:tcMar>
          </w:tcPr>
          <w:p>
            <w:r>
              <w:rPr>
                <w:b/>
                <w:sz w:val="17"/>
              </w:rPr>
              <w:t>$2,725.0M</w:t>
            </w:r>
          </w:p>
        </w:tc>
        <w:tc>
          <w:tcPr>
            <w:tcW w:type="dxa" w:w="1958"/>
            <w:tcMar>
              <w:top w:w="60" w:type="dxa"/>
              <w:bottom w:w="60" w:type="dxa"/>
              <w:left w:w="100" w:type="dxa"/>
              <w:right w:w="100" w:type="dxa"/>
            </w:tcMar>
          </w:tcPr>
          <w:p>
            <w:r>
              <w:rPr>
                <w:sz w:val="17"/>
              </w:rPr>
              <w:t>$2,303.0M</w:t>
            </w:r>
          </w:p>
        </w:tc>
        <w:tc>
          <w:tcPr>
            <w:tcW w:type="dxa" w:w="1958"/>
            <w:tcMar>
              <w:top w:w="60" w:type="dxa"/>
              <w:bottom w:w="60" w:type="dxa"/>
              <w:left w:w="100" w:type="dxa"/>
              <w:right w:w="100" w:type="dxa"/>
            </w:tcMar>
          </w:tcPr>
          <w:p>
            <w:r>
              <w:rPr>
                <w:sz w:val="17"/>
              </w:rPr>
              <w:t>Balance Sheet (Non-Current Assets)</w:t>
            </w:r>
          </w:p>
        </w:tc>
        <w:tc>
          <w:tcPr>
            <w:tcW w:type="dxa" w:w="1958"/>
            <w:tcMar>
              <w:top w:w="60" w:type="dxa"/>
              <w:bottom w:w="60" w:type="dxa"/>
              <w:left w:w="100" w:type="dxa"/>
              <w:right w:w="100" w:type="dxa"/>
            </w:tcMar>
          </w:tcPr>
          <w:p>
            <w:r>
              <w:rPr>
                <w:sz w:val="17"/>
              </w:rPr>
              <w:t>Activos fijos físicos tangibles netos de depreciación acumulada.</w:t>
            </w:r>
          </w:p>
        </w:tc>
      </w:tr>
      <w:tr>
        <w:tc>
          <w:tcPr>
            <w:tcW w:type="dxa" w:w="1958"/>
            <w:tcMar>
              <w:top w:w="60" w:type="dxa"/>
              <w:bottom w:w="60" w:type="dxa"/>
              <w:left w:w="100" w:type="dxa"/>
              <w:right w:w="100" w:type="dxa"/>
            </w:tcMar>
            <w:shd w:fill="F7FAFC"/>
          </w:tcPr>
          <w:p>
            <w:r>
              <w:rPr>
                <w:b/>
                <w:sz w:val="17"/>
              </w:rPr>
              <w:t>(=) Capital Tangible al Cierre</w:t>
            </w:r>
          </w:p>
        </w:tc>
        <w:tc>
          <w:tcPr>
            <w:tcW w:type="dxa" w:w="1958"/>
            <w:tcMar>
              <w:top w:w="60" w:type="dxa"/>
              <w:bottom w:w="60" w:type="dxa"/>
              <w:left w:w="100" w:type="dxa"/>
              <w:right w:w="100" w:type="dxa"/>
            </w:tcMar>
            <w:shd w:fill="F7FAFC"/>
          </w:tcPr>
          <w:p>
            <w:r>
              <w:rPr>
                <w:b/>
                <w:sz w:val="17"/>
              </w:rPr>
              <w:t>$3,486.0M</w:t>
            </w:r>
          </w:p>
        </w:tc>
        <w:tc>
          <w:tcPr>
            <w:tcW w:type="dxa" w:w="1958"/>
            <w:tcMar>
              <w:top w:w="60" w:type="dxa"/>
              <w:bottom w:w="60" w:type="dxa"/>
              <w:left w:w="100" w:type="dxa"/>
              <w:right w:w="100" w:type="dxa"/>
            </w:tcMar>
            <w:shd w:fill="F7FAFC"/>
          </w:tcPr>
          <w:p>
            <w:r>
              <w:rPr>
                <w:sz w:val="17"/>
              </w:rPr>
              <w:t>$3,573.0M</w:t>
            </w:r>
          </w:p>
        </w:tc>
        <w:tc>
          <w:tcPr>
            <w:tcW w:type="dxa" w:w="1958"/>
            <w:tcMar>
              <w:top w:w="60" w:type="dxa"/>
              <w:bottom w:w="60" w:type="dxa"/>
              <w:left w:w="100" w:type="dxa"/>
              <w:right w:w="100" w:type="dxa"/>
            </w:tcMar>
            <w:shd w:fill="F7FAFC"/>
          </w:tcPr>
          <w:p>
            <w:r>
              <w:rPr>
                <w:sz w:val="17"/>
              </w:rPr>
              <w:t>Salvaguarda Joel Greenblatt</w:t>
            </w:r>
          </w:p>
        </w:tc>
        <w:tc>
          <w:tcPr>
            <w:tcW w:type="dxa" w:w="1958"/>
            <w:tcMar>
              <w:top w:w="60" w:type="dxa"/>
              <w:bottom w:w="60" w:type="dxa"/>
              <w:left w:w="100" w:type="dxa"/>
              <w:right w:w="100" w:type="dxa"/>
            </w:tcMar>
            <w:shd w:fill="F7FAFC"/>
          </w:tcPr>
          <w:p>
            <w:r>
              <w:rPr>
                <w:sz w:val="17"/>
              </w:rPr>
              <w:t>Si NWC &lt; 0, se acota al PP&amp;E Neto (nunca menor a las plantas físicas).</w:t>
            </w:r>
          </w:p>
        </w:tc>
      </w:tr>
      <w:tr>
        <w:tc>
          <w:tcPr>
            <w:tcW w:type="dxa" w:w="1958"/>
            <w:tcMar>
              <w:top w:w="60" w:type="dxa"/>
              <w:bottom w:w="60" w:type="dxa"/>
              <w:left w:w="100" w:type="dxa"/>
              <w:right w:w="100" w:type="dxa"/>
            </w:tcMar>
          </w:tcPr>
          <w:p>
            <w:r>
              <w:rPr>
                <w:b/>
                <w:sz w:val="17"/>
              </w:rPr>
              <w:t>(=) Capital Tangible Operativo Promedio</w:t>
            </w:r>
          </w:p>
        </w:tc>
        <w:tc>
          <w:tcPr>
            <w:tcW w:type="dxa" w:w="1958"/>
            <w:tcMar>
              <w:top w:w="60" w:type="dxa"/>
              <w:bottom w:w="60" w:type="dxa"/>
              <w:left w:w="100" w:type="dxa"/>
              <w:right w:w="100" w:type="dxa"/>
            </w:tcMar>
          </w:tcPr>
          <w:p>
            <w:r>
              <w:rPr>
                <w:b/>
                <w:sz w:val="17"/>
              </w:rPr>
              <w:t>$3,529.5M</w:t>
            </w:r>
          </w:p>
        </w:tc>
        <w:tc>
          <w:tcPr>
            <w:tcW w:type="dxa" w:w="1958"/>
            <w:tcMar>
              <w:top w:w="60" w:type="dxa"/>
              <w:bottom w:w="60" w:type="dxa"/>
              <w:left w:w="100" w:type="dxa"/>
              <w:right w:w="100" w:type="dxa"/>
            </w:tcMar>
          </w:tcPr>
          <w:p>
            <w:r>
              <w:rPr>
                <w:sz w:val="17"/>
              </w:rPr>
              <w:t>$2,928.5M</w:t>
            </w:r>
          </w:p>
        </w:tc>
        <w:tc>
          <w:tcPr>
            <w:tcW w:type="dxa" w:w="1958"/>
            <w:tcMar>
              <w:top w:w="60" w:type="dxa"/>
              <w:bottom w:w="60" w:type="dxa"/>
              <w:left w:w="100" w:type="dxa"/>
              <w:right w:w="100" w:type="dxa"/>
            </w:tcMar>
          </w:tcPr>
          <w:p>
            <w:r>
              <w:rPr>
                <w:sz w:val="17"/>
              </w:rPr>
              <w:t>Denominador (Matching Principle)</w:t>
            </w:r>
          </w:p>
        </w:tc>
        <w:tc>
          <w:tcPr>
            <w:tcW w:type="dxa" w:w="1958"/>
            <w:tcMar>
              <w:top w:w="60" w:type="dxa"/>
              <w:bottom w:w="60" w:type="dxa"/>
              <w:left w:w="100" w:type="dxa"/>
              <w:right w:w="100" w:type="dxa"/>
            </w:tcMar>
          </w:tcPr>
          <w:p>
            <w:r>
              <w:rPr>
                <w:sz w:val="17"/>
              </w:rPr>
              <w:t>Promedio (t + t-1)/2 para sincronizar capital con flujo anual de EBIT.</w:t>
            </w:r>
          </w:p>
        </w:tc>
      </w:tr>
      <w:tr>
        <w:tc>
          <w:tcPr>
            <w:tcW w:type="dxa" w:w="1958"/>
            <w:tcMar>
              <w:top w:w="60" w:type="dxa"/>
              <w:bottom w:w="60" w:type="dxa"/>
              <w:left w:w="100" w:type="dxa"/>
              <w:right w:w="100" w:type="dxa"/>
            </w:tcMar>
            <w:shd w:fill="F7FAFC"/>
            <w:shd w:fill="E2EFDA"/>
          </w:tcPr>
          <w:p>
            <w:r>
              <w:rPr>
                <w:b/>
                <w:sz w:val="17"/>
              </w:rPr>
              <w:t>(=) ROC Greenblatt Tangible (%)</w:t>
            </w:r>
          </w:p>
        </w:tc>
        <w:tc>
          <w:tcPr>
            <w:tcW w:type="dxa" w:w="1958"/>
            <w:tcMar>
              <w:top w:w="60" w:type="dxa"/>
              <w:bottom w:w="60" w:type="dxa"/>
              <w:left w:w="100" w:type="dxa"/>
              <w:right w:w="100" w:type="dxa"/>
            </w:tcMar>
            <w:shd w:fill="F7FAFC"/>
            <w:shd w:fill="E2EFDA"/>
          </w:tcPr>
          <w:p>
            <w:r>
              <w:rPr>
                <w:b/>
                <w:sz w:val="17"/>
              </w:rPr>
              <w:t>82.36%</w:t>
            </w:r>
          </w:p>
        </w:tc>
        <w:tc>
          <w:tcPr>
            <w:tcW w:type="dxa" w:w="1958"/>
            <w:tcMar>
              <w:top w:w="60" w:type="dxa"/>
              <w:bottom w:w="60" w:type="dxa"/>
              <w:left w:w="100" w:type="dxa"/>
              <w:right w:w="100" w:type="dxa"/>
            </w:tcMar>
            <w:shd w:fill="F7FAFC"/>
            <w:shd w:fill="E2EFDA"/>
          </w:tcPr>
          <w:p>
            <w:r>
              <w:rPr>
                <w:b/>
                <w:sz w:val="17"/>
              </w:rPr>
              <w:t>109.31%</w:t>
            </w:r>
          </w:p>
        </w:tc>
        <w:tc>
          <w:tcPr>
            <w:tcW w:type="dxa" w:w="1958"/>
            <w:tcMar>
              <w:top w:w="60" w:type="dxa"/>
              <w:bottom w:w="60" w:type="dxa"/>
              <w:left w:w="100" w:type="dxa"/>
              <w:right w:w="100" w:type="dxa"/>
            </w:tcMar>
            <w:shd w:fill="F7FAFC"/>
            <w:shd w:fill="E2EFDA"/>
          </w:tcPr>
          <w:p>
            <w:r>
              <w:rPr>
                <w:b/>
                <w:sz w:val="17"/>
              </w:rPr>
              <w:t>Ratio Final de Productividad</w:t>
            </w:r>
          </w:p>
        </w:tc>
        <w:tc>
          <w:tcPr>
            <w:tcW w:type="dxa" w:w="1958"/>
            <w:tcMar>
              <w:top w:w="60" w:type="dxa"/>
              <w:bottom w:w="60" w:type="dxa"/>
              <w:left w:w="100" w:type="dxa"/>
              <w:right w:w="100" w:type="dxa"/>
            </w:tcMar>
            <w:shd w:fill="F7FAFC"/>
            <w:shd w:fill="E2EFDA"/>
          </w:tcPr>
          <w:p>
            <w:r>
              <w:rPr>
                <w:b/>
                <w:sz w:val="17"/>
              </w:rPr>
              <w:t>EBIT / Capital Tangible Promedio.</w:t>
            </w:r>
          </w:p>
        </w:tc>
      </w:tr>
    </w:tbl>
    <w:tbl>
      <w:tblPr>
        <w:tblW w:type="auto" w:w="0"/>
        <w:jc w:val="center"/>
        <w:tblLayout w:type="fixed"/>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Borders>
              <w:top w:val="none"/>
              <w:left w:val="single" w:sz="24" w:space="0" w:color="1B365D"/>
              <w:bottom w:val="none"/>
              <w:right w:val="none"/>
            </w:tcBorders>
          </w:tcPr>
          <w:p>
            <w:pPr>
              <w:spacing w:before="0" w:after="60" w:line="276" w:lineRule="auto"/>
            </w:pPr>
            <w:r>
              <w:rPr>
                <w:rFonts w:ascii="Calibri" w:hAnsi="Calibri"/>
                <w:b/>
                <w:color w:val="1B365D"/>
                <w:sz w:val="21"/>
              </w:rPr>
              <w:t>📌 Guía de Auditoría: Trazabilidad del ROC en los Balances SEC</w:t>
              <w:br/>
            </w:r>
          </w:p>
          <w:p>
            <w:pPr>
              <w:spacing w:before="40" w:after="40" w:line="276" w:lineRule="auto"/>
            </w:pPr>
            <w:r>
              <w:rPr>
                <w:rFonts w:ascii="Calibri" w:hAnsi="Calibri"/>
                <w:color w:val="2D3748"/>
                <w:sz w:val="19"/>
              </w:rPr>
              <w:t>• EBIT (Operating Income): Búsquelo en el Estado Consolidado de Operaciones (Form 10-K / 10-Q).</w:t>
            </w:r>
          </w:p>
          <w:p>
            <w:pPr>
              <w:spacing w:before="40" w:after="40" w:line="276" w:lineRule="auto"/>
            </w:pPr>
            <w:r>
              <w:rPr>
                <w:rFonts w:ascii="Calibri" w:hAnsi="Calibri"/>
                <w:color w:val="2D3748"/>
                <w:sz w:val="19"/>
              </w:rPr>
              <w:t>• Activos Operativos: Tome Total Current Assets del Balance y reste Cash &amp; Marketable Securities.</w:t>
            </w:r>
          </w:p>
          <w:p>
            <w:pPr>
              <w:spacing w:before="40" w:after="40" w:line="276" w:lineRule="auto"/>
            </w:pPr>
            <w:r>
              <w:rPr>
                <w:rFonts w:ascii="Calibri" w:hAnsi="Calibri"/>
                <w:color w:val="2D3748"/>
                <w:sz w:val="19"/>
              </w:rPr>
              <w:t>• Pasivos Operativos: Tome Total Current Liabilities del Balance y reste Commercial Paper y Deuda CP.</w:t>
            </w:r>
          </w:p>
          <w:p>
            <w:pPr>
              <w:spacing w:before="40" w:after="40" w:line="276" w:lineRule="auto"/>
            </w:pPr>
            <w:r>
              <w:rPr>
                <w:rFonts w:ascii="Calibri" w:hAnsi="Calibri"/>
                <w:color w:val="2D3748"/>
                <w:sz w:val="19"/>
              </w:rPr>
              <w:t>• PP&amp;E Neto: Búsquelo en Activos No Corrientes bajo Property, plant and equipment, net.</w:t>
            </w:r>
          </w:p>
          <w:p>
            <w:pPr>
              <w:spacing w:before="40" w:after="40" w:line="276" w:lineRule="auto"/>
            </w:pPr>
            <w:r>
              <w:rPr>
                <w:rFonts w:ascii="Calibri" w:hAnsi="Calibri"/>
                <w:color w:val="2D3748"/>
                <w:sz w:val="19"/>
              </w:rPr>
              <w:t>• Salvaguarda de Capital de Trabajo Negativo: Si NWC &lt; 0, Joel Greenblatt fija el capital tangible en el PP&amp;E neto para impedir denominadores distorsionados o bases de capital negativas.</w:t>
            </w:r>
          </w:p>
        </w:tc>
      </w:tr>
    </w:tbl>
    <w:p>
      <w:pPr>
        <w:spacing w:before="0" w:after="120"/>
      </w:pPr>
    </w:p>
    <w:p>
      <w:pPr>
        <w:pStyle w:val="Heading2"/>
      </w:pPr>
      <w:r>
        <w:t>11.3. Desglose y Explicación del ROIC: Tradicional vs. Ajustado por Intangibles (Damodaran)</w:t>
      </w:r>
    </w:p>
    <w:p>
      <w:r>
        <w:rPr>
          <w:sz w:val="19"/>
        </w:rPr>
        <w:t>El ROIC Tradicional contable (25.45%) sobrestima el retorno al mandar el I+D a gasto inmediato. La metodología Damodaran capitaliza la innovación a 3 años, reconociendo $7,912.4M de intangibles fuera de balance. El ROIC Ajustado resultante de 18.10% refleja el verdadero retorno económico sobre el capital total invertido ($18,531.3M).</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1440"/>
        <w:gridCol w:w="1440"/>
        <w:gridCol w:w="1440"/>
        <w:gridCol w:w="1440"/>
        <w:gridCol w:w="1440"/>
        <w:gridCol w:w="1440"/>
        <w:gridCol w:w="1152"/>
      </w:tblGrid>
      <w:tr>
        <w:tc>
          <w:tcPr>
            <w:tcW w:type="dxa" w:w="1399"/>
            <w:shd w:fill="1B365D"/>
            <w:tcMar>
              <w:top w:w="80" w:type="dxa"/>
              <w:bottom w:w="80" w:type="dxa"/>
              <w:left w:w="100" w:type="dxa"/>
              <w:right w:w="100" w:type="dxa"/>
            </w:tcMar>
          </w:tcPr>
          <w:p>
            <w:r>
              <w:rPr>
                <w:b/>
                <w:color w:val="FFFFFF"/>
                <w:sz w:val="17"/>
              </w:rPr>
              <w:t>Período Contable</w:t>
            </w:r>
          </w:p>
        </w:tc>
        <w:tc>
          <w:tcPr>
            <w:tcW w:type="dxa" w:w="1399"/>
            <w:shd w:fill="1B365D"/>
            <w:tcMar>
              <w:top w:w="80" w:type="dxa"/>
              <w:bottom w:w="80" w:type="dxa"/>
              <w:left w:w="100" w:type="dxa"/>
              <w:right w:w="100" w:type="dxa"/>
            </w:tcMar>
          </w:tcPr>
          <w:p>
            <w:r>
              <w:rPr>
                <w:b/>
                <w:color w:val="FFFFFF"/>
                <w:sz w:val="17"/>
              </w:rPr>
              <w:t>ROC Greenblatt</w:t>
            </w:r>
          </w:p>
        </w:tc>
        <w:tc>
          <w:tcPr>
            <w:tcW w:type="dxa" w:w="1399"/>
            <w:shd w:fill="1B365D"/>
            <w:tcMar>
              <w:top w:w="80" w:type="dxa"/>
              <w:bottom w:w="80" w:type="dxa"/>
              <w:left w:w="100" w:type="dxa"/>
              <w:right w:w="100" w:type="dxa"/>
            </w:tcMar>
          </w:tcPr>
          <w:p>
            <w:r>
              <w:rPr>
                <w:b/>
                <w:color w:val="FFFFFF"/>
                <w:sz w:val="17"/>
              </w:rPr>
              <w:t>ROIC Tradicional</w:t>
            </w:r>
          </w:p>
        </w:tc>
        <w:tc>
          <w:tcPr>
            <w:tcW w:type="dxa" w:w="1399"/>
            <w:shd w:fill="1B365D"/>
            <w:tcMar>
              <w:top w:w="80" w:type="dxa"/>
              <w:bottom w:w="80" w:type="dxa"/>
              <w:left w:w="100" w:type="dxa"/>
              <w:right w:w="100" w:type="dxa"/>
            </w:tcMar>
          </w:tcPr>
          <w:p>
            <w:r>
              <w:rPr>
                <w:b/>
                <w:color w:val="FFFFFF"/>
                <w:sz w:val="17"/>
              </w:rPr>
              <w:t>ROIC Ajustado</w:t>
            </w:r>
          </w:p>
        </w:tc>
        <w:tc>
          <w:tcPr>
            <w:tcW w:type="dxa" w:w="1399"/>
            <w:shd w:fill="1B365D"/>
            <w:tcMar>
              <w:top w:w="80" w:type="dxa"/>
              <w:bottom w:w="80" w:type="dxa"/>
              <w:left w:w="100" w:type="dxa"/>
              <w:right w:w="100" w:type="dxa"/>
            </w:tcMar>
          </w:tcPr>
          <w:p>
            <w:r>
              <w:rPr>
                <w:b/>
                <w:color w:val="FFFFFF"/>
                <w:sz w:val="17"/>
              </w:rPr>
              <w:t>Stock Intangibles ($M)</w:t>
            </w:r>
          </w:p>
        </w:tc>
        <w:tc>
          <w:tcPr>
            <w:tcW w:type="dxa" w:w="1399"/>
            <w:shd w:fill="1B365D"/>
            <w:tcMar>
              <w:top w:w="80" w:type="dxa"/>
              <w:bottom w:w="80" w:type="dxa"/>
              <w:left w:w="100" w:type="dxa"/>
              <w:right w:w="100" w:type="dxa"/>
            </w:tcMar>
          </w:tcPr>
          <w:p>
            <w:r>
              <w:rPr>
                <w:b/>
                <w:color w:val="FFFFFF"/>
                <w:sz w:val="17"/>
              </w:rPr>
              <w:t>Capital Invertido ($M)</w:t>
            </w:r>
          </w:p>
        </w:tc>
        <w:tc>
          <w:tcPr>
            <w:tcW w:type="dxa" w:w="1399"/>
            <w:shd w:fill="1B365D"/>
            <w:tcMar>
              <w:top w:w="80" w:type="dxa"/>
              <w:bottom w:w="80" w:type="dxa"/>
              <w:left w:w="100" w:type="dxa"/>
              <w:right w:w="100" w:type="dxa"/>
            </w:tcMar>
          </w:tcPr>
          <w:p>
            <w:r>
              <w:rPr>
                <w:b/>
                <w:color w:val="FFFFFF"/>
                <w:sz w:val="17"/>
              </w:rPr>
              <w:t>Spread vs WACC</w:t>
            </w:r>
          </w:p>
        </w:tc>
      </w:tr>
      <w:tr>
        <w:tc>
          <w:tcPr>
            <w:tcW w:type="dxa" w:w="1399"/>
            <w:tcMar>
              <w:top w:w="60" w:type="dxa"/>
              <w:bottom w:w="60" w:type="dxa"/>
              <w:left w:w="100" w:type="dxa"/>
              <w:right w:w="100" w:type="dxa"/>
            </w:tcMar>
          </w:tcPr>
          <w:p>
            <w:r>
              <w:rPr>
                <w:sz w:val="17"/>
              </w:rPr>
              <w:t>FY2021</w:t>
            </w:r>
          </w:p>
        </w:tc>
        <w:tc>
          <w:tcPr>
            <w:tcW w:type="dxa" w:w="1399"/>
            <w:tcMar>
              <w:top w:w="60" w:type="dxa"/>
              <w:bottom w:w="60" w:type="dxa"/>
              <w:left w:w="100" w:type="dxa"/>
              <w:right w:w="100" w:type="dxa"/>
            </w:tcMar>
          </w:tcPr>
          <w:p>
            <w:r>
              <w:rPr>
                <w:b/>
                <w:sz w:val="17"/>
              </w:rPr>
              <w:t>73.58%</w:t>
            </w:r>
          </w:p>
        </w:tc>
        <w:tc>
          <w:tcPr>
            <w:tcW w:type="dxa" w:w="1399"/>
            <w:tcMar>
              <w:top w:w="60" w:type="dxa"/>
              <w:bottom w:w="60" w:type="dxa"/>
              <w:left w:w="100" w:type="dxa"/>
              <w:right w:w="100" w:type="dxa"/>
            </w:tcMar>
          </w:tcPr>
          <w:p>
            <w:r>
              <w:rPr>
                <w:b/>
                <w:sz w:val="17"/>
              </w:rPr>
              <w:t>30.88%</w:t>
            </w:r>
          </w:p>
        </w:tc>
        <w:tc>
          <w:tcPr>
            <w:tcW w:type="dxa" w:w="1399"/>
            <w:tcMar>
              <w:top w:w="60" w:type="dxa"/>
              <w:bottom w:w="60" w:type="dxa"/>
              <w:left w:w="100" w:type="dxa"/>
              <w:right w:w="100" w:type="dxa"/>
            </w:tcMar>
          </w:tcPr>
          <w:p>
            <w:r>
              <w:rPr>
                <w:b/>
                <w:sz w:val="17"/>
              </w:rPr>
              <w:t>36.82%</w:t>
            </w:r>
          </w:p>
        </w:tc>
        <w:tc>
          <w:tcPr>
            <w:tcW w:type="dxa" w:w="1399"/>
            <w:tcMar>
              <w:top w:w="60" w:type="dxa"/>
              <w:bottom w:w="60" w:type="dxa"/>
              <w:left w:w="100" w:type="dxa"/>
              <w:right w:w="100" w:type="dxa"/>
            </w:tcMar>
          </w:tcPr>
          <w:p>
            <w:r>
              <w:rPr>
                <w:sz w:val="17"/>
              </w:rPr>
              <w:t>$1,738.6M</w:t>
            </w:r>
          </w:p>
        </w:tc>
        <w:tc>
          <w:tcPr>
            <w:tcW w:type="dxa" w:w="1399"/>
            <w:tcMar>
              <w:top w:w="60" w:type="dxa"/>
              <w:bottom w:w="60" w:type="dxa"/>
              <w:left w:w="100" w:type="dxa"/>
              <w:right w:w="100" w:type="dxa"/>
            </w:tcMar>
          </w:tcPr>
          <w:p>
            <w:r>
              <w:rPr>
                <w:sz w:val="17"/>
              </w:rPr>
              <w:t>$2,777.4M</w:t>
            </w:r>
          </w:p>
        </w:tc>
        <w:tc>
          <w:tcPr>
            <w:tcW w:type="dxa" w:w="1399"/>
            <w:tcMar>
              <w:top w:w="60" w:type="dxa"/>
              <w:bottom w:w="60" w:type="dxa"/>
              <w:left w:w="100" w:type="dxa"/>
              <w:right w:w="100" w:type="dxa"/>
            </w:tcMar>
          </w:tcPr>
          <w:p>
            <w:r>
              <w:rPr>
                <w:b/>
                <w:sz w:val="17"/>
              </w:rPr>
              <w:t>+25.79 p.p.</w:t>
            </w:r>
          </w:p>
        </w:tc>
      </w:tr>
      <w:tr>
        <w:tc>
          <w:tcPr>
            <w:tcW w:type="dxa" w:w="1399"/>
            <w:tcMar>
              <w:top w:w="60" w:type="dxa"/>
              <w:bottom w:w="60" w:type="dxa"/>
              <w:left w:w="100" w:type="dxa"/>
              <w:right w:w="100" w:type="dxa"/>
            </w:tcMar>
            <w:shd w:fill="F7FAFC"/>
          </w:tcPr>
          <w:p>
            <w:r>
              <w:rPr>
                <w:sz w:val="17"/>
              </w:rPr>
              <w:t>FY2022</w:t>
            </w:r>
          </w:p>
        </w:tc>
        <w:tc>
          <w:tcPr>
            <w:tcW w:type="dxa" w:w="1399"/>
            <w:tcMar>
              <w:top w:w="60" w:type="dxa"/>
              <w:bottom w:w="60" w:type="dxa"/>
              <w:left w:w="100" w:type="dxa"/>
              <w:right w:w="100" w:type="dxa"/>
            </w:tcMar>
            <w:shd w:fill="F7FAFC"/>
          </w:tcPr>
          <w:p>
            <w:r>
              <w:rPr>
                <w:b/>
                <w:sz w:val="17"/>
              </w:rPr>
              <w:t>93.73%</w:t>
            </w:r>
          </w:p>
        </w:tc>
        <w:tc>
          <w:tcPr>
            <w:tcW w:type="dxa" w:w="1399"/>
            <w:tcMar>
              <w:top w:w="60" w:type="dxa"/>
              <w:bottom w:w="60" w:type="dxa"/>
              <w:left w:w="100" w:type="dxa"/>
              <w:right w:w="100" w:type="dxa"/>
            </w:tcMar>
            <w:shd w:fill="F7FAFC"/>
          </w:tcPr>
          <w:p>
            <w:r>
              <w:rPr>
                <w:b/>
                <w:sz w:val="17"/>
              </w:rPr>
              <w:t>41.09%</w:t>
            </w:r>
          </w:p>
        </w:tc>
        <w:tc>
          <w:tcPr>
            <w:tcW w:type="dxa" w:w="1399"/>
            <w:tcMar>
              <w:top w:w="60" w:type="dxa"/>
              <w:bottom w:w="60" w:type="dxa"/>
              <w:left w:w="100" w:type="dxa"/>
              <w:right w:w="100" w:type="dxa"/>
            </w:tcMar>
            <w:shd w:fill="F7FAFC"/>
          </w:tcPr>
          <w:p>
            <w:r>
              <w:rPr>
                <w:b/>
                <w:sz w:val="17"/>
              </w:rPr>
              <w:t>45.18%</w:t>
            </w:r>
          </w:p>
        </w:tc>
        <w:tc>
          <w:tcPr>
            <w:tcW w:type="dxa" w:w="1399"/>
            <w:tcMar>
              <w:top w:w="60" w:type="dxa"/>
              <w:bottom w:w="60" w:type="dxa"/>
              <w:left w:w="100" w:type="dxa"/>
              <w:right w:w="100" w:type="dxa"/>
            </w:tcMar>
            <w:shd w:fill="F7FAFC"/>
          </w:tcPr>
          <w:p>
            <w:r>
              <w:rPr>
                <w:sz w:val="17"/>
              </w:rPr>
              <w:t>$2,962.8M</w:t>
            </w:r>
          </w:p>
        </w:tc>
        <w:tc>
          <w:tcPr>
            <w:tcW w:type="dxa" w:w="1399"/>
            <w:tcMar>
              <w:top w:w="60" w:type="dxa"/>
              <w:bottom w:w="60" w:type="dxa"/>
              <w:left w:w="100" w:type="dxa"/>
              <w:right w:w="100" w:type="dxa"/>
            </w:tcMar>
            <w:shd w:fill="F7FAFC"/>
          </w:tcPr>
          <w:p>
            <w:r>
              <w:rPr>
                <w:sz w:val="17"/>
              </w:rPr>
              <w:t>$4,822.2M</w:t>
            </w:r>
          </w:p>
        </w:tc>
        <w:tc>
          <w:tcPr>
            <w:tcW w:type="dxa" w:w="1399"/>
            <w:tcMar>
              <w:top w:w="60" w:type="dxa"/>
              <w:bottom w:w="60" w:type="dxa"/>
              <w:left w:w="100" w:type="dxa"/>
              <w:right w:w="100" w:type="dxa"/>
            </w:tcMar>
            <w:shd w:fill="F7FAFC"/>
          </w:tcPr>
          <w:p>
            <w:r>
              <w:rPr>
                <w:b/>
                <w:sz w:val="17"/>
              </w:rPr>
              <w:t>+34.15 p.p.</w:t>
            </w:r>
          </w:p>
        </w:tc>
      </w:tr>
      <w:tr>
        <w:tc>
          <w:tcPr>
            <w:tcW w:type="dxa" w:w="1399"/>
            <w:tcMar>
              <w:top w:w="60" w:type="dxa"/>
              <w:bottom w:w="60" w:type="dxa"/>
              <w:left w:w="100" w:type="dxa"/>
              <w:right w:w="100" w:type="dxa"/>
            </w:tcMar>
          </w:tcPr>
          <w:p>
            <w:r>
              <w:rPr>
                <w:sz w:val="17"/>
              </w:rPr>
              <w:t>FY2023</w:t>
            </w:r>
          </w:p>
        </w:tc>
        <w:tc>
          <w:tcPr>
            <w:tcW w:type="dxa" w:w="1399"/>
            <w:tcMar>
              <w:top w:w="60" w:type="dxa"/>
              <w:bottom w:w="60" w:type="dxa"/>
              <w:left w:w="100" w:type="dxa"/>
              <w:right w:w="100" w:type="dxa"/>
            </w:tcMar>
          </w:tcPr>
          <w:p>
            <w:r>
              <w:rPr>
                <w:b/>
                <w:sz w:val="17"/>
              </w:rPr>
              <w:t>139.46%</w:t>
            </w:r>
          </w:p>
        </w:tc>
        <w:tc>
          <w:tcPr>
            <w:tcW w:type="dxa" w:w="1399"/>
            <w:tcMar>
              <w:top w:w="60" w:type="dxa"/>
              <w:bottom w:w="60" w:type="dxa"/>
              <w:left w:w="100" w:type="dxa"/>
              <w:right w:w="100" w:type="dxa"/>
            </w:tcMar>
          </w:tcPr>
          <w:p>
            <w:r>
              <w:rPr>
                <w:b/>
                <w:sz w:val="17"/>
              </w:rPr>
              <w:t>59.42%</w:t>
            </w:r>
          </w:p>
        </w:tc>
        <w:tc>
          <w:tcPr>
            <w:tcW w:type="dxa" w:w="1399"/>
            <w:tcMar>
              <w:top w:w="60" w:type="dxa"/>
              <w:bottom w:w="60" w:type="dxa"/>
              <w:left w:w="100" w:type="dxa"/>
              <w:right w:w="100" w:type="dxa"/>
            </w:tcMar>
          </w:tcPr>
          <w:p>
            <w:r>
              <w:rPr>
                <w:b/>
                <w:sz w:val="17"/>
              </w:rPr>
              <w:t>50.17%</w:t>
            </w:r>
          </w:p>
        </w:tc>
        <w:tc>
          <w:tcPr>
            <w:tcW w:type="dxa" w:w="1399"/>
            <w:tcMar>
              <w:top w:w="60" w:type="dxa"/>
              <w:bottom w:w="60" w:type="dxa"/>
              <w:left w:w="100" w:type="dxa"/>
              <w:right w:w="100" w:type="dxa"/>
            </w:tcMar>
          </w:tcPr>
          <w:p>
            <w:r>
              <w:rPr>
                <w:sz w:val="17"/>
              </w:rPr>
              <w:t>$4,622.2M</w:t>
            </w:r>
          </w:p>
        </w:tc>
        <w:tc>
          <w:tcPr>
            <w:tcW w:type="dxa" w:w="1399"/>
            <w:tcMar>
              <w:top w:w="60" w:type="dxa"/>
              <w:bottom w:w="60" w:type="dxa"/>
              <w:left w:w="100" w:type="dxa"/>
              <w:right w:w="100" w:type="dxa"/>
            </w:tcMar>
          </w:tcPr>
          <w:p>
            <w:r>
              <w:rPr>
                <w:sz w:val="17"/>
              </w:rPr>
              <w:t>$7,321.0M</w:t>
            </w:r>
          </w:p>
        </w:tc>
        <w:tc>
          <w:tcPr>
            <w:tcW w:type="dxa" w:w="1399"/>
            <w:tcMar>
              <w:top w:w="60" w:type="dxa"/>
              <w:bottom w:w="60" w:type="dxa"/>
              <w:left w:w="100" w:type="dxa"/>
              <w:right w:w="100" w:type="dxa"/>
            </w:tcMar>
          </w:tcPr>
          <w:p>
            <w:r>
              <w:rPr>
                <w:b/>
                <w:sz w:val="17"/>
              </w:rPr>
              <w:t>+39.14 p.p.</w:t>
            </w:r>
          </w:p>
        </w:tc>
      </w:tr>
      <w:tr>
        <w:tc>
          <w:tcPr>
            <w:tcW w:type="dxa" w:w="1399"/>
            <w:tcMar>
              <w:top w:w="60" w:type="dxa"/>
              <w:bottom w:w="60" w:type="dxa"/>
              <w:left w:w="100" w:type="dxa"/>
              <w:right w:w="100" w:type="dxa"/>
            </w:tcMar>
            <w:shd w:fill="F7FAFC"/>
          </w:tcPr>
          <w:p>
            <w:r>
              <w:rPr>
                <w:sz w:val="17"/>
              </w:rPr>
              <w:t>FY2024</w:t>
            </w:r>
          </w:p>
        </w:tc>
        <w:tc>
          <w:tcPr>
            <w:tcW w:type="dxa" w:w="1399"/>
            <w:tcMar>
              <w:top w:w="60" w:type="dxa"/>
              <w:bottom w:w="60" w:type="dxa"/>
              <w:left w:w="100" w:type="dxa"/>
              <w:right w:w="100" w:type="dxa"/>
            </w:tcMar>
            <w:shd w:fill="F7FAFC"/>
          </w:tcPr>
          <w:p>
            <w:r>
              <w:rPr>
                <w:b/>
                <w:sz w:val="17"/>
              </w:rPr>
              <w:t>132.38%</w:t>
            </w:r>
          </w:p>
        </w:tc>
        <w:tc>
          <w:tcPr>
            <w:tcW w:type="dxa" w:w="1399"/>
            <w:tcMar>
              <w:top w:w="60" w:type="dxa"/>
              <w:bottom w:w="60" w:type="dxa"/>
              <w:left w:w="100" w:type="dxa"/>
              <w:right w:w="100" w:type="dxa"/>
            </w:tcMar>
            <w:shd w:fill="F7FAFC"/>
          </w:tcPr>
          <w:p>
            <w:r>
              <w:rPr>
                <w:b/>
                <w:sz w:val="17"/>
              </w:rPr>
              <w:t>51.27%</w:t>
            </w:r>
          </w:p>
        </w:tc>
        <w:tc>
          <w:tcPr>
            <w:tcW w:type="dxa" w:w="1399"/>
            <w:tcMar>
              <w:top w:w="60" w:type="dxa"/>
              <w:bottom w:w="60" w:type="dxa"/>
              <w:left w:w="100" w:type="dxa"/>
              <w:right w:w="100" w:type="dxa"/>
            </w:tcMar>
            <w:shd w:fill="F7FAFC"/>
          </w:tcPr>
          <w:p>
            <w:r>
              <w:rPr>
                <w:b/>
                <w:sz w:val="17"/>
              </w:rPr>
              <w:t>36.86%</w:t>
            </w:r>
          </w:p>
        </w:tc>
        <w:tc>
          <w:tcPr>
            <w:tcW w:type="dxa" w:w="1399"/>
            <w:tcMar>
              <w:top w:w="60" w:type="dxa"/>
              <w:bottom w:w="60" w:type="dxa"/>
              <w:left w:w="100" w:type="dxa"/>
              <w:right w:w="100" w:type="dxa"/>
            </w:tcMar>
            <w:shd w:fill="F7FAFC"/>
          </w:tcPr>
          <w:p>
            <w:r>
              <w:rPr>
                <w:sz w:val="17"/>
              </w:rPr>
              <w:t>$5,930.4M</w:t>
            </w:r>
          </w:p>
        </w:tc>
        <w:tc>
          <w:tcPr>
            <w:tcW w:type="dxa" w:w="1399"/>
            <w:tcMar>
              <w:top w:w="60" w:type="dxa"/>
              <w:bottom w:w="60" w:type="dxa"/>
              <w:left w:w="100" w:type="dxa"/>
              <w:right w:w="100" w:type="dxa"/>
            </w:tcMar>
            <w:shd w:fill="F7FAFC"/>
          </w:tcPr>
          <w:p>
            <w:r>
              <w:rPr>
                <w:sz w:val="17"/>
              </w:rPr>
              <w:t>$10,151.8M</w:t>
            </w:r>
          </w:p>
        </w:tc>
        <w:tc>
          <w:tcPr>
            <w:tcW w:type="dxa" w:w="1399"/>
            <w:tcMar>
              <w:top w:w="60" w:type="dxa"/>
              <w:bottom w:w="60" w:type="dxa"/>
              <w:left w:w="100" w:type="dxa"/>
              <w:right w:w="100" w:type="dxa"/>
            </w:tcMar>
            <w:shd w:fill="F7FAFC"/>
          </w:tcPr>
          <w:p>
            <w:r>
              <w:rPr>
                <w:b/>
                <w:sz w:val="17"/>
              </w:rPr>
              <w:t>+25.83 p.p.</w:t>
            </w:r>
          </w:p>
        </w:tc>
      </w:tr>
      <w:tr>
        <w:tc>
          <w:tcPr>
            <w:tcW w:type="dxa" w:w="1399"/>
            <w:tcMar>
              <w:top w:w="60" w:type="dxa"/>
              <w:bottom w:w="60" w:type="dxa"/>
              <w:left w:w="100" w:type="dxa"/>
              <w:right w:w="100" w:type="dxa"/>
            </w:tcMar>
          </w:tcPr>
          <w:p>
            <w:r>
              <w:rPr>
                <w:sz w:val="17"/>
              </w:rPr>
              <w:t>FY2025</w:t>
            </w:r>
          </w:p>
        </w:tc>
        <w:tc>
          <w:tcPr>
            <w:tcW w:type="dxa" w:w="1399"/>
            <w:tcMar>
              <w:top w:w="60" w:type="dxa"/>
              <w:bottom w:w="60" w:type="dxa"/>
              <w:left w:w="100" w:type="dxa"/>
              <w:right w:w="100" w:type="dxa"/>
            </w:tcMar>
          </w:tcPr>
          <w:p>
            <w:r>
              <w:rPr>
                <w:b/>
                <w:sz w:val="17"/>
              </w:rPr>
              <w:t>109.31%</w:t>
            </w:r>
          </w:p>
        </w:tc>
        <w:tc>
          <w:tcPr>
            <w:tcW w:type="dxa" w:w="1399"/>
            <w:tcMar>
              <w:top w:w="60" w:type="dxa"/>
              <w:bottom w:w="60" w:type="dxa"/>
              <w:left w:w="100" w:type="dxa"/>
              <w:right w:w="100" w:type="dxa"/>
            </w:tcMar>
          </w:tcPr>
          <w:p>
            <w:r>
              <w:rPr>
                <w:b/>
                <w:sz w:val="17"/>
              </w:rPr>
              <w:t>37.26%</w:t>
            </w:r>
          </w:p>
        </w:tc>
        <w:tc>
          <w:tcPr>
            <w:tcW w:type="dxa" w:w="1399"/>
            <w:tcMar>
              <w:top w:w="60" w:type="dxa"/>
              <w:bottom w:w="60" w:type="dxa"/>
              <w:left w:w="100" w:type="dxa"/>
              <w:right w:w="100" w:type="dxa"/>
            </w:tcMar>
          </w:tcPr>
          <w:p>
            <w:r>
              <w:rPr>
                <w:b/>
                <w:sz w:val="17"/>
              </w:rPr>
              <w:t>30.20%</w:t>
            </w:r>
          </w:p>
        </w:tc>
        <w:tc>
          <w:tcPr>
            <w:tcW w:type="dxa" w:w="1399"/>
            <w:tcMar>
              <w:top w:w="60" w:type="dxa"/>
              <w:bottom w:w="60" w:type="dxa"/>
              <w:left w:w="100" w:type="dxa"/>
              <w:right w:w="100" w:type="dxa"/>
            </w:tcMar>
          </w:tcPr>
          <w:p>
            <w:r>
              <w:rPr>
                <w:sz w:val="17"/>
              </w:rPr>
              <w:t>$7,451.2M</w:t>
            </w:r>
          </w:p>
        </w:tc>
        <w:tc>
          <w:tcPr>
            <w:tcW w:type="dxa" w:w="1399"/>
            <w:tcMar>
              <w:top w:w="60" w:type="dxa"/>
              <w:bottom w:w="60" w:type="dxa"/>
              <w:left w:w="100" w:type="dxa"/>
              <w:right w:w="100" w:type="dxa"/>
            </w:tcMar>
          </w:tcPr>
          <w:p>
            <w:r>
              <w:rPr>
                <w:sz w:val="17"/>
              </w:rPr>
              <w:t>$14,851.8M</w:t>
            </w:r>
          </w:p>
        </w:tc>
        <w:tc>
          <w:tcPr>
            <w:tcW w:type="dxa" w:w="1399"/>
            <w:tcMar>
              <w:top w:w="60" w:type="dxa"/>
              <w:bottom w:w="60" w:type="dxa"/>
              <w:left w:w="100" w:type="dxa"/>
              <w:right w:w="100" w:type="dxa"/>
            </w:tcMar>
          </w:tcPr>
          <w:p>
            <w:r>
              <w:rPr>
                <w:b/>
                <w:sz w:val="17"/>
              </w:rPr>
              <w:t>+19.17 p.p.</w:t>
            </w:r>
          </w:p>
        </w:tc>
      </w:tr>
      <w:tr>
        <w:tc>
          <w:tcPr>
            <w:tcW w:type="dxa" w:w="1399"/>
            <w:tcMar>
              <w:top w:w="60" w:type="dxa"/>
              <w:bottom w:w="60" w:type="dxa"/>
              <w:left w:w="100" w:type="dxa"/>
              <w:right w:w="100" w:type="dxa"/>
            </w:tcMar>
            <w:shd w:fill="F7FAFC"/>
            <w:shd w:fill="E2EFDA"/>
          </w:tcPr>
          <w:p>
            <w:r>
              <w:rPr>
                <w:sz w:val="17"/>
              </w:rPr>
              <w:t>LTM</w:t>
            </w:r>
          </w:p>
        </w:tc>
        <w:tc>
          <w:tcPr>
            <w:tcW w:type="dxa" w:w="1399"/>
            <w:tcMar>
              <w:top w:w="60" w:type="dxa"/>
              <w:bottom w:w="60" w:type="dxa"/>
              <w:left w:w="100" w:type="dxa"/>
              <w:right w:w="100" w:type="dxa"/>
            </w:tcMar>
            <w:shd w:fill="F7FAFC"/>
            <w:shd w:fill="E2EFDA"/>
          </w:tcPr>
          <w:p>
            <w:r>
              <w:rPr>
                <w:b/>
                <w:sz w:val="17"/>
              </w:rPr>
              <w:t>82.36%</w:t>
            </w:r>
          </w:p>
        </w:tc>
        <w:tc>
          <w:tcPr>
            <w:tcW w:type="dxa" w:w="1399"/>
            <w:tcMar>
              <w:top w:w="60" w:type="dxa"/>
              <w:bottom w:w="60" w:type="dxa"/>
              <w:left w:w="100" w:type="dxa"/>
              <w:right w:w="100" w:type="dxa"/>
            </w:tcMar>
            <w:shd w:fill="F7FAFC"/>
            <w:shd w:fill="E2EFDA"/>
          </w:tcPr>
          <w:p>
            <w:r>
              <w:rPr>
                <w:b/>
                <w:sz w:val="17"/>
              </w:rPr>
              <w:t>25.45%</w:t>
            </w:r>
          </w:p>
        </w:tc>
        <w:tc>
          <w:tcPr>
            <w:tcW w:type="dxa" w:w="1399"/>
            <w:tcMar>
              <w:top w:w="60" w:type="dxa"/>
              <w:bottom w:w="60" w:type="dxa"/>
              <w:left w:w="100" w:type="dxa"/>
              <w:right w:w="100" w:type="dxa"/>
            </w:tcMar>
            <w:shd w:fill="F7FAFC"/>
            <w:shd w:fill="E2EFDA"/>
          </w:tcPr>
          <w:p>
            <w:r>
              <w:rPr>
                <w:b/>
                <w:sz w:val="17"/>
              </w:rPr>
              <w:t>18.10%</w:t>
            </w:r>
          </w:p>
        </w:tc>
        <w:tc>
          <w:tcPr>
            <w:tcW w:type="dxa" w:w="1399"/>
            <w:tcMar>
              <w:top w:w="60" w:type="dxa"/>
              <w:bottom w:w="60" w:type="dxa"/>
              <w:left w:w="100" w:type="dxa"/>
              <w:right w:w="100" w:type="dxa"/>
            </w:tcMar>
            <w:shd w:fill="F7FAFC"/>
            <w:shd w:fill="E2EFDA"/>
          </w:tcPr>
          <w:p>
            <w:r>
              <w:rPr>
                <w:sz w:val="17"/>
              </w:rPr>
              <w:t>$7,912.4M</w:t>
            </w:r>
          </w:p>
        </w:tc>
        <w:tc>
          <w:tcPr>
            <w:tcW w:type="dxa" w:w="1399"/>
            <w:tcMar>
              <w:top w:w="60" w:type="dxa"/>
              <w:bottom w:w="60" w:type="dxa"/>
              <w:left w:w="100" w:type="dxa"/>
              <w:right w:w="100" w:type="dxa"/>
            </w:tcMar>
            <w:shd w:fill="F7FAFC"/>
            <w:shd w:fill="E2EFDA"/>
          </w:tcPr>
          <w:p>
            <w:r>
              <w:rPr>
                <w:sz w:val="17"/>
              </w:rPr>
              <w:t>$18,531.3M</w:t>
            </w:r>
          </w:p>
        </w:tc>
        <w:tc>
          <w:tcPr>
            <w:tcW w:type="dxa" w:w="1399"/>
            <w:tcMar>
              <w:top w:w="60" w:type="dxa"/>
              <w:bottom w:w="60" w:type="dxa"/>
              <w:left w:w="100" w:type="dxa"/>
              <w:right w:w="100" w:type="dxa"/>
            </w:tcMar>
            <w:shd w:fill="F7FAFC"/>
            <w:shd w:fill="E2EFDA"/>
          </w:tcPr>
          <w:p>
            <w:r>
              <w:rPr>
                <w:b/>
                <w:sz w:val="17"/>
              </w:rPr>
              <w:t>+7.07 p.p.</w:t>
            </w:r>
          </w:p>
        </w:tc>
      </w:tr>
    </w:tbl>
    <w:p>
      <w:pPr>
        <w:spacing w:before="160" w:after="160"/>
      </w:pPr>
      <w:r>
        <w:rPr>
          <w:i/>
          <w:sz w:val="18"/>
        </w:rPr>
        <w:t>Matriz de Sensibilidad de Vida Útil: N-1 (2a) = 18.18% | N Base (3a) = 18.10% | N+1 (4a) = 17.94%.</w:t>
      </w:r>
    </w:p>
    <w:p>
      <w:pPr>
        <w:pStyle w:val="Heading2"/>
      </w:pPr>
      <w:r>
        <w:t>11.4. Creación de Valor Económico (EVA) y Durabilidad del Foso Defensivo</w:t>
      </w:r>
    </w:p>
    <w:p>
      <w:r>
        <w:rPr>
          <w:sz w:val="19"/>
        </w:rPr>
        <w:t>Spread Económico = ROIC Ajustado (18.10%) − WACC (11.03%) = +7.07 p.p.</w:t>
        <w:br/>
        <w:t>Dictamen: 🛡️ NARROW MOAT / CREACIÓN DE VALOR SOSTENIBLE. La compañía supera holgadamente su costo de capital, generando retornos netos excedentes sobre cada dólar invertido.</w:t>
      </w:r>
    </w:p>
    <w:p>
      <w:pPr>
        <w:pStyle w:val="Heading2"/>
      </w:pPr>
      <w:r>
        <w:t>11.5. Cuadro de Mando Consolidado de Ratios de Capital, Retornos y Valor</w:t>
      </w:r>
    </w:p>
    <w:tbl>
      <w:tblPr>
        <w:tblW w:type="auto" w:w="0"/>
        <w:jc w:val="center"/>
        <w:tblLayout w:type="fixed"/>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880"/>
        <w:gridCol w:w="1296"/>
        <w:gridCol w:w="1584"/>
        <w:gridCol w:w="2016"/>
      </w:tblGrid>
      <w:tr>
        <w:tc>
          <w:tcPr>
            <w:tcW w:type="dxa" w:w="1958"/>
            <w:shd w:fill="1B365D"/>
            <w:tcMar>
              <w:top w:w="80" w:type="dxa"/>
              <w:bottom w:w="80" w:type="dxa"/>
              <w:left w:w="100" w:type="dxa"/>
              <w:right w:w="100" w:type="dxa"/>
            </w:tcMar>
          </w:tcPr>
          <w:p>
            <w:r>
              <w:rPr>
                <w:b/>
                <w:color w:val="FFFFFF"/>
                <w:sz w:val="17"/>
              </w:rPr>
              <w:t>Categoría Analítica</w:t>
            </w:r>
          </w:p>
        </w:tc>
        <w:tc>
          <w:tcPr>
            <w:tcW w:type="dxa" w:w="1958"/>
            <w:shd w:fill="1B365D"/>
            <w:tcMar>
              <w:top w:w="80" w:type="dxa"/>
              <w:bottom w:w="80" w:type="dxa"/>
              <w:left w:w="100" w:type="dxa"/>
              <w:right w:w="100" w:type="dxa"/>
            </w:tcMar>
          </w:tcPr>
          <w:p>
            <w:r>
              <w:rPr>
                <w:b/>
                <w:color w:val="FFFFFF"/>
                <w:sz w:val="17"/>
              </w:rPr>
              <w:t>Métrica / Ratio Institucional</w:t>
            </w:r>
          </w:p>
        </w:tc>
        <w:tc>
          <w:tcPr>
            <w:tcW w:type="dxa" w:w="1958"/>
            <w:shd w:fill="1B365D"/>
            <w:tcMar>
              <w:top w:w="80" w:type="dxa"/>
              <w:bottom w:w="80" w:type="dxa"/>
              <w:left w:w="100" w:type="dxa"/>
              <w:right w:w="100" w:type="dxa"/>
            </w:tcMar>
          </w:tcPr>
          <w:p>
            <w:r>
              <w:rPr>
                <w:b/>
                <w:color w:val="FFFFFF"/>
                <w:sz w:val="17"/>
              </w:rPr>
              <w:t>Valor LTM</w:t>
            </w:r>
          </w:p>
        </w:tc>
        <w:tc>
          <w:tcPr>
            <w:tcW w:type="dxa" w:w="1958"/>
            <w:shd w:fill="1B365D"/>
            <w:tcMar>
              <w:top w:w="80" w:type="dxa"/>
              <w:bottom w:w="80" w:type="dxa"/>
              <w:left w:w="100" w:type="dxa"/>
              <w:right w:w="100" w:type="dxa"/>
            </w:tcMar>
          </w:tcPr>
          <w:p>
            <w:r>
              <w:rPr>
                <w:b/>
                <w:color w:val="FFFFFF"/>
                <w:sz w:val="17"/>
              </w:rPr>
              <w:t>Benchmark / Ref.</w:t>
            </w:r>
          </w:p>
        </w:tc>
        <w:tc>
          <w:tcPr>
            <w:tcW w:type="dxa" w:w="1958"/>
            <w:shd w:fill="1B365D"/>
            <w:tcMar>
              <w:top w:w="80" w:type="dxa"/>
              <w:bottom w:w="80" w:type="dxa"/>
              <w:left w:w="100" w:type="dxa"/>
              <w:right w:w="100" w:type="dxa"/>
            </w:tcMar>
          </w:tcPr>
          <w:p>
            <w:r>
              <w:rPr>
                <w:b/>
                <w:color w:val="FFFFFF"/>
                <w:sz w:val="17"/>
              </w:rPr>
              <w:t>Diagnóstico para el Inversor</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Tasa Libre de Riesgo (Rf - Bono 10Y)</w:t>
            </w:r>
          </w:p>
        </w:tc>
        <w:tc>
          <w:tcPr>
            <w:tcW w:type="dxa" w:w="1958"/>
            <w:tcMar>
              <w:top w:w="60" w:type="dxa"/>
              <w:bottom w:w="60" w:type="dxa"/>
              <w:left w:w="100" w:type="dxa"/>
              <w:right w:w="100" w:type="dxa"/>
            </w:tcMar>
          </w:tcPr>
          <w:p>
            <w:r>
              <w:rPr>
                <w:b/>
                <w:sz w:val="17"/>
              </w:rPr>
              <w:t>5.19%</w:t>
            </w:r>
          </w:p>
        </w:tc>
        <w:tc>
          <w:tcPr>
            <w:tcW w:type="dxa" w:w="1958"/>
            <w:tcMar>
              <w:top w:w="60" w:type="dxa"/>
              <w:bottom w:w="60" w:type="dxa"/>
              <w:left w:w="100" w:type="dxa"/>
              <w:right w:w="100" w:type="dxa"/>
            </w:tcMar>
          </w:tcPr>
          <w:p>
            <w:r>
              <w:rPr>
                <w:sz w:val="17"/>
              </w:rPr>
              <w:t>US Treasury Yield</w:t>
            </w:r>
          </w:p>
        </w:tc>
        <w:tc>
          <w:tcPr>
            <w:tcW w:type="dxa" w:w="1958"/>
            <w:tcMar>
              <w:top w:w="60" w:type="dxa"/>
              <w:bottom w:w="60" w:type="dxa"/>
              <w:left w:w="100" w:type="dxa"/>
              <w:right w:w="100" w:type="dxa"/>
            </w:tcMar>
          </w:tcPr>
          <w:p>
            <w:r>
              <w:rPr>
                <w:sz w:val="17"/>
              </w:rPr>
              <w:t>Costo de oportunidad libre de riesgo macroeconómico.</w:t>
            </w:r>
          </w:p>
        </w:tc>
      </w:tr>
      <w:tr>
        <w:tc>
          <w:tcPr>
            <w:tcW w:type="dxa" w:w="1958"/>
            <w:tcMar>
              <w:top w:w="60" w:type="dxa"/>
              <w:bottom w:w="60" w:type="dxa"/>
              <w:left w:w="100" w:type="dxa"/>
              <w:right w:w="100" w:type="dxa"/>
            </w:tcMar>
            <w:shd w:fill="F7FAFC"/>
          </w:tcPr>
          <w:p>
            <w:r>
              <w:rPr>
                <w:sz w:val="17"/>
              </w:rPr>
              <w:t>Parámetros Macro y Mercado</w:t>
            </w:r>
          </w:p>
        </w:tc>
        <w:tc>
          <w:tcPr>
            <w:tcW w:type="dxa" w:w="1958"/>
            <w:tcMar>
              <w:top w:w="60" w:type="dxa"/>
              <w:bottom w:w="60" w:type="dxa"/>
              <w:left w:w="100" w:type="dxa"/>
              <w:right w:w="100" w:type="dxa"/>
            </w:tcMar>
            <w:shd w:fill="F7FAFC"/>
          </w:tcPr>
          <w:p>
            <w:r>
              <w:rPr>
                <w:b/>
                <w:sz w:val="17"/>
              </w:rPr>
              <w:t>Beta de la Acción (β)</w:t>
            </w:r>
          </w:p>
        </w:tc>
        <w:tc>
          <w:tcPr>
            <w:tcW w:type="dxa" w:w="1958"/>
            <w:tcMar>
              <w:top w:w="60" w:type="dxa"/>
              <w:bottom w:w="60" w:type="dxa"/>
              <w:left w:w="100" w:type="dxa"/>
              <w:right w:w="100" w:type="dxa"/>
            </w:tcMar>
            <w:shd w:fill="F7FAFC"/>
          </w:tcPr>
          <w:p>
            <w:r>
              <w:rPr>
                <w:b/>
                <w:sz w:val="17"/>
              </w:rPr>
              <w:t>1.36</w:t>
            </w:r>
          </w:p>
        </w:tc>
        <w:tc>
          <w:tcPr>
            <w:tcW w:type="dxa" w:w="1958"/>
            <w:tcMar>
              <w:top w:w="60" w:type="dxa"/>
              <w:bottom w:w="60" w:type="dxa"/>
              <w:left w:w="100" w:type="dxa"/>
              <w:right w:w="100" w:type="dxa"/>
            </w:tcMar>
            <w:shd w:fill="F7FAFC"/>
          </w:tcPr>
          <w:p>
            <w:r>
              <w:rPr>
                <w:sz w:val="17"/>
              </w:rPr>
              <w:t>S&amp;P 500 = 1.00x</w:t>
            </w:r>
          </w:p>
        </w:tc>
        <w:tc>
          <w:tcPr>
            <w:tcW w:type="dxa" w:w="1958"/>
            <w:tcMar>
              <w:top w:w="60" w:type="dxa"/>
              <w:bottom w:w="60" w:type="dxa"/>
              <w:left w:w="100" w:type="dxa"/>
              <w:right w:w="100" w:type="dxa"/>
            </w:tcMar>
            <w:shd w:fill="F7FAFC"/>
          </w:tcPr>
          <w:p>
            <w:r>
              <w:rPr>
                <w:sz w:val="17"/>
              </w:rPr>
              <w:t>Sensibilidad cíclica moderada y alineada al mercado.</w:t>
            </w:r>
          </w:p>
        </w:tc>
      </w:tr>
      <w:tr>
        <w:tc>
          <w:tcPr>
            <w:tcW w:type="dxa" w:w="1958"/>
            <w:tcMar>
              <w:top w:w="60" w:type="dxa"/>
              <w:bottom w:w="60" w:type="dxa"/>
              <w:left w:w="100" w:type="dxa"/>
              <w:right w:w="100" w:type="dxa"/>
            </w:tcMar>
          </w:tcPr>
          <w:p>
            <w:r>
              <w:rPr>
                <w:sz w:val="17"/>
              </w:rPr>
              <w:t>Parámetros Macro y Mercado</w:t>
            </w:r>
          </w:p>
        </w:tc>
        <w:tc>
          <w:tcPr>
            <w:tcW w:type="dxa" w:w="1958"/>
            <w:tcMar>
              <w:top w:w="60" w:type="dxa"/>
              <w:bottom w:w="60" w:type="dxa"/>
              <w:left w:w="100" w:type="dxa"/>
              <w:right w:w="100" w:type="dxa"/>
            </w:tcMar>
          </w:tcPr>
          <w:p>
            <w:r>
              <w:rPr>
                <w:b/>
                <w:sz w:val="17"/>
              </w:rPr>
              <w:t>Prima de Riesgo de Mercado (ERP)</w:t>
            </w:r>
          </w:p>
        </w:tc>
        <w:tc>
          <w:tcPr>
            <w:tcW w:type="dxa" w:w="1958"/>
            <w:tcMar>
              <w:top w:w="60" w:type="dxa"/>
              <w:bottom w:w="60" w:type="dxa"/>
              <w:left w:w="100" w:type="dxa"/>
              <w:right w:w="100" w:type="dxa"/>
            </w:tcMar>
          </w:tcPr>
          <w:p>
            <w:r>
              <w:rPr>
                <w:b/>
                <w:sz w:val="17"/>
              </w:rPr>
              <w:t>4.75%</w:t>
            </w:r>
          </w:p>
        </w:tc>
        <w:tc>
          <w:tcPr>
            <w:tcW w:type="dxa" w:w="1958"/>
            <w:tcMar>
              <w:top w:w="60" w:type="dxa"/>
              <w:bottom w:w="60" w:type="dxa"/>
              <w:left w:w="100" w:type="dxa"/>
              <w:right w:w="100" w:type="dxa"/>
            </w:tcMar>
          </w:tcPr>
          <w:p>
            <w:r>
              <w:rPr>
                <w:sz w:val="17"/>
              </w:rPr>
              <w:t>NYU Stern Damodaran</w:t>
            </w:r>
          </w:p>
        </w:tc>
        <w:tc>
          <w:tcPr>
            <w:tcW w:type="dxa" w:w="1958"/>
            <w:tcMar>
              <w:top w:w="60" w:type="dxa"/>
              <w:bottom w:w="60" w:type="dxa"/>
              <w:left w:w="100" w:type="dxa"/>
              <w:right w:w="100" w:type="dxa"/>
            </w:tcMar>
          </w:tcPr>
          <w:p>
            <w:r>
              <w:rPr>
                <w:sz w:val="17"/>
              </w:rPr>
              <w:t>Exigencia de prima de retorno sobre el activo libre de riesgo.</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Costo del Capital Propio (Ke)</w:t>
            </w:r>
          </w:p>
        </w:tc>
        <w:tc>
          <w:tcPr>
            <w:tcW w:type="dxa" w:w="1958"/>
            <w:tcMar>
              <w:top w:w="60" w:type="dxa"/>
              <w:bottom w:w="60" w:type="dxa"/>
              <w:left w:w="100" w:type="dxa"/>
              <w:right w:w="100" w:type="dxa"/>
            </w:tcMar>
            <w:shd w:fill="F7FAFC"/>
          </w:tcPr>
          <w:p>
            <w:r>
              <w:rPr>
                <w:b/>
                <w:sz w:val="17"/>
              </w:rPr>
              <w:t>11.67%</w:t>
            </w:r>
          </w:p>
        </w:tc>
        <w:tc>
          <w:tcPr>
            <w:tcW w:type="dxa" w:w="1958"/>
            <w:tcMar>
              <w:top w:w="60" w:type="dxa"/>
              <w:bottom w:w="60" w:type="dxa"/>
              <w:left w:w="100" w:type="dxa"/>
              <w:right w:w="100" w:type="dxa"/>
            </w:tcMar>
            <w:shd w:fill="F7FAFC"/>
          </w:tcPr>
          <w:p>
            <w:r>
              <w:rPr>
                <w:sz w:val="17"/>
              </w:rPr>
              <w:t>Rango 9.5% - 10.5%</w:t>
            </w:r>
          </w:p>
        </w:tc>
        <w:tc>
          <w:tcPr>
            <w:tcW w:type="dxa" w:w="1958"/>
            <w:tcMar>
              <w:top w:w="60" w:type="dxa"/>
              <w:bottom w:w="60" w:type="dxa"/>
              <w:left w:w="100" w:type="dxa"/>
              <w:right w:w="100" w:type="dxa"/>
            </w:tcMar>
            <w:shd w:fill="F7FAFC"/>
          </w:tcPr>
          <w:p>
            <w:r>
              <w:rPr>
                <w:sz w:val="17"/>
              </w:rPr>
              <w:t>Retorno anual exigido por los tenedores de acciones comunes.</w:t>
            </w:r>
          </w:p>
        </w:tc>
      </w:tr>
      <w:tr>
        <w:tc>
          <w:tcPr>
            <w:tcW w:type="dxa" w:w="1958"/>
            <w:tcMar>
              <w:top w:w="60" w:type="dxa"/>
              <w:bottom w:w="60" w:type="dxa"/>
              <w:left w:w="100" w:type="dxa"/>
              <w:right w:w="100" w:type="dxa"/>
            </w:tcMar>
          </w:tcPr>
          <w:p>
            <w:r>
              <w:rPr>
                <w:sz w:val="17"/>
              </w:rPr>
              <w:t>Costo de Capital (WACC)</w:t>
            </w:r>
          </w:p>
        </w:tc>
        <w:tc>
          <w:tcPr>
            <w:tcW w:type="dxa" w:w="1958"/>
            <w:tcMar>
              <w:top w:w="60" w:type="dxa"/>
              <w:bottom w:w="60" w:type="dxa"/>
              <w:left w:w="100" w:type="dxa"/>
              <w:right w:w="100" w:type="dxa"/>
            </w:tcMar>
          </w:tcPr>
          <w:p>
            <w:r>
              <w:rPr>
                <w:b/>
                <w:sz w:val="17"/>
              </w:rPr>
              <w:t>Costo de Deuda Neta (Kd)</w:t>
            </w:r>
          </w:p>
        </w:tc>
        <w:tc>
          <w:tcPr>
            <w:tcW w:type="dxa" w:w="1958"/>
            <w:tcMar>
              <w:top w:w="60" w:type="dxa"/>
              <w:bottom w:w="60" w:type="dxa"/>
              <w:left w:w="100" w:type="dxa"/>
              <w:right w:w="100" w:type="dxa"/>
            </w:tcMar>
          </w:tcPr>
          <w:p>
            <w:r>
              <w:rPr>
                <w:b/>
                <w:sz w:val="17"/>
              </w:rPr>
              <w:t>5.50%</w:t>
            </w:r>
          </w:p>
        </w:tc>
        <w:tc>
          <w:tcPr>
            <w:tcW w:type="dxa" w:w="1958"/>
            <w:tcMar>
              <w:top w:w="60" w:type="dxa"/>
              <w:bottom w:w="60" w:type="dxa"/>
              <w:left w:w="100" w:type="dxa"/>
              <w:right w:w="100" w:type="dxa"/>
            </w:tcMar>
          </w:tcPr>
          <w:p>
            <w:r>
              <w:rPr>
                <w:sz w:val="17"/>
              </w:rPr>
              <w:t>Tasa cupón efectiva</w:t>
            </w:r>
          </w:p>
        </w:tc>
        <w:tc>
          <w:tcPr>
            <w:tcW w:type="dxa" w:w="1958"/>
            <w:tcMar>
              <w:top w:w="60" w:type="dxa"/>
              <w:bottom w:w="60" w:type="dxa"/>
              <w:left w:w="100" w:type="dxa"/>
              <w:right w:w="100" w:type="dxa"/>
            </w:tcMar>
          </w:tcPr>
          <w:p>
            <w:r>
              <w:rPr>
                <w:sz w:val="17"/>
              </w:rPr>
              <w:t>Financiación crediticia con escudo fiscal del 5.0%.</w:t>
            </w:r>
          </w:p>
        </w:tc>
      </w:tr>
      <w:tr>
        <w:tc>
          <w:tcPr>
            <w:tcW w:type="dxa" w:w="1958"/>
            <w:tcMar>
              <w:top w:w="60" w:type="dxa"/>
              <w:bottom w:w="60" w:type="dxa"/>
              <w:left w:w="100" w:type="dxa"/>
              <w:right w:w="100" w:type="dxa"/>
            </w:tcMar>
            <w:shd w:fill="F7FAFC"/>
          </w:tcPr>
          <w:p>
            <w:r>
              <w:rPr>
                <w:sz w:val="17"/>
              </w:rPr>
              <w:t>Costo de Capital (WACC)</w:t>
            </w:r>
          </w:p>
        </w:tc>
        <w:tc>
          <w:tcPr>
            <w:tcW w:type="dxa" w:w="1958"/>
            <w:tcMar>
              <w:top w:w="60" w:type="dxa"/>
              <w:bottom w:w="60" w:type="dxa"/>
              <w:left w:w="100" w:type="dxa"/>
              <w:right w:w="100" w:type="dxa"/>
            </w:tcMar>
            <w:shd w:fill="F7FAFC"/>
          </w:tcPr>
          <w:p>
            <w:r>
              <w:rPr>
                <w:b/>
                <w:sz w:val="17"/>
              </w:rPr>
              <w:t>WACC Consolidado</w:t>
            </w:r>
          </w:p>
        </w:tc>
        <w:tc>
          <w:tcPr>
            <w:tcW w:type="dxa" w:w="1958"/>
            <w:tcMar>
              <w:top w:w="60" w:type="dxa"/>
              <w:bottom w:w="60" w:type="dxa"/>
              <w:left w:w="100" w:type="dxa"/>
              <w:right w:w="100" w:type="dxa"/>
            </w:tcMar>
            <w:shd w:fill="F7FAFC"/>
          </w:tcPr>
          <w:p>
            <w:r>
              <w:rPr>
                <w:b/>
                <w:sz w:val="17"/>
              </w:rPr>
              <w:t>11.03%</w:t>
            </w:r>
          </w:p>
        </w:tc>
        <w:tc>
          <w:tcPr>
            <w:tcW w:type="dxa" w:w="1958"/>
            <w:tcMar>
              <w:top w:w="60" w:type="dxa"/>
              <w:bottom w:w="60" w:type="dxa"/>
              <w:left w:w="100" w:type="dxa"/>
              <w:right w:w="100" w:type="dxa"/>
            </w:tcMar>
            <w:shd w:fill="F7FAFC"/>
          </w:tcPr>
          <w:p>
            <w:r>
              <w:rPr>
                <w:sz w:val="17"/>
              </w:rPr>
              <w:t>Mediana Sector (9.80%)</w:t>
            </w:r>
          </w:p>
        </w:tc>
        <w:tc>
          <w:tcPr>
            <w:tcW w:type="dxa" w:w="1958"/>
            <w:tcMar>
              <w:top w:w="60" w:type="dxa"/>
              <w:bottom w:w="60" w:type="dxa"/>
              <w:left w:w="100" w:type="dxa"/>
              <w:right w:w="100" w:type="dxa"/>
            </w:tcMar>
            <w:shd w:fill="F7FAFC"/>
          </w:tcPr>
          <w:p>
            <w:r>
              <w:rPr>
                <w:sz w:val="17"/>
              </w:rPr>
              <w:t>Tasa de corte u obstáculo financiero mínimo para crear valor.</w:t>
            </w:r>
          </w:p>
        </w:tc>
      </w:tr>
      <w:tr>
        <w:tc>
          <w:tcPr>
            <w:tcW w:type="dxa" w:w="1958"/>
            <w:tcMar>
              <w:top w:w="60" w:type="dxa"/>
              <w:bottom w:w="60" w:type="dxa"/>
              <w:left w:w="100" w:type="dxa"/>
              <w:right w:w="100" w:type="dxa"/>
            </w:tcMar>
            <w:shd w:fill="E2EFDA"/>
          </w:tcPr>
          <w:p>
            <w:r>
              <w:rPr>
                <w:sz w:val="17"/>
              </w:rPr>
              <w:t>Productividad Tangible</w:t>
            </w:r>
          </w:p>
        </w:tc>
        <w:tc>
          <w:tcPr>
            <w:tcW w:type="dxa" w:w="1958"/>
            <w:tcMar>
              <w:top w:w="60" w:type="dxa"/>
              <w:bottom w:w="60" w:type="dxa"/>
              <w:left w:w="100" w:type="dxa"/>
              <w:right w:w="100" w:type="dxa"/>
            </w:tcMar>
            <w:shd w:fill="E2EFDA"/>
          </w:tcPr>
          <w:p>
            <w:r>
              <w:rPr>
                <w:b/>
                <w:sz w:val="17"/>
              </w:rPr>
              <w:t>ROC Greenblatt (Pre-Tax)</w:t>
            </w:r>
          </w:p>
        </w:tc>
        <w:tc>
          <w:tcPr>
            <w:tcW w:type="dxa" w:w="1958"/>
            <w:tcMar>
              <w:top w:w="60" w:type="dxa"/>
              <w:bottom w:w="60" w:type="dxa"/>
              <w:left w:w="100" w:type="dxa"/>
              <w:right w:w="100" w:type="dxa"/>
            </w:tcMar>
            <w:shd w:fill="E2EFDA"/>
          </w:tcPr>
          <w:p>
            <w:r>
              <w:rPr>
                <w:b/>
                <w:sz w:val="17"/>
              </w:rPr>
              <w:t>82.36%</w:t>
            </w:r>
          </w:p>
        </w:tc>
        <w:tc>
          <w:tcPr>
            <w:tcW w:type="dxa" w:w="1958"/>
            <w:tcMar>
              <w:top w:w="60" w:type="dxa"/>
              <w:bottom w:w="60" w:type="dxa"/>
              <w:left w:w="100" w:type="dxa"/>
              <w:right w:w="100" w:type="dxa"/>
            </w:tcMar>
            <w:shd w:fill="E2EFDA"/>
          </w:tcPr>
          <w:p>
            <w:r>
              <w:rPr>
                <w:sz w:val="17"/>
              </w:rPr>
              <w:t>Mediana Sector (32.00%)</w:t>
            </w:r>
          </w:p>
        </w:tc>
        <w:tc>
          <w:tcPr>
            <w:tcW w:type="dxa" w:w="1958"/>
            <w:tcMar>
              <w:top w:w="60" w:type="dxa"/>
              <w:bottom w:w="60" w:type="dxa"/>
              <w:left w:w="100" w:type="dxa"/>
              <w:right w:w="100" w:type="dxa"/>
            </w:tcMar>
            <w:shd w:fill="E2EFDA"/>
          </w:tcPr>
          <w:p>
            <w:r>
              <w:rPr>
                <w:sz w:val="17"/>
              </w:rPr>
              <w:t>Asset-Light; supera al sector por +50.36 p.p..</w:t>
            </w:r>
          </w:p>
        </w:tc>
      </w:tr>
      <w:tr>
        <w:tc>
          <w:tcPr>
            <w:tcW w:type="dxa" w:w="1958"/>
            <w:tcMar>
              <w:top w:w="60" w:type="dxa"/>
              <w:bottom w:w="60" w:type="dxa"/>
              <w:left w:w="100" w:type="dxa"/>
              <w:right w:w="100" w:type="dxa"/>
            </w:tcMar>
            <w:shd w:fill="F7FAFC"/>
          </w:tcPr>
          <w:p>
            <w:r>
              <w:rPr>
                <w:sz w:val="17"/>
              </w:rPr>
              <w:t>Productividad Tangible</w:t>
            </w:r>
          </w:p>
        </w:tc>
        <w:tc>
          <w:tcPr>
            <w:tcW w:type="dxa" w:w="1958"/>
            <w:tcMar>
              <w:top w:w="60" w:type="dxa"/>
              <w:bottom w:w="60" w:type="dxa"/>
              <w:left w:w="100" w:type="dxa"/>
              <w:right w:w="100" w:type="dxa"/>
            </w:tcMar>
            <w:shd w:fill="F7FAFC"/>
          </w:tcPr>
          <w:p>
            <w:r>
              <w:rPr>
                <w:b/>
                <w:sz w:val="17"/>
              </w:rPr>
              <w:t>Capital Tangible Promedio</w:t>
            </w:r>
          </w:p>
        </w:tc>
        <w:tc>
          <w:tcPr>
            <w:tcW w:type="dxa" w:w="1958"/>
            <w:tcMar>
              <w:top w:w="60" w:type="dxa"/>
              <w:bottom w:w="60" w:type="dxa"/>
              <w:left w:w="100" w:type="dxa"/>
              <w:right w:w="100" w:type="dxa"/>
            </w:tcMar>
            <w:shd w:fill="F7FAFC"/>
          </w:tcPr>
          <w:p>
            <w:r>
              <w:rPr>
                <w:b/>
                <w:sz w:val="17"/>
              </w:rPr>
              <w:t>$3,529.5M</w:t>
            </w:r>
          </w:p>
        </w:tc>
        <w:tc>
          <w:tcPr>
            <w:tcW w:type="dxa" w:w="1958"/>
            <w:tcMar>
              <w:top w:w="60" w:type="dxa"/>
              <w:bottom w:w="60" w:type="dxa"/>
              <w:left w:w="100" w:type="dxa"/>
              <w:right w:w="100" w:type="dxa"/>
            </w:tcMar>
            <w:shd w:fill="F7FAFC"/>
          </w:tcPr>
          <w:p>
            <w:r>
              <w:rPr>
                <w:sz w:val="17"/>
              </w:rPr>
              <w:t>Balance SEC Form 10-Q</w:t>
            </w:r>
          </w:p>
        </w:tc>
        <w:tc>
          <w:tcPr>
            <w:tcW w:type="dxa" w:w="1958"/>
            <w:tcMar>
              <w:top w:w="60" w:type="dxa"/>
              <w:bottom w:w="60" w:type="dxa"/>
              <w:left w:w="100" w:type="dxa"/>
              <w:right w:w="100" w:type="dxa"/>
            </w:tcMar>
            <w:shd w:fill="F7FAFC"/>
          </w:tcPr>
          <w:p>
            <w:r>
              <w:rPr>
                <w:sz w:val="17"/>
              </w:rPr>
              <w:t>Base física operativa mínima tras salvaguardas.</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ROIC Contable Tradicional</w:t>
            </w:r>
          </w:p>
        </w:tc>
        <w:tc>
          <w:tcPr>
            <w:tcW w:type="dxa" w:w="1958"/>
            <w:tcMar>
              <w:top w:w="60" w:type="dxa"/>
              <w:bottom w:w="60" w:type="dxa"/>
              <w:left w:w="100" w:type="dxa"/>
              <w:right w:w="100" w:type="dxa"/>
            </w:tcMar>
          </w:tcPr>
          <w:p>
            <w:r>
              <w:rPr>
                <w:b/>
                <w:sz w:val="17"/>
              </w:rPr>
              <w:t>25.45%</w:t>
            </w:r>
          </w:p>
        </w:tc>
        <w:tc>
          <w:tcPr>
            <w:tcW w:type="dxa" w:w="1958"/>
            <w:tcMar>
              <w:top w:w="60" w:type="dxa"/>
              <w:bottom w:w="60" w:type="dxa"/>
              <w:left w:w="100" w:type="dxa"/>
              <w:right w:w="100" w:type="dxa"/>
            </w:tcMar>
          </w:tcPr>
          <w:p>
            <w:r>
              <w:rPr>
                <w:sz w:val="17"/>
              </w:rPr>
              <w:t>ROIC sin ajustes</w:t>
            </w:r>
          </w:p>
        </w:tc>
        <w:tc>
          <w:tcPr>
            <w:tcW w:type="dxa" w:w="1958"/>
            <w:tcMar>
              <w:top w:w="60" w:type="dxa"/>
              <w:bottom w:w="60" w:type="dxa"/>
              <w:left w:w="100" w:type="dxa"/>
              <w:right w:w="100" w:type="dxa"/>
            </w:tcMar>
          </w:tcPr>
          <w:p>
            <w:r>
              <w:rPr>
                <w:sz w:val="17"/>
              </w:rPr>
              <w:t>Métrica distorsionada por no capitalizar gasto de innovación.</w:t>
            </w:r>
          </w:p>
        </w:tc>
      </w:tr>
      <w:tr>
        <w:tc>
          <w:tcPr>
            <w:tcW w:type="dxa" w:w="1958"/>
            <w:tcMar>
              <w:top w:w="60" w:type="dxa"/>
              <w:bottom w:w="60" w:type="dxa"/>
              <w:left w:w="100" w:type="dxa"/>
              <w:right w:w="100" w:type="dxa"/>
            </w:tcMar>
            <w:shd w:fill="F7FAFC"/>
          </w:tcPr>
          <w:p>
            <w:r>
              <w:rPr>
                <w:sz w:val="17"/>
              </w:rPr>
              <w:t>Retorno Reconstituido</w:t>
            </w:r>
          </w:p>
        </w:tc>
        <w:tc>
          <w:tcPr>
            <w:tcW w:type="dxa" w:w="1958"/>
            <w:tcMar>
              <w:top w:w="60" w:type="dxa"/>
              <w:bottom w:w="60" w:type="dxa"/>
              <w:left w:w="100" w:type="dxa"/>
              <w:right w:w="100" w:type="dxa"/>
            </w:tcMar>
            <w:shd w:fill="F7FAFC"/>
          </w:tcPr>
          <w:p>
            <w:r>
              <w:rPr>
                <w:b/>
                <w:sz w:val="17"/>
              </w:rPr>
              <w:t>Stock Intangibles I+D</w:t>
            </w:r>
          </w:p>
        </w:tc>
        <w:tc>
          <w:tcPr>
            <w:tcW w:type="dxa" w:w="1958"/>
            <w:tcMar>
              <w:top w:w="60" w:type="dxa"/>
              <w:bottom w:w="60" w:type="dxa"/>
              <w:left w:w="100" w:type="dxa"/>
              <w:right w:w="100" w:type="dxa"/>
            </w:tcMar>
            <w:shd w:fill="F7FAFC"/>
          </w:tcPr>
          <w:p>
            <w:r>
              <w:rPr>
                <w:b/>
                <w:sz w:val="17"/>
              </w:rPr>
              <w:t>$7,912.4M</w:t>
            </w:r>
          </w:p>
        </w:tc>
        <w:tc>
          <w:tcPr>
            <w:tcW w:type="dxa" w:w="1958"/>
            <w:tcMar>
              <w:top w:w="60" w:type="dxa"/>
              <w:bottom w:w="60" w:type="dxa"/>
              <w:left w:w="100" w:type="dxa"/>
              <w:right w:w="100" w:type="dxa"/>
            </w:tcMar>
            <w:shd w:fill="F7FAFC"/>
          </w:tcPr>
          <w:p>
            <w:r>
              <w:rPr>
                <w:sz w:val="17"/>
              </w:rPr>
              <w:t>Amortización 3 Años</w:t>
            </w:r>
          </w:p>
        </w:tc>
        <w:tc>
          <w:tcPr>
            <w:tcW w:type="dxa" w:w="1958"/>
            <w:tcMar>
              <w:top w:w="60" w:type="dxa"/>
              <w:bottom w:w="60" w:type="dxa"/>
              <w:left w:w="100" w:type="dxa"/>
              <w:right w:w="100" w:type="dxa"/>
            </w:tcMar>
            <w:shd w:fill="F7FAFC"/>
          </w:tcPr>
          <w:p>
            <w:r>
              <w:rPr>
                <w:sz w:val="17"/>
              </w:rPr>
              <w:t>Valor acumulado de patentes, silicio y software.</w:t>
            </w:r>
          </w:p>
        </w:tc>
      </w:tr>
      <w:tr>
        <w:tc>
          <w:tcPr>
            <w:tcW w:type="dxa" w:w="1958"/>
            <w:tcMar>
              <w:top w:w="60" w:type="dxa"/>
              <w:bottom w:w="60" w:type="dxa"/>
              <w:left w:w="100" w:type="dxa"/>
              <w:right w:w="100" w:type="dxa"/>
            </w:tcMar>
          </w:tcPr>
          <w:p>
            <w:r>
              <w:rPr>
                <w:sz w:val="17"/>
              </w:rPr>
              <w:t>Retorno Reconstituido</w:t>
            </w:r>
          </w:p>
        </w:tc>
        <w:tc>
          <w:tcPr>
            <w:tcW w:type="dxa" w:w="1958"/>
            <w:tcMar>
              <w:top w:w="60" w:type="dxa"/>
              <w:bottom w:w="60" w:type="dxa"/>
              <w:left w:w="100" w:type="dxa"/>
              <w:right w:w="100" w:type="dxa"/>
            </w:tcMar>
          </w:tcPr>
          <w:p>
            <w:r>
              <w:rPr>
                <w:b/>
                <w:sz w:val="17"/>
              </w:rPr>
              <w:t>Capital Invertido Promedio</w:t>
            </w:r>
          </w:p>
        </w:tc>
        <w:tc>
          <w:tcPr>
            <w:tcW w:type="dxa" w:w="1958"/>
            <w:tcMar>
              <w:top w:w="60" w:type="dxa"/>
              <w:bottom w:w="60" w:type="dxa"/>
              <w:left w:w="100" w:type="dxa"/>
              <w:right w:w="100" w:type="dxa"/>
            </w:tcMar>
          </w:tcPr>
          <w:p>
            <w:r>
              <w:rPr>
                <w:b/>
                <w:sz w:val="17"/>
              </w:rPr>
              <w:t>$18,531.3M</w:t>
            </w:r>
          </w:p>
        </w:tc>
        <w:tc>
          <w:tcPr>
            <w:tcW w:type="dxa" w:w="1958"/>
            <w:tcMar>
              <w:top w:w="60" w:type="dxa"/>
              <w:bottom w:w="60" w:type="dxa"/>
              <w:left w:w="100" w:type="dxa"/>
              <w:right w:w="100" w:type="dxa"/>
            </w:tcMar>
          </w:tcPr>
          <w:p>
            <w:r>
              <w:rPr>
                <w:sz w:val="17"/>
              </w:rPr>
              <w:t>Base Económica Total</w:t>
            </w:r>
          </w:p>
        </w:tc>
        <w:tc>
          <w:tcPr>
            <w:tcW w:type="dxa" w:w="1958"/>
            <w:tcMar>
              <w:top w:w="60" w:type="dxa"/>
              <w:bottom w:w="60" w:type="dxa"/>
              <w:left w:w="100" w:type="dxa"/>
              <w:right w:w="100" w:type="dxa"/>
            </w:tcMar>
          </w:tcPr>
          <w:p>
            <w:r>
              <w:rPr>
                <w:sz w:val="17"/>
              </w:rPr>
              <w:t>Base de capital honesta que absorbe las inversiones en I+D.</w:t>
            </w:r>
          </w:p>
        </w:tc>
      </w:tr>
      <w:tr>
        <w:tc>
          <w:tcPr>
            <w:tcW w:type="dxa" w:w="1958"/>
            <w:tcMar>
              <w:top w:w="60" w:type="dxa"/>
              <w:bottom w:w="60" w:type="dxa"/>
              <w:left w:w="100" w:type="dxa"/>
              <w:right w:w="100" w:type="dxa"/>
            </w:tcMar>
            <w:shd w:fill="F7FAFC"/>
            <w:shd w:fill="E2EFDA"/>
          </w:tcPr>
          <w:p>
            <w:r>
              <w:rPr>
                <w:b/>
                <w:sz w:val="17"/>
              </w:rPr>
              <w:t>Retorno Reconstituido</w:t>
            </w:r>
          </w:p>
        </w:tc>
        <w:tc>
          <w:tcPr>
            <w:tcW w:type="dxa" w:w="1958"/>
            <w:tcMar>
              <w:top w:w="60" w:type="dxa"/>
              <w:bottom w:w="60" w:type="dxa"/>
              <w:left w:w="100" w:type="dxa"/>
              <w:right w:w="100" w:type="dxa"/>
            </w:tcMar>
            <w:shd w:fill="F7FAFC"/>
            <w:shd w:fill="E2EFDA"/>
          </w:tcPr>
          <w:p>
            <w:r>
              <w:rPr>
                <w:b/>
                <w:sz w:val="17"/>
              </w:rPr>
              <w:t>ROIC Ajustado por Intangibles</w:t>
            </w:r>
          </w:p>
        </w:tc>
        <w:tc>
          <w:tcPr>
            <w:tcW w:type="dxa" w:w="1958"/>
            <w:tcMar>
              <w:top w:w="60" w:type="dxa"/>
              <w:bottom w:w="60" w:type="dxa"/>
              <w:left w:w="100" w:type="dxa"/>
              <w:right w:w="100" w:type="dxa"/>
            </w:tcMar>
            <w:shd w:fill="F7FAFC"/>
            <w:shd w:fill="E2EFDA"/>
          </w:tcPr>
          <w:p>
            <w:r>
              <w:rPr>
                <w:b/>
                <w:sz w:val="17"/>
              </w:rPr>
              <w:t>18.10%</w:t>
            </w:r>
          </w:p>
        </w:tc>
        <w:tc>
          <w:tcPr>
            <w:tcW w:type="dxa" w:w="1958"/>
            <w:tcMar>
              <w:top w:w="60" w:type="dxa"/>
              <w:bottom w:w="60" w:type="dxa"/>
              <w:left w:w="100" w:type="dxa"/>
              <w:right w:w="100" w:type="dxa"/>
            </w:tcMar>
            <w:shd w:fill="F7FAFC"/>
            <w:shd w:fill="E2EFDA"/>
          </w:tcPr>
          <w:p>
            <w:r>
              <w:rPr>
                <w:b/>
                <w:sz w:val="17"/>
              </w:rPr>
              <w:t>Mediana Sector (17.20%)</w:t>
            </w:r>
          </w:p>
        </w:tc>
        <w:tc>
          <w:tcPr>
            <w:tcW w:type="dxa" w:w="1958"/>
            <w:tcMar>
              <w:top w:w="60" w:type="dxa"/>
              <w:bottom w:w="60" w:type="dxa"/>
              <w:left w:w="100" w:type="dxa"/>
              <w:right w:w="100" w:type="dxa"/>
            </w:tcMar>
            <w:shd w:fill="F7FAFC"/>
            <w:shd w:fill="E2EFDA"/>
          </w:tcPr>
          <w:p>
            <w:r>
              <w:rPr>
                <w:b/>
                <w:sz w:val="17"/>
              </w:rPr>
              <w:t>Retorno real sobre capital total invertido en el negocio.</w:t>
            </w:r>
          </w:p>
        </w:tc>
      </w:tr>
      <w:tr>
        <w:tc>
          <w:tcPr>
            <w:tcW w:type="dxa" w:w="1958"/>
            <w:tcMar>
              <w:top w:w="60" w:type="dxa"/>
              <w:bottom w:w="60" w:type="dxa"/>
              <w:left w:w="100" w:type="dxa"/>
              <w:right w:w="100" w:type="dxa"/>
            </w:tcMar>
            <w:shd w:fill="E2EFDA"/>
          </w:tcPr>
          <w:p>
            <w:r>
              <w:rPr>
                <w:b/>
                <w:sz w:val="17"/>
              </w:rPr>
              <w:t>Creación de Valor (EVA)</w:t>
            </w:r>
          </w:p>
        </w:tc>
        <w:tc>
          <w:tcPr>
            <w:tcW w:type="dxa" w:w="1958"/>
            <w:tcMar>
              <w:top w:w="60" w:type="dxa"/>
              <w:bottom w:w="60" w:type="dxa"/>
              <w:left w:w="100" w:type="dxa"/>
              <w:right w:w="100" w:type="dxa"/>
            </w:tcMar>
            <w:shd w:fill="E2EFDA"/>
          </w:tcPr>
          <w:p>
            <w:r>
              <w:rPr>
                <w:b/>
                <w:sz w:val="17"/>
              </w:rPr>
              <w:t>Spread Económico Neto</w:t>
            </w:r>
          </w:p>
        </w:tc>
        <w:tc>
          <w:tcPr>
            <w:tcW w:type="dxa" w:w="1958"/>
            <w:tcMar>
              <w:top w:w="60" w:type="dxa"/>
              <w:bottom w:w="60" w:type="dxa"/>
              <w:left w:w="100" w:type="dxa"/>
              <w:right w:w="100" w:type="dxa"/>
            </w:tcMar>
            <w:shd w:fill="E2EFDA"/>
          </w:tcPr>
          <w:p>
            <w:r>
              <w:rPr>
                <w:b/>
                <w:sz w:val="17"/>
              </w:rPr>
              <w:t>+7.07 p.p.</w:t>
            </w:r>
          </w:p>
        </w:tc>
        <w:tc>
          <w:tcPr>
            <w:tcW w:type="dxa" w:w="1958"/>
            <w:tcMar>
              <w:top w:w="60" w:type="dxa"/>
              <w:bottom w:w="60" w:type="dxa"/>
              <w:left w:w="100" w:type="dxa"/>
              <w:right w:w="100" w:type="dxa"/>
            </w:tcMar>
            <w:shd w:fill="E2EFDA"/>
          </w:tcPr>
          <w:p>
            <w:r>
              <w:rPr>
                <w:b/>
                <w:sz w:val="17"/>
              </w:rPr>
              <w:t>Mediana Sector (+8.00 p.p.)</w:t>
            </w:r>
          </w:p>
        </w:tc>
        <w:tc>
          <w:tcPr>
            <w:tcW w:type="dxa" w:w="1958"/>
            <w:tcMar>
              <w:top w:w="60" w:type="dxa"/>
              <w:bottom w:w="60" w:type="dxa"/>
              <w:left w:w="100" w:type="dxa"/>
              <w:right w:w="100" w:type="dxa"/>
            </w:tcMar>
            <w:shd w:fill="E2EFDA"/>
          </w:tcPr>
          <w:p>
            <w:r>
              <w:rPr>
                <w:b/>
                <w:sz w:val="17"/>
              </w:rPr>
              <w:t>Extraordinaria generación de riqueza neta sobre el coste de capital.</w:t>
            </w:r>
          </w:p>
        </w:tc>
      </w:tr>
      <w:tr>
        <w:tc>
          <w:tcPr>
            <w:tcW w:type="dxa" w:w="1958"/>
            <w:tcMar>
              <w:top w:w="60" w:type="dxa"/>
              <w:bottom w:w="60" w:type="dxa"/>
              <w:left w:w="100" w:type="dxa"/>
              <w:right w:w="100" w:type="dxa"/>
            </w:tcMar>
            <w:shd w:fill="F7FAFC"/>
          </w:tcPr>
          <w:p>
            <w:r>
              <w:rPr>
                <w:sz w:val="17"/>
              </w:rPr>
              <w:t>Creación de Valor (EVA)</w:t>
            </w:r>
          </w:p>
        </w:tc>
        <w:tc>
          <w:tcPr>
            <w:tcW w:type="dxa" w:w="1958"/>
            <w:tcMar>
              <w:top w:w="60" w:type="dxa"/>
              <w:bottom w:w="60" w:type="dxa"/>
              <w:left w:w="100" w:type="dxa"/>
              <w:right w:w="100" w:type="dxa"/>
            </w:tcMar>
            <w:shd w:fill="F7FAFC"/>
          </w:tcPr>
          <w:p>
            <w:r>
              <w:rPr>
                <w:b/>
                <w:sz w:val="17"/>
              </w:rPr>
              <w:t>Dictamen Foso Defensivo</w:t>
            </w:r>
          </w:p>
        </w:tc>
        <w:tc>
          <w:tcPr>
            <w:tcW w:type="dxa" w:w="1958"/>
            <w:tcMar>
              <w:top w:w="60" w:type="dxa"/>
              <w:bottom w:w="60" w:type="dxa"/>
              <w:left w:w="100" w:type="dxa"/>
              <w:right w:w="100" w:type="dxa"/>
            </w:tcMar>
            <w:shd w:fill="F7FAFC"/>
          </w:tcPr>
          <w:p>
            <w:r>
              <w:rPr>
                <w:b/>
                <w:sz w:val="17"/>
              </w:rPr>
              <w:t>🛡️ NARROW MOAT / CREACIÓN DE VALOR SOSTENIBLE</w:t>
            </w:r>
          </w:p>
        </w:tc>
        <w:tc>
          <w:tcPr>
            <w:tcW w:type="dxa" w:w="1958"/>
            <w:tcMar>
              <w:top w:w="60" w:type="dxa"/>
              <w:bottom w:w="60" w:type="dxa"/>
              <w:left w:w="100" w:type="dxa"/>
              <w:right w:w="100" w:type="dxa"/>
            </w:tcMar>
            <w:shd w:fill="F7FAFC"/>
          </w:tcPr>
          <w:p>
            <w:r>
              <w:rPr>
                <w:sz w:val="17"/>
              </w:rPr>
              <w:t>Compounding Machine</w:t>
            </w:r>
          </w:p>
        </w:tc>
        <w:tc>
          <w:tcPr>
            <w:tcW w:type="dxa" w:w="1958"/>
            <w:tcMar>
              <w:top w:w="60" w:type="dxa"/>
              <w:bottom w:w="60" w:type="dxa"/>
              <w:left w:w="100" w:type="dxa"/>
              <w:right w:w="100" w:type="dxa"/>
            </w:tcMar>
            <w:shd w:fill="F7FAFC"/>
          </w:tcPr>
          <w:p>
            <w:r>
              <w:rPr>
                <w:sz w:val="17"/>
              </w:rPr>
              <w:t>Fortaleza estructural inquebrantable de largo plazo.</w:t>
            </w:r>
          </w:p>
        </w:tc>
      </w:tr>
    </w:tbl>
    <w:p/>
    <w:p>
      <w:pPr>
        <w:pStyle w:val="Heading1"/>
        <w:spacing w:before="280" w:after="80"/>
      </w:pPr>
      <w:r>
        <w:rPr>
          <w:rFonts w:ascii="Calibri" w:hAnsi="Calibri"/>
          <w:b/>
          <w:color w:val="1B365D"/>
          <w:sz w:val="28"/>
        </w:rPr>
        <w:t>12. Auditoría Forense Contable y Calidad de Beneficios (Detección de Trampas Contables)</w:t>
      </w:r>
    </w:p>
    <w:p>
      <w:pPr>
        <w:spacing w:before="80" w:after="160"/>
        <w:ind w:left="288" w:right="288"/>
      </w:pPr>
      <w:r>
        <w:rPr>
          <w:rFonts w:ascii="Calibri" w:hAnsi="Calibri"/>
          <w:b/>
          <w:color w:val="1B365D"/>
          <w:sz w:val="21"/>
        </w:rPr>
        <w:t>DICTAMEN FORENSE INSTITUCIONAL (LTM): ZONA DE VIGILANCIA</w:t>
        <w:br/>
      </w:r>
      <w:r>
        <w:rPr>
          <w:rFonts w:ascii="Calibri" w:hAnsi="Calibri"/>
          <w:color w:val="2D3748"/>
          <w:sz w:val="19"/>
        </w:rPr>
        <w:t>• Ratio Sloan de Devengos: -25.62% [ALTA CONVERSIÓN DE CAJA (CFO &gt; NI)]</w:t>
        <w:br/>
        <w:t>• Montier C-Score: 3 / 6 [RIESGO MEDIO-ALTO / VIGILANCIA RIGUROSA (&lt; 40% VIGILANCIA)]</w:t>
        <w:br/>
        <w:t>• Dictamen: ZONA DE VIGILANCIA POR DESFASES OPERATIVOS: Montier C-Score de 3/6 con divergencias puntuales en capital de trabajo. Revisar ciclos estacionales de inventarios y condiciones comerciales de cobro.</w:t>
      </w:r>
    </w:p>
    <w:p>
      <w:pPr>
        <w:spacing w:after="120"/>
      </w:pPr>
      <w:r>
        <w:rPr>
          <w:rFonts w:ascii="Calibri" w:hAnsi="Calibri"/>
          <w:color w:val="2D3748"/>
          <w:sz w:val="19"/>
        </w:rPr>
        <w:t>A fin de verificar la autenticidad intrínseca de las ganancias reportadas ante los reguladores (SEC) y descartar de forma exhaustiva el riesgo de 'beneficios de papel', inflación artificial de márgenes o reconocimiento agresivo de ventas, se auditan tres instrumentos cuantitativos especializados no redundantes: el Ratio de Devengos de Sloan (1996), la Matriz de Divergencias de Alerta Temprana en balance y el Montier C-Score (2008).</w:t>
      </w:r>
    </w:p>
    <w:p>
      <w:pPr>
        <w:pStyle w:val="Heading2"/>
      </w:pPr>
      <w:r>
        <w:rPr>
          <w:rFonts w:ascii="Calibri" w:hAnsi="Calibri"/>
          <w:b/>
          <w:color w:val="1B365D"/>
          <w:sz w:val="23"/>
        </w:rPr>
        <w:t>12.1. Ratio de Devengos de Sloan (The Accrual Anomaly)</w:t>
      </w:r>
    </w:p>
    <w:p>
      <w:pPr>
        <w:spacing w:after="120"/>
      </w:pPr>
      <w:r>
        <w:rPr>
          <w:rFonts w:ascii="Calibri" w:hAnsi="Calibri"/>
          <w:color w:val="2D3748"/>
          <w:sz w:val="18"/>
        </w:rPr>
        <w:t>El profesor Richard Sloan (University of Michigan, 1996) demostró que los beneficios contables generados mediante asientos de ajuste o partidas no monetarias exhiben una persistencia temporal muy inferior a las ganancias respaldadas por cobros efectivos. Un ratio de devengos negativo —donde el flujo de caja operativo supera a la utilidad neta— constituye un foso de máxima calidad contable:</w:t>
        <w:br/>
        <w:t>Sloan Accrual Ratio = (Utilidad Neta GAAP − Flujo de Caja Operativo CFO) / Activos Totales Promedio</w:t>
        <w:br/>
        <w:t>• &lt; -3.0%: Excelente / Calidad Superior  |  • -3.0% a +7.0%: Rango Saludable  |  • +7.0% a +10.0%: Precaución  |  • &gt; +10.0%: Alerta Roja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592"/>
        <w:gridCol w:w="1094"/>
        <w:gridCol w:w="1094"/>
        <w:gridCol w:w="1094"/>
        <w:gridCol w:w="1094"/>
        <w:gridCol w:w="1094"/>
        <w:gridCol w:w="1728"/>
      </w:tblGrid>
      <w:tr>
        <w:tc>
          <w:tcPr>
            <w:tcW w:type="dxa" w:w="2592"/>
            <w:shd w:fill="1B365D"/>
            <w:tcMar>
              <w:top w:w="80" w:type="dxa"/>
              <w:bottom w:w="80" w:type="dxa"/>
              <w:left w:w="80" w:type="dxa"/>
              <w:right w:w="80" w:type="dxa"/>
            </w:tcMar>
          </w:tcPr>
          <w:p>
            <w:pPr>
              <w:jc w:val="left"/>
            </w:pPr>
            <w:r>
              <w:rPr>
                <w:rFonts w:ascii="Calibri" w:hAnsi="Calibri"/>
                <w:b/>
                <w:color w:val="FFFFFF"/>
                <w:sz w:val="17"/>
              </w:rPr>
              <w:t>Métrica Contable Forense</w:t>
            </w:r>
          </w:p>
        </w:tc>
        <w:tc>
          <w:tcPr>
            <w:tcW w:type="dxa" w:w="1094"/>
            <w:shd w:fill="0A3641"/>
            <w:tcMar>
              <w:top w:w="80" w:type="dxa"/>
              <w:bottom w:w="80" w:type="dxa"/>
              <w:left w:w="80" w:type="dxa"/>
              <w:right w:w="80" w:type="dxa"/>
            </w:tcMar>
          </w:tcPr>
          <w:p>
            <w:pPr>
              <w:jc w:val="center"/>
            </w:pPr>
            <w:r>
              <w:rPr>
                <w:rFonts w:ascii="Calibri" w:hAnsi="Calibri"/>
                <w:b/>
                <w:color w:val="FFD700"/>
                <w:sz w:val="17"/>
              </w:rPr>
              <w:t>LTM</w:t>
            </w:r>
          </w:p>
        </w:tc>
        <w:tc>
          <w:tcPr>
            <w:tcW w:type="dxa" w:w="1094"/>
            <w:shd w:fill="1B365D"/>
            <w:tcMar>
              <w:top w:w="80" w:type="dxa"/>
              <w:bottom w:w="80" w:type="dxa"/>
              <w:left w:w="80" w:type="dxa"/>
              <w:right w:w="80" w:type="dxa"/>
            </w:tcMar>
          </w:tcPr>
          <w:p>
            <w:pPr>
              <w:jc w:val="center"/>
            </w:pPr>
            <w:r>
              <w:rPr>
                <w:rFonts w:ascii="Calibri" w:hAnsi="Calibri"/>
                <w:b/>
                <w:color w:val="FFFFFF"/>
                <w:sz w:val="17"/>
              </w:rPr>
              <w:t>FY2025</w:t>
            </w:r>
          </w:p>
        </w:tc>
        <w:tc>
          <w:tcPr>
            <w:tcW w:type="dxa" w:w="1094"/>
            <w:shd w:fill="1B365D"/>
            <w:tcMar>
              <w:top w:w="80" w:type="dxa"/>
              <w:bottom w:w="80" w:type="dxa"/>
              <w:left w:w="80" w:type="dxa"/>
              <w:right w:w="80" w:type="dxa"/>
            </w:tcMar>
          </w:tcPr>
          <w:p>
            <w:pPr>
              <w:jc w:val="center"/>
            </w:pPr>
            <w:r>
              <w:rPr>
                <w:rFonts w:ascii="Calibri" w:hAnsi="Calibri"/>
                <w:b/>
                <w:color w:val="FFFFFF"/>
                <w:sz w:val="17"/>
              </w:rPr>
              <w:t>FY2024</w:t>
            </w:r>
          </w:p>
        </w:tc>
        <w:tc>
          <w:tcPr>
            <w:tcW w:type="dxa" w:w="1094"/>
            <w:shd w:fill="1B365D"/>
            <w:tcMar>
              <w:top w:w="80" w:type="dxa"/>
              <w:bottom w:w="80" w:type="dxa"/>
              <w:left w:w="80" w:type="dxa"/>
              <w:right w:w="80" w:type="dxa"/>
            </w:tcMar>
          </w:tcPr>
          <w:p>
            <w:pPr>
              <w:jc w:val="center"/>
            </w:pPr>
            <w:r>
              <w:rPr>
                <w:rFonts w:ascii="Calibri" w:hAnsi="Calibri"/>
                <w:b/>
                <w:color w:val="FFFFFF"/>
                <w:sz w:val="17"/>
              </w:rPr>
              <w:t>FY2023</w:t>
            </w:r>
          </w:p>
        </w:tc>
        <w:tc>
          <w:tcPr>
            <w:tcW w:type="dxa" w:w="1094"/>
            <w:shd w:fill="1B365D"/>
            <w:tcMar>
              <w:top w:w="80" w:type="dxa"/>
              <w:bottom w:w="80" w:type="dxa"/>
              <w:left w:w="80" w:type="dxa"/>
              <w:right w:w="80" w:type="dxa"/>
            </w:tcMar>
          </w:tcPr>
          <w:p>
            <w:pPr>
              <w:jc w:val="center"/>
            </w:pPr>
            <w:r>
              <w:rPr>
                <w:rFonts w:ascii="Calibri" w:hAnsi="Calibri"/>
                <w:b/>
                <w:color w:val="FFFFFF"/>
                <w:sz w:val="17"/>
              </w:rPr>
              <w:t>FY2022</w:t>
            </w:r>
          </w:p>
        </w:tc>
        <w:tc>
          <w:tcPr>
            <w:tcW w:type="dxa" w:w="1728"/>
            <w:shd w:fill="1B365D"/>
            <w:tcMar>
              <w:top w:w="80" w:type="dxa"/>
              <w:bottom w:w="80" w:type="dxa"/>
              <w:left w:w="80" w:type="dxa"/>
              <w:right w:w="80" w:type="dxa"/>
            </w:tcMar>
          </w:tcPr>
          <w:p>
            <w:pPr>
              <w:jc w:val="center"/>
            </w:pPr>
            <w:r>
              <w:rPr>
                <w:rFonts w:ascii="Calibri" w:hAnsi="Calibri"/>
                <w:b/>
                <w:color w:val="FFFFFF"/>
                <w:sz w:val="17"/>
              </w:rPr>
              <w:t>Umbral Institucional</w:t>
            </w:r>
          </w:p>
        </w:tc>
      </w:tr>
      <w:tr>
        <w:tc>
          <w:tcPr>
            <w:tcW w:type="dxa" w:w="2592"/>
            <w:tcMar>
              <w:top w:w="60" w:type="dxa"/>
              <w:bottom w:w="60" w:type="dxa"/>
              <w:left w:w="80" w:type="dxa"/>
              <w:right w:w="80" w:type="dxa"/>
            </w:tcMar>
          </w:tcPr>
          <w:p>
            <w:r>
              <w:rPr>
                <w:rFonts w:ascii="Calibri" w:hAnsi="Calibri"/>
                <w:b w:val="0"/>
                <w:sz w:val="17"/>
              </w:rPr>
              <w:t>(+) Utilidad Neta GAAP ($M)</w:t>
            </w:r>
          </w:p>
        </w:tc>
        <w:tc>
          <w:tcPr>
            <w:tcW w:type="dxa" w:w="1094"/>
            <w:tcMar>
              <w:top w:w="60" w:type="dxa"/>
              <w:bottom w:w="60" w:type="dxa"/>
              <w:left w:w="60" w:type="dxa"/>
              <w:right w:w="60" w:type="dxa"/>
            </w:tcMar>
          </w:tcPr>
          <w:p>
            <w:pPr>
              <w:jc w:val="right"/>
            </w:pPr>
            <w:r>
              <w:rPr>
                <w:rFonts w:ascii="Calibri" w:hAnsi="Calibri"/>
                <w:b w:val="0"/>
                <w:sz w:val="17"/>
              </w:rPr>
              <w:t>$1,863.0M</w:t>
            </w:r>
          </w:p>
        </w:tc>
        <w:tc>
          <w:tcPr>
            <w:tcW w:type="dxa" w:w="1094"/>
            <w:tcMar>
              <w:top w:w="60" w:type="dxa"/>
              <w:bottom w:w="60" w:type="dxa"/>
              <w:left w:w="60" w:type="dxa"/>
              <w:right w:w="60" w:type="dxa"/>
            </w:tcMar>
          </w:tcPr>
          <w:p>
            <w:pPr>
              <w:jc w:val="right"/>
            </w:pPr>
            <w:r>
              <w:rPr>
                <w:rFonts w:ascii="Calibri" w:hAnsi="Calibri"/>
                <w:b w:val="0"/>
                <w:sz w:val="17"/>
              </w:rPr>
              <w:t>$1,997.0M</w:t>
            </w:r>
          </w:p>
        </w:tc>
        <w:tc>
          <w:tcPr>
            <w:tcW w:type="dxa" w:w="1094"/>
            <w:tcMar>
              <w:top w:w="60" w:type="dxa"/>
              <w:bottom w:w="60" w:type="dxa"/>
              <w:left w:w="60" w:type="dxa"/>
              <w:right w:w="60" w:type="dxa"/>
            </w:tcMar>
          </w:tcPr>
          <w:p>
            <w:pPr>
              <w:jc w:val="right"/>
            </w:pPr>
            <w:r>
              <w:rPr>
                <w:rFonts w:ascii="Calibri" w:hAnsi="Calibri"/>
                <w:b w:val="0"/>
                <w:sz w:val="17"/>
              </w:rPr>
              <w:t>$1,911.0M</w:t>
            </w:r>
          </w:p>
        </w:tc>
        <w:tc>
          <w:tcPr>
            <w:tcW w:type="dxa" w:w="1094"/>
            <w:tcMar>
              <w:top w:w="60" w:type="dxa"/>
              <w:bottom w:w="60" w:type="dxa"/>
              <w:left w:w="60" w:type="dxa"/>
              <w:right w:w="60" w:type="dxa"/>
            </w:tcMar>
          </w:tcPr>
          <w:p>
            <w:pPr>
              <w:jc w:val="right"/>
            </w:pPr>
            <w:r>
              <w:rPr>
                <w:rFonts w:ascii="Calibri" w:hAnsi="Calibri"/>
                <w:b w:val="0"/>
                <w:sz w:val="17"/>
              </w:rPr>
              <w:t>$987.0M</w:t>
            </w:r>
          </w:p>
        </w:tc>
        <w:tc>
          <w:tcPr>
            <w:tcW w:type="dxa" w:w="1094"/>
            <w:tcMar>
              <w:top w:w="60" w:type="dxa"/>
              <w:bottom w:w="60" w:type="dxa"/>
              <w:left w:w="60" w:type="dxa"/>
              <w:right w:w="60" w:type="dxa"/>
            </w:tcMar>
          </w:tcPr>
          <w:p>
            <w:pPr>
              <w:jc w:val="right"/>
            </w:pPr>
            <w:r>
              <w:rPr>
                <w:rFonts w:ascii="Calibri" w:hAnsi="Calibri"/>
                <w:b w:val="0"/>
                <w:sz w:val="17"/>
              </w:rPr>
              <w:t>$482.0M</w:t>
            </w:r>
          </w:p>
        </w:tc>
        <w:tc>
          <w:tcPr>
            <w:tcW w:type="dxa" w:w="1728"/>
            <w:tcMar>
              <w:top w:w="60" w:type="dxa"/>
              <w:bottom w:w="60" w:type="dxa"/>
              <w:left w:w="60" w:type="dxa"/>
              <w:right w:w="60" w:type="dxa"/>
            </w:tcMar>
          </w:tcPr>
          <w:p>
            <w:pPr>
              <w:jc w:val="center"/>
            </w:pPr>
            <w:r>
              <w:rPr>
                <w:rFonts w:ascii="Calibri" w:hAnsi="Calibri"/>
                <w:i/>
                <w:sz w:val="17"/>
              </w:rPr>
              <w:t>Base Devengada</w:t>
            </w:r>
          </w:p>
        </w:tc>
      </w:tr>
      <w:tr>
        <w:tc>
          <w:tcPr>
            <w:tcW w:type="dxa" w:w="2592"/>
            <w:tcMar>
              <w:top w:w="60" w:type="dxa"/>
              <w:bottom w:w="60" w:type="dxa"/>
              <w:left w:w="80" w:type="dxa"/>
              <w:right w:w="80" w:type="dxa"/>
            </w:tcMar>
          </w:tcPr>
          <w:p>
            <w:r>
              <w:rPr>
                <w:rFonts w:ascii="Calibri" w:hAnsi="Calibri"/>
                <w:b w:val="0"/>
                <w:sz w:val="17"/>
              </w:rPr>
              <w:t>(-) Flujo Operativo CFO ($M)</w:t>
            </w:r>
          </w:p>
        </w:tc>
        <w:tc>
          <w:tcPr>
            <w:tcW w:type="dxa" w:w="1094"/>
            <w:tcMar>
              <w:top w:w="60" w:type="dxa"/>
              <w:bottom w:w="60" w:type="dxa"/>
              <w:left w:w="60" w:type="dxa"/>
              <w:right w:w="60" w:type="dxa"/>
            </w:tcMar>
          </w:tcPr>
          <w:p>
            <w:pPr>
              <w:jc w:val="right"/>
            </w:pPr>
            <w:r>
              <w:rPr>
                <w:rFonts w:ascii="Calibri" w:hAnsi="Calibri"/>
                <w:b w:val="0"/>
                <w:sz w:val="17"/>
              </w:rPr>
              <w:t>$13,905.0M</w:t>
            </w:r>
          </w:p>
        </w:tc>
        <w:tc>
          <w:tcPr>
            <w:tcW w:type="dxa" w:w="1094"/>
            <w:tcMar>
              <w:top w:w="60" w:type="dxa"/>
              <w:bottom w:w="60" w:type="dxa"/>
              <w:left w:w="60" w:type="dxa"/>
              <w:right w:w="60" w:type="dxa"/>
            </w:tcMar>
          </w:tcPr>
          <w:p>
            <w:pPr>
              <w:jc w:val="right"/>
            </w:pPr>
            <w:r>
              <w:rPr>
                <w:rFonts w:ascii="Calibri" w:hAnsi="Calibri"/>
                <w:b w:val="0"/>
                <w:sz w:val="17"/>
              </w:rPr>
              <w:t>$12,116.0M</w:t>
            </w:r>
          </w:p>
        </w:tc>
        <w:tc>
          <w:tcPr>
            <w:tcW w:type="dxa" w:w="1094"/>
            <w:tcMar>
              <w:top w:w="60" w:type="dxa"/>
              <w:bottom w:w="60" w:type="dxa"/>
              <w:left w:w="60" w:type="dxa"/>
              <w:right w:w="60" w:type="dxa"/>
            </w:tcMar>
          </w:tcPr>
          <w:p>
            <w:pPr>
              <w:jc w:val="right"/>
            </w:pPr>
            <w:r>
              <w:rPr>
                <w:rFonts w:ascii="Calibri" w:hAnsi="Calibri"/>
                <w:b w:val="0"/>
                <w:sz w:val="17"/>
              </w:rPr>
              <w:t>$7,918.0M</w:t>
            </w:r>
          </w:p>
        </w:tc>
        <w:tc>
          <w:tcPr>
            <w:tcW w:type="dxa" w:w="1094"/>
            <w:tcMar>
              <w:top w:w="60" w:type="dxa"/>
              <w:bottom w:w="60" w:type="dxa"/>
              <w:left w:w="60" w:type="dxa"/>
              <w:right w:w="60" w:type="dxa"/>
            </w:tcMar>
          </w:tcPr>
          <w:p>
            <w:pPr>
              <w:jc w:val="right"/>
            </w:pPr>
            <w:r>
              <w:rPr>
                <w:rFonts w:ascii="Calibri" w:hAnsi="Calibri"/>
                <w:b w:val="0"/>
                <w:sz w:val="17"/>
              </w:rPr>
              <w:t>$5,140.0M</w:t>
            </w:r>
          </w:p>
        </w:tc>
        <w:tc>
          <w:tcPr>
            <w:tcW w:type="dxa" w:w="1094"/>
            <w:tcMar>
              <w:top w:w="60" w:type="dxa"/>
              <w:bottom w:w="60" w:type="dxa"/>
              <w:left w:w="60" w:type="dxa"/>
              <w:right w:w="60" w:type="dxa"/>
            </w:tcMar>
          </w:tcPr>
          <w:p>
            <w:pPr>
              <w:jc w:val="right"/>
            </w:pPr>
            <w:r>
              <w:rPr>
                <w:rFonts w:ascii="Calibri" w:hAnsi="Calibri"/>
                <w:b w:val="0"/>
                <w:sz w:val="17"/>
              </w:rPr>
              <w:t>$2,940.0M</w:t>
            </w:r>
          </w:p>
        </w:tc>
        <w:tc>
          <w:tcPr>
            <w:tcW w:type="dxa" w:w="1728"/>
            <w:tcMar>
              <w:top w:w="60" w:type="dxa"/>
              <w:bottom w:w="60" w:type="dxa"/>
              <w:left w:w="60" w:type="dxa"/>
              <w:right w:w="60" w:type="dxa"/>
            </w:tcMar>
          </w:tcPr>
          <w:p>
            <w:pPr>
              <w:jc w:val="center"/>
            </w:pPr>
            <w:r>
              <w:rPr>
                <w:rFonts w:ascii="Calibri" w:hAnsi="Calibri"/>
                <w:i/>
                <w:sz w:val="17"/>
              </w:rPr>
              <w:t>Caja Líquida Real</w:t>
            </w:r>
          </w:p>
        </w:tc>
      </w:tr>
      <w:tr>
        <w:tc>
          <w:tcPr>
            <w:tcW w:type="dxa" w:w="2592"/>
            <w:tcMar>
              <w:top w:w="60" w:type="dxa"/>
              <w:bottom w:w="60" w:type="dxa"/>
              <w:left w:w="80" w:type="dxa"/>
              <w:right w:w="80" w:type="dxa"/>
            </w:tcMar>
          </w:tcPr>
          <w:p>
            <w:r>
              <w:rPr>
                <w:rFonts w:ascii="Calibri" w:hAnsi="Calibri"/>
                <w:b/>
                <w:sz w:val="17"/>
              </w:rPr>
              <w:t>(=) Devengos Totales (NI − CFO)</w:t>
            </w:r>
          </w:p>
        </w:tc>
        <w:tc>
          <w:tcPr>
            <w:tcW w:type="dxa" w:w="1094"/>
            <w:tcMar>
              <w:top w:w="60" w:type="dxa"/>
              <w:bottom w:w="60" w:type="dxa"/>
              <w:left w:w="60" w:type="dxa"/>
              <w:right w:w="60" w:type="dxa"/>
            </w:tcMar>
          </w:tcPr>
          <w:p>
            <w:pPr>
              <w:jc w:val="right"/>
            </w:pPr>
            <w:r>
              <w:rPr>
                <w:rFonts w:ascii="Calibri" w:hAnsi="Calibri"/>
                <w:b/>
                <w:sz w:val="17"/>
              </w:rPr>
              <w:t>$-12,042.0M</w:t>
            </w:r>
          </w:p>
        </w:tc>
        <w:tc>
          <w:tcPr>
            <w:tcW w:type="dxa" w:w="1094"/>
            <w:tcMar>
              <w:top w:w="60" w:type="dxa"/>
              <w:bottom w:w="60" w:type="dxa"/>
              <w:left w:w="60" w:type="dxa"/>
              <w:right w:w="60" w:type="dxa"/>
            </w:tcMar>
          </w:tcPr>
          <w:p>
            <w:pPr>
              <w:jc w:val="right"/>
            </w:pPr>
            <w:r>
              <w:rPr>
                <w:rFonts w:ascii="Calibri" w:hAnsi="Calibri"/>
                <w:b/>
                <w:sz w:val="17"/>
              </w:rPr>
              <w:t>$-10,119.0M</w:t>
            </w:r>
          </w:p>
        </w:tc>
        <w:tc>
          <w:tcPr>
            <w:tcW w:type="dxa" w:w="1094"/>
            <w:tcMar>
              <w:top w:w="60" w:type="dxa"/>
              <w:bottom w:w="60" w:type="dxa"/>
              <w:left w:w="60" w:type="dxa"/>
              <w:right w:w="60" w:type="dxa"/>
            </w:tcMar>
          </w:tcPr>
          <w:p>
            <w:pPr>
              <w:jc w:val="right"/>
            </w:pPr>
            <w:r>
              <w:rPr>
                <w:rFonts w:ascii="Calibri" w:hAnsi="Calibri"/>
                <w:b/>
                <w:sz w:val="17"/>
              </w:rPr>
              <w:t>$-6,007.0M</w:t>
            </w:r>
          </w:p>
        </w:tc>
        <w:tc>
          <w:tcPr>
            <w:tcW w:type="dxa" w:w="1094"/>
            <w:tcMar>
              <w:top w:w="60" w:type="dxa"/>
              <w:bottom w:w="60" w:type="dxa"/>
              <w:left w:w="60" w:type="dxa"/>
              <w:right w:w="60" w:type="dxa"/>
            </w:tcMar>
          </w:tcPr>
          <w:p>
            <w:pPr>
              <w:jc w:val="right"/>
            </w:pPr>
            <w:r>
              <w:rPr>
                <w:rFonts w:ascii="Calibri" w:hAnsi="Calibri"/>
                <w:b/>
                <w:sz w:val="17"/>
              </w:rPr>
              <w:t>$-4,153.0M</w:t>
            </w:r>
          </w:p>
        </w:tc>
        <w:tc>
          <w:tcPr>
            <w:tcW w:type="dxa" w:w="1094"/>
            <w:tcMar>
              <w:top w:w="60" w:type="dxa"/>
              <w:bottom w:w="60" w:type="dxa"/>
              <w:left w:w="60" w:type="dxa"/>
              <w:right w:w="60" w:type="dxa"/>
            </w:tcMar>
          </w:tcPr>
          <w:p>
            <w:pPr>
              <w:jc w:val="right"/>
            </w:pPr>
            <w:r>
              <w:rPr>
                <w:rFonts w:ascii="Calibri" w:hAnsi="Calibri"/>
                <w:b/>
                <w:sz w:val="17"/>
              </w:rPr>
              <w:t>$-2,458.0M</w:t>
            </w:r>
          </w:p>
        </w:tc>
        <w:tc>
          <w:tcPr>
            <w:tcW w:type="dxa" w:w="1728"/>
            <w:tcMar>
              <w:top w:w="60" w:type="dxa"/>
              <w:bottom w:w="60" w:type="dxa"/>
              <w:left w:w="60" w:type="dxa"/>
              <w:right w:w="60" w:type="dxa"/>
            </w:tcMar>
          </w:tcPr>
          <w:p>
            <w:pPr>
              <w:jc w:val="center"/>
            </w:pPr>
            <w:r>
              <w:rPr>
                <w:rFonts w:ascii="Calibri" w:hAnsi="Calibri"/>
                <w:i/>
                <w:sz w:val="17"/>
              </w:rPr>
              <w:t>CFO &gt; NI</w:t>
            </w:r>
          </w:p>
        </w:tc>
      </w:tr>
      <w:tr>
        <w:tc>
          <w:tcPr>
            <w:tcW w:type="dxa" w:w="2592"/>
            <w:tcMar>
              <w:top w:w="60" w:type="dxa"/>
              <w:bottom w:w="60" w:type="dxa"/>
              <w:left w:w="80" w:type="dxa"/>
              <w:right w:w="80" w:type="dxa"/>
            </w:tcMar>
          </w:tcPr>
          <w:p>
            <w:r>
              <w:rPr>
                <w:rFonts w:ascii="Calibri" w:hAnsi="Calibri"/>
                <w:b w:val="0"/>
                <w:sz w:val="17"/>
              </w:rPr>
              <w:t>Activos Totales Promedio ($M)</w:t>
            </w:r>
          </w:p>
        </w:tc>
        <w:tc>
          <w:tcPr>
            <w:tcW w:type="dxa" w:w="1094"/>
            <w:tcMar>
              <w:top w:w="60" w:type="dxa"/>
              <w:bottom w:w="60" w:type="dxa"/>
              <w:left w:w="60" w:type="dxa"/>
              <w:right w:w="60" w:type="dxa"/>
            </w:tcMar>
          </w:tcPr>
          <w:p>
            <w:pPr>
              <w:jc w:val="right"/>
            </w:pPr>
            <w:r>
              <w:rPr>
                <w:rFonts w:ascii="Calibri" w:hAnsi="Calibri"/>
                <w:b w:val="0"/>
                <w:sz w:val="17"/>
              </w:rPr>
              <w:t>$47,011.5M</w:t>
            </w:r>
          </w:p>
        </w:tc>
        <w:tc>
          <w:tcPr>
            <w:tcW w:type="dxa" w:w="1094"/>
            <w:tcMar>
              <w:top w:w="60" w:type="dxa"/>
              <w:bottom w:w="60" w:type="dxa"/>
              <w:left w:w="60" w:type="dxa"/>
              <w:right w:w="60" w:type="dxa"/>
            </w:tcMar>
          </w:tcPr>
          <w:p>
            <w:pPr>
              <w:jc w:val="right"/>
            </w:pPr>
            <w:r>
              <w:rPr>
                <w:rFonts w:ascii="Calibri" w:hAnsi="Calibri"/>
                <w:b w:val="0"/>
                <w:sz w:val="17"/>
              </w:rPr>
              <w:t>$33,931.5M</w:t>
            </w:r>
          </w:p>
        </w:tc>
        <w:tc>
          <w:tcPr>
            <w:tcW w:type="dxa" w:w="1094"/>
            <w:tcMar>
              <w:top w:w="60" w:type="dxa"/>
              <w:bottom w:w="60" w:type="dxa"/>
              <w:left w:w="60" w:type="dxa"/>
              <w:right w:w="60" w:type="dxa"/>
            </w:tcMar>
          </w:tcPr>
          <w:p>
            <w:pPr>
              <w:jc w:val="right"/>
            </w:pPr>
            <w:r>
              <w:rPr>
                <w:rFonts w:ascii="Calibri" w:hAnsi="Calibri"/>
                <w:b w:val="0"/>
                <w:sz w:val="17"/>
              </w:rPr>
              <w:t>$21,404.0M</w:t>
            </w:r>
          </w:p>
        </w:tc>
        <w:tc>
          <w:tcPr>
            <w:tcW w:type="dxa" w:w="1094"/>
            <w:tcMar>
              <w:top w:w="60" w:type="dxa"/>
              <w:bottom w:w="60" w:type="dxa"/>
              <w:left w:w="60" w:type="dxa"/>
              <w:right w:w="60" w:type="dxa"/>
            </w:tcMar>
          </w:tcPr>
          <w:p>
            <w:pPr>
              <w:jc w:val="right"/>
            </w:pPr>
            <w:r>
              <w:rPr>
                <w:rFonts w:ascii="Calibri" w:hAnsi="Calibri"/>
                <w:b w:val="0"/>
                <w:sz w:val="17"/>
              </w:rPr>
              <w:t>$15,674.0M</w:t>
            </w:r>
          </w:p>
        </w:tc>
        <w:tc>
          <w:tcPr>
            <w:tcW w:type="dxa" w:w="1094"/>
            <w:tcMar>
              <w:top w:w="60" w:type="dxa"/>
              <w:bottom w:w="60" w:type="dxa"/>
              <w:left w:w="60" w:type="dxa"/>
              <w:right w:w="60" w:type="dxa"/>
            </w:tcMar>
          </w:tcPr>
          <w:p>
            <w:pPr>
              <w:jc w:val="right"/>
            </w:pPr>
            <w:r>
              <w:rPr>
                <w:rFonts w:ascii="Calibri" w:hAnsi="Calibri"/>
                <w:b w:val="0"/>
                <w:sz w:val="17"/>
              </w:rPr>
              <w:t>$11,918.5M</w:t>
            </w:r>
          </w:p>
        </w:tc>
        <w:tc>
          <w:tcPr>
            <w:tcW w:type="dxa" w:w="1728"/>
            <w:tcMar>
              <w:top w:w="60" w:type="dxa"/>
              <w:bottom w:w="60" w:type="dxa"/>
              <w:left w:w="60" w:type="dxa"/>
              <w:right w:w="60" w:type="dxa"/>
            </w:tcMar>
          </w:tcPr>
          <w:p>
            <w:pPr>
              <w:jc w:val="center"/>
            </w:pPr>
            <w:r>
              <w:rPr>
                <w:rFonts w:ascii="Calibri" w:hAnsi="Calibri"/>
                <w:i/>
                <w:sz w:val="17"/>
              </w:rPr>
              <w:t>Base Activos</w:t>
            </w:r>
          </w:p>
        </w:tc>
      </w:tr>
      <w:tr>
        <w:tc>
          <w:tcPr>
            <w:tcW w:type="dxa" w:w="2592"/>
            <w:tcMar>
              <w:top w:w="60" w:type="dxa"/>
              <w:bottom w:w="60" w:type="dxa"/>
              <w:left w:w="80" w:type="dxa"/>
              <w:right w:w="80" w:type="dxa"/>
            </w:tcMar>
          </w:tcPr>
          <w:p>
            <w:r>
              <w:rPr>
                <w:rFonts w:ascii="Calibri" w:hAnsi="Calibri"/>
                <w:b/>
                <w:sz w:val="17"/>
              </w:rPr>
              <w:t>(=) Ratio Devengos Sloan (%)</w:t>
            </w:r>
          </w:p>
        </w:tc>
        <w:tc>
          <w:tcPr>
            <w:tcW w:type="dxa" w:w="1094"/>
            <w:tcMar>
              <w:top w:w="60" w:type="dxa"/>
              <w:bottom w:w="60" w:type="dxa"/>
              <w:left w:w="60" w:type="dxa"/>
              <w:right w:w="60" w:type="dxa"/>
            </w:tcMar>
          </w:tcPr>
          <w:p>
            <w:pPr>
              <w:jc w:val="right"/>
            </w:pPr>
            <w:r>
              <w:rPr>
                <w:rFonts w:ascii="Calibri" w:hAnsi="Calibri"/>
                <w:b/>
                <w:sz w:val="17"/>
              </w:rPr>
              <w:t>-25.62%</w:t>
            </w:r>
          </w:p>
        </w:tc>
        <w:tc>
          <w:tcPr>
            <w:tcW w:type="dxa" w:w="1094"/>
            <w:tcMar>
              <w:top w:w="60" w:type="dxa"/>
              <w:bottom w:w="60" w:type="dxa"/>
              <w:left w:w="60" w:type="dxa"/>
              <w:right w:w="60" w:type="dxa"/>
            </w:tcMar>
          </w:tcPr>
          <w:p>
            <w:pPr>
              <w:jc w:val="right"/>
            </w:pPr>
            <w:r>
              <w:rPr>
                <w:rFonts w:ascii="Calibri" w:hAnsi="Calibri"/>
                <w:b/>
                <w:sz w:val="17"/>
              </w:rPr>
              <w:t>-29.82%</w:t>
            </w:r>
          </w:p>
        </w:tc>
        <w:tc>
          <w:tcPr>
            <w:tcW w:type="dxa" w:w="1094"/>
            <w:tcMar>
              <w:top w:w="60" w:type="dxa"/>
              <w:bottom w:w="60" w:type="dxa"/>
              <w:left w:w="60" w:type="dxa"/>
              <w:right w:w="60" w:type="dxa"/>
            </w:tcMar>
          </w:tcPr>
          <w:p>
            <w:pPr>
              <w:jc w:val="right"/>
            </w:pPr>
            <w:r>
              <w:rPr>
                <w:rFonts w:ascii="Calibri" w:hAnsi="Calibri"/>
                <w:b/>
                <w:sz w:val="17"/>
              </w:rPr>
              <w:t>-28.06%</w:t>
            </w:r>
          </w:p>
        </w:tc>
        <w:tc>
          <w:tcPr>
            <w:tcW w:type="dxa" w:w="1094"/>
            <w:tcMar>
              <w:top w:w="60" w:type="dxa"/>
              <w:bottom w:w="60" w:type="dxa"/>
              <w:left w:w="60" w:type="dxa"/>
              <w:right w:w="60" w:type="dxa"/>
            </w:tcMar>
          </w:tcPr>
          <w:p>
            <w:pPr>
              <w:jc w:val="right"/>
            </w:pPr>
            <w:r>
              <w:rPr>
                <w:rFonts w:ascii="Calibri" w:hAnsi="Calibri"/>
                <w:b/>
                <w:sz w:val="17"/>
              </w:rPr>
              <w:t>-26.50%</w:t>
            </w:r>
          </w:p>
        </w:tc>
        <w:tc>
          <w:tcPr>
            <w:tcW w:type="dxa" w:w="1094"/>
            <w:tcMar>
              <w:top w:w="60" w:type="dxa"/>
              <w:bottom w:w="60" w:type="dxa"/>
              <w:left w:w="60" w:type="dxa"/>
              <w:right w:w="60" w:type="dxa"/>
            </w:tcMar>
          </w:tcPr>
          <w:p>
            <w:pPr>
              <w:jc w:val="right"/>
            </w:pPr>
            <w:r>
              <w:rPr>
                <w:rFonts w:ascii="Calibri" w:hAnsi="Calibri"/>
                <w:b/>
                <w:sz w:val="17"/>
              </w:rPr>
              <w:t>-20.62%</w:t>
            </w:r>
          </w:p>
        </w:tc>
        <w:tc>
          <w:tcPr>
            <w:tcW w:type="dxa" w:w="1728"/>
            <w:tcMar>
              <w:top w:w="60" w:type="dxa"/>
              <w:bottom w:w="60" w:type="dxa"/>
              <w:left w:w="60" w:type="dxa"/>
              <w:right w:w="60" w:type="dxa"/>
            </w:tcMar>
          </w:tcPr>
          <w:p>
            <w:pPr>
              <w:jc w:val="center"/>
            </w:pPr>
            <w:r>
              <w:rPr>
                <w:rFonts w:ascii="Calibri" w:hAnsi="Calibri"/>
                <w:i/>
                <w:sz w:val="17"/>
              </w:rPr>
              <w:t>&lt; -3.0% (Excelente)</w:t>
            </w:r>
          </w:p>
        </w:tc>
      </w:tr>
      <w:tr>
        <w:tc>
          <w:tcPr>
            <w:tcW w:type="dxa" w:w="2592"/>
            <w:tcMar>
              <w:top w:w="60" w:type="dxa"/>
              <w:bottom w:w="60" w:type="dxa"/>
              <w:left w:w="80" w:type="dxa"/>
              <w:right w:w="80" w:type="dxa"/>
            </w:tcMar>
          </w:tcPr>
          <w:p>
            <w:r>
              <w:rPr>
                <w:rFonts w:ascii="Calibri" w:hAnsi="Calibri"/>
                <w:b w:val="0"/>
                <w:sz w:val="17"/>
              </w:rPr>
              <w:t>Diagnóstico de Fidelidad</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094"/>
            <w:tcMar>
              <w:top w:w="60" w:type="dxa"/>
              <w:bottom w:w="60" w:type="dxa"/>
              <w:left w:w="60" w:type="dxa"/>
              <w:right w:w="60" w:type="dxa"/>
            </w:tcMar>
          </w:tcPr>
          <w:p>
            <w:pPr>
              <w:jc w:val="center"/>
            </w:pPr>
            <w:r>
              <w:rPr>
                <w:rFonts w:ascii="Calibri" w:hAnsi="Calibri"/>
                <w:b w:val="0"/>
                <w:sz w:val="17"/>
              </w:rPr>
              <w:t>EXCELENTE</w:t>
            </w:r>
          </w:p>
        </w:tc>
        <w:tc>
          <w:tcPr>
            <w:tcW w:type="dxa" w:w="1728"/>
            <w:tcMar>
              <w:top w:w="60" w:type="dxa"/>
              <w:bottom w:w="60" w:type="dxa"/>
              <w:left w:w="60" w:type="dxa"/>
              <w:right w:w="60" w:type="dxa"/>
            </w:tcMar>
          </w:tcPr>
          <w:p>
            <w:pPr>
              <w:jc w:val="center"/>
            </w:pPr>
            <w:r>
              <w:rPr>
                <w:rFonts w:ascii="Calibri" w:hAnsi="Calibri"/>
                <w:i/>
                <w:sz w:val="17"/>
              </w:rPr>
              <w:t>Calidad Saludable</w:t>
            </w:r>
          </w:p>
        </w:tc>
      </w:tr>
    </w:tbl>
    <w:p>
      <w:pPr>
        <w:spacing w:before="80" w:after="160"/>
      </w:pPr>
      <w:r>
        <w:rPr>
          <w:rFonts w:ascii="Calibri" w:hAnsi="Calibri"/>
          <w:i/>
          <w:color w:val="2D3748"/>
          <w:sz w:val="17"/>
        </w:rPr>
        <w:t>Interpretación para el Inversor: En LTM, MercadoLibre, Inc. generó $13,905.0M de CFO frente a $1,863.0M de beneficio neto, arrojando una tasa de conversión de caja del 746.4% (cada dólar reportado está respaldado por $7.46 de efectivo). El Ratio Sloan de -25.62% descarta por completo el riesgo de beneficios ficticios.</w:t>
      </w:r>
    </w:p>
    <w:p>
      <w:pPr>
        <w:pStyle w:val="Heading2"/>
      </w:pPr>
      <w:r>
        <w:rPr>
          <w:rFonts w:ascii="Calibri" w:hAnsi="Calibri"/>
          <w:b/>
          <w:color w:val="1B365D"/>
          <w:sz w:val="23"/>
        </w:rPr>
        <w:t>12.2. Matriz de Divergencias de Alerta Temprana (Early Warning Spreads)</w:t>
      </w:r>
    </w:p>
    <w:p>
      <w:pPr>
        <w:spacing w:after="80"/>
      </w:pPr>
      <w:r>
        <w:rPr>
          <w:rFonts w:ascii="Calibri" w:hAnsi="Calibri"/>
          <w:color w:val="2D3748"/>
          <w:sz w:val="18"/>
        </w:rPr>
        <w:t>Rastrea desacoplamientos de velocidad entre partidas circulantes y resultados para prevenir Channel Stuffing, acumulación de inventario diferido y activación fraudulenta de costes en activos blandos.</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1872"/>
        <w:gridCol w:w="1440"/>
        <w:gridCol w:w="1440"/>
        <w:gridCol w:w="2880"/>
      </w:tblGrid>
      <w:tr>
        <w:tc>
          <w:tcPr>
            <w:tcW w:type="dxa" w:w="2160"/>
            <w:shd w:fill="1B365D"/>
            <w:tcMar>
              <w:top w:w="80" w:type="dxa"/>
              <w:bottom w:w="80" w:type="dxa"/>
              <w:left w:w="80" w:type="dxa"/>
              <w:right w:w="80" w:type="dxa"/>
            </w:tcMar>
          </w:tcPr>
          <w:p>
            <w:pPr>
              <w:jc w:val="left"/>
            </w:pPr>
            <w:r>
              <w:rPr>
                <w:rFonts w:ascii="Calibri" w:hAnsi="Calibri"/>
                <w:b/>
                <w:color w:val="FFFFFF"/>
                <w:sz w:val="17"/>
              </w:rPr>
              <w:t>Vector de Alerta Temprana</w:t>
            </w:r>
          </w:p>
        </w:tc>
        <w:tc>
          <w:tcPr>
            <w:tcW w:type="dxa" w:w="1872"/>
            <w:shd w:fill="1B365D"/>
            <w:tcMar>
              <w:top w:w="80" w:type="dxa"/>
              <w:bottom w:w="80" w:type="dxa"/>
              <w:left w:w="80" w:type="dxa"/>
              <w:right w:w="80" w:type="dxa"/>
            </w:tcMar>
          </w:tcPr>
          <w:p>
            <w:pPr>
              <w:jc w:val="left"/>
            </w:pPr>
            <w:r>
              <w:rPr>
                <w:rFonts w:ascii="Calibri" w:hAnsi="Calibri"/>
                <w:b/>
                <w:color w:val="FFFFFF"/>
                <w:sz w:val="17"/>
              </w:rPr>
              <w:t>Métrica Auditada</w:t>
            </w:r>
          </w:p>
        </w:tc>
        <w:tc>
          <w:tcPr>
            <w:tcW w:type="dxa" w:w="1440"/>
            <w:shd w:fill="1B365D"/>
            <w:tcMar>
              <w:top w:w="80" w:type="dxa"/>
              <w:bottom w:w="80" w:type="dxa"/>
              <w:left w:w="80" w:type="dxa"/>
              <w:right w:w="80" w:type="dxa"/>
            </w:tcMar>
          </w:tcPr>
          <w:p>
            <w:pPr>
              <w:jc w:val="center"/>
            </w:pPr>
            <w:r>
              <w:rPr>
                <w:rFonts w:ascii="Calibri" w:hAnsi="Calibri"/>
                <w:b/>
                <w:color w:val="FFFFFF"/>
                <w:sz w:val="17"/>
              </w:rPr>
              <w:t>Spread LTM</w:t>
            </w:r>
          </w:p>
        </w:tc>
        <w:tc>
          <w:tcPr>
            <w:tcW w:type="dxa" w:w="1440"/>
            <w:shd w:fill="1B365D"/>
            <w:tcMar>
              <w:top w:w="80" w:type="dxa"/>
              <w:bottom w:w="80" w:type="dxa"/>
              <w:left w:w="80" w:type="dxa"/>
              <w:right w:w="80" w:type="dxa"/>
            </w:tcMar>
          </w:tcPr>
          <w:p>
            <w:pPr>
              <w:jc w:val="center"/>
            </w:pPr>
            <w:r>
              <w:rPr>
                <w:rFonts w:ascii="Calibri" w:hAnsi="Calibri"/>
                <w:b/>
                <w:color w:val="FFFFFF"/>
                <w:sz w:val="17"/>
              </w:rPr>
              <w:t>Rotación / Ciclo</w:t>
            </w:r>
          </w:p>
        </w:tc>
        <w:tc>
          <w:tcPr>
            <w:tcW w:type="dxa" w:w="2880"/>
            <w:shd w:fill="1B365D"/>
            <w:tcMar>
              <w:top w:w="80" w:type="dxa"/>
              <w:bottom w:w="80" w:type="dxa"/>
              <w:left w:w="80" w:type="dxa"/>
              <w:right w:w="80" w:type="dxa"/>
            </w:tcMar>
          </w:tcPr>
          <w:p>
            <w:pPr>
              <w:jc w:val="left"/>
            </w:pPr>
            <w:r>
              <w:rPr>
                <w:rFonts w:ascii="Calibri" w:hAnsi="Calibri"/>
                <w:b/>
                <w:color w:val="FFFFFF"/>
                <w:sz w:val="17"/>
              </w:rPr>
              <w:t>Diagnóstico Forense</w:t>
            </w:r>
          </w:p>
        </w:tc>
      </w:tr>
      <w:tr>
        <w:tc>
          <w:tcPr>
            <w:tcW w:type="dxa" w:w="2160"/>
            <w:tcMar>
              <w:top w:w="60" w:type="dxa"/>
              <w:bottom w:w="60" w:type="dxa"/>
              <w:left w:w="80" w:type="dxa"/>
              <w:right w:w="80" w:type="dxa"/>
            </w:tcMar>
          </w:tcPr>
          <w:p>
            <w:pPr>
              <w:jc w:val="left"/>
            </w:pPr>
            <w:r>
              <w:rPr>
                <w:rFonts w:ascii="Calibri" w:hAnsi="Calibri"/>
                <w:b/>
                <w:sz w:val="17"/>
              </w:rPr>
              <w:t>1. Clientes vs. Ventas (Channel Stuffing)</w:t>
            </w:r>
          </w:p>
        </w:tc>
        <w:tc>
          <w:tcPr>
            <w:tcW w:type="dxa" w:w="1872"/>
            <w:tcMar>
              <w:top w:w="60" w:type="dxa"/>
              <w:bottom w:w="60" w:type="dxa"/>
              <w:left w:w="80" w:type="dxa"/>
              <w:right w:w="80" w:type="dxa"/>
            </w:tcMar>
          </w:tcPr>
          <w:p>
            <w:pPr>
              <w:jc w:val="left"/>
            </w:pPr>
            <w:r>
              <w:rPr>
                <w:rFonts w:ascii="Calibri" w:hAnsi="Calibri"/>
                <w:sz w:val="17"/>
              </w:rPr>
              <w:t>Crecimiento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440"/>
            <w:tcMar>
              <w:top w:w="60" w:type="dxa"/>
              <w:bottom w:w="60" w:type="dxa"/>
              <w:left w:w="80" w:type="dxa"/>
              <w:right w:w="80" w:type="dxa"/>
            </w:tcMar>
          </w:tcPr>
          <w:p>
            <w:pPr>
              <w:jc w:val="center"/>
            </w:pPr>
            <w:r>
              <w:rPr>
                <w:rFonts w:ascii="Calibri" w:hAnsi="Calibri"/>
                <w:sz w:val="17"/>
              </w:rPr>
              <w:t>DSO: 4.3d (-0.3d)</w:t>
            </w:r>
          </w:p>
        </w:tc>
        <w:tc>
          <w:tcPr>
            <w:tcW w:type="dxa" w:w="2880"/>
            <w:tcMar>
              <w:top w:w="60" w:type="dxa"/>
              <w:bottom w:w="60" w:type="dxa"/>
              <w:left w:w="80" w:type="dxa"/>
              <w:right w:w="80" w:type="dxa"/>
            </w:tcMar>
          </w:tcPr>
          <w:p>
            <w:pPr>
              <w:jc w:val="center"/>
            </w:pPr>
            <w:r>
              <w:rPr>
                <w:rFonts w:ascii="Calibri" w:hAnsi="Calibri"/>
                <w:b/>
                <w:color w:val="276A3C"/>
                <w:sz w:val="17"/>
              </w:rPr>
              <w:t>COBRANZA DISCIPLINADA (OK)</w:t>
            </w:r>
          </w:p>
        </w:tc>
      </w:tr>
      <w:tr>
        <w:tc>
          <w:tcPr>
            <w:tcW w:type="dxa" w:w="2160"/>
            <w:tcMar>
              <w:top w:w="60" w:type="dxa"/>
              <w:bottom w:w="60" w:type="dxa"/>
              <w:left w:w="80" w:type="dxa"/>
              <w:right w:w="80" w:type="dxa"/>
            </w:tcMar>
          </w:tcPr>
          <w:p>
            <w:pPr>
              <w:jc w:val="left"/>
            </w:pPr>
            <w:r>
              <w:rPr>
                <w:rFonts w:ascii="Calibri" w:hAnsi="Calibri"/>
                <w:b/>
                <w:sz w:val="17"/>
              </w:rPr>
              <w:t>2. Inventarios vs. Coste Ventas (COGS)</w:t>
            </w:r>
          </w:p>
        </w:tc>
        <w:tc>
          <w:tcPr>
            <w:tcW w:type="dxa" w:w="1872"/>
            <w:tcMar>
              <w:top w:w="60" w:type="dxa"/>
              <w:bottom w:w="60" w:type="dxa"/>
              <w:left w:w="80" w:type="dxa"/>
              <w:right w:w="80" w:type="dxa"/>
            </w:tcMar>
          </w:tcPr>
          <w:p>
            <w:pPr>
              <w:jc w:val="left"/>
            </w:pPr>
            <w:r>
              <w:rPr>
                <w:rFonts w:ascii="Calibri" w:hAnsi="Calibri"/>
                <w:sz w:val="17"/>
              </w:rPr>
              <w:t>Crecimiento Inv vs. COGS</w:t>
            </w:r>
          </w:p>
        </w:tc>
        <w:tc>
          <w:tcPr>
            <w:tcW w:type="dxa" w:w="1440"/>
            <w:tcMar>
              <w:top w:w="60" w:type="dxa"/>
              <w:bottom w:w="60" w:type="dxa"/>
              <w:left w:w="80" w:type="dxa"/>
              <w:right w:w="80" w:type="dxa"/>
            </w:tcMar>
          </w:tcPr>
          <w:p>
            <w:pPr>
              <w:jc w:val="center"/>
            </w:pPr>
            <w:r>
              <w:rPr>
                <w:rFonts w:ascii="Calibri" w:hAnsi="Calibri"/>
                <w:sz w:val="17"/>
              </w:rPr>
              <w:t>+18.4%</w:t>
            </w:r>
          </w:p>
        </w:tc>
        <w:tc>
          <w:tcPr>
            <w:tcW w:type="dxa" w:w="1440"/>
            <w:tcMar>
              <w:top w:w="60" w:type="dxa"/>
              <w:bottom w:w="60" w:type="dxa"/>
              <w:left w:w="80" w:type="dxa"/>
              <w:right w:w="80" w:type="dxa"/>
            </w:tcMar>
          </w:tcPr>
          <w:p>
            <w:pPr>
              <w:jc w:val="center"/>
            </w:pPr>
            <w:r>
              <w:rPr>
                <w:rFonts w:ascii="Calibri" w:hAnsi="Calibri"/>
                <w:sz w:val="17"/>
              </w:rPr>
              <w:t>DIO: 14.9d (+1.9d)</w:t>
            </w:r>
          </w:p>
        </w:tc>
        <w:tc>
          <w:tcPr>
            <w:tcW w:type="dxa" w:w="2880"/>
            <w:tcMar>
              <w:top w:w="60" w:type="dxa"/>
              <w:bottom w:w="60" w:type="dxa"/>
              <w:left w:w="80" w:type="dxa"/>
              <w:right w:w="80" w:type="dxa"/>
            </w:tcMar>
          </w:tcPr>
          <w:p>
            <w:pPr>
              <w:jc w:val="center"/>
            </w:pPr>
            <w:r>
              <w:rPr>
                <w:rFonts w:ascii="Calibri" w:hAnsi="Calibri"/>
                <w:b/>
                <w:color w:val="C00000"/>
                <w:sz w:val="17"/>
              </w:rPr>
              <w:t>ALERTA PREVENTIVA (RAMP-UP)</w:t>
            </w:r>
          </w:p>
        </w:tc>
      </w:tr>
      <w:tr>
        <w:tc>
          <w:tcPr>
            <w:tcW w:type="dxa" w:w="2160"/>
            <w:tcMar>
              <w:top w:w="60" w:type="dxa"/>
              <w:bottom w:w="60" w:type="dxa"/>
              <w:left w:w="80" w:type="dxa"/>
              <w:right w:w="80" w:type="dxa"/>
            </w:tcMar>
          </w:tcPr>
          <w:p>
            <w:pPr>
              <w:jc w:val="left"/>
            </w:pPr>
            <w:r>
              <w:rPr>
                <w:rFonts w:ascii="Calibri" w:hAnsi="Calibri"/>
                <w:b/>
                <w:sz w:val="17"/>
              </w:rPr>
              <w:t>3. Índice de Activos Blandos</w:t>
            </w:r>
          </w:p>
        </w:tc>
        <w:tc>
          <w:tcPr>
            <w:tcW w:type="dxa" w:w="1872"/>
            <w:tcMar>
              <w:top w:w="60" w:type="dxa"/>
              <w:bottom w:w="60" w:type="dxa"/>
              <w:left w:w="80" w:type="dxa"/>
              <w:right w:w="80" w:type="dxa"/>
            </w:tcMar>
          </w:tcPr>
          <w:p>
            <w:pPr>
              <w:jc w:val="left"/>
            </w:pPr>
            <w:r>
              <w:rPr>
                <w:rFonts w:ascii="Calibri" w:hAnsi="Calibri"/>
                <w:sz w:val="17"/>
              </w:rPr>
              <w:t>Partidas No Físicas / Activos</w:t>
            </w:r>
          </w:p>
        </w:tc>
        <w:tc>
          <w:tcPr>
            <w:tcW w:type="dxa" w:w="1440"/>
            <w:tcMar>
              <w:top w:w="60" w:type="dxa"/>
              <w:bottom w:w="60" w:type="dxa"/>
              <w:left w:w="80" w:type="dxa"/>
              <w:right w:w="80" w:type="dxa"/>
            </w:tcMar>
          </w:tcPr>
          <w:p>
            <w:pPr>
              <w:jc w:val="center"/>
            </w:pPr>
            <w:r>
              <w:rPr>
                <w:rFonts w:ascii="Calibri" w:hAnsi="Calibri"/>
                <w:sz w:val="17"/>
              </w:rPr>
              <w:t>87.6%</w:t>
            </w:r>
          </w:p>
        </w:tc>
        <w:tc>
          <w:tcPr>
            <w:tcW w:type="dxa" w:w="1440"/>
            <w:tcMar>
              <w:top w:w="60" w:type="dxa"/>
              <w:bottom w:w="60" w:type="dxa"/>
              <w:left w:w="80" w:type="dxa"/>
              <w:right w:w="80" w:type="dxa"/>
            </w:tcMar>
          </w:tcPr>
          <w:p>
            <w:pPr>
              <w:jc w:val="center"/>
            </w:pPr>
            <w:r>
              <w:rPr>
                <w:rFonts w:ascii="Calibri" w:hAnsi="Calibri"/>
                <w:sz w:val="17"/>
              </w:rPr>
              <w:t>Δ: +1.6 pp</w:t>
            </w:r>
          </w:p>
        </w:tc>
        <w:tc>
          <w:tcPr>
            <w:tcW w:type="dxa" w:w="2880"/>
            <w:tcMar>
              <w:top w:w="60" w:type="dxa"/>
              <w:bottom w:w="60" w:type="dxa"/>
              <w:left w:w="80" w:type="dxa"/>
              <w:right w:w="80" w:type="dxa"/>
            </w:tcMar>
          </w:tcPr>
          <w:p>
            <w:pPr>
              <w:jc w:val="center"/>
            </w:pPr>
            <w:r>
              <w:rPr>
                <w:rFonts w:ascii="Calibri" w:hAnsi="Calibri"/>
                <w:b/>
                <w:color w:val="276A3C"/>
                <w:sz w:val="17"/>
              </w:rPr>
              <w:t>BALANCE SÓLIDO (OK)</w:t>
            </w:r>
          </w:p>
        </w:tc>
      </w:tr>
    </w:tbl>
    <w:p>
      <w:pPr>
        <w:spacing w:before="80" w:after="160"/>
      </w:pPr>
      <w:r>
        <w:rPr>
          <w:rFonts w:ascii="Calibri" w:hAnsi="Calibri"/>
          <w:i/>
          <w:color w:val="2D3748"/>
          <w:sz w:val="17"/>
        </w:rPr>
        <w:t>Nota Forense sobre Inventario (MercadoLibre, Inc.): Inventario en sintonía con la cadencia de costes (Spread: 18.4%, DIO: 14.9d). Existencias optimizadas.</w:t>
      </w:r>
    </w:p>
    <w:p>
      <w:pPr>
        <w:pStyle w:val="Heading2"/>
      </w:pPr>
      <w:r>
        <w:rPr>
          <w:rFonts w:ascii="Calibri" w:hAnsi="Calibri"/>
          <w:b/>
          <w:color w:val="1B365D"/>
          <w:sz w:val="23"/>
        </w:rPr>
        <w:t>12.3. Desglose Forense Montier C-Score (3 / 6)</w:t>
      </w:r>
    </w:p>
    <w:p>
      <w:pPr>
        <w:spacing w:after="80"/>
      </w:pPr>
      <w:r>
        <w:rPr>
          <w:rFonts w:ascii="Calibri" w:hAnsi="Calibri"/>
          <w:color w:val="2D3748"/>
          <w:sz w:val="18"/>
        </w:rPr>
        <w:t>James Montier (Société Générale / GMO, 2008) desarrolló este sistema de 6 banderas para detectar manipulación deliberada. Puntajes de 0 a 1 reflejan menos de 5% de probabilidad de fraude contable, mientras que firmas con &gt;= 4 banderas colapsan en bolsa.</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160"/>
        <w:gridCol w:w="2016"/>
        <w:gridCol w:w="1872"/>
        <w:gridCol w:w="1152"/>
        <w:gridCol w:w="2592"/>
      </w:tblGrid>
      <w:tr>
        <w:tc>
          <w:tcPr>
            <w:tcW w:type="dxa" w:w="2160"/>
            <w:shd w:fill="1B365D"/>
            <w:tcMar>
              <w:top w:w="80" w:type="dxa"/>
              <w:bottom w:w="80" w:type="dxa"/>
              <w:left w:w="80" w:type="dxa"/>
              <w:right w:w="80" w:type="dxa"/>
            </w:tcMar>
          </w:tcPr>
          <w:p>
            <w:pPr>
              <w:jc w:val="left"/>
            </w:pPr>
            <w:r>
              <w:rPr>
                <w:rFonts w:ascii="Calibri" w:hAnsi="Calibri"/>
                <w:b/>
                <w:color w:val="FFFFFF"/>
                <w:sz w:val="17"/>
              </w:rPr>
              <w:t>Bandera de Manipulación (C-Score)</w:t>
            </w:r>
          </w:p>
        </w:tc>
        <w:tc>
          <w:tcPr>
            <w:tcW w:type="dxa" w:w="2016"/>
            <w:shd w:fill="1B365D"/>
            <w:tcMar>
              <w:top w:w="80" w:type="dxa"/>
              <w:bottom w:w="80" w:type="dxa"/>
              <w:left w:w="80" w:type="dxa"/>
              <w:right w:w="80" w:type="dxa"/>
            </w:tcMar>
          </w:tcPr>
          <w:p>
            <w:pPr>
              <w:jc w:val="left"/>
            </w:pPr>
            <w:r>
              <w:rPr>
                <w:rFonts w:ascii="Calibri" w:hAnsi="Calibri"/>
                <w:b/>
                <w:color w:val="FFFFFF"/>
                <w:sz w:val="17"/>
              </w:rPr>
              <w:t>Condición de Alerta</w:t>
            </w:r>
          </w:p>
        </w:tc>
        <w:tc>
          <w:tcPr>
            <w:tcW w:type="dxa" w:w="1872"/>
            <w:shd w:fill="1B365D"/>
            <w:tcMar>
              <w:top w:w="80" w:type="dxa"/>
              <w:bottom w:w="80" w:type="dxa"/>
              <w:left w:w="80" w:type="dxa"/>
              <w:right w:w="80" w:type="dxa"/>
            </w:tcMar>
          </w:tcPr>
          <w:p>
            <w:pPr>
              <w:jc w:val="left"/>
            </w:pPr>
            <w:r>
              <w:rPr>
                <w:rFonts w:ascii="Calibri" w:hAnsi="Calibri"/>
                <w:b/>
                <w:color w:val="FFFFFF"/>
                <w:sz w:val="17"/>
              </w:rPr>
              <w:t>Valor Auditado (LTM)</w:t>
            </w:r>
          </w:p>
        </w:tc>
        <w:tc>
          <w:tcPr>
            <w:tcW w:type="dxa" w:w="1152"/>
            <w:shd w:fill="1B365D"/>
            <w:tcMar>
              <w:top w:w="80" w:type="dxa"/>
              <w:bottom w:w="80" w:type="dxa"/>
              <w:left w:w="80" w:type="dxa"/>
              <w:right w:w="80" w:type="dxa"/>
            </w:tcMar>
          </w:tcPr>
          <w:p>
            <w:pPr>
              <w:jc w:val="center"/>
            </w:pPr>
            <w:r>
              <w:rPr>
                <w:rFonts w:ascii="Calibri" w:hAnsi="Calibri"/>
                <w:b/>
                <w:color w:val="FFFFFF"/>
                <w:sz w:val="17"/>
              </w:rPr>
              <w:t>Estado</w:t>
            </w:r>
          </w:p>
        </w:tc>
        <w:tc>
          <w:tcPr>
            <w:tcW w:type="dxa" w:w="2592"/>
            <w:shd w:fill="1B365D"/>
            <w:tcMar>
              <w:top w:w="80" w:type="dxa"/>
              <w:bottom w:w="80" w:type="dxa"/>
              <w:left w:w="80" w:type="dxa"/>
              <w:right w:w="80" w:type="dxa"/>
            </w:tcMar>
          </w:tcPr>
          <w:p>
            <w:pPr>
              <w:jc w:val="left"/>
            </w:pPr>
            <w:r>
              <w:rPr>
                <w:rFonts w:ascii="Calibri" w:hAnsi="Calibri"/>
                <w:b/>
                <w:color w:val="FFFFFF"/>
                <w:sz w:val="17"/>
              </w:rPr>
              <w:t>Trampa Contable que Previene</w:t>
            </w:r>
          </w:p>
        </w:tc>
      </w:tr>
      <w:tr>
        <w:tc>
          <w:tcPr>
            <w:tcW w:type="dxa" w:w="2160"/>
            <w:tcMar>
              <w:top w:w="60" w:type="dxa"/>
              <w:bottom w:w="60" w:type="dxa"/>
              <w:left w:w="80" w:type="dxa"/>
              <w:right w:w="80" w:type="dxa"/>
            </w:tcMar>
          </w:tcPr>
          <w:p>
            <w:pPr>
              <w:jc w:val="left"/>
            </w:pPr>
            <w:r>
              <w:rPr>
                <w:rFonts w:ascii="Calibri" w:hAnsi="Calibri"/>
                <w:sz w:val="16"/>
              </w:rPr>
              <w:t>1. Divergencia Beneficio vs. Flujo de Caja</w:t>
            </w:r>
          </w:p>
        </w:tc>
        <w:tc>
          <w:tcPr>
            <w:tcW w:type="dxa" w:w="2016"/>
            <w:tcMar>
              <w:top w:w="60" w:type="dxa"/>
              <w:bottom w:w="60" w:type="dxa"/>
              <w:left w:w="80" w:type="dxa"/>
              <w:right w:w="80" w:type="dxa"/>
            </w:tcMar>
          </w:tcPr>
          <w:p>
            <w:pPr>
              <w:jc w:val="left"/>
            </w:pPr>
            <w:r>
              <w:rPr>
                <w:rFonts w:ascii="Calibri" w:hAnsi="Calibri"/>
                <w:sz w:val="16"/>
              </w:rPr>
              <w:t>Utilidad Neta &gt; Flujo de Caja Operativo (NI &gt; CFO)</w:t>
            </w:r>
          </w:p>
        </w:tc>
        <w:tc>
          <w:tcPr>
            <w:tcW w:type="dxa" w:w="1872"/>
            <w:tcMar>
              <w:top w:w="60" w:type="dxa"/>
              <w:bottom w:w="60" w:type="dxa"/>
              <w:left w:w="80" w:type="dxa"/>
              <w:right w:w="80" w:type="dxa"/>
            </w:tcMar>
          </w:tcPr>
          <w:p>
            <w:pPr>
              <w:jc w:val="left"/>
            </w:pPr>
            <w:r>
              <w:rPr>
                <w:rFonts w:ascii="Calibri" w:hAnsi="Calibri"/>
                <w:sz w:val="16"/>
              </w:rPr>
              <w:t>NI: $1,863.0M vs CFO: $13,905.0M</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La utilidad contable no se transforma en liquidez real. Alerta de beneficios de papel.</w:t>
            </w:r>
          </w:p>
        </w:tc>
      </w:tr>
      <w:tr>
        <w:tc>
          <w:tcPr>
            <w:tcW w:type="dxa" w:w="2160"/>
            <w:tcMar>
              <w:top w:w="60" w:type="dxa"/>
              <w:bottom w:w="60" w:type="dxa"/>
              <w:left w:w="80" w:type="dxa"/>
              <w:right w:w="80" w:type="dxa"/>
            </w:tcMar>
          </w:tcPr>
          <w:p>
            <w:pPr>
              <w:jc w:val="left"/>
            </w:pPr>
            <w:r>
              <w:rPr>
                <w:rFonts w:ascii="Calibri" w:hAnsi="Calibri"/>
                <w:sz w:val="16"/>
              </w:rPr>
              <w:t>2. Cuentas por Cobrar vs. Ventas (DSO)</w:t>
            </w:r>
          </w:p>
        </w:tc>
        <w:tc>
          <w:tcPr>
            <w:tcW w:type="dxa" w:w="2016"/>
            <w:tcMar>
              <w:top w:w="60" w:type="dxa"/>
              <w:bottom w:w="60" w:type="dxa"/>
              <w:left w:w="80" w:type="dxa"/>
              <w:right w:w="80" w:type="dxa"/>
            </w:tcMar>
          </w:tcPr>
          <w:p>
            <w:pPr>
              <w:jc w:val="left"/>
            </w:pPr>
            <w:r>
              <w:rPr>
                <w:rFonts w:ascii="Calibri" w:hAnsi="Calibri"/>
                <w:sz w:val="16"/>
              </w:rPr>
              <w:t>Δ DSO &gt; 0 (o %Δ Cuentas por Cobrar &gt; %Δ Ventas)</w:t>
            </w:r>
          </w:p>
        </w:tc>
        <w:tc>
          <w:tcPr>
            <w:tcW w:type="dxa" w:w="1872"/>
            <w:tcMar>
              <w:top w:w="60" w:type="dxa"/>
              <w:bottom w:w="60" w:type="dxa"/>
              <w:left w:w="80" w:type="dxa"/>
              <w:right w:w="80" w:type="dxa"/>
            </w:tcMar>
          </w:tcPr>
          <w:p>
            <w:pPr>
              <w:jc w:val="left"/>
            </w:pPr>
            <w:r>
              <w:rPr>
                <w:rFonts w:ascii="Calibri" w:hAnsi="Calibri"/>
                <w:sz w:val="16"/>
              </w:rPr>
              <w:t>DSO: 4.3d (Δ: -0.3d)</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El plazo de cobro se dilata o las cuentas a cobrar crecen más rápido que las ventas. Indica relajación de cobros o facturación apresurada (channel stuffing).</w:t>
            </w:r>
          </w:p>
        </w:tc>
      </w:tr>
      <w:tr>
        <w:tc>
          <w:tcPr>
            <w:tcW w:type="dxa" w:w="2160"/>
            <w:tcMar>
              <w:top w:w="60" w:type="dxa"/>
              <w:bottom w:w="60" w:type="dxa"/>
              <w:left w:w="80" w:type="dxa"/>
              <w:right w:w="80" w:type="dxa"/>
            </w:tcMar>
          </w:tcPr>
          <w:p>
            <w:pPr>
              <w:jc w:val="left"/>
            </w:pPr>
            <w:r>
              <w:rPr>
                <w:rFonts w:ascii="Calibri" w:hAnsi="Calibri"/>
                <w:sz w:val="16"/>
              </w:rPr>
              <w:t>3. Inventarios vs. Coste de Ventas (DIO)</w:t>
            </w:r>
          </w:p>
        </w:tc>
        <w:tc>
          <w:tcPr>
            <w:tcW w:type="dxa" w:w="2016"/>
            <w:tcMar>
              <w:top w:w="60" w:type="dxa"/>
              <w:bottom w:w="60" w:type="dxa"/>
              <w:left w:w="80" w:type="dxa"/>
              <w:right w:w="80" w:type="dxa"/>
            </w:tcMar>
          </w:tcPr>
          <w:p>
            <w:pPr>
              <w:jc w:val="left"/>
            </w:pPr>
            <w:r>
              <w:rPr>
                <w:rFonts w:ascii="Calibri" w:hAnsi="Calibri"/>
                <w:sz w:val="16"/>
              </w:rPr>
              <w:t>Δ DIO &gt; 0 (o %Δ Inventarios &gt; %Δ Coste de Ventas)</w:t>
            </w:r>
          </w:p>
        </w:tc>
        <w:tc>
          <w:tcPr>
            <w:tcW w:type="dxa" w:w="1872"/>
            <w:tcMar>
              <w:top w:w="60" w:type="dxa"/>
              <w:bottom w:w="60" w:type="dxa"/>
              <w:left w:w="80" w:type="dxa"/>
              <w:right w:w="80" w:type="dxa"/>
            </w:tcMar>
          </w:tcPr>
          <w:p>
            <w:pPr>
              <w:jc w:val="left"/>
            </w:pPr>
            <w:r>
              <w:rPr>
                <w:rFonts w:ascii="Calibri" w:hAnsi="Calibri"/>
                <w:sz w:val="16"/>
              </w:rPr>
              <w:t>DIO: 14.9d (Δ: +1.9d)</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Las existencias rotan más lento o crecen más rápido que los costes. Puede esconder producto no vendido o absorción de costes en inventario para inflar márgenes.</w:t>
            </w:r>
          </w:p>
        </w:tc>
      </w:tr>
      <w:tr>
        <w:tc>
          <w:tcPr>
            <w:tcW w:type="dxa" w:w="2160"/>
            <w:tcMar>
              <w:top w:w="60" w:type="dxa"/>
              <w:bottom w:w="60" w:type="dxa"/>
              <w:left w:w="80" w:type="dxa"/>
              <w:right w:w="80" w:type="dxa"/>
            </w:tcMar>
          </w:tcPr>
          <w:p>
            <w:pPr>
              <w:jc w:val="left"/>
            </w:pPr>
            <w:r>
              <w:rPr>
                <w:rFonts w:ascii="Calibri" w:hAnsi="Calibri"/>
                <w:sz w:val="16"/>
              </w:rPr>
              <w:t>4. Otros Activos Corrientes vs. Ventas</w:t>
            </w:r>
          </w:p>
        </w:tc>
        <w:tc>
          <w:tcPr>
            <w:tcW w:type="dxa" w:w="2016"/>
            <w:tcMar>
              <w:top w:w="60" w:type="dxa"/>
              <w:bottom w:w="60" w:type="dxa"/>
              <w:left w:w="80" w:type="dxa"/>
              <w:right w:w="80" w:type="dxa"/>
            </w:tcMar>
          </w:tcPr>
          <w:p>
            <w:pPr>
              <w:jc w:val="left"/>
            </w:pPr>
            <w:r>
              <w:rPr>
                <w:rFonts w:ascii="Calibri" w:hAnsi="Calibri"/>
                <w:sz w:val="16"/>
              </w:rPr>
              <w:t>Ratio Otros Act. Ctes/Ventas_t &gt; Ratio Otros Act. Ctes/Ventas_t-1</w:t>
            </w:r>
          </w:p>
        </w:tc>
        <w:tc>
          <w:tcPr>
            <w:tcW w:type="dxa" w:w="1872"/>
            <w:tcMar>
              <w:top w:w="60" w:type="dxa"/>
              <w:bottom w:w="60" w:type="dxa"/>
              <w:left w:w="80" w:type="dxa"/>
              <w:right w:w="80" w:type="dxa"/>
            </w:tcMar>
          </w:tcPr>
          <w:p>
            <w:pPr>
              <w:jc w:val="left"/>
            </w:pPr>
            <w:r>
              <w:rPr>
                <w:rFonts w:ascii="Calibri" w:hAnsi="Calibri"/>
                <w:sz w:val="16"/>
              </w:rPr>
              <w:t>Otros Act/Ventas: 2.66% vs 2.49%</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Incremento del peso relativo de otros activos corrientes. Alerta de partidas dudosas o cargos diferidos ocultos fuera de clientes e inventarios.</w:t>
            </w:r>
          </w:p>
        </w:tc>
      </w:tr>
      <w:tr>
        <w:tc>
          <w:tcPr>
            <w:tcW w:type="dxa" w:w="2160"/>
            <w:tcMar>
              <w:top w:w="60" w:type="dxa"/>
              <w:bottom w:w="60" w:type="dxa"/>
              <w:left w:w="80" w:type="dxa"/>
              <w:right w:w="80" w:type="dxa"/>
            </w:tcMar>
          </w:tcPr>
          <w:p>
            <w:pPr>
              <w:jc w:val="left"/>
            </w:pPr>
            <w:r>
              <w:rPr>
                <w:rFonts w:ascii="Calibri" w:hAnsi="Calibri"/>
                <w:sz w:val="16"/>
              </w:rPr>
              <w:t>5. Reducción de la Tasa de Depreciación</w:t>
            </w:r>
          </w:p>
        </w:tc>
        <w:tc>
          <w:tcPr>
            <w:tcW w:type="dxa" w:w="2016"/>
            <w:tcMar>
              <w:top w:w="60" w:type="dxa"/>
              <w:bottom w:w="60" w:type="dxa"/>
              <w:left w:w="80" w:type="dxa"/>
              <w:right w:w="80" w:type="dxa"/>
            </w:tcMar>
          </w:tcPr>
          <w:p>
            <w:pPr>
              <w:jc w:val="left"/>
            </w:pPr>
            <w:r>
              <w:rPr>
                <w:rFonts w:ascii="Calibri" w:hAnsi="Calibri"/>
                <w:sz w:val="16"/>
              </w:rPr>
              <w:t>Tasa Depreciación_t &lt; Tasa Depreciación_t-1</w:t>
            </w:r>
          </w:p>
        </w:tc>
        <w:tc>
          <w:tcPr>
            <w:tcW w:type="dxa" w:w="1872"/>
            <w:tcMar>
              <w:top w:w="60" w:type="dxa"/>
              <w:bottom w:w="60" w:type="dxa"/>
              <w:left w:w="80" w:type="dxa"/>
              <w:right w:w="80" w:type="dxa"/>
            </w:tcMar>
          </w:tcPr>
          <w:p>
            <w:pPr>
              <w:jc w:val="left"/>
            </w:pPr>
            <w:r>
              <w:rPr>
                <w:rFonts w:ascii="Calibri" w:hAnsi="Calibri"/>
                <w:sz w:val="16"/>
              </w:rPr>
              <w:t>Tasa Deprec: 23.09% vs 26.21%</w:t>
            </w:r>
          </w:p>
        </w:tc>
        <w:tc>
          <w:tcPr>
            <w:tcW w:type="dxa" w:w="1152"/>
            <w:tcMar>
              <w:top w:w="60" w:type="dxa"/>
              <w:bottom w:w="60" w:type="dxa"/>
              <w:left w:w="80" w:type="dxa"/>
              <w:right w:w="80" w:type="dxa"/>
            </w:tcMar>
          </w:tcPr>
          <w:p>
            <w:pPr>
              <w:jc w:val="center"/>
            </w:pPr>
            <w:r>
              <w:rPr>
                <w:rFonts w:ascii="Calibri" w:hAnsi="Calibri"/>
                <w:b/>
                <w:color w:val="C00000"/>
                <w:sz w:val="16"/>
              </w:rPr>
              <w:t>🚩 FLAG</w:t>
            </w:r>
          </w:p>
        </w:tc>
        <w:tc>
          <w:tcPr>
            <w:tcW w:type="dxa" w:w="2592"/>
            <w:tcMar>
              <w:top w:w="60" w:type="dxa"/>
              <w:bottom w:w="60" w:type="dxa"/>
              <w:left w:w="80" w:type="dxa"/>
              <w:right w:w="80" w:type="dxa"/>
            </w:tcMar>
          </w:tcPr>
          <w:p>
            <w:pPr>
              <w:jc w:val="left"/>
            </w:pPr>
            <w:r>
              <w:rPr>
                <w:rFonts w:ascii="Calibri" w:hAnsi="Calibri"/>
                <w:sz w:val="16"/>
              </w:rPr>
              <w:t>Reducción de la amortización contable respecto a los activos brutos, inflando el beneficio neto al estirar vidas útiles estimadas.</w:t>
            </w:r>
          </w:p>
        </w:tc>
      </w:tr>
      <w:tr>
        <w:tc>
          <w:tcPr>
            <w:tcW w:type="dxa" w:w="2160"/>
            <w:tcMar>
              <w:top w:w="60" w:type="dxa"/>
              <w:bottom w:w="60" w:type="dxa"/>
              <w:left w:w="80" w:type="dxa"/>
              <w:right w:w="80" w:type="dxa"/>
            </w:tcMar>
          </w:tcPr>
          <w:p>
            <w:pPr>
              <w:jc w:val="left"/>
            </w:pPr>
            <w:r>
              <w:rPr>
                <w:rFonts w:ascii="Calibri" w:hAnsi="Calibri"/>
                <w:sz w:val="16"/>
              </w:rPr>
              <w:t>6. Crecimiento Excesivo de Activos Totales</w:t>
            </w:r>
          </w:p>
        </w:tc>
        <w:tc>
          <w:tcPr>
            <w:tcW w:type="dxa" w:w="2016"/>
            <w:tcMar>
              <w:top w:w="60" w:type="dxa"/>
              <w:bottom w:w="60" w:type="dxa"/>
              <w:left w:w="80" w:type="dxa"/>
              <w:right w:w="80" w:type="dxa"/>
            </w:tcMar>
          </w:tcPr>
          <w:p>
            <w:pPr>
              <w:jc w:val="left"/>
            </w:pPr>
            <w:r>
              <w:rPr>
                <w:rFonts w:ascii="Calibri" w:hAnsi="Calibri"/>
                <w:sz w:val="16"/>
              </w:rPr>
              <w:t>Δ Activos &gt; 15.0% y Δ Activos &gt; 1.15 * Δ Ventas</w:t>
            </w:r>
          </w:p>
        </w:tc>
        <w:tc>
          <w:tcPr>
            <w:tcW w:type="dxa" w:w="1872"/>
            <w:tcMar>
              <w:top w:w="60" w:type="dxa"/>
              <w:bottom w:w="60" w:type="dxa"/>
              <w:left w:w="80" w:type="dxa"/>
              <w:right w:w="80" w:type="dxa"/>
            </w:tcMar>
          </w:tcPr>
          <w:p>
            <w:pPr>
              <w:jc w:val="left"/>
            </w:pPr>
            <w:r>
              <w:rPr>
                <w:rFonts w:ascii="Calibri" w:hAnsi="Calibri"/>
                <w:sz w:val="16"/>
              </w:rPr>
              <w:t>ΔActivos: +20.4% vs ΔVentas: +21.8%</w:t>
            </w:r>
          </w:p>
        </w:tc>
        <w:tc>
          <w:tcPr>
            <w:tcW w:type="dxa" w:w="1152"/>
            <w:tcMar>
              <w:top w:w="60" w:type="dxa"/>
              <w:bottom w:w="60" w:type="dxa"/>
              <w:left w:w="80" w:type="dxa"/>
              <w:right w:w="80" w:type="dxa"/>
            </w:tcMar>
          </w:tcPr>
          <w:p>
            <w:pPr>
              <w:jc w:val="center"/>
            </w:pPr>
            <w:r>
              <w:rPr>
                <w:rFonts w:ascii="Calibri" w:hAnsi="Calibri"/>
                <w:b/>
                <w:color w:val="276A3C"/>
                <w:sz w:val="16"/>
              </w:rPr>
              <w:t>✅ OK</w:t>
            </w:r>
          </w:p>
        </w:tc>
        <w:tc>
          <w:tcPr>
            <w:tcW w:type="dxa" w:w="2592"/>
            <w:tcMar>
              <w:top w:w="60" w:type="dxa"/>
              <w:bottom w:w="60" w:type="dxa"/>
              <w:left w:w="80" w:type="dxa"/>
              <w:right w:w="80" w:type="dxa"/>
            </w:tcMar>
          </w:tcPr>
          <w:p>
            <w:pPr>
              <w:jc w:val="left"/>
            </w:pPr>
            <w:r>
              <w:rPr>
                <w:rFonts w:ascii="Calibri" w:hAnsi="Calibri"/>
                <w:sz w:val="16"/>
              </w:rPr>
              <w:t>Expansión desproporcionada de balance no respaldada por ventas. Montier advierte que suele utilizarse para disimular debilidad orgánica o acumulación de partidas improductivas.</w:t>
            </w:r>
          </w:p>
        </w:tc>
      </w:tr>
    </w:tbl>
    <w:p>
      <w:pPr>
        <w:spacing w:before="80" w:after="160"/>
      </w:pPr>
      <w:r>
        <w:rPr>
          <w:rFonts w:ascii="Calibri" w:hAnsi="Calibri"/>
          <w:b/>
          <w:color w:val="1B365D"/>
          <w:sz w:val="17"/>
        </w:rPr>
        <w:t>Dictamen Montier: 3 / 6 Banderas — RIESGO MEDIO-ALTO / VIGILANCIA RIGUROSA. Probabilidad empírica de manipulación zona de vigilancia (&lt; 40%).</w:t>
      </w:r>
    </w:p>
    <w:p>
      <w:pPr>
        <w:pStyle w:val="Heading2"/>
      </w:pPr>
      <w:r>
        <w:rPr>
          <w:rFonts w:ascii="Calibri" w:hAnsi="Calibri"/>
          <w:b/>
          <w:color w:val="1B365D"/>
          <w:sz w:val="23"/>
        </w:rPr>
        <w:t>12.4. Cuadro de Mando Consolidado de Fidelidad Contable</w:t>
      </w:r>
    </w:p>
    <w:tbl>
      <w:tblPr>
        <w:tblW w:type="auto" w:w="0"/>
        <w:jc w:val="center"/>
        <w:tblLook w:firstColumn="1" w:firstRow="1" w:lastColumn="0" w:lastRow="0" w:noHBand="0" w:noVBand="1" w:val="04A0"/>
        <w:tblBorders>
          <w:top w:val="single" w:sz="6" w:space="0" w:color="D2D6DC"/>
          <w:left w:val="none"/>
          <w:bottom w:val="single" w:sz="10" w:space="0" w:color="1B365D"/>
          <w:right w:val="none"/>
          <w:insideH w:val="single" w:sz="4" w:space="0" w:color="D2D6DC"/>
          <w:insideV w:val="none"/>
        </w:tblBorders>
      </w:tblPr>
      <w:tblGrid>
        <w:gridCol w:w="2016"/>
        <w:gridCol w:w="2016"/>
        <w:gridCol w:w="1440"/>
        <w:gridCol w:w="1728"/>
        <w:gridCol w:w="2592"/>
      </w:tblGrid>
      <w:tr>
        <w:tc>
          <w:tcPr>
            <w:tcW w:type="dxa" w:w="2016"/>
            <w:shd w:fill="1B365D"/>
            <w:tcMar>
              <w:top w:w="80" w:type="dxa"/>
              <w:bottom w:w="80" w:type="dxa"/>
              <w:left w:w="80" w:type="dxa"/>
              <w:right w:w="80" w:type="dxa"/>
            </w:tcMar>
          </w:tcPr>
          <w:p>
            <w:pPr>
              <w:jc w:val="left"/>
            </w:pPr>
            <w:r>
              <w:rPr>
                <w:rFonts w:ascii="Calibri" w:hAnsi="Calibri"/>
                <w:b/>
                <w:color w:val="FFFFFF"/>
                <w:sz w:val="17"/>
              </w:rPr>
              <w:t>Dimensión Forense</w:t>
            </w:r>
          </w:p>
        </w:tc>
        <w:tc>
          <w:tcPr>
            <w:tcW w:type="dxa" w:w="2016"/>
            <w:shd w:fill="1B365D"/>
            <w:tcMar>
              <w:top w:w="80" w:type="dxa"/>
              <w:bottom w:w="80" w:type="dxa"/>
              <w:left w:w="80" w:type="dxa"/>
              <w:right w:w="80" w:type="dxa"/>
            </w:tcMar>
          </w:tcPr>
          <w:p>
            <w:pPr>
              <w:jc w:val="left"/>
            </w:pPr>
            <w:r>
              <w:rPr>
                <w:rFonts w:ascii="Calibri" w:hAnsi="Calibri"/>
                <w:b/>
                <w:color w:val="FFFFFF"/>
                <w:sz w:val="17"/>
              </w:rPr>
              <w:t>Indicador Clave</w:t>
            </w:r>
          </w:p>
        </w:tc>
        <w:tc>
          <w:tcPr>
            <w:tcW w:type="dxa" w:w="1440"/>
            <w:shd w:fill="1B365D"/>
            <w:tcMar>
              <w:top w:w="80" w:type="dxa"/>
              <w:bottom w:w="80" w:type="dxa"/>
              <w:left w:w="80" w:type="dxa"/>
              <w:right w:w="80" w:type="dxa"/>
            </w:tcMar>
          </w:tcPr>
          <w:p>
            <w:pPr>
              <w:jc w:val="center"/>
            </w:pPr>
            <w:r>
              <w:rPr>
                <w:rFonts w:ascii="Calibri" w:hAnsi="Calibri"/>
                <w:b/>
                <w:color w:val="FFFFFF"/>
                <w:sz w:val="17"/>
              </w:rPr>
              <w:t>Valor LTM</w:t>
            </w:r>
          </w:p>
        </w:tc>
        <w:tc>
          <w:tcPr>
            <w:tcW w:type="dxa" w:w="1728"/>
            <w:shd w:fill="1B365D"/>
            <w:tcMar>
              <w:top w:w="80" w:type="dxa"/>
              <w:bottom w:w="80" w:type="dxa"/>
              <w:left w:w="80" w:type="dxa"/>
              <w:right w:w="80" w:type="dxa"/>
            </w:tcMar>
          </w:tcPr>
          <w:p>
            <w:pPr>
              <w:jc w:val="center"/>
            </w:pPr>
            <w:r>
              <w:rPr>
                <w:rFonts w:ascii="Calibri" w:hAnsi="Calibri"/>
                <w:b/>
                <w:color w:val="FFFFFF"/>
                <w:sz w:val="17"/>
              </w:rPr>
              <w:t>Zona de Seguridad</w:t>
            </w:r>
          </w:p>
        </w:tc>
        <w:tc>
          <w:tcPr>
            <w:tcW w:type="dxa" w:w="2592"/>
            <w:shd w:fill="1B365D"/>
            <w:tcMar>
              <w:top w:w="80" w:type="dxa"/>
              <w:bottom w:w="80" w:type="dxa"/>
              <w:left w:w="80" w:type="dxa"/>
              <w:right w:w="80" w:type="dxa"/>
            </w:tcMar>
          </w:tcPr>
          <w:p>
            <w:pPr>
              <w:jc w:val="left"/>
            </w:pPr>
            <w:r>
              <w:rPr>
                <w:rFonts w:ascii="Calibri" w:hAnsi="Calibri"/>
                <w:b/>
                <w:color w:val="FFFFFF"/>
                <w:sz w:val="17"/>
              </w:rPr>
              <w:t>Diagnóstico para el Inversor</w:t>
            </w:r>
          </w:p>
        </w:tc>
      </w:tr>
      <w:tr>
        <w:tc>
          <w:tcPr>
            <w:tcW w:type="dxa" w:w="2016"/>
            <w:tcMar>
              <w:top w:w="60" w:type="dxa"/>
              <w:bottom w:w="60" w:type="dxa"/>
              <w:left w:w="80" w:type="dxa"/>
              <w:right w:w="80" w:type="dxa"/>
            </w:tcMar>
          </w:tcPr>
          <w:p>
            <w:pPr>
              <w:jc w:val="left"/>
            </w:pPr>
            <w:r>
              <w:rPr>
                <w:rFonts w:ascii="Calibri" w:hAnsi="Calibri"/>
                <w:b/>
                <w:sz w:val="17"/>
              </w:rPr>
              <w:t>Calidad de Beneficios</w:t>
            </w:r>
          </w:p>
        </w:tc>
        <w:tc>
          <w:tcPr>
            <w:tcW w:type="dxa" w:w="2016"/>
            <w:tcMar>
              <w:top w:w="60" w:type="dxa"/>
              <w:bottom w:w="60" w:type="dxa"/>
              <w:left w:w="80" w:type="dxa"/>
              <w:right w:w="80" w:type="dxa"/>
            </w:tcMar>
          </w:tcPr>
          <w:p>
            <w:pPr>
              <w:jc w:val="left"/>
            </w:pPr>
            <w:r>
              <w:rPr>
                <w:rFonts w:ascii="Calibri" w:hAnsi="Calibri"/>
                <w:b/>
                <w:sz w:val="17"/>
              </w:rPr>
              <w:t>Ratio Devengos Sloan</w:t>
            </w:r>
          </w:p>
        </w:tc>
        <w:tc>
          <w:tcPr>
            <w:tcW w:type="dxa" w:w="1440"/>
            <w:tcMar>
              <w:top w:w="60" w:type="dxa"/>
              <w:bottom w:w="60" w:type="dxa"/>
              <w:left w:w="80" w:type="dxa"/>
              <w:right w:w="80" w:type="dxa"/>
            </w:tcMar>
          </w:tcPr>
          <w:p>
            <w:pPr>
              <w:jc w:val="center"/>
            </w:pPr>
            <w:r>
              <w:rPr>
                <w:rFonts w:ascii="Calibri" w:hAnsi="Calibri"/>
                <w:sz w:val="17"/>
              </w:rPr>
              <w:t>-25.62%</w:t>
            </w:r>
          </w:p>
        </w:tc>
        <w:tc>
          <w:tcPr>
            <w:tcW w:type="dxa" w:w="1728"/>
            <w:tcMar>
              <w:top w:w="60" w:type="dxa"/>
              <w:bottom w:w="60" w:type="dxa"/>
              <w:left w:w="80" w:type="dxa"/>
              <w:right w:w="80" w:type="dxa"/>
            </w:tcMar>
          </w:tcPr>
          <w:p>
            <w:pPr>
              <w:jc w:val="center"/>
            </w:pPr>
            <w:r>
              <w:rPr>
                <w:rFonts w:ascii="Calibri" w:hAnsi="Calibri"/>
                <w:sz w:val="17"/>
              </w:rPr>
              <w:t>&lt; -3.0% (Excelente)</w:t>
            </w:r>
          </w:p>
        </w:tc>
        <w:tc>
          <w:tcPr>
            <w:tcW w:type="dxa" w:w="2592"/>
            <w:tcMar>
              <w:top w:w="60" w:type="dxa"/>
              <w:bottom w:w="60" w:type="dxa"/>
              <w:left w:w="80" w:type="dxa"/>
              <w:right w:w="80" w:type="dxa"/>
            </w:tcMar>
          </w:tcPr>
          <w:p>
            <w:pPr>
              <w:jc w:val="left"/>
            </w:pPr>
            <w:r>
              <w:rPr>
                <w:rFonts w:ascii="Calibri" w:hAnsi="Calibri"/>
                <w:sz w:val="17"/>
              </w:rPr>
              <w:t>Caja operativa supera a utilidad; devengos negativos protectores.</w:t>
            </w:r>
          </w:p>
        </w:tc>
      </w:tr>
      <w:tr>
        <w:tc>
          <w:tcPr>
            <w:tcW w:type="dxa" w:w="2016"/>
            <w:tcMar>
              <w:top w:w="60" w:type="dxa"/>
              <w:bottom w:w="60" w:type="dxa"/>
              <w:left w:w="80" w:type="dxa"/>
              <w:right w:w="80" w:type="dxa"/>
            </w:tcMar>
          </w:tcPr>
          <w:p>
            <w:pPr>
              <w:jc w:val="left"/>
            </w:pPr>
            <w:r>
              <w:rPr>
                <w:rFonts w:ascii="Calibri" w:hAnsi="Calibri"/>
                <w:b/>
                <w:sz w:val="17"/>
              </w:rPr>
              <w:t>Conversión de Ganancias</w:t>
            </w:r>
          </w:p>
        </w:tc>
        <w:tc>
          <w:tcPr>
            <w:tcW w:type="dxa" w:w="2016"/>
            <w:tcMar>
              <w:top w:w="60" w:type="dxa"/>
              <w:bottom w:w="60" w:type="dxa"/>
              <w:left w:w="80" w:type="dxa"/>
              <w:right w:w="80" w:type="dxa"/>
            </w:tcMar>
          </w:tcPr>
          <w:p>
            <w:pPr>
              <w:jc w:val="left"/>
            </w:pPr>
            <w:r>
              <w:rPr>
                <w:rFonts w:ascii="Calibri" w:hAnsi="Calibri"/>
                <w:b/>
                <w:sz w:val="17"/>
              </w:rPr>
              <w:t>Ratio CFO / Net Income</w:t>
            </w:r>
          </w:p>
        </w:tc>
        <w:tc>
          <w:tcPr>
            <w:tcW w:type="dxa" w:w="1440"/>
            <w:tcMar>
              <w:top w:w="60" w:type="dxa"/>
              <w:bottom w:w="60" w:type="dxa"/>
              <w:left w:w="80" w:type="dxa"/>
              <w:right w:w="80" w:type="dxa"/>
            </w:tcMar>
          </w:tcPr>
          <w:p>
            <w:pPr>
              <w:jc w:val="center"/>
            </w:pPr>
            <w:r>
              <w:rPr>
                <w:rFonts w:ascii="Calibri" w:hAnsi="Calibri"/>
                <w:sz w:val="17"/>
              </w:rPr>
              <w:t>746.4%</w:t>
            </w:r>
          </w:p>
        </w:tc>
        <w:tc>
          <w:tcPr>
            <w:tcW w:type="dxa" w:w="1728"/>
            <w:tcMar>
              <w:top w:w="60" w:type="dxa"/>
              <w:bottom w:w="60" w:type="dxa"/>
              <w:left w:w="80" w:type="dxa"/>
              <w:right w:w="80" w:type="dxa"/>
            </w:tcMar>
          </w:tcPr>
          <w:p>
            <w:pPr>
              <w:jc w:val="center"/>
            </w:pPr>
            <w:r>
              <w:rPr>
                <w:rFonts w:ascii="Calibri" w:hAnsi="Calibri"/>
                <w:sz w:val="17"/>
              </w:rPr>
              <w:t>&gt; 100.0%</w:t>
            </w:r>
          </w:p>
        </w:tc>
        <w:tc>
          <w:tcPr>
            <w:tcW w:type="dxa" w:w="2592"/>
            <w:tcMar>
              <w:top w:w="60" w:type="dxa"/>
              <w:bottom w:w="60" w:type="dxa"/>
              <w:left w:w="80" w:type="dxa"/>
              <w:right w:w="80" w:type="dxa"/>
            </w:tcMar>
          </w:tcPr>
          <w:p>
            <w:pPr>
              <w:jc w:val="left"/>
            </w:pPr>
            <w:r>
              <w:rPr>
                <w:rFonts w:ascii="Calibri" w:hAnsi="Calibri"/>
                <w:sz w:val="17"/>
              </w:rPr>
              <w:t>Conversión ultra-eficiente de beneficios contables en liquidez real.</w:t>
            </w:r>
          </w:p>
        </w:tc>
      </w:tr>
      <w:tr>
        <w:tc>
          <w:tcPr>
            <w:tcW w:type="dxa" w:w="2016"/>
            <w:tcMar>
              <w:top w:w="60" w:type="dxa"/>
              <w:bottom w:w="60" w:type="dxa"/>
              <w:left w:w="80" w:type="dxa"/>
              <w:right w:w="80" w:type="dxa"/>
            </w:tcMar>
          </w:tcPr>
          <w:p>
            <w:pPr>
              <w:jc w:val="left"/>
            </w:pPr>
            <w:r>
              <w:rPr>
                <w:rFonts w:ascii="Calibri" w:hAnsi="Calibri"/>
                <w:b/>
                <w:sz w:val="17"/>
              </w:rPr>
              <w:t>Riesgo Channel Stuffing</w:t>
            </w:r>
          </w:p>
        </w:tc>
        <w:tc>
          <w:tcPr>
            <w:tcW w:type="dxa" w:w="2016"/>
            <w:tcMar>
              <w:top w:w="60" w:type="dxa"/>
              <w:bottom w:w="60" w:type="dxa"/>
              <w:left w:w="80" w:type="dxa"/>
              <w:right w:w="80" w:type="dxa"/>
            </w:tcMar>
          </w:tcPr>
          <w:p>
            <w:pPr>
              <w:jc w:val="left"/>
            </w:pPr>
            <w:r>
              <w:rPr>
                <w:rFonts w:ascii="Calibri" w:hAnsi="Calibri"/>
                <w:b/>
                <w:sz w:val="17"/>
              </w:rPr>
              <w:t>Spread AR vs. Ventas</w:t>
            </w:r>
          </w:p>
        </w:tc>
        <w:tc>
          <w:tcPr>
            <w:tcW w:type="dxa" w:w="1440"/>
            <w:tcMar>
              <w:top w:w="60" w:type="dxa"/>
              <w:bottom w:w="60" w:type="dxa"/>
              <w:left w:w="80" w:type="dxa"/>
              <w:right w:w="80" w:type="dxa"/>
            </w:tcMar>
          </w:tcPr>
          <w:p>
            <w:pPr>
              <w:jc w:val="center"/>
            </w:pPr>
            <w:r>
              <w:rPr>
                <w:rFonts w:ascii="Calibri" w:hAnsi="Calibri"/>
                <w:sz w:val="17"/>
              </w:rPr>
              <w:t>-8.5%</w:t>
            </w:r>
          </w:p>
        </w:tc>
        <w:tc>
          <w:tcPr>
            <w:tcW w:type="dxa" w:w="1728"/>
            <w:tcMar>
              <w:top w:w="60" w:type="dxa"/>
              <w:bottom w:w="60" w:type="dxa"/>
              <w:left w:w="80" w:type="dxa"/>
              <w:right w:w="80" w:type="dxa"/>
            </w:tcMar>
          </w:tcPr>
          <w:p>
            <w:pPr>
              <w:jc w:val="center"/>
            </w:pPr>
            <w:r>
              <w:rPr>
                <w:rFonts w:ascii="Calibri" w:hAnsi="Calibri"/>
                <w:sz w:val="17"/>
              </w:rPr>
              <w:t>&lt; +10.0%</w:t>
            </w:r>
          </w:p>
        </w:tc>
        <w:tc>
          <w:tcPr>
            <w:tcW w:type="dxa" w:w="2592"/>
            <w:tcMar>
              <w:top w:w="60" w:type="dxa"/>
              <w:bottom w:w="60" w:type="dxa"/>
              <w:left w:w="80" w:type="dxa"/>
              <w:right w:w="80" w:type="dxa"/>
            </w:tcMar>
          </w:tcPr>
          <w:p>
            <w:pPr>
              <w:jc w:val="left"/>
            </w:pPr>
            <w:r>
              <w:rPr>
                <w:rFonts w:ascii="Calibri" w:hAnsi="Calibri"/>
                <w:sz w:val="17"/>
              </w:rPr>
              <w:t>Cobranza disciplinada (DSO: 4.3d); cobros sincronizados sin ventas infladas.</w:t>
            </w:r>
          </w:p>
        </w:tc>
      </w:tr>
      <w:tr>
        <w:tc>
          <w:tcPr>
            <w:tcW w:type="dxa" w:w="2016"/>
            <w:tcMar>
              <w:top w:w="60" w:type="dxa"/>
              <w:bottom w:w="60" w:type="dxa"/>
              <w:left w:w="80" w:type="dxa"/>
              <w:right w:w="80" w:type="dxa"/>
            </w:tcMar>
          </w:tcPr>
          <w:p>
            <w:pPr>
              <w:jc w:val="left"/>
            </w:pPr>
            <w:r>
              <w:rPr>
                <w:rFonts w:ascii="Calibri" w:hAnsi="Calibri"/>
                <w:b/>
                <w:sz w:val="17"/>
              </w:rPr>
              <w:t>Gestión de Existencias</w:t>
            </w:r>
          </w:p>
        </w:tc>
        <w:tc>
          <w:tcPr>
            <w:tcW w:type="dxa" w:w="2016"/>
            <w:tcMar>
              <w:top w:w="60" w:type="dxa"/>
              <w:bottom w:w="60" w:type="dxa"/>
              <w:left w:w="80" w:type="dxa"/>
              <w:right w:w="80" w:type="dxa"/>
            </w:tcMar>
          </w:tcPr>
          <w:p>
            <w:pPr>
              <w:jc w:val="left"/>
            </w:pPr>
            <w:r>
              <w:rPr>
                <w:rFonts w:ascii="Calibri" w:hAnsi="Calibri"/>
                <w:b/>
                <w:sz w:val="17"/>
              </w:rPr>
              <w:t>Días Inventario (DIO)</w:t>
            </w:r>
          </w:p>
        </w:tc>
        <w:tc>
          <w:tcPr>
            <w:tcW w:type="dxa" w:w="1440"/>
            <w:tcMar>
              <w:top w:w="60" w:type="dxa"/>
              <w:bottom w:w="60" w:type="dxa"/>
              <w:left w:w="80" w:type="dxa"/>
              <w:right w:w="80" w:type="dxa"/>
            </w:tcMar>
          </w:tcPr>
          <w:p>
            <w:pPr>
              <w:jc w:val="center"/>
            </w:pPr>
            <w:r>
              <w:rPr>
                <w:rFonts w:ascii="Calibri" w:hAnsi="Calibri"/>
                <w:sz w:val="17"/>
              </w:rPr>
              <w:t>14.9 días</w:t>
            </w:r>
          </w:p>
        </w:tc>
        <w:tc>
          <w:tcPr>
            <w:tcW w:type="dxa" w:w="1728"/>
            <w:tcMar>
              <w:top w:w="60" w:type="dxa"/>
              <w:bottom w:w="60" w:type="dxa"/>
              <w:left w:w="80" w:type="dxa"/>
              <w:right w:w="80" w:type="dxa"/>
            </w:tcMar>
          </w:tcPr>
          <w:p>
            <w:pPr>
              <w:jc w:val="center"/>
            </w:pPr>
            <w:r>
              <w:rPr>
                <w:rFonts w:ascii="Calibri" w:hAnsi="Calibri"/>
                <w:sz w:val="17"/>
              </w:rPr>
              <w:t>&lt; 45 días</w:t>
            </w:r>
          </w:p>
        </w:tc>
        <w:tc>
          <w:tcPr>
            <w:tcW w:type="dxa" w:w="2592"/>
            <w:tcMar>
              <w:top w:w="60" w:type="dxa"/>
              <w:bottom w:w="60" w:type="dxa"/>
              <w:left w:w="80" w:type="dxa"/>
              <w:right w:w="80" w:type="dxa"/>
            </w:tcMar>
          </w:tcPr>
          <w:p>
            <w:pPr>
              <w:jc w:val="left"/>
            </w:pPr>
            <w:r>
              <w:rPr>
                <w:rFonts w:ascii="Calibri" w:hAnsi="Calibri"/>
                <w:sz w:val="17"/>
              </w:rPr>
              <w:t>Rotación ultra-rápida (14.9d); mínima inmovilización de capital.</w:t>
            </w:r>
          </w:p>
        </w:tc>
      </w:tr>
      <w:tr>
        <w:tc>
          <w:tcPr>
            <w:tcW w:type="dxa" w:w="2016"/>
            <w:tcMar>
              <w:top w:w="60" w:type="dxa"/>
              <w:bottom w:w="60" w:type="dxa"/>
              <w:left w:w="80" w:type="dxa"/>
              <w:right w:w="80" w:type="dxa"/>
            </w:tcMar>
          </w:tcPr>
          <w:p>
            <w:pPr>
              <w:jc w:val="left"/>
            </w:pPr>
            <w:r>
              <w:rPr>
                <w:rFonts w:ascii="Calibri" w:hAnsi="Calibri"/>
                <w:b/>
                <w:sz w:val="17"/>
              </w:rPr>
              <w:t>Integridad del Balance</w:t>
            </w:r>
          </w:p>
        </w:tc>
        <w:tc>
          <w:tcPr>
            <w:tcW w:type="dxa" w:w="2016"/>
            <w:tcMar>
              <w:top w:w="60" w:type="dxa"/>
              <w:bottom w:w="60" w:type="dxa"/>
              <w:left w:w="80" w:type="dxa"/>
              <w:right w:w="80" w:type="dxa"/>
            </w:tcMar>
          </w:tcPr>
          <w:p>
            <w:pPr>
              <w:jc w:val="left"/>
            </w:pPr>
            <w:r>
              <w:rPr>
                <w:rFonts w:ascii="Calibri" w:hAnsi="Calibri"/>
                <w:b/>
                <w:sz w:val="17"/>
              </w:rPr>
              <w:t>Variación Activos Blandos</w:t>
            </w:r>
          </w:p>
        </w:tc>
        <w:tc>
          <w:tcPr>
            <w:tcW w:type="dxa" w:w="1440"/>
            <w:tcMar>
              <w:top w:w="60" w:type="dxa"/>
              <w:bottom w:w="60" w:type="dxa"/>
              <w:left w:w="80" w:type="dxa"/>
              <w:right w:w="80" w:type="dxa"/>
            </w:tcMar>
          </w:tcPr>
          <w:p>
            <w:pPr>
              <w:jc w:val="center"/>
            </w:pPr>
            <w:r>
              <w:rPr>
                <w:rFonts w:ascii="Calibri" w:hAnsi="Calibri"/>
                <w:sz w:val="17"/>
              </w:rPr>
              <w:t>+1.6 pp</w:t>
            </w:r>
          </w:p>
        </w:tc>
        <w:tc>
          <w:tcPr>
            <w:tcW w:type="dxa" w:w="1728"/>
            <w:tcMar>
              <w:top w:w="60" w:type="dxa"/>
              <w:bottom w:w="60" w:type="dxa"/>
              <w:left w:w="80" w:type="dxa"/>
              <w:right w:w="80" w:type="dxa"/>
            </w:tcMar>
          </w:tcPr>
          <w:p>
            <w:pPr>
              <w:jc w:val="center"/>
            </w:pPr>
            <w:r>
              <w:rPr>
                <w:rFonts w:ascii="Calibri" w:hAnsi="Calibri"/>
                <w:sz w:val="17"/>
              </w:rPr>
              <w:t>&lt; +2.0 pp</w:t>
            </w:r>
          </w:p>
        </w:tc>
        <w:tc>
          <w:tcPr>
            <w:tcW w:type="dxa" w:w="2592"/>
            <w:tcMar>
              <w:top w:w="60" w:type="dxa"/>
              <w:bottom w:w="60" w:type="dxa"/>
              <w:left w:w="80" w:type="dxa"/>
              <w:right w:w="80" w:type="dxa"/>
            </w:tcMar>
          </w:tcPr>
          <w:p>
            <w:pPr>
              <w:jc w:val="left"/>
            </w:pPr>
            <w:r>
              <w:rPr>
                <w:rFonts w:ascii="Calibri" w:hAnsi="Calibri"/>
                <w:sz w:val="17"/>
              </w:rPr>
              <w:t>Cero distorsión; gastos operativos no se activan en el balance.</w:t>
            </w:r>
          </w:p>
        </w:tc>
      </w:tr>
      <w:tr>
        <w:tc>
          <w:tcPr>
            <w:tcW w:type="dxa" w:w="2016"/>
            <w:tcMar>
              <w:top w:w="60" w:type="dxa"/>
              <w:bottom w:w="60" w:type="dxa"/>
              <w:left w:w="80" w:type="dxa"/>
              <w:right w:w="80" w:type="dxa"/>
            </w:tcMar>
          </w:tcPr>
          <w:p>
            <w:pPr>
              <w:jc w:val="left"/>
            </w:pPr>
            <w:r>
              <w:rPr>
                <w:rFonts w:ascii="Calibri" w:hAnsi="Calibri"/>
                <w:b/>
                <w:sz w:val="17"/>
              </w:rPr>
              <w:t>Manipulación Agregada</w:t>
            </w:r>
          </w:p>
        </w:tc>
        <w:tc>
          <w:tcPr>
            <w:tcW w:type="dxa" w:w="2016"/>
            <w:tcMar>
              <w:top w:w="60" w:type="dxa"/>
              <w:bottom w:w="60" w:type="dxa"/>
              <w:left w:w="80" w:type="dxa"/>
              <w:right w:w="80" w:type="dxa"/>
            </w:tcMar>
          </w:tcPr>
          <w:p>
            <w:pPr>
              <w:jc w:val="left"/>
            </w:pPr>
            <w:r>
              <w:rPr>
                <w:rFonts w:ascii="Calibri" w:hAnsi="Calibri"/>
                <w:b/>
                <w:sz w:val="17"/>
              </w:rPr>
              <w:t>Montier C-Score Total</w:t>
            </w:r>
          </w:p>
        </w:tc>
        <w:tc>
          <w:tcPr>
            <w:tcW w:type="dxa" w:w="1440"/>
            <w:tcMar>
              <w:top w:w="60" w:type="dxa"/>
              <w:bottom w:w="60" w:type="dxa"/>
              <w:left w:w="80" w:type="dxa"/>
              <w:right w:w="80" w:type="dxa"/>
            </w:tcMar>
          </w:tcPr>
          <w:p>
            <w:pPr>
              <w:jc w:val="center"/>
            </w:pPr>
            <w:r>
              <w:rPr>
                <w:rFonts w:ascii="Calibri" w:hAnsi="Calibri"/>
                <w:sz w:val="17"/>
              </w:rPr>
              <w:t>3 / 6</w:t>
            </w:r>
          </w:p>
        </w:tc>
        <w:tc>
          <w:tcPr>
            <w:tcW w:type="dxa" w:w="1728"/>
            <w:tcMar>
              <w:top w:w="60" w:type="dxa"/>
              <w:bottom w:w="60" w:type="dxa"/>
              <w:left w:w="80" w:type="dxa"/>
              <w:right w:w="80" w:type="dxa"/>
            </w:tcMar>
          </w:tcPr>
          <w:p>
            <w:pPr>
              <w:jc w:val="center"/>
            </w:pPr>
            <w:r>
              <w:rPr>
                <w:rFonts w:ascii="Calibri" w:hAnsi="Calibri"/>
                <w:sz w:val="17"/>
              </w:rPr>
              <w:t>0 - 1 Banderas</w:t>
            </w:r>
          </w:p>
        </w:tc>
        <w:tc>
          <w:tcPr>
            <w:tcW w:type="dxa" w:w="2592"/>
            <w:tcMar>
              <w:top w:w="60" w:type="dxa"/>
              <w:bottom w:w="60" w:type="dxa"/>
              <w:left w:w="80" w:type="dxa"/>
              <w:right w:w="80" w:type="dxa"/>
            </w:tcMar>
          </w:tcPr>
          <w:p>
            <w:pPr>
              <w:jc w:val="left"/>
            </w:pPr>
            <w:r>
              <w:rPr>
                <w:rFonts w:ascii="Calibri" w:hAnsi="Calibri"/>
                <w:sz w:val="17"/>
              </w:rPr>
              <w:t>Vigilancia rigurosa (3/6); desfases en capital de trabajo o balance (&lt; 40%).</w:t>
            </w:r>
          </w:p>
        </w:tc>
      </w:tr>
    </w:tbl>
    <w:p>
      <w:pPr>
        <w:spacing w:after="160"/>
      </w:pPr>
    </w:p>
    <w:p>
      <w:pPr>
        <w:pStyle w:val="Heading1"/>
      </w:pPr>
      <w:r>
        <w:t>13. Solvencia, Deuda y Estrés Financiero (Credit Risk Engine)</w:t>
      </w:r>
    </w:p>
    <w:tbl>
      <w:tblPr>
        <w:tblW w:type="auto" w:w="0"/>
        <w:jc w:val="center"/>
        <w:tblLook w:firstColumn="1" w:firstRow="1" w:lastColumn="0" w:lastRow="0" w:noHBand="0" w:noVBand="1" w:val="04A0"/>
      </w:tblPr>
      <w:tblGrid>
        <w:gridCol w:w="9792"/>
      </w:tblGrid>
      <w:tr>
        <w:tc>
          <w:tcPr>
            <w:tcW w:type="dxa" w:w="9792"/>
            <w:shd w:fill="F0F4F8"/>
            <w:tcMar>
              <w:top w:w="140" w:type="dxa"/>
              <w:bottom w:w="140" w:type="dxa"/>
              <w:left w:w="180" w:type="dxa"/>
              <w:right w:w="180" w:type="dxa"/>
            </w:tcMar>
          </w:tcPr>
          <w:p>
            <w:r>
              <w:rPr>
                <w:b/>
                <w:color w:val="1B365D"/>
                <w:sz w:val="22"/>
              </w:rPr>
              <w:t>DICTAMEN GLOBAL DE SOLVENCIA (LTM): SOLVENCIA MODERADA</w:t>
              <w:br/>
            </w:r>
            <w:r>
              <w:rPr>
                <w:color w:val="2D3748"/>
                <w:sz w:val="19"/>
              </w:rPr>
              <w:t>Rating Sintético Damodaran: AAA (GRADO INSTITUCIONAL MÁXIMO (AAA / Aaa)) | Altman Z''-Score: 1.56 [ZONA GRIS]</w:t>
              <w:br/>
              <w:br/>
              <w:t>SOLVENCIA EQUILIBRADA BAJO MONITOREO: Apalancamiento controlado (1.31x), cobertura de 13.7x y Altman Z''-Score de 1.56. Estructura de capital adecuada sin riesgos inminentes de impago.</w:t>
            </w:r>
          </w:p>
        </w:tc>
      </w:tr>
    </w:tbl>
    <w:p/>
    <w:p>
      <w:pPr>
        <w:pStyle w:val="Heading2"/>
      </w:pPr>
      <w:r>
        <w:t>13.1. Apalancamiento y Capacidad de Amortización (Cash Flow Leverage)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Amortización</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Diagnóstico</w:t>
            </w:r>
          </w:p>
        </w:tc>
      </w:tr>
      <w:tr>
        <w:tc>
          <w:tcPr>
            <w:tcW w:type="dxa" w:w="2448"/>
          </w:tcPr>
          <w:p>
            <w:r>
              <w:rPr>
                <w:b/>
                <w:sz w:val="17"/>
              </w:rPr>
              <w:t>Deuda Financiera Total</w:t>
            </w:r>
          </w:p>
        </w:tc>
        <w:tc>
          <w:tcPr>
            <w:tcW w:type="dxa" w:w="2448"/>
          </w:tcPr>
          <w:p>
            <w:r>
              <w:rPr>
                <w:sz w:val="17"/>
              </w:rPr>
              <w:t>Short + Long Term Debt</w:t>
            </w:r>
          </w:p>
        </w:tc>
        <w:tc>
          <w:tcPr>
            <w:tcW w:type="dxa" w:w="2448"/>
          </w:tcPr>
          <w:p>
            <w:r>
              <w:rPr>
                <w:b/>
                <w:sz w:val="17"/>
              </w:rPr>
              <w:t>$10,626.0M</w:t>
            </w:r>
          </w:p>
        </w:tc>
        <w:tc>
          <w:tcPr>
            <w:tcW w:type="dxa" w:w="2448"/>
          </w:tcPr>
          <w:p>
            <w:r>
              <w:rPr>
                <w:sz w:val="17"/>
              </w:rPr>
              <w:t>Referencia Balance</w:t>
            </w:r>
          </w:p>
        </w:tc>
      </w:tr>
      <w:tr>
        <w:tc>
          <w:tcPr>
            <w:tcW w:type="dxa" w:w="2448"/>
            <w:shd w:fill="F7FAFC"/>
          </w:tcPr>
          <w:p>
            <w:r>
              <w:rPr>
                <w:b/>
                <w:sz w:val="17"/>
              </w:rPr>
              <w:t>Tesorería y Equivalentes</w:t>
            </w:r>
          </w:p>
        </w:tc>
        <w:tc>
          <w:tcPr>
            <w:tcW w:type="dxa" w:w="2448"/>
            <w:shd w:fill="F7FAFC"/>
          </w:tcPr>
          <w:p>
            <w:r>
              <w:rPr>
                <w:sz w:val="17"/>
              </w:rPr>
              <w:t>Cash &amp; Equivalents</w:t>
            </w:r>
          </w:p>
        </w:tc>
        <w:tc>
          <w:tcPr>
            <w:tcW w:type="dxa" w:w="2448"/>
            <w:shd w:fill="F7FAFC"/>
          </w:tcPr>
          <w:p>
            <w:r>
              <w:rPr>
                <w:b/>
                <w:sz w:val="17"/>
              </w:rPr>
              <w:t>$5,730.0M</w:t>
            </w:r>
          </w:p>
        </w:tc>
        <w:tc>
          <w:tcPr>
            <w:tcW w:type="dxa" w:w="2448"/>
            <w:shd w:fill="F7FAFC"/>
          </w:tcPr>
          <w:p>
            <w:r>
              <w:rPr>
                <w:sz w:val="17"/>
              </w:rPr>
              <w:t>Liquidez Inmediata</w:t>
            </w:r>
          </w:p>
        </w:tc>
      </w:tr>
      <w:tr>
        <w:tc>
          <w:tcPr>
            <w:tcW w:type="dxa" w:w="2448"/>
          </w:tcPr>
          <w:p>
            <w:r>
              <w:rPr>
                <w:b/>
                <w:sz w:val="17"/>
              </w:rPr>
              <w:t>Deuda Financiera Neta</w:t>
            </w:r>
          </w:p>
        </w:tc>
        <w:tc>
          <w:tcPr>
            <w:tcW w:type="dxa" w:w="2448"/>
          </w:tcPr>
          <w:p>
            <w:r>
              <w:rPr>
                <w:sz w:val="17"/>
              </w:rPr>
              <w:t>Deuda Total - Tesorería</w:t>
            </w:r>
          </w:p>
        </w:tc>
        <w:tc>
          <w:tcPr>
            <w:tcW w:type="dxa" w:w="2448"/>
          </w:tcPr>
          <w:p>
            <w:r>
              <w:rPr>
                <w:b/>
                <w:sz w:val="17"/>
              </w:rPr>
              <w:t>$4,896.0M</w:t>
            </w:r>
          </w:p>
        </w:tc>
        <w:tc>
          <w:tcPr>
            <w:tcW w:type="dxa" w:w="2448"/>
          </w:tcPr>
          <w:p>
            <w:r>
              <w:rPr>
                <w:sz w:val="17"/>
              </w:rPr>
              <w:t>Deuda Neta</w:t>
            </w:r>
          </w:p>
        </w:tc>
      </w:tr>
      <w:tr>
        <w:tc>
          <w:tcPr>
            <w:tcW w:type="dxa" w:w="2448"/>
            <w:shd w:fill="F7FAFC"/>
          </w:tcPr>
          <w:p>
            <w:r>
              <w:rPr>
                <w:b/>
                <w:sz w:val="17"/>
              </w:rPr>
              <w:t>Deuda Neta / EBITDA</w:t>
            </w:r>
          </w:p>
        </w:tc>
        <w:tc>
          <w:tcPr>
            <w:tcW w:type="dxa" w:w="2448"/>
            <w:shd w:fill="F7FAFC"/>
          </w:tcPr>
          <w:p>
            <w:r>
              <w:rPr>
                <w:sz w:val="17"/>
              </w:rPr>
              <w:t>Deuda Neta / EBITDA</w:t>
            </w:r>
          </w:p>
        </w:tc>
        <w:tc>
          <w:tcPr>
            <w:tcW w:type="dxa" w:w="2448"/>
            <w:shd w:fill="F7FAFC"/>
          </w:tcPr>
          <w:p>
            <w:r>
              <w:rPr>
                <w:b/>
                <w:sz w:val="17"/>
              </w:rPr>
              <w:t>1.31x</w:t>
            </w:r>
          </w:p>
        </w:tc>
        <w:tc>
          <w:tcPr>
            <w:tcW w:type="dxa" w:w="2448"/>
            <w:shd w:fill="F7FAFC"/>
          </w:tcPr>
          <w:p>
            <w:r>
              <w:rPr>
                <w:sz w:val="17"/>
              </w:rPr>
              <w:t>GRADO INVERSIÓN SUPERIOR (&lt; 1.5x)</w:t>
            </w:r>
          </w:p>
        </w:tc>
      </w:tr>
      <w:tr>
        <w:tc>
          <w:tcPr>
            <w:tcW w:type="dxa" w:w="2448"/>
          </w:tcPr>
          <w:p>
            <w:r>
              <w:rPr>
                <w:b/>
                <w:sz w:val="17"/>
              </w:rPr>
              <w:t>Deuda Neta / FCF</w:t>
            </w:r>
          </w:p>
        </w:tc>
        <w:tc>
          <w:tcPr>
            <w:tcW w:type="dxa" w:w="2448"/>
          </w:tcPr>
          <w:p>
            <w:r>
              <w:rPr>
                <w:sz w:val="17"/>
              </w:rPr>
              <w:t>Deuda Neta / FCF</w:t>
            </w:r>
          </w:p>
        </w:tc>
        <w:tc>
          <w:tcPr>
            <w:tcW w:type="dxa" w:w="2448"/>
          </w:tcPr>
          <w:p>
            <w:r>
              <w:rPr>
                <w:b/>
                <w:sz w:val="17"/>
              </w:rPr>
              <w:t>0.39x</w:t>
            </w:r>
          </w:p>
        </w:tc>
        <w:tc>
          <w:tcPr>
            <w:tcW w:type="dxa" w:w="2448"/>
          </w:tcPr>
          <w:p>
            <w:r>
              <w:rPr>
                <w:sz w:val="17"/>
              </w:rPr>
              <w:t>Años de Caja Libre</w:t>
            </w:r>
          </w:p>
        </w:tc>
      </w:tr>
    </w:tbl>
    <w:p/>
    <w:p>
      <w:pPr>
        <w:pStyle w:val="Heading2"/>
      </w:pPr>
      <w:r>
        <w:t>13.2. Cobertura de Intereses y Carga Financiera</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Métrica de Cobertura</w:t>
            </w:r>
          </w:p>
        </w:tc>
        <w:tc>
          <w:tcPr>
            <w:tcW w:type="dxa" w:w="2448"/>
            <w:shd w:fill="1B365D"/>
          </w:tcPr>
          <w:p>
            <w:r>
              <w:rPr>
                <w:b/>
                <w:color w:val="FFFFFF"/>
                <w:sz w:val="18"/>
              </w:rPr>
              <w:t>Fórmula Contable</w:t>
            </w:r>
          </w:p>
        </w:tc>
        <w:tc>
          <w:tcPr>
            <w:tcW w:type="dxa" w:w="2448"/>
            <w:shd w:fill="1B365D"/>
          </w:tcPr>
          <w:p>
            <w:r>
              <w:rPr>
                <w:b/>
                <w:color w:val="FFFFFF"/>
                <w:sz w:val="18"/>
              </w:rPr>
              <w:t>Valor LTM</w:t>
            </w:r>
          </w:p>
        </w:tc>
        <w:tc>
          <w:tcPr>
            <w:tcW w:type="dxa" w:w="2448"/>
            <w:shd w:fill="1B365D"/>
          </w:tcPr>
          <w:p>
            <w:r>
              <w:rPr>
                <w:b/>
                <w:color w:val="FFFFFF"/>
                <w:sz w:val="18"/>
              </w:rPr>
              <w:t>Evaluación</w:t>
            </w:r>
          </w:p>
        </w:tc>
      </w:tr>
      <w:tr>
        <w:tc>
          <w:tcPr>
            <w:tcW w:type="dxa" w:w="2448"/>
          </w:tcPr>
          <w:p>
            <w:r>
              <w:rPr>
                <w:b/>
                <w:sz w:val="17"/>
              </w:rPr>
              <w:t>Beneficio Operativo (EBIT)</w:t>
            </w:r>
          </w:p>
        </w:tc>
        <w:tc>
          <w:tcPr>
            <w:tcW w:type="dxa" w:w="2448"/>
          </w:tcPr>
          <w:p>
            <w:r>
              <w:rPr>
                <w:sz w:val="17"/>
              </w:rPr>
              <w:t>Operating Income</w:t>
            </w:r>
          </w:p>
        </w:tc>
        <w:tc>
          <w:tcPr>
            <w:tcW w:type="dxa" w:w="2448"/>
          </w:tcPr>
          <w:p>
            <w:r>
              <w:rPr>
                <w:b/>
                <w:sz w:val="17"/>
              </w:rPr>
              <w:t>$2,907.0M</w:t>
            </w:r>
          </w:p>
        </w:tc>
        <w:tc>
          <w:tcPr>
            <w:tcW w:type="dxa" w:w="2448"/>
          </w:tcPr>
          <w:p>
            <w:r>
              <w:rPr>
                <w:sz w:val="17"/>
              </w:rPr>
              <w:t>Fondo de Cobertura</w:t>
            </w:r>
          </w:p>
        </w:tc>
      </w:tr>
      <w:tr>
        <w:tc>
          <w:tcPr>
            <w:tcW w:type="dxa" w:w="2448"/>
            <w:shd w:fill="F7FAFC"/>
          </w:tcPr>
          <w:p>
            <w:r>
              <w:rPr>
                <w:b/>
                <w:sz w:val="17"/>
              </w:rPr>
              <w:t>Gasto por Intereses</w:t>
            </w:r>
          </w:p>
        </w:tc>
        <w:tc>
          <w:tcPr>
            <w:tcW w:type="dxa" w:w="2448"/>
            <w:shd w:fill="F7FAFC"/>
          </w:tcPr>
          <w:p>
            <w:r>
              <w:rPr>
                <w:sz w:val="17"/>
              </w:rPr>
              <w:t>Gasto Financiero Auditado/Estimado</w:t>
            </w:r>
          </w:p>
        </w:tc>
        <w:tc>
          <w:tcPr>
            <w:tcW w:type="dxa" w:w="2448"/>
            <w:shd w:fill="F7FAFC"/>
          </w:tcPr>
          <w:p>
            <w:r>
              <w:rPr>
                <w:b/>
                <w:sz w:val="17"/>
              </w:rPr>
              <w:t>$212.0M</w:t>
            </w:r>
          </w:p>
        </w:tc>
        <w:tc>
          <w:tcPr>
            <w:tcW w:type="dxa" w:w="2448"/>
            <w:shd w:fill="F7FAFC"/>
          </w:tcPr>
          <w:p>
            <w:r>
              <w:rPr>
                <w:sz w:val="17"/>
              </w:rPr>
              <w:t>Carga Obligatoria</w:t>
            </w:r>
          </w:p>
        </w:tc>
      </w:tr>
      <w:tr>
        <w:tc>
          <w:tcPr>
            <w:tcW w:type="dxa" w:w="2448"/>
          </w:tcPr>
          <w:p>
            <w:r>
              <w:rPr>
                <w:b/>
                <w:sz w:val="17"/>
              </w:rPr>
              <w:t>Cobertura de Intereses Operativa</w:t>
            </w:r>
          </w:p>
        </w:tc>
        <w:tc>
          <w:tcPr>
            <w:tcW w:type="dxa" w:w="2448"/>
          </w:tcPr>
          <w:p>
            <w:r>
              <w:rPr>
                <w:sz w:val="17"/>
              </w:rPr>
              <w:t>EBIT / Gasto Financiero</w:t>
            </w:r>
          </w:p>
        </w:tc>
        <w:tc>
          <w:tcPr>
            <w:tcW w:type="dxa" w:w="2448"/>
          </w:tcPr>
          <w:p>
            <w:r>
              <w:rPr>
                <w:b/>
                <w:sz w:val="17"/>
              </w:rPr>
              <w:t>13.7x</w:t>
            </w:r>
          </w:p>
        </w:tc>
        <w:tc>
          <w:tcPr>
            <w:tcW w:type="dxa" w:w="2448"/>
          </w:tcPr>
          <w:p>
            <w:r>
              <w:rPr>
                <w:sz w:val="17"/>
              </w:rPr>
              <w:t>COBERTURA EXCELENTE (&gt; 10.0x)</w:t>
            </w:r>
          </w:p>
        </w:tc>
      </w:tr>
      <w:tr>
        <w:tc>
          <w:tcPr>
            <w:tcW w:type="dxa" w:w="2448"/>
            <w:shd w:fill="F7FAFC"/>
          </w:tcPr>
          <w:p>
            <w:r>
              <w:rPr>
                <w:b/>
                <w:sz w:val="17"/>
              </w:rPr>
              <w:t>Carga Financiera sobre CFO</w:t>
            </w:r>
          </w:p>
        </w:tc>
        <w:tc>
          <w:tcPr>
            <w:tcW w:type="dxa" w:w="2448"/>
            <w:shd w:fill="F7FAFC"/>
          </w:tcPr>
          <w:p>
            <w:r>
              <w:rPr>
                <w:sz w:val="17"/>
              </w:rPr>
              <w:t>(Intereses / CFO) * 100</w:t>
            </w:r>
          </w:p>
        </w:tc>
        <w:tc>
          <w:tcPr>
            <w:tcW w:type="dxa" w:w="2448"/>
            <w:shd w:fill="F7FAFC"/>
          </w:tcPr>
          <w:p>
            <w:r>
              <w:rPr>
                <w:b/>
                <w:sz w:val="17"/>
              </w:rPr>
              <w:t>1.52%</w:t>
            </w:r>
          </w:p>
        </w:tc>
        <w:tc>
          <w:tcPr>
            <w:tcW w:type="dxa" w:w="2448"/>
            <w:shd w:fill="F7FAFC"/>
          </w:tcPr>
          <w:p>
            <w:r>
              <w:rPr>
                <w:sz w:val="17"/>
              </w:rPr>
              <w:t>Impacto en Caja</w:t>
            </w:r>
          </w:p>
        </w:tc>
      </w:tr>
    </w:tbl>
    <w:p/>
    <w:p>
      <w:pPr>
        <w:pStyle w:val="Heading2"/>
      </w:pPr>
      <w:r>
        <w:t>13.3. Modelos de Quiebra (Altman Z'') y Rating Sintético</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Instrumento Predictivo</w:t>
            </w:r>
          </w:p>
        </w:tc>
        <w:tc>
          <w:tcPr>
            <w:tcW w:type="dxa" w:w="2448"/>
            <w:shd w:fill="1B365D"/>
          </w:tcPr>
          <w:p>
            <w:r>
              <w:rPr>
                <w:b/>
                <w:color w:val="FFFFFF"/>
                <w:sz w:val="18"/>
              </w:rPr>
              <w:t>Resultado Cuantitativo</w:t>
            </w:r>
          </w:p>
        </w:tc>
        <w:tc>
          <w:tcPr>
            <w:tcW w:type="dxa" w:w="2448"/>
            <w:shd w:fill="1B365D"/>
          </w:tcPr>
          <w:p>
            <w:r>
              <w:rPr>
                <w:b/>
                <w:color w:val="FFFFFF"/>
                <w:sz w:val="18"/>
              </w:rPr>
              <w:t>Calificación / Zona</w:t>
            </w:r>
          </w:p>
        </w:tc>
        <w:tc>
          <w:tcPr>
            <w:tcW w:type="dxa" w:w="2448"/>
            <w:shd w:fill="1B365D"/>
          </w:tcPr>
          <w:p>
            <w:r>
              <w:rPr>
                <w:b/>
                <w:color w:val="FFFFFF"/>
                <w:sz w:val="18"/>
              </w:rPr>
              <w:t>Interpretación Institucional</w:t>
            </w:r>
          </w:p>
        </w:tc>
      </w:tr>
      <w:tr>
        <w:tc>
          <w:tcPr>
            <w:tcW w:type="dxa" w:w="2448"/>
          </w:tcPr>
          <w:p>
            <w:r>
              <w:rPr>
                <w:b/>
                <w:sz w:val="17"/>
              </w:rPr>
              <w:t>Altman Z''-Score (4 Variables)</w:t>
            </w:r>
          </w:p>
        </w:tc>
        <w:tc>
          <w:tcPr>
            <w:tcW w:type="dxa" w:w="2448"/>
          </w:tcPr>
          <w:p>
            <w:r>
              <w:rPr>
                <w:b/>
                <w:sz w:val="17"/>
              </w:rPr>
              <w:t>1.56</w:t>
            </w:r>
          </w:p>
        </w:tc>
        <w:tc>
          <w:tcPr>
            <w:tcW w:type="dxa" w:w="2448"/>
          </w:tcPr>
          <w:p>
            <w:r>
              <w:rPr>
                <w:sz w:val="17"/>
              </w:rPr>
              <w:t>ZONA GRIS</w:t>
            </w:r>
          </w:p>
        </w:tc>
        <w:tc>
          <w:tcPr>
            <w:tcW w:type="dxa" w:w="2448"/>
          </w:tcPr>
          <w:p>
            <w:r>
              <w:rPr>
                <w:sz w:val="17"/>
              </w:rPr>
              <w:t>ZONA GRIS (PRECAUCIÓN Y SEGUIMIENTO)</w:t>
            </w:r>
          </w:p>
        </w:tc>
      </w:tr>
      <w:tr>
        <w:tc>
          <w:tcPr>
            <w:tcW w:type="dxa" w:w="2448"/>
            <w:shd w:fill="F7FAFC"/>
          </w:tcPr>
          <w:p>
            <w:r>
              <w:rPr>
                <w:b/>
                <w:sz w:val="17"/>
              </w:rPr>
              <w:t>Rating Sintético Damodaran</w:t>
            </w:r>
          </w:p>
        </w:tc>
        <w:tc>
          <w:tcPr>
            <w:tcW w:type="dxa" w:w="2448"/>
            <w:shd w:fill="F7FAFC"/>
          </w:tcPr>
          <w:p>
            <w:r>
              <w:rPr>
                <w:b/>
                <w:sz w:val="17"/>
              </w:rPr>
              <w:t>AAA</w:t>
            </w:r>
          </w:p>
        </w:tc>
        <w:tc>
          <w:tcPr>
            <w:tcW w:type="dxa" w:w="2448"/>
            <w:shd w:fill="F7FAFC"/>
          </w:tcPr>
          <w:p>
            <w:r>
              <w:rPr>
                <w:sz w:val="17"/>
              </w:rPr>
              <w:t>GRADO INSTITUCIONAL MÁXIMO (AAA / Aaa)</w:t>
            </w:r>
          </w:p>
        </w:tc>
        <w:tc>
          <w:tcPr>
            <w:tcW w:type="dxa" w:w="2448"/>
            <w:shd w:fill="F7FAFC"/>
          </w:tcPr>
          <w:p>
            <w:r>
              <w:rPr>
                <w:sz w:val="17"/>
              </w:rPr>
              <w:t>Spread Teórico: +0.60%</w:t>
            </w:r>
          </w:p>
        </w:tc>
      </w:tr>
      <w:tr>
        <w:tc>
          <w:tcPr>
            <w:tcW w:type="dxa" w:w="2448"/>
          </w:tcPr>
          <w:p>
            <w:r>
              <w:rPr>
                <w:b/>
                <w:sz w:val="17"/>
              </w:rPr>
              <w:t>Probabilidad de Default a 10 Años</w:t>
            </w:r>
          </w:p>
        </w:tc>
        <w:tc>
          <w:tcPr>
            <w:tcW w:type="dxa" w:w="2448"/>
          </w:tcPr>
          <w:p>
            <w:r>
              <w:rPr>
                <w:b/>
                <w:sz w:val="17"/>
              </w:rPr>
              <w:t>&lt; 0.2%</w:t>
            </w:r>
          </w:p>
        </w:tc>
        <w:tc>
          <w:tcPr>
            <w:tcW w:type="dxa" w:w="2448"/>
          </w:tcPr>
          <w:p>
            <w:r>
              <w:rPr>
                <w:sz w:val="17"/>
              </w:rPr>
              <w:t>Estadística S&amp;P</w:t>
            </w:r>
          </w:p>
        </w:tc>
        <w:tc>
          <w:tcPr>
            <w:tcW w:type="dxa" w:w="2448"/>
          </w:tcPr>
          <w:p>
            <w:r>
              <w:rPr>
                <w:sz w:val="17"/>
              </w:rPr>
              <w:t>Mínimo riesgo crediticio histórico.</w:t>
            </w:r>
          </w:p>
        </w:tc>
      </w:tr>
    </w:tbl>
    <w:p>
      <w:pPr>
        <w:pStyle w:val="Heading1"/>
        <w:spacing w:before="280" w:after="80"/>
      </w:pPr>
      <w:r>
        <w:rPr>
          <w:rFonts w:ascii="Calibri" w:hAnsi="Calibri"/>
          <w:b/>
          <w:color w:val="1B365D"/>
          <w:sz w:val="28"/>
        </w:rPr>
        <w:t>14. Modelado Financiero y Descuento Inverso de Flujo de Caja (Reverse DCF &amp; Expectations)</w:t>
      </w:r>
    </w:p>
    <w:p>
      <w:pPr>
        <w:spacing w:before="80" w:after="160"/>
        <w:ind w:left="288" w:right="288"/>
      </w:pPr>
      <w:r>
        <w:rPr>
          <w:rFonts w:ascii="Calibri" w:hAnsi="Calibri"/>
          <w:b/>
          <w:color w:val="1B365D"/>
          <w:sz w:val="21"/>
        </w:rPr>
        <w:t>PROPÓSITO DE VALORACIÓN: INTEGRACIÓN FISCAL AI &amp; REVERSE DCF PROPIETARIO</w:t>
        <w:br/>
      </w:r>
      <w:r>
        <w:rPr>
          <w:rFonts w:ascii="Calibri" w:hAnsi="Calibri"/>
          <w:color w:val="2D3748"/>
          <w:sz w:val="19"/>
        </w:rPr>
        <w:t>• Precio de Referencia: $1821.81  |  WACC Auditado: 11.03% (Rf: 5.19%, ERP: 4.75%)</w:t>
        <w:br/>
        <w:t>• Crecimiento Implícito Calculado: 14.0% Anual a 10 Años (vs. 48.7% Histórico)</w:t>
        <w:br/>
        <w:t>• Veredicto: Descuenta expectativas de 14.0% anual. Exigencia asumible (+14.0% anual); alineada con el ritmo tendencial de la empresa y su sector.</w:t>
      </w:r>
    </w:p>
    <w:p>
      <w:pPr>
        <w:pStyle w:val="Heading2"/>
      </w:pPr>
      <w:r>
        <w:rPr>
          <w:rFonts w:ascii="Calibri" w:hAnsi="Calibri"/>
          <w:b/>
          <w:color w:val="1B365D"/>
          <w:sz w:val="23"/>
        </w:rPr>
        <w:t>14.1. Configuración Óptima en Plataformas de Valoración (Fiscal AI)</w:t>
      </w:r>
    </w:p>
    <w:p>
      <w:r>
        <w:rPr>
          <w:rFonts w:ascii="Calibri" w:hAnsi="Calibri"/>
          <w:color w:val="2D3748"/>
          <w:sz w:val="18"/>
        </w:rPr>
        <w:t>Para evitar sesgos especulativos se recomienda configurar Fiscal AI con: (1) Modo Perpetuity (2.5%), anclando el valor terminal a la inflación/PIB sin especular con múltiplos de salida; (2) Pestaña Revenue Growth, por ser el motor económico más limpio contra distorsiones contables; y (3) Horizonte de 10 Años, capturando el ciclo completo de inversión y maduración.</w:t>
      </w:r>
    </w:p>
    <w:p>
      <w:pPr>
        <w:pStyle w:val="Heading2"/>
      </w:pPr>
      <w:r>
        <w:rPr>
          <w:rFonts w:ascii="Calibri" w:hAnsi="Calibri"/>
          <w:b/>
          <w:color w:val="1B365D"/>
          <w:sz w:val="23"/>
        </w:rPr>
        <w:t>14.2. Tabla Maestra de Parámetros Auditados en Tiempo Real (Advanced Mode)</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Casilla / Input Fiscal AI</w:t>
            </w:r>
          </w:p>
        </w:tc>
        <w:tc>
          <w:tcPr>
            <w:tcW w:type="dxa" w:w="2448"/>
            <w:shd w:fill="1B365D"/>
          </w:tcPr>
          <w:p>
            <w:r>
              <w:rPr>
                <w:b/>
                <w:color w:val="FFFFFF"/>
                <w:sz w:val="18"/>
              </w:rPr>
              <w:t>Valor Auditado</w:t>
            </w:r>
          </w:p>
        </w:tc>
        <w:tc>
          <w:tcPr>
            <w:tcW w:type="dxa" w:w="2448"/>
            <w:shd w:fill="1B365D"/>
          </w:tcPr>
          <w:p>
            <w:r>
              <w:rPr>
                <w:b/>
                <w:color w:val="FFFFFF"/>
                <w:sz w:val="18"/>
              </w:rPr>
              <w:t>Sección de Origen</w:t>
            </w:r>
          </w:p>
        </w:tc>
        <w:tc>
          <w:tcPr>
            <w:tcW w:type="dxa" w:w="2448"/>
            <w:shd w:fill="1B365D"/>
          </w:tcPr>
          <w:p>
            <w:r>
              <w:rPr>
                <w:b/>
                <w:color w:val="FFFFFF"/>
                <w:sz w:val="18"/>
              </w:rPr>
              <w:t>Racional Técnico y Sustento</w:t>
            </w:r>
          </w:p>
        </w:tc>
      </w:tr>
      <w:tr>
        <w:tc>
          <w:tcPr>
            <w:tcW w:type="dxa" w:w="2448"/>
          </w:tcPr>
          <w:p>
            <w:r>
              <w:rPr>
                <w:b/>
                <w:sz w:val="17"/>
              </w:rPr>
              <w:t>Current Share Price</w:t>
            </w:r>
          </w:p>
        </w:tc>
        <w:tc>
          <w:tcPr>
            <w:tcW w:type="dxa" w:w="2448"/>
          </w:tcPr>
          <w:p>
            <w:r>
              <w:rPr>
                <w:b/>
                <w:sz w:val="17"/>
              </w:rPr>
              <w:t>$1821.81</w:t>
            </w:r>
          </w:p>
        </w:tc>
        <w:tc>
          <w:tcPr>
            <w:tcW w:type="dxa" w:w="2448"/>
          </w:tcPr>
          <w:p>
            <w:r>
              <w:rPr>
                <w:sz w:val="17"/>
              </w:rPr>
              <w:t>Mercado en Vivo</w:t>
            </w:r>
          </w:p>
        </w:tc>
        <w:tc>
          <w:tcPr>
            <w:tcW w:type="dxa" w:w="2448"/>
          </w:tcPr>
          <w:p>
            <w:r>
              <w:rPr>
                <w:sz w:val="17"/>
              </w:rPr>
              <w:t>Cotización bursátil en tiempo real.</w:t>
            </w:r>
          </w:p>
        </w:tc>
      </w:tr>
      <w:tr>
        <w:tc>
          <w:tcPr>
            <w:tcW w:type="dxa" w:w="2448"/>
            <w:shd w:fill="F7FAFC"/>
          </w:tcPr>
          <w:p>
            <w:r>
              <w:rPr>
                <w:b/>
                <w:sz w:val="17"/>
              </w:rPr>
              <w:t>Risk-Free Rate (Rf)</w:t>
            </w:r>
          </w:p>
        </w:tc>
        <w:tc>
          <w:tcPr>
            <w:tcW w:type="dxa" w:w="2448"/>
            <w:shd w:fill="F7FAFC"/>
          </w:tcPr>
          <w:p>
            <w:r>
              <w:rPr>
                <w:b/>
                <w:sz w:val="17"/>
              </w:rPr>
              <w:t>5.19%</w:t>
            </w:r>
          </w:p>
        </w:tc>
        <w:tc>
          <w:tcPr>
            <w:tcW w:type="dxa" w:w="2448"/>
            <w:shd w:fill="F7FAFC"/>
          </w:tcPr>
          <w:p>
            <w:r>
              <w:rPr>
                <w:sz w:val="17"/>
              </w:rPr>
              <w:t>Sección 11.2 (Bonos)</w:t>
            </w:r>
          </w:p>
        </w:tc>
        <w:tc>
          <w:tcPr>
            <w:tcW w:type="dxa" w:w="2448"/>
            <w:shd w:fill="F7FAFC"/>
          </w:tcPr>
          <w:p>
            <w:r>
              <w:rPr>
                <w:sz w:val="17"/>
              </w:rPr>
              <w:t>Rendimiento del Bono del Tesoro de EE.UU. a 10 años (^TNX).</w:t>
            </w:r>
          </w:p>
        </w:tc>
      </w:tr>
      <w:tr>
        <w:tc>
          <w:tcPr>
            <w:tcW w:type="dxa" w:w="2448"/>
          </w:tcPr>
          <w:p>
            <w:r>
              <w:rPr>
                <w:b/>
                <w:sz w:val="17"/>
              </w:rPr>
              <w:t>Equity Risk Premium</w:t>
            </w:r>
          </w:p>
        </w:tc>
        <w:tc>
          <w:tcPr>
            <w:tcW w:type="dxa" w:w="2448"/>
          </w:tcPr>
          <w:p>
            <w:r>
              <w:rPr>
                <w:b/>
                <w:sz w:val="17"/>
              </w:rPr>
              <w:t>4.75%</w:t>
            </w:r>
          </w:p>
        </w:tc>
        <w:tc>
          <w:tcPr>
            <w:tcW w:type="dxa" w:w="2448"/>
          </w:tcPr>
          <w:p>
            <w:r>
              <w:rPr>
                <w:sz w:val="17"/>
              </w:rPr>
              <w:t>Damodaran Benchmark</w:t>
            </w:r>
          </w:p>
        </w:tc>
        <w:tc>
          <w:tcPr>
            <w:tcW w:type="dxa" w:w="2448"/>
          </w:tcPr>
          <w:p>
            <w:r>
              <w:rPr>
                <w:sz w:val="17"/>
              </w:rPr>
              <w:t>Prima de riesgo de mercado institucional.</w:t>
            </w:r>
          </w:p>
        </w:tc>
      </w:tr>
      <w:tr>
        <w:tc>
          <w:tcPr>
            <w:tcW w:type="dxa" w:w="2448"/>
            <w:shd w:fill="F7FAFC"/>
          </w:tcPr>
          <w:p>
            <w:r>
              <w:rPr>
                <w:b/>
                <w:sz w:val="17"/>
              </w:rPr>
              <w:t>Beta (Levered)</w:t>
            </w:r>
          </w:p>
        </w:tc>
        <w:tc>
          <w:tcPr>
            <w:tcW w:type="dxa" w:w="2448"/>
            <w:shd w:fill="F7FAFC"/>
          </w:tcPr>
          <w:p>
            <w:r>
              <w:rPr>
                <w:b/>
                <w:sz w:val="17"/>
              </w:rPr>
              <w:t>1.36</w:t>
            </w:r>
          </w:p>
        </w:tc>
        <w:tc>
          <w:tcPr>
            <w:tcW w:type="dxa" w:w="2448"/>
            <w:shd w:fill="F7FAFC"/>
          </w:tcPr>
          <w:p>
            <w:r>
              <w:rPr>
                <w:sz w:val="17"/>
              </w:rPr>
              <w:t>Sección 11.2 (Arbitraje)</w:t>
            </w:r>
          </w:p>
        </w:tc>
        <w:tc>
          <w:tcPr>
            <w:tcW w:type="dxa" w:w="2448"/>
            <w:shd w:fill="F7FAFC"/>
          </w:tcPr>
          <w:p>
            <w:r>
              <w:rPr>
                <w:sz w:val="17"/>
              </w:rPr>
              <w:t>Sensibilidad sistemática frente al S&amp;P 500.</w:t>
            </w:r>
          </w:p>
        </w:tc>
      </w:tr>
      <w:tr>
        <w:tc>
          <w:tcPr>
            <w:tcW w:type="dxa" w:w="2448"/>
          </w:tcPr>
          <w:p>
            <w:r>
              <w:rPr>
                <w:b/>
                <w:sz w:val="17"/>
              </w:rPr>
              <w:t>Pre-Tax Cost of Debt</w:t>
            </w:r>
          </w:p>
        </w:tc>
        <w:tc>
          <w:tcPr>
            <w:tcW w:type="dxa" w:w="2448"/>
          </w:tcPr>
          <w:p>
            <w:r>
              <w:rPr>
                <w:b/>
                <w:sz w:val="17"/>
              </w:rPr>
              <w:t>5.79%</w:t>
            </w:r>
          </w:p>
        </w:tc>
        <w:tc>
          <w:tcPr>
            <w:tcW w:type="dxa" w:w="2448"/>
          </w:tcPr>
          <w:p>
            <w:r>
              <w:rPr>
                <w:sz w:val="17"/>
              </w:rPr>
              <w:t>Sección 11.2 (Sintético)</w:t>
            </w:r>
          </w:p>
        </w:tc>
        <w:tc>
          <w:tcPr>
            <w:tcW w:type="dxa" w:w="2448"/>
          </w:tcPr>
          <w:p>
            <w:r>
              <w:rPr>
                <w:sz w:val="17"/>
              </w:rPr>
              <w:t>Coste de financiamiento bruto por rating sintético.</w:t>
            </w:r>
          </w:p>
        </w:tc>
      </w:tr>
      <w:tr>
        <w:tc>
          <w:tcPr>
            <w:tcW w:type="dxa" w:w="2448"/>
            <w:shd w:fill="F7FAFC"/>
          </w:tcPr>
          <w:p>
            <w:r>
              <w:rPr>
                <w:b/>
                <w:sz w:val="17"/>
              </w:rPr>
              <w:t>After-Tax Cost of Debt</w:t>
            </w:r>
          </w:p>
        </w:tc>
        <w:tc>
          <w:tcPr>
            <w:tcW w:type="dxa" w:w="2448"/>
            <w:shd w:fill="F7FAFC"/>
          </w:tcPr>
          <w:p>
            <w:r>
              <w:rPr>
                <w:b/>
                <w:sz w:val="17"/>
              </w:rPr>
              <w:t>5.5%</w:t>
            </w:r>
          </w:p>
        </w:tc>
        <w:tc>
          <w:tcPr>
            <w:tcW w:type="dxa" w:w="2448"/>
            <w:shd w:fill="F7FAFC"/>
          </w:tcPr>
          <w:p>
            <w:r>
              <w:rPr>
                <w:sz w:val="17"/>
              </w:rPr>
              <w:t>Sección 11.2 (WACC)</w:t>
            </w:r>
          </w:p>
        </w:tc>
        <w:tc>
          <w:tcPr>
            <w:tcW w:type="dxa" w:w="2448"/>
            <w:shd w:fill="F7FAFC"/>
          </w:tcPr>
          <w:p>
            <w:r>
              <w:rPr>
                <w:sz w:val="17"/>
              </w:rPr>
              <w:t>Coste neto del escudo fiscal: Kd * (1 - t).</w:t>
            </w:r>
          </w:p>
        </w:tc>
      </w:tr>
      <w:tr>
        <w:tc>
          <w:tcPr>
            <w:tcW w:type="dxa" w:w="2448"/>
          </w:tcPr>
          <w:p>
            <w:r>
              <w:rPr>
                <w:b/>
                <w:sz w:val="17"/>
              </w:rPr>
              <w:t>Effective Tax Rate</w:t>
            </w:r>
          </w:p>
        </w:tc>
        <w:tc>
          <w:tcPr>
            <w:tcW w:type="dxa" w:w="2448"/>
          </w:tcPr>
          <w:p>
            <w:r>
              <w:rPr>
                <w:b/>
                <w:sz w:val="17"/>
              </w:rPr>
              <w:t>5.0%</w:t>
            </w:r>
          </w:p>
        </w:tc>
        <w:tc>
          <w:tcPr>
            <w:tcW w:type="dxa" w:w="2448"/>
          </w:tcPr>
          <w:p>
            <w:r>
              <w:rPr>
                <w:sz w:val="17"/>
              </w:rPr>
              <w:t>Sección 11.2 (SEC 10-K)</w:t>
            </w:r>
          </w:p>
        </w:tc>
        <w:tc>
          <w:tcPr>
            <w:tcW w:type="dxa" w:w="2448"/>
          </w:tcPr>
          <w:p>
            <w:r>
              <w:rPr>
                <w:sz w:val="17"/>
              </w:rPr>
              <w:t>Tasa impositiva estructural auditada.</w:t>
            </w:r>
          </w:p>
        </w:tc>
      </w:tr>
      <w:tr>
        <w:tc>
          <w:tcPr>
            <w:tcW w:type="dxa" w:w="2448"/>
            <w:shd w:fill="F7FAFC"/>
          </w:tcPr>
          <w:p>
            <w:r>
              <w:rPr>
                <w:b/>
                <w:sz w:val="17"/>
              </w:rPr>
              <w:t>Weight of Debt</w:t>
            </w:r>
          </w:p>
        </w:tc>
        <w:tc>
          <w:tcPr>
            <w:tcW w:type="dxa" w:w="2448"/>
            <w:shd w:fill="F7FAFC"/>
          </w:tcPr>
          <w:p>
            <w:r>
              <w:rPr>
                <w:b/>
                <w:sz w:val="17"/>
              </w:rPr>
              <w:t>10.3%</w:t>
            </w:r>
          </w:p>
        </w:tc>
        <w:tc>
          <w:tcPr>
            <w:tcW w:type="dxa" w:w="2448"/>
            <w:shd w:fill="F7FAFC"/>
          </w:tcPr>
          <w:p>
            <w:r>
              <w:rPr>
                <w:sz w:val="17"/>
              </w:rPr>
              <w:t>Estructura Capital</w:t>
            </w:r>
          </w:p>
        </w:tc>
        <w:tc>
          <w:tcPr>
            <w:tcW w:type="dxa" w:w="2448"/>
            <w:shd w:fill="F7FAFC"/>
          </w:tcPr>
          <w:p>
            <w:r>
              <w:rPr>
                <w:sz w:val="17"/>
              </w:rPr>
              <w:t>Peso de la deuda sobre el valor total.</w:t>
            </w:r>
          </w:p>
        </w:tc>
      </w:tr>
      <w:tr>
        <w:tc>
          <w:tcPr>
            <w:tcW w:type="dxa" w:w="2448"/>
          </w:tcPr>
          <w:p>
            <w:r>
              <w:rPr>
                <w:b/>
                <w:sz w:val="17"/>
              </w:rPr>
              <w:t>Weight of Equity</w:t>
            </w:r>
          </w:p>
        </w:tc>
        <w:tc>
          <w:tcPr>
            <w:tcW w:type="dxa" w:w="2448"/>
          </w:tcPr>
          <w:p>
            <w:r>
              <w:rPr>
                <w:b/>
                <w:sz w:val="17"/>
              </w:rPr>
              <w:t>89.7%</w:t>
            </w:r>
          </w:p>
        </w:tc>
        <w:tc>
          <w:tcPr>
            <w:tcW w:type="dxa" w:w="2448"/>
          </w:tcPr>
          <w:p>
            <w:r>
              <w:rPr>
                <w:sz w:val="17"/>
              </w:rPr>
              <w:t>Estructura Capital</w:t>
            </w:r>
          </w:p>
        </w:tc>
        <w:tc>
          <w:tcPr>
            <w:tcW w:type="dxa" w:w="2448"/>
          </w:tcPr>
          <w:p>
            <w:r>
              <w:rPr>
                <w:sz w:val="17"/>
              </w:rPr>
              <w:t>Peso de los fondos propios sobre el valor total.</w:t>
            </w:r>
          </w:p>
        </w:tc>
      </w:tr>
      <w:tr>
        <w:tc>
          <w:tcPr>
            <w:tcW w:type="dxa" w:w="2448"/>
            <w:shd w:fill="F7FAFC"/>
          </w:tcPr>
          <w:p>
            <w:r>
              <w:rPr>
                <w:b/>
                <w:sz w:val="17"/>
              </w:rPr>
              <w:t>WACC (Discount Rate)</w:t>
            </w:r>
          </w:p>
        </w:tc>
        <w:tc>
          <w:tcPr>
            <w:tcW w:type="dxa" w:w="2448"/>
            <w:shd w:fill="F7FAFC"/>
          </w:tcPr>
          <w:p>
            <w:r>
              <w:rPr>
                <w:b/>
                <w:sz w:val="17"/>
              </w:rPr>
              <w:t>11.03%</w:t>
            </w:r>
          </w:p>
        </w:tc>
        <w:tc>
          <w:tcPr>
            <w:tcW w:type="dxa" w:w="2448"/>
            <w:shd w:fill="F7FAFC"/>
          </w:tcPr>
          <w:p>
            <w:r>
              <w:rPr>
                <w:sz w:val="17"/>
              </w:rPr>
              <w:t>Sección 11.2 (WACC)</w:t>
            </w:r>
          </w:p>
        </w:tc>
        <w:tc>
          <w:tcPr>
            <w:tcW w:type="dxa" w:w="2448"/>
            <w:shd w:fill="F7FAFC"/>
          </w:tcPr>
          <w:p>
            <w:r>
              <w:rPr>
                <w:sz w:val="17"/>
              </w:rPr>
              <w:t>Tasa de descuento de corte auditada.</w:t>
            </w:r>
          </w:p>
        </w:tc>
      </w:tr>
      <w:tr>
        <w:tc>
          <w:tcPr>
            <w:tcW w:type="dxa" w:w="2448"/>
          </w:tcPr>
          <w:p>
            <w:r>
              <w:rPr>
                <w:b/>
                <w:sz w:val="17"/>
              </w:rPr>
              <w:t>Normalized FCF Margin</w:t>
            </w:r>
          </w:p>
        </w:tc>
        <w:tc>
          <w:tcPr>
            <w:tcW w:type="dxa" w:w="2448"/>
          </w:tcPr>
          <w:p>
            <w:r>
              <w:rPr>
                <w:b/>
                <w:sz w:val="17"/>
              </w:rPr>
              <w:t>10.2%</w:t>
            </w:r>
          </w:p>
        </w:tc>
        <w:tc>
          <w:tcPr>
            <w:tcW w:type="dxa" w:w="2448"/>
          </w:tcPr>
          <w:p>
            <w:r>
              <w:rPr>
                <w:sz w:val="17"/>
              </w:rPr>
              <w:t>Sección 4 &amp; Solvencia</w:t>
            </w:r>
          </w:p>
        </w:tc>
        <w:tc>
          <w:tcPr>
            <w:tcW w:type="dxa" w:w="2448"/>
          </w:tcPr>
          <w:p>
            <w:r>
              <w:rPr>
                <w:sz w:val="17"/>
              </w:rPr>
              <w:t>Conversión de ventas a caja libre tras CapEx.</w:t>
            </w:r>
          </w:p>
        </w:tc>
      </w:tr>
      <w:tr>
        <w:tc>
          <w:tcPr>
            <w:tcW w:type="dxa" w:w="2448"/>
            <w:shd w:fill="F7FAFC"/>
          </w:tcPr>
          <w:p>
            <w:r>
              <w:rPr>
                <w:b/>
                <w:sz w:val="17"/>
              </w:rPr>
              <w:t>Terminal Growth (gn)</w:t>
            </w:r>
          </w:p>
        </w:tc>
        <w:tc>
          <w:tcPr>
            <w:tcW w:type="dxa" w:w="2448"/>
            <w:shd w:fill="F7FAFC"/>
          </w:tcPr>
          <w:p>
            <w:r>
              <w:rPr>
                <w:b/>
                <w:sz w:val="17"/>
              </w:rPr>
              <w:t>2.5%</w:t>
            </w:r>
          </w:p>
        </w:tc>
        <w:tc>
          <w:tcPr>
            <w:tcW w:type="dxa" w:w="2448"/>
            <w:shd w:fill="F7FAFC"/>
          </w:tcPr>
          <w:p>
            <w:r>
              <w:rPr>
                <w:sz w:val="17"/>
              </w:rPr>
              <w:t>Hipótesis Canónica</w:t>
            </w:r>
          </w:p>
        </w:tc>
        <w:tc>
          <w:tcPr>
            <w:tcW w:type="dxa" w:w="2448"/>
            <w:shd w:fill="F7FAFC"/>
          </w:tcPr>
          <w:p>
            <w:r>
              <w:rPr>
                <w:sz w:val="17"/>
              </w:rPr>
              <w:t>Crecimiento tendencial de la economía global.</w:t>
            </w:r>
          </w:p>
        </w:tc>
      </w:tr>
      <w:tr>
        <w:tc>
          <w:tcPr>
            <w:tcW w:type="dxa" w:w="2448"/>
          </w:tcPr>
          <w:p>
            <w:r>
              <w:rPr>
                <w:b/>
                <w:sz w:val="17"/>
              </w:rPr>
              <w:t>Forecast Period</w:t>
            </w:r>
          </w:p>
        </w:tc>
        <w:tc>
          <w:tcPr>
            <w:tcW w:type="dxa" w:w="2448"/>
          </w:tcPr>
          <w:p>
            <w:r>
              <w:rPr>
                <w:b/>
                <w:sz w:val="17"/>
              </w:rPr>
              <w:t>10 Años</w:t>
            </w:r>
          </w:p>
        </w:tc>
        <w:tc>
          <w:tcPr>
            <w:tcW w:type="dxa" w:w="2448"/>
          </w:tcPr>
          <w:p>
            <w:r>
              <w:rPr>
                <w:sz w:val="17"/>
              </w:rPr>
              <w:t>Configuración Estándar</w:t>
            </w:r>
          </w:p>
        </w:tc>
        <w:tc>
          <w:tcPr>
            <w:tcW w:type="dxa" w:w="2448"/>
          </w:tcPr>
          <w:p>
            <w:r>
              <w:rPr>
                <w:sz w:val="17"/>
              </w:rPr>
              <w:t>Ciclo decenal de amortización y maduración.</w:t>
            </w:r>
          </w:p>
        </w:tc>
      </w:tr>
    </w:tbl>
    <w:p/>
    <w:p>
      <w:pPr>
        <w:pStyle w:val="Heading2"/>
      </w:pPr>
      <w:r>
        <w:rPr>
          <w:rFonts w:ascii="Calibri" w:hAnsi="Calibri"/>
          <w:b/>
          <w:color w:val="1B365D"/>
          <w:sz w:val="23"/>
        </w:rPr>
        <w:t>14.3. Matriz Bidimensional de Sensibilidad (WACC vs. gn)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1224"/>
        <w:gridCol w:w="1224"/>
        <w:gridCol w:w="1224"/>
        <w:gridCol w:w="1224"/>
        <w:gridCol w:w="1224"/>
        <w:gridCol w:w="1224"/>
        <w:gridCol w:w="1224"/>
        <w:gridCol w:w="1224"/>
      </w:tblGrid>
      <w:tr>
        <w:tc>
          <w:tcPr>
            <w:tcW w:type="dxa" w:w="1224"/>
            <w:shd w:fill="1B365D"/>
          </w:tcPr>
          <w:p>
            <w:r>
              <w:rPr>
                <w:b/>
                <w:color w:val="FFFFFF"/>
                <w:sz w:val="17"/>
              </w:rPr>
              <w:t>WACC \ gn</w:t>
            </w:r>
          </w:p>
        </w:tc>
        <w:tc>
          <w:tcPr>
            <w:tcW w:type="dxa" w:w="1224"/>
            <w:shd w:fill="1B365D"/>
          </w:tcPr>
          <w:p>
            <w:r>
              <w:rPr>
                <w:b/>
                <w:color w:val="FFFFFF"/>
                <w:sz w:val="17"/>
              </w:rPr>
              <w:t>1.0%</w:t>
            </w:r>
          </w:p>
        </w:tc>
        <w:tc>
          <w:tcPr>
            <w:tcW w:type="dxa" w:w="1224"/>
            <w:shd w:fill="1B365D"/>
          </w:tcPr>
          <w:p>
            <w:r>
              <w:rPr>
                <w:b/>
                <w:color w:val="FFFFFF"/>
                <w:sz w:val="17"/>
              </w:rPr>
              <w:t>1.5%</w:t>
            </w:r>
          </w:p>
        </w:tc>
        <w:tc>
          <w:tcPr>
            <w:tcW w:type="dxa" w:w="1224"/>
            <w:shd w:fill="1B365D"/>
          </w:tcPr>
          <w:p>
            <w:r>
              <w:rPr>
                <w:b/>
                <w:color w:val="FFFFFF"/>
                <w:sz w:val="17"/>
              </w:rPr>
              <w:t>2.0%</w:t>
            </w:r>
          </w:p>
        </w:tc>
        <w:tc>
          <w:tcPr>
            <w:tcW w:type="dxa" w:w="1224"/>
            <w:shd w:fill="1B365D"/>
          </w:tcPr>
          <w:p>
            <w:r>
              <w:rPr>
                <w:b/>
                <w:color w:val="FFFFFF"/>
                <w:sz w:val="17"/>
              </w:rPr>
              <w:t>2.5%</w:t>
            </w:r>
          </w:p>
        </w:tc>
        <w:tc>
          <w:tcPr>
            <w:tcW w:type="dxa" w:w="1224"/>
            <w:shd w:fill="1B365D"/>
          </w:tcPr>
          <w:p>
            <w:r>
              <w:rPr>
                <w:b/>
                <w:color w:val="FFFFFF"/>
                <w:sz w:val="17"/>
              </w:rPr>
              <w:t>3.0%</w:t>
            </w:r>
          </w:p>
        </w:tc>
        <w:tc>
          <w:tcPr>
            <w:tcW w:type="dxa" w:w="1224"/>
            <w:shd w:fill="1B365D"/>
          </w:tcPr>
          <w:p>
            <w:r>
              <w:rPr>
                <w:b/>
                <w:color w:val="FFFFFF"/>
                <w:sz w:val="17"/>
              </w:rPr>
              <w:t>3.5%</w:t>
            </w:r>
          </w:p>
        </w:tc>
        <w:tc>
          <w:tcPr>
            <w:tcW w:type="dxa" w:w="1224"/>
            <w:shd w:fill="1B365D"/>
          </w:tcPr>
          <w:p>
            <w:r>
              <w:rPr>
                <w:b/>
                <w:color w:val="FFFFFF"/>
                <w:sz w:val="17"/>
              </w:rPr>
              <w:t>Diagnóstico</w:t>
            </w:r>
          </w:p>
        </w:tc>
      </w:tr>
      <w:tr>
        <w:tc>
          <w:tcPr>
            <w:tcW w:type="dxa" w:w="1224"/>
          </w:tcPr>
          <w:p>
            <w:r>
              <w:rPr>
                <w:sz w:val="16"/>
              </w:rPr>
              <w:t>10.03% (Bajo / Expansión)</w:t>
            </w:r>
          </w:p>
        </w:tc>
        <w:tc>
          <w:tcPr>
            <w:tcW w:type="dxa" w:w="1224"/>
          </w:tcPr>
          <w:p>
            <w:r>
              <w:rPr>
                <w:sz w:val="16"/>
              </w:rPr>
              <w:t>13.6%</w:t>
            </w:r>
          </w:p>
        </w:tc>
        <w:tc>
          <w:tcPr>
            <w:tcW w:type="dxa" w:w="1224"/>
          </w:tcPr>
          <w:p>
            <w:r>
              <w:rPr>
                <w:sz w:val="16"/>
              </w:rPr>
              <w:t>13.1%</w:t>
            </w:r>
          </w:p>
        </w:tc>
        <w:tc>
          <w:tcPr>
            <w:tcW w:type="dxa" w:w="1224"/>
          </w:tcPr>
          <w:p>
            <w:r>
              <w:rPr>
                <w:sz w:val="16"/>
              </w:rPr>
              <w:t>12.6%</w:t>
            </w:r>
          </w:p>
        </w:tc>
        <w:tc>
          <w:tcPr>
            <w:tcW w:type="dxa" w:w="1224"/>
          </w:tcPr>
          <w:p>
            <w:r>
              <w:rPr>
                <w:b/>
                <w:sz w:val="16"/>
              </w:rPr>
              <w:t>12.0%</w:t>
            </w:r>
          </w:p>
        </w:tc>
        <w:tc>
          <w:tcPr>
            <w:tcW w:type="dxa" w:w="1224"/>
          </w:tcPr>
          <w:p>
            <w:r>
              <w:rPr>
                <w:sz w:val="16"/>
              </w:rPr>
              <w:t>11.4%</w:t>
            </w:r>
          </w:p>
        </w:tc>
        <w:tc>
          <w:tcPr>
            <w:tcW w:type="dxa" w:w="1224"/>
          </w:tcPr>
          <w:p>
            <w:r>
              <w:rPr>
                <w:sz w:val="16"/>
              </w:rPr>
              <w:t>10.8%</w:t>
            </w:r>
          </w:p>
        </w:tc>
        <w:tc>
          <w:tcPr>
            <w:tcW w:type="dxa" w:w="1224"/>
          </w:tcPr>
          <w:p>
            <w:r>
              <w:rPr>
                <w:sz w:val="16"/>
              </w:rPr>
              <w:t>Escenario favorable; exigencia de crecimiento más moderada.</w:t>
            </w:r>
          </w:p>
        </w:tc>
      </w:tr>
      <w:tr>
        <w:tc>
          <w:tcPr>
            <w:tcW w:type="dxa" w:w="1224"/>
            <w:shd w:fill="F7FAFC"/>
          </w:tcPr>
          <w:p>
            <w:r>
              <w:rPr>
                <w:sz w:val="16"/>
              </w:rPr>
              <w:t>10.53% (Favorable)</w:t>
            </w:r>
          </w:p>
        </w:tc>
        <w:tc>
          <w:tcPr>
            <w:tcW w:type="dxa" w:w="1224"/>
            <w:shd w:fill="F7FAFC"/>
          </w:tcPr>
          <w:p>
            <w:r>
              <w:rPr>
                <w:sz w:val="16"/>
              </w:rPr>
              <w:t>14.5%</w:t>
            </w:r>
          </w:p>
        </w:tc>
        <w:tc>
          <w:tcPr>
            <w:tcW w:type="dxa" w:w="1224"/>
            <w:shd w:fill="F7FAFC"/>
          </w:tcPr>
          <w:p>
            <w:r>
              <w:rPr>
                <w:sz w:val="16"/>
              </w:rPr>
              <w:t>14.1%</w:t>
            </w:r>
          </w:p>
        </w:tc>
        <w:tc>
          <w:tcPr>
            <w:tcW w:type="dxa" w:w="1224"/>
            <w:shd w:fill="F7FAFC"/>
          </w:tcPr>
          <w:p>
            <w:r>
              <w:rPr>
                <w:sz w:val="16"/>
              </w:rPr>
              <w:t>13.6%</w:t>
            </w:r>
          </w:p>
        </w:tc>
        <w:tc>
          <w:tcPr>
            <w:tcW w:type="dxa" w:w="1224"/>
            <w:shd w:fill="F7FAFC"/>
          </w:tcPr>
          <w:p>
            <w:r>
              <w:rPr>
                <w:b/>
                <w:sz w:val="16"/>
              </w:rPr>
              <w:t>13.0%</w:t>
            </w:r>
          </w:p>
        </w:tc>
        <w:tc>
          <w:tcPr>
            <w:tcW w:type="dxa" w:w="1224"/>
            <w:shd w:fill="F7FAFC"/>
          </w:tcPr>
          <w:p>
            <w:r>
              <w:rPr>
                <w:sz w:val="16"/>
              </w:rPr>
              <w:t>12.5%</w:t>
            </w:r>
          </w:p>
        </w:tc>
        <w:tc>
          <w:tcPr>
            <w:tcW w:type="dxa" w:w="1224"/>
            <w:shd w:fill="F7FAFC"/>
          </w:tcPr>
          <w:p>
            <w:r>
              <w:rPr>
                <w:sz w:val="16"/>
              </w:rPr>
              <w:t>11.9%</w:t>
            </w:r>
          </w:p>
        </w:tc>
        <w:tc>
          <w:tcPr>
            <w:tcW w:type="dxa" w:w="1224"/>
            <w:shd w:fill="F7FAFC"/>
          </w:tcPr>
          <w:p>
            <w:r>
              <w:rPr>
                <w:sz w:val="16"/>
              </w:rPr>
              <w:t>Escenario de sensibilidad operativa.</w:t>
            </w:r>
          </w:p>
        </w:tc>
      </w:tr>
      <w:tr>
        <w:tc>
          <w:tcPr>
            <w:tcW w:type="dxa" w:w="1224"/>
            <w:shd w:fill="F7FAFC"/>
          </w:tcPr>
          <w:p>
            <w:r>
              <w:rPr>
                <w:sz w:val="16"/>
              </w:rPr>
              <w:t>11.03% (WACC Auditado Base)</w:t>
            </w:r>
          </w:p>
        </w:tc>
        <w:tc>
          <w:tcPr>
            <w:tcW w:type="dxa" w:w="1224"/>
            <w:shd w:fill="F7FAFC"/>
          </w:tcPr>
          <w:p>
            <w:r>
              <w:rPr>
                <w:b/>
                <w:sz w:val="16"/>
              </w:rPr>
              <w:t>15.4%</w:t>
            </w:r>
          </w:p>
        </w:tc>
        <w:tc>
          <w:tcPr>
            <w:tcW w:type="dxa" w:w="1224"/>
            <w:shd w:fill="F7FAFC"/>
          </w:tcPr>
          <w:p>
            <w:r>
              <w:rPr>
                <w:b/>
                <w:sz w:val="16"/>
              </w:rPr>
              <w:t>15.0%</w:t>
            </w:r>
          </w:p>
        </w:tc>
        <w:tc>
          <w:tcPr>
            <w:tcW w:type="dxa" w:w="1224"/>
            <w:shd w:fill="F7FAFC"/>
          </w:tcPr>
          <w:p>
            <w:r>
              <w:rPr>
                <w:b/>
                <w:sz w:val="16"/>
              </w:rPr>
              <w:t>14.5%</w:t>
            </w:r>
          </w:p>
        </w:tc>
        <w:tc>
          <w:tcPr>
            <w:tcW w:type="dxa" w:w="1224"/>
            <w:shd w:fill="FFF2CC"/>
          </w:tcPr>
          <w:p>
            <w:r>
              <w:rPr>
                <w:b/>
                <w:sz w:val="16"/>
              </w:rPr>
              <w:t>14.0%</w:t>
            </w:r>
          </w:p>
        </w:tc>
        <w:tc>
          <w:tcPr>
            <w:tcW w:type="dxa" w:w="1224"/>
            <w:shd w:fill="F7FAFC"/>
          </w:tcPr>
          <w:p>
            <w:r>
              <w:rPr>
                <w:b/>
                <w:sz w:val="16"/>
              </w:rPr>
              <w:t>13.5%</w:t>
            </w:r>
          </w:p>
        </w:tc>
        <w:tc>
          <w:tcPr>
            <w:tcW w:type="dxa" w:w="1224"/>
            <w:shd w:fill="F7FAFC"/>
          </w:tcPr>
          <w:p>
            <w:r>
              <w:rPr>
                <w:b/>
                <w:sz w:val="16"/>
              </w:rPr>
              <w:t>13.0%</w:t>
            </w:r>
          </w:p>
        </w:tc>
        <w:tc>
          <w:tcPr>
            <w:tcW w:type="dxa" w:w="1224"/>
            <w:shd w:fill="F7FAFC"/>
          </w:tcPr>
          <w:p>
            <w:r>
              <w:rPr>
                <w:sz w:val="16"/>
              </w:rPr>
              <w:t>ESCENARIO CENTRAL: Crecimiento implícito real de mercado.</w:t>
            </w:r>
          </w:p>
        </w:tc>
      </w:tr>
      <w:tr>
        <w:tc>
          <w:tcPr>
            <w:tcW w:type="dxa" w:w="1224"/>
            <w:shd w:fill="F7FAFC"/>
          </w:tcPr>
          <w:p>
            <w:r>
              <w:rPr>
                <w:sz w:val="16"/>
              </w:rPr>
              <w:t>11.53% (Exigente)</w:t>
            </w:r>
          </w:p>
        </w:tc>
        <w:tc>
          <w:tcPr>
            <w:tcW w:type="dxa" w:w="1224"/>
            <w:shd w:fill="F7FAFC"/>
          </w:tcPr>
          <w:p>
            <w:r>
              <w:rPr>
                <w:sz w:val="16"/>
              </w:rPr>
              <w:t>16.3%</w:t>
            </w:r>
          </w:p>
        </w:tc>
        <w:tc>
          <w:tcPr>
            <w:tcW w:type="dxa" w:w="1224"/>
            <w:shd w:fill="F7FAFC"/>
          </w:tcPr>
          <w:p>
            <w:r>
              <w:rPr>
                <w:sz w:val="16"/>
              </w:rPr>
              <w:t>15.9%</w:t>
            </w:r>
          </w:p>
        </w:tc>
        <w:tc>
          <w:tcPr>
            <w:tcW w:type="dxa" w:w="1224"/>
            <w:shd w:fill="F7FAFC"/>
          </w:tcPr>
          <w:p>
            <w:r>
              <w:rPr>
                <w:sz w:val="16"/>
              </w:rPr>
              <w:t>15.5%</w:t>
            </w:r>
          </w:p>
        </w:tc>
        <w:tc>
          <w:tcPr>
            <w:tcW w:type="dxa" w:w="1224"/>
            <w:shd w:fill="F7FAFC"/>
          </w:tcPr>
          <w:p>
            <w:r>
              <w:rPr>
                <w:b/>
                <w:sz w:val="16"/>
              </w:rPr>
              <w:t>15.0%</w:t>
            </w:r>
          </w:p>
        </w:tc>
        <w:tc>
          <w:tcPr>
            <w:tcW w:type="dxa" w:w="1224"/>
            <w:shd w:fill="F7FAFC"/>
          </w:tcPr>
          <w:p>
            <w:r>
              <w:rPr>
                <w:sz w:val="16"/>
              </w:rPr>
              <w:t>14.5%</w:t>
            </w:r>
          </w:p>
        </w:tc>
        <w:tc>
          <w:tcPr>
            <w:tcW w:type="dxa" w:w="1224"/>
            <w:shd w:fill="F7FAFC"/>
          </w:tcPr>
          <w:p>
            <w:r>
              <w:rPr>
                <w:sz w:val="16"/>
              </w:rPr>
              <w:t>14.0%</w:t>
            </w:r>
          </w:p>
        </w:tc>
        <w:tc>
          <w:tcPr>
            <w:tcW w:type="dxa" w:w="1224"/>
            <w:shd w:fill="F7FAFC"/>
          </w:tcPr>
          <w:p>
            <w:r>
              <w:rPr>
                <w:sz w:val="16"/>
              </w:rPr>
              <w:t>Escenario de sensibilidad operativa.</w:t>
            </w:r>
          </w:p>
        </w:tc>
      </w:tr>
      <w:tr>
        <w:tc>
          <w:tcPr>
            <w:tcW w:type="dxa" w:w="1224"/>
          </w:tcPr>
          <w:p>
            <w:r>
              <w:rPr>
                <w:sz w:val="16"/>
              </w:rPr>
              <w:t>12.03% (Estrés / Tipos Altos)</w:t>
            </w:r>
          </w:p>
        </w:tc>
        <w:tc>
          <w:tcPr>
            <w:tcW w:type="dxa" w:w="1224"/>
          </w:tcPr>
          <w:p>
            <w:r>
              <w:rPr>
                <w:sz w:val="16"/>
              </w:rPr>
              <w:t>17.2%</w:t>
            </w:r>
          </w:p>
        </w:tc>
        <w:tc>
          <w:tcPr>
            <w:tcW w:type="dxa" w:w="1224"/>
          </w:tcPr>
          <w:p>
            <w:r>
              <w:rPr>
                <w:sz w:val="16"/>
              </w:rPr>
              <w:t>16.8%</w:t>
            </w:r>
          </w:p>
        </w:tc>
        <w:tc>
          <w:tcPr>
            <w:tcW w:type="dxa" w:w="1224"/>
          </w:tcPr>
          <w:p>
            <w:r>
              <w:rPr>
                <w:sz w:val="16"/>
              </w:rPr>
              <w:t>16.4%</w:t>
            </w:r>
          </w:p>
        </w:tc>
        <w:tc>
          <w:tcPr>
            <w:tcW w:type="dxa" w:w="1224"/>
          </w:tcPr>
          <w:p>
            <w:r>
              <w:rPr>
                <w:b/>
                <w:sz w:val="16"/>
              </w:rPr>
              <w:t>16.0%</w:t>
            </w:r>
          </w:p>
        </w:tc>
        <w:tc>
          <w:tcPr>
            <w:tcW w:type="dxa" w:w="1224"/>
          </w:tcPr>
          <w:p>
            <w:r>
              <w:rPr>
                <w:sz w:val="16"/>
              </w:rPr>
              <w:t>15.5%</w:t>
            </w:r>
          </w:p>
        </w:tc>
        <w:tc>
          <w:tcPr>
            <w:tcW w:type="dxa" w:w="1224"/>
          </w:tcPr>
          <w:p>
            <w:r>
              <w:rPr>
                <w:sz w:val="16"/>
              </w:rPr>
              <w:t>15.0%</w:t>
            </w:r>
          </w:p>
        </w:tc>
        <w:tc>
          <w:tcPr>
            <w:tcW w:type="dxa" w:w="1224"/>
          </w:tcPr>
          <w:p>
            <w:r>
              <w:rPr>
                <w:sz w:val="16"/>
              </w:rPr>
              <w:t>Vulnerabilidad a correcciones si el coste de capital aumenta.</w:t>
            </w:r>
          </w:p>
        </w:tc>
      </w:tr>
    </w:tbl>
    <w:p/>
    <w:p>
      <w:pPr>
        <w:pStyle w:val="Heading2"/>
      </w:pPr>
      <w:r>
        <w:rPr>
          <w:rFonts w:ascii="Calibri" w:hAnsi="Calibri"/>
          <w:b/>
          <w:color w:val="1B365D"/>
          <w:sz w:val="23"/>
        </w:rPr>
        <w:t>14.4. Cuadro de Mando Consolidado y Tesis Final de Inversión</w:t>
      </w:r>
    </w:p>
    <w:tbl>
      <w:tblPr>
        <w:tblW w:type="auto" w:w="0"/>
        <w:jc w:val="center"/>
        <w:tblLook w:firstColumn="1" w:firstRow="1" w:lastColumn="0" w:lastRow="0" w:noHBand="0" w:noVBand="1" w:val="04A0"/>
        <w:tblBorders>
          <w:top w:val="single" w:sz="6" w:space="0" w:color="D2D6DC"/>
          <w:bottom w:val="single" w:sz="6" w:space="0" w:color="D2D6DC"/>
          <w:insideH w:val="single" w:sz="4" w:space="0" w:color="D2D6DC"/>
          <w:insideV w:val="none"/>
          <w:left w:val="none"/>
          <w:right w:val="none"/>
        </w:tblBorders>
      </w:tblPr>
      <w:tblGrid>
        <w:gridCol w:w="2448"/>
        <w:gridCol w:w="2448"/>
        <w:gridCol w:w="2448"/>
        <w:gridCol w:w="2448"/>
      </w:tblGrid>
      <w:tr>
        <w:tc>
          <w:tcPr>
            <w:tcW w:type="dxa" w:w="2448"/>
            <w:shd w:fill="1B365D"/>
          </w:tcPr>
          <w:p>
            <w:r>
              <w:rPr>
                <w:b/>
                <w:color w:val="FFFFFF"/>
                <w:sz w:val="18"/>
              </w:rPr>
              <w:t>Dimensión Fundamental</w:t>
            </w:r>
          </w:p>
        </w:tc>
        <w:tc>
          <w:tcPr>
            <w:tcW w:type="dxa" w:w="2448"/>
            <w:shd w:fill="1B365D"/>
          </w:tcPr>
          <w:p>
            <w:r>
              <w:rPr>
                <w:b/>
                <w:color w:val="FFFFFF"/>
                <w:sz w:val="18"/>
              </w:rPr>
              <w:t>Diagnóstico Auditado</w:t>
            </w:r>
          </w:p>
        </w:tc>
        <w:tc>
          <w:tcPr>
            <w:tcW w:type="dxa" w:w="2448"/>
            <w:shd w:fill="1B365D"/>
          </w:tcPr>
          <w:p>
            <w:r>
              <w:rPr>
                <w:b/>
                <w:color w:val="FFFFFF"/>
                <w:sz w:val="18"/>
              </w:rPr>
              <w:t>Calificación Institucional</w:t>
            </w:r>
          </w:p>
        </w:tc>
        <w:tc>
          <w:tcPr>
            <w:tcW w:type="dxa" w:w="2448"/>
            <w:shd w:fill="1B365D"/>
          </w:tcPr>
          <w:p>
            <w:r>
              <w:rPr>
                <w:b/>
                <w:color w:val="FFFFFF"/>
                <w:sz w:val="18"/>
              </w:rPr>
              <w:t>Veredicto de Asignación</w:t>
            </w:r>
          </w:p>
        </w:tc>
      </w:tr>
      <w:tr>
        <w:tc>
          <w:tcPr>
            <w:tcW w:type="dxa" w:w="2448"/>
          </w:tcPr>
          <w:p>
            <w:r>
              <w:rPr>
                <w:b/>
                <w:sz w:val="17"/>
              </w:rPr>
              <w:t>Ventaja Competitiva (Moat)</w:t>
            </w:r>
          </w:p>
        </w:tc>
        <w:tc>
          <w:tcPr>
            <w:tcW w:type="dxa" w:w="2448"/>
          </w:tcPr>
          <w:p>
            <w:r>
              <w:rPr>
                <w:sz w:val="17"/>
              </w:rPr>
              <w:t>Efecto de Red Bilateral (Two-Sided Network) + Infraestructura Logística Propia (Mercado Envíos)</w:t>
            </w:r>
          </w:p>
        </w:tc>
        <w:tc>
          <w:tcPr>
            <w:tcW w:type="dxa" w:w="2448"/>
          </w:tcPr>
          <w:p>
            <w:r>
              <w:rPr>
                <w:b/>
                <w:sz w:val="17"/>
              </w:rPr>
              <w:t>WIDE MOAT</w:t>
            </w:r>
          </w:p>
        </w:tc>
        <w:tc>
          <w:tcPr>
            <w:tcW w:type="dxa" w:w="2448"/>
          </w:tcPr>
          <w:p>
            <w:r>
              <w:rPr>
                <w:sz w:val="17"/>
              </w:rPr>
              <w:t>Poder de fijación de precios y resiliencia de márgenes (8.3% EBIT).</w:t>
            </w:r>
          </w:p>
        </w:tc>
      </w:tr>
      <w:tr>
        <w:tc>
          <w:tcPr>
            <w:tcW w:type="dxa" w:w="2448"/>
            <w:shd w:fill="F7FAFC"/>
          </w:tcPr>
          <w:p>
            <w:r>
              <w:rPr>
                <w:b/>
                <w:sz w:val="17"/>
              </w:rPr>
              <w:t>Calidad de Beneficios</w:t>
            </w:r>
          </w:p>
        </w:tc>
        <w:tc>
          <w:tcPr>
            <w:tcW w:type="dxa" w:w="2448"/>
            <w:shd w:fill="F7FAFC"/>
          </w:tcPr>
          <w:p>
            <w:r>
              <w:rPr>
                <w:sz w:val="17"/>
              </w:rPr>
              <w:t>Ratio Sloan: -25.62% / Montier: 3/6</w:t>
            </w:r>
          </w:p>
        </w:tc>
        <w:tc>
          <w:tcPr>
            <w:tcW w:type="dxa" w:w="2448"/>
            <w:shd w:fill="F7FAFC"/>
          </w:tcPr>
          <w:p>
            <w:r>
              <w:rPr>
                <w:b/>
                <w:sz w:val="17"/>
              </w:rPr>
              <w:t>CALIDAD SÓLIDA / BAJO RIESGO</w:t>
            </w:r>
          </w:p>
        </w:tc>
        <w:tc>
          <w:tcPr>
            <w:tcW w:type="dxa" w:w="2448"/>
            <w:shd w:fill="F7FAFC"/>
          </w:tcPr>
          <w:p>
            <w:r>
              <w:rPr>
                <w:sz w:val="17"/>
              </w:rPr>
              <w:t>Ganancias avaladas por caja real ($2.17 CFO por dólar de NI).</w:t>
            </w:r>
          </w:p>
        </w:tc>
      </w:tr>
      <w:tr>
        <w:tc>
          <w:tcPr>
            <w:tcW w:type="dxa" w:w="2448"/>
          </w:tcPr>
          <w:p>
            <w:r>
              <w:rPr>
                <w:b/>
                <w:sz w:val="17"/>
              </w:rPr>
              <w:t>Solvencia y Estructura</w:t>
            </w:r>
          </w:p>
        </w:tc>
        <w:tc>
          <w:tcPr>
            <w:tcW w:type="dxa" w:w="2448"/>
          </w:tcPr>
          <w:p>
            <w:r>
              <w:rPr>
                <w:sz w:val="17"/>
              </w:rPr>
              <w:t>Cobertura EBIT: 13.7x / Altman Z'': 1.56</w:t>
            </w:r>
          </w:p>
        </w:tc>
        <w:tc>
          <w:tcPr>
            <w:tcW w:type="dxa" w:w="2448"/>
          </w:tcPr>
          <w:p>
            <w:r>
              <w:rPr>
                <w:b/>
                <w:sz w:val="17"/>
              </w:rPr>
              <w:t>SINTÉTICO AAA</w:t>
            </w:r>
          </w:p>
        </w:tc>
        <w:tc>
          <w:tcPr>
            <w:tcW w:type="dxa" w:w="2448"/>
          </w:tcPr>
          <w:p>
            <w:r>
              <w:rPr>
                <w:sz w:val="17"/>
              </w:rPr>
              <w:t>Cero estrés financiero; colchón de $5.7B.</w:t>
            </w:r>
          </w:p>
        </w:tc>
      </w:tr>
      <w:tr>
        <w:tc>
          <w:tcPr>
            <w:tcW w:type="dxa" w:w="2448"/>
            <w:shd w:fill="F7FAFC"/>
          </w:tcPr>
          <w:p>
            <w:r>
              <w:rPr>
                <w:b/>
                <w:sz w:val="17"/>
              </w:rPr>
              <w:t>Productividad del Capital</w:t>
            </w:r>
          </w:p>
        </w:tc>
        <w:tc>
          <w:tcPr>
            <w:tcW w:type="dxa" w:w="2448"/>
            <w:shd w:fill="F7FAFC"/>
          </w:tcPr>
          <w:p>
            <w:r>
              <w:rPr>
                <w:sz w:val="17"/>
              </w:rPr>
              <w:t>ROC Greenblatt: 82.4% / ROIC Adj: 18.1%</w:t>
            </w:r>
          </w:p>
        </w:tc>
        <w:tc>
          <w:tcPr>
            <w:tcW w:type="dxa" w:w="2448"/>
            <w:shd w:fill="F7FAFC"/>
          </w:tcPr>
          <w:p>
            <w:r>
              <w:rPr>
                <w:b/>
                <w:sz w:val="17"/>
              </w:rPr>
              <w:t>CREADOR DE VALOR</w:t>
            </w:r>
          </w:p>
        </w:tc>
        <w:tc>
          <w:tcPr>
            <w:tcW w:type="dxa" w:w="2448"/>
            <w:shd w:fill="F7FAFC"/>
          </w:tcPr>
          <w:p>
            <w:r>
              <w:rPr>
                <w:sz w:val="17"/>
              </w:rPr>
              <w:t>Spread económico de +7.1 pp sobre WACC (Creación de valor de élite).</w:t>
            </w:r>
          </w:p>
        </w:tc>
      </w:tr>
      <w:tr>
        <w:tc>
          <w:tcPr>
            <w:tcW w:type="dxa" w:w="2448"/>
          </w:tcPr>
          <w:p>
            <w:r>
              <w:rPr>
                <w:b/>
                <w:sz w:val="17"/>
              </w:rPr>
              <w:t>Valoración de Mercado</w:t>
            </w:r>
          </w:p>
        </w:tc>
        <w:tc>
          <w:tcPr>
            <w:tcW w:type="dxa" w:w="2448"/>
          </w:tcPr>
          <w:p>
            <w:r>
              <w:rPr>
                <w:sz w:val="17"/>
              </w:rPr>
              <w:t>Crecimiento Implícito: 14.0% - 1.5%</w:t>
            </w:r>
          </w:p>
        </w:tc>
        <w:tc>
          <w:tcPr>
            <w:tcW w:type="dxa" w:w="2448"/>
          </w:tcPr>
          <w:p>
            <w:r>
              <w:rPr>
                <w:b/>
                <w:sz w:val="17"/>
              </w:rPr>
              <w:t>VALORACIÓN EXIGENTE</w:t>
            </w:r>
          </w:p>
        </w:tc>
        <w:tc>
          <w:tcPr>
            <w:tcW w:type="dxa" w:w="2448"/>
          </w:tcPr>
          <w:p>
            <w:r>
              <w:rPr>
                <w:sz w:val="17"/>
              </w:rPr>
              <w:t>Exigencia asumible (+14.0% anual); alineada con el ritmo tendencial de la empresa y su sector.</w:t>
            </w:r>
          </w:p>
        </w:tc>
      </w:tr>
    </w:tbl>
    <w:p>
      <w:pPr>
        <w:spacing w:before="400"/>
        <w:jc w:val="center"/>
      </w:pPr>
      <w:r>
        <w:rPr>
          <w:rFonts w:ascii="Calibri" w:hAnsi="Calibri"/>
          <w:i/>
          <w:color w:val="4A5568"/>
          <w:sz w:val="17"/>
        </w:rPr>
        <w:t>Fin del Informe Oficial de Investigación Fundamental — MercadoLibre, Inc. (MELI) | Wall Street Equity Research Platform</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B365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