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14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Cartera de Tarjetas de Crédito (Credit Card Receivables)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$21,494.4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14.3%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Cartera de Préstamos Personales (Loans to Customers)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$11,317.4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 Cartera Bruta de Crédito Total (Total Gross Credit Portfolio)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$32,811.8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Volumen de Compras con Tarjetas (Purchase Volume - PV)</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$72,500.0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Depósitos Totales de Clientes (Customer Deposits)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30.1% Mix</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Desempeño estable (+0.0%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Cartera de Tarjetas de Crédito (Credit Card Receivables) (14.3% de facturación): </w:t>
      </w:r>
      <w:r>
        <w:rPr>
          <w:rFonts w:ascii="Calibri" w:hAnsi="Calibri"/>
          <w:i w:val="0"/>
          <w:color w:val="2D3748"/>
          <w:sz w:val="20"/>
        </w:rPr>
        <w:t>Genera $21,494.4 M (+0.0% YoY), consolidándose como pilar operativo clave de Nu Holdings Ltd..</w:t>
      </w:r>
    </w:p>
    <w:p>
      <w:pPr>
        <w:spacing w:before="40" w:after="80" w:line="276" w:lineRule="auto"/>
      </w:pPr>
      <w:r>
        <w:rPr>
          <w:rFonts w:ascii="Calibri" w:hAnsi="Calibri"/>
          <w:b/>
          <w:color w:val="2D3748"/>
          <w:sz w:val="20"/>
        </w:rPr>
        <w:t xml:space="preserve">• Cartera de Préstamos Personales (Loans to Customers) (7.5% de facturación): </w:t>
      </w:r>
      <w:r>
        <w:rPr>
          <w:rFonts w:ascii="Calibri" w:hAnsi="Calibri"/>
          <w:i w:val="0"/>
          <w:color w:val="2D3748"/>
          <w:sz w:val="20"/>
        </w:rPr>
        <w:t>Genera $11,317.4 M (+0.0% YoY), consolidándose como pilar operativo clave de Nu Holdings Ltd..</w:t>
      </w:r>
    </w:p>
    <w:p>
      <w:pPr>
        <w:spacing w:before="40" w:after="80" w:line="276" w:lineRule="auto"/>
      </w:pPr>
      <w:r>
        <w:rPr>
          <w:rFonts w:ascii="Calibri" w:hAnsi="Calibri"/>
          <w:b/>
          <w:color w:val="2D3748"/>
          <w:sz w:val="20"/>
        </w:rPr>
        <w:t xml:space="preserve">• Volumen de Compras con Tarjetas (Purchase Volume - PV) (48.1% de facturación): </w:t>
      </w:r>
      <w:r>
        <w:rPr>
          <w:rFonts w:ascii="Calibri" w:hAnsi="Calibri"/>
          <w:i w:val="0"/>
          <w:color w:val="2D3748"/>
          <w:sz w:val="20"/>
        </w:rPr>
        <w:t>Genera $72,500.0 M (+0.0% YoY), consolidándose como pilar operativo clave de Nu Holdings Ltd..</w:t>
      </w:r>
    </w:p>
    <w:p>
      <w:pPr>
        <w:spacing w:before="40" w:after="80" w:line="276" w:lineRule="auto"/>
      </w:pPr>
      <w:r>
        <w:rPr>
          <w:rFonts w:ascii="Calibri" w:hAnsi="Calibri"/>
          <w:b/>
          <w:color w:val="2D3748"/>
          <w:sz w:val="20"/>
        </w:rPr>
        <w:t xml:space="preserve">• Depósitos Totales de Clientes (Customer Deposits) (30.1% de facturación): </w:t>
      </w:r>
      <w:r>
        <w:rPr>
          <w:rFonts w:ascii="Calibri" w:hAnsi="Calibri"/>
          <w:i w:val="0"/>
          <w:color w:val="2D3748"/>
          <w:sz w:val="20"/>
        </w:rPr>
        <w:t>Genera $45,328.4 M (+0.0%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 (Nu Pagamentos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$36,128.4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79.7%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 (Nu México - Depósitos Totales)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 (Nu Colombia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 Total Depósitos Internacionales LatAm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solvencia ante crisis sistémicas (&gt;10.5% estándar regulatorio Basilea III).</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2 / 9 Puntos | VULNERABILIDAD FINANCIERA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2 / 9 Puntos en LTM (VULNERABILIDAD FINANCIERA)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2/9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($-1,381.6M en LTM) respalda con holgura al beneficio neto contable ($3,610.0M),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6.9% vs 6.9% (+0.02%)).</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4,833M vs 4,833M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47.8% vs 59.2% (-11.38%)) como la productividad de sus activos instalados (Rot 0.19x vs 0.22x (-0.04x)).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4.82%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$-1,381.6M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4.8% vs 5.8% (-0.93%)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6.9% vs 6.9%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4,833M vs 4,833M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47.8% vs 59.2% (-11.38%)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0.19x vs 0.22x (-0.04x)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4.82%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-1.84%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1.54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0.68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0.38%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2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SÓLIDA (SUPERIOR A LA MEDIANA (PERCENTIL 50-75))</w:t>
              <w:br/>
            </w:r>
          </w:p>
          <w:p>
            <w:pPr>
              <w:spacing w:before="40" w:after="40" w:line="276" w:lineRule="auto"/>
            </w:pPr>
            <w:r>
              <w:rPr>
                <w:rFonts w:ascii="Calibri" w:hAnsi="Calibri"/>
                <w:color w:val="2D3748"/>
                <w:sz w:val="19"/>
              </w:rPr>
              <w:t>• Gross Profitability Total (LTM): 8.01% de los Activos Totales (vs. Mediana Sector: 5.76%).</w:t>
            </w:r>
          </w:p>
          <w:p>
            <w:pPr>
              <w:spacing w:before="40" w:after="40" w:line="276" w:lineRule="auto"/>
            </w:pPr>
            <w:r>
              <w:rPr>
                <w:rFonts w:ascii="Calibri" w:hAnsi="Calibri"/>
                <w:color w:val="2D3748"/>
                <w:sz w:val="19"/>
              </w:rPr>
              <w:t>• Gross Profitability Operativa Ex-Caja (LTM): 11.03% de los Activos Operativos (vs. Mediana Sector: 6.32%).</w:t>
            </w:r>
          </w:p>
          <w:p>
            <w:pPr>
              <w:spacing w:before="40" w:after="40" w:line="276" w:lineRule="auto"/>
            </w:pPr>
            <w:r>
              <w:rPr>
                <w:rFonts w:ascii="Calibri" w:hAnsi="Calibri"/>
                <w:color w:val="2D3748"/>
                <w:sz w:val="19"/>
              </w:rPr>
              <w:t>• Efecto Arrastre de Caja (Cash Drag): +3.03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+2.25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Superior a la Mediana (Percentil 50-75)?: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8.01%?: Por cada $1.00 de activo total en su balance general, la empresa produce $0.08 de utilidad bruta pura al año, antes de deducciones operativas, intereses e impuestos.</w:t>
            </w:r>
          </w:p>
          <w:p>
            <w:pPr>
              <w:spacing w:before="40" w:after="40" w:line="276" w:lineRule="auto"/>
            </w:pPr>
            <w:r>
              <w:rPr>
                <w:rFonts w:ascii="Calibri" w:hAnsi="Calibri"/>
                <w:color w:val="2D3748"/>
                <w:sz w:val="19"/>
              </w:rPr>
              <w:t>3. ¿Qué significa Ex-Caja (11.03%)?: Al excluir el efectivo y valores negociables líquidos (capital ocioso en caja que no produce bienes), el negocio puramente operativo rinde $0.11 por cada dólar en activos operativos en funcionamiento.</w:t>
            </w:r>
          </w:p>
          <w:p>
            <w:pPr>
              <w:spacing w:before="40" w:after="40" w:line="276" w:lineRule="auto"/>
            </w:pPr>
            <w:r>
              <w:rPr>
                <w:rFonts w:ascii="Calibri" w:hAnsi="Calibri"/>
                <w:color w:val="2D3748"/>
                <w:sz w:val="19"/>
              </w:rPr>
              <w:t>4. ¿Qué revela el Cash Drag (+3.03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8.01%</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8.85%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5.76%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Superior a la Mediana (Percentil 50-75)</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$0.08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11.03%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13.16%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$0.11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+3.03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+0.56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+2.25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+3.09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+2.25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LÍDER EN VOLUMEN Y VELOCIDAD</w:t>
              <w:br/>
            </w:r>
          </w:p>
          <w:p>
            <w:pPr>
              <w:spacing w:before="40" w:after="40" w:line="276" w:lineRule="auto"/>
            </w:pPr>
            <w:r>
              <w:rPr>
                <w:rFonts w:ascii="Calibri" w:hAnsi="Calibri"/>
                <w:color w:val="2D3748"/>
                <w:sz w:val="19"/>
              </w:rPr>
              <w:t>Ventaja impulsada por rotación: márgenes ajustados (47.8% vs mediana 49.7%), pero alta velocidad de despliegue de activos (0.17x vs mediana 0.12x). Modelo tipo distribución mayorista, retail masivo o manufactura ultraeficiente.</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(47.79%) × Rotación de Activos (0.168x) = 8.01% (Concilia al 100.0% con GP/A de 8.01%).</w:t>
            </w:r>
          </w:p>
          <w:p>
            <w:pPr>
              <w:spacing w:before="40" w:after="40" w:line="276" w:lineRule="auto"/>
            </w:pPr>
            <w:r>
              <w:rPr>
                <w:rFonts w:ascii="Calibri" w:hAnsi="Calibri"/>
                <w:color w:val="2D3748"/>
                <w:sz w:val="19"/>
              </w:rPr>
              <w:t>• Identidad Operativa Ex-Caja: Margen Bruto (47.79%) × Rotación Ex-Caja (0.231x) = 11.03% (concilia con 11.03%).</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47.79%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59.17%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-1.86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0.168x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0.149x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0.116x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+0.05x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0.231x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0.222x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0.128x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8.01%</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8.85%</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5.76%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+2.25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-0.05 puntos porcentuales.</w:t>
            </w:r>
          </w:p>
          <w:p>
            <w:pPr>
              <w:spacing w:before="40" w:after="40" w:line="276" w:lineRule="auto"/>
            </w:pPr>
            <w:r>
              <w:rPr>
                <w:rFonts w:ascii="Calibri" w:hAnsi="Calibri"/>
                <w:color w:val="2D3748"/>
                <w:sz w:val="19"/>
              </w:rPr>
              <w:t>• Expansión a 5 Años (vs. FY2021): +4.32 puntos porcentuales.</w:t>
            </w:r>
          </w:p>
          <w:p>
            <w:pPr>
              <w:spacing w:before="40" w:after="40" w:line="276" w:lineRule="auto"/>
            </w:pPr>
            <w:r>
              <w:rPr>
                <w:rFonts w:ascii="Calibri" w:hAnsi="Calibri"/>
                <w:color w:val="2D3748"/>
                <w:sz w:val="19"/>
              </w:rPr>
              <w:t>• Coeficiente de Variación (CV GP/A): 0.370 (indica una trayectoria predecible y baja volatilidad operativa).</w:t>
            </w:r>
          </w:p>
          <w:p>
            <w:pPr>
              <w:spacing w:before="40" w:after="40" w:line="276" w:lineRule="auto"/>
            </w:pPr>
            <w:r>
              <w:rPr>
                <w:rFonts w:ascii="Calibri" w:hAnsi="Calibri"/>
                <w:color w:val="2D3748"/>
                <w:sz w:val="19"/>
              </w:rPr>
              <w:t>• Conclusión de Tendencia: Trayectoria constructiva y estable (+4.32 p.p. en 5 años); foso económico protegido.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8.01%</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11.03%</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+3.03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47.79%</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0.168x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LÍDER EN VOLUMEN Y ESCALA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8.85%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13.16%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59.17%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0.149x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10.52%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15.45%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+4.93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60.50%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0.174x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8.05%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11.65%</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+3.59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58.26%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0.138x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COMPOUNDER DE ÉLITE</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5.56%</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7.24%</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+1.68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51.26%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0.108x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3.69%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4.52%</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+0.83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55.08%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0.067x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+0.99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52.46%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0.061x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49.35%</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8.01%</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11.03%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47.79%</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0.17x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+2.25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-0.32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8.70%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+2.94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Rentabilidad del Capital Propio (ROTCE), Costo de Capital (Ke) y Creación de Valor Económico</w:t>
      </w:r>
    </w:p>
    <w:p>
      <w:r>
        <w:rPr>
          <w:i/>
          <w:sz w:val="20"/>
        </w:rPr>
        <w:t>Evaluación del retorno financiero y sostenibilidad de las ventajas competitivas (Economic Moat) para Nu Holdings Ltd. (NU)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+18.30 p.p.)</w:t>
              <w:br/>
            </w:r>
          </w:p>
          <w:p>
            <w:pPr>
              <w:spacing w:before="40" w:after="40" w:line="276" w:lineRule="auto"/>
            </w:pPr>
            <w:r>
              <w:rPr>
                <w:rFonts w:ascii="Calibri" w:hAnsi="Calibri"/>
                <w:color w:val="2D3748"/>
                <w:sz w:val="19"/>
              </w:rPr>
              <w:t>• Rentabilidad de Balance (ROTCE - LTM): 28.11% (Rendimiento sobre fondos propios auditado).</w:t>
            </w:r>
          </w:p>
          <w:p>
            <w:pPr>
              <w:spacing w:before="40" w:after="40" w:line="276" w:lineRule="auto"/>
            </w:pPr>
            <w:r>
              <w:rPr>
                <w:rFonts w:ascii="Calibri" w:hAnsi="Calibri"/>
                <w:color w:val="2D3748"/>
                <w:sz w:val="19"/>
              </w:rPr>
              <w:t>• Costo del Capital Propio (Ke vía CAPM): 9.82% (Tasa de corte mínima exigida por accionistas).</w:t>
            </w:r>
          </w:p>
          <w:p>
            <w:pPr>
              <w:spacing w:before="40" w:after="40" w:line="276" w:lineRule="auto"/>
            </w:pPr>
            <w:r>
              <w:rPr>
                <w:rFonts w:ascii="Calibri" w:hAnsi="Calibri"/>
                <w:color w:val="2D3748"/>
                <w:sz w:val="19"/>
              </w:rPr>
              <w:t>• Spread Económico Neto: +18.30 p.p. de rendimiento por encima del coste del capital propio.</w:t>
            </w:r>
          </w:p>
          <w:p>
            <w:pPr>
              <w:spacing w:before="40" w:after="40" w:line="276" w:lineRule="auto"/>
            </w:pPr>
            <w:r>
              <w:rPr>
                <w:rFonts w:ascii="Calibri" w:hAnsi="Calibri"/>
                <w:color w:val="2D3748"/>
                <w:sz w:val="19"/>
              </w:rPr>
              <w:t>• Inaplicabilidad de WACC: En entidades financieras, depósitos y float son insumos operativos; el retorno se evalúa mediante ROTCE vs Ke.</w:t>
            </w:r>
          </w:p>
          <w:p>
            <w:pPr>
              <w:spacing w:before="40" w:after="40" w:line="276" w:lineRule="auto"/>
            </w:pPr>
            <w:r>
              <w:rPr>
                <w:rFonts w:ascii="Calibri" w:hAnsi="Calibri"/>
                <w:color w:val="2D3748"/>
                <w:sz w:val="19"/>
              </w:rPr>
              <w:t>• Patrimonio Tangible Auditado: $12,840.3M reportados en balances SEC Form 10-K / 20-F.</w:t>
            </w:r>
          </w:p>
          <w:p>
            <w:pPr>
              <w:spacing w:before="40" w:after="40" w:line="276" w:lineRule="auto"/>
            </w:pPr>
            <w:r>
              <w:rPr>
                <w:rFonts w:ascii="Calibri" w:hAnsi="Calibri"/>
                <w:color w:val="2D3748"/>
                <w:sz w:val="19"/>
              </w:rPr>
              <w:t>• Tesis de Foso Defensivo: Spread de Retorno Excedente (ROTCE - Ke) = +18.30 p.p. (ROTCE: 28.11% vs Ke: 9.82%).</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$15.72</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$76,688.5M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5.22%</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Bloque B: Coste del Capital Propio (Ke) y Estructura Patrimonial</w:t>
      </w:r>
    </w:p>
    <w:p>
      <w:r>
        <w:rPr>
          <w:sz w:val="19"/>
        </w:rPr>
        <w:t>En instituciones financieras y aseguradoras, el Coste Medio Ponderado de Capital (WACC) es metodológicamente inaplicable. Los depósitos a la vista, pagarés y el float de primas constituyen el inventario operativo del negocio, no un apalancamiento financiero externo. La rentabilidad se evalúa frente al Coste del Capital Propio (Ke vía CAPM) de 9.82%.</w:t>
      </w:r>
    </w:p>
    <w:p>
      <w:pPr>
        <w:pStyle w:val="Heading2"/>
      </w:pPr>
      <w:r>
        <w:t>11.3. Bloque C: Rentabilidad de Balance (ROTCE) vs. Coste de Capital (Ke)</w:t>
      </w:r>
    </w:p>
    <w:p>
      <w:r>
        <w:rPr>
          <w:sz w:val="19"/>
        </w:rPr>
        <w:t>La rentabilidad sobre fondos propios (ROTCE) de 28.11% sobre un patrimonio tangible de $12,840.3M refleja la productividad real del balance sin distorsiones contables de I+D o activos físicos industriales.</w:t>
      </w:r>
    </w:p>
    <w:p>
      <w:pPr>
        <w:pStyle w:val="Heading2"/>
      </w:pPr>
      <w:r>
        <w:t>11.4. Bloque D: Creación de Valor Económico (EVA / Spread) y Durabilidad del Foso Defensivo</w:t>
      </w:r>
    </w:p>
    <w:p>
      <w:r>
        <w:rPr>
          <w:sz w:val="19"/>
        </w:rPr>
        <w:t>Spread Económico = ROTCE (28.11%) − Ke (9.82%) = +18.30 p.p.</w:t>
        <w:br/>
        <w:t>Dictamen: 🏰 WIDE MOAT / COMPOUNDING MACHINE. La compañía supera holgadamente su costo de financiamiento propio, creando valor neto recurrente.</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5.22%</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sistemática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Propio</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9.82%</w:t>
            </w:r>
          </w:p>
        </w:tc>
        <w:tc>
          <w:tcPr>
            <w:tcW w:type="dxa" w:w="1958"/>
            <w:tcMar>
              <w:top w:w="60" w:type="dxa"/>
              <w:bottom w:w="60" w:type="dxa"/>
              <w:left w:w="100" w:type="dxa"/>
              <w:right w:w="100" w:type="dxa"/>
            </w:tcMar>
            <w:shd w:fill="F7FAFC"/>
          </w:tcPr>
          <w:p>
            <w:r>
              <w:rPr>
                <w:sz w:val="17"/>
              </w:rPr>
              <w:t>CAPM Benchmark</w:t>
            </w:r>
          </w:p>
        </w:tc>
        <w:tc>
          <w:tcPr>
            <w:tcW w:type="dxa" w:w="1958"/>
            <w:tcMar>
              <w:top w:w="60" w:type="dxa"/>
              <w:bottom w:w="60" w:type="dxa"/>
              <w:left w:w="100" w:type="dxa"/>
              <w:right w:w="100" w:type="dxa"/>
            </w:tcMar>
            <w:shd w:fill="F7FAFC"/>
          </w:tcPr>
          <w:p>
            <w:r>
              <w:rPr>
                <w:sz w:val="17"/>
              </w:rPr>
              <w:t>Retorno anual exigido por los accionistas comunes.</w:t>
            </w:r>
          </w:p>
        </w:tc>
      </w:tr>
      <w:tr>
        <w:tc>
          <w:tcPr>
            <w:tcW w:type="dxa" w:w="1958"/>
            <w:tcMar>
              <w:top w:w="60" w:type="dxa"/>
              <w:bottom w:w="60" w:type="dxa"/>
              <w:left w:w="100" w:type="dxa"/>
              <w:right w:w="100" w:type="dxa"/>
            </w:tcMar>
          </w:tcPr>
          <w:p>
            <w:r>
              <w:rPr>
                <w:sz w:val="17"/>
              </w:rPr>
              <w:t>Costo de Capital Propio</w:t>
            </w:r>
          </w:p>
        </w:tc>
        <w:tc>
          <w:tcPr>
            <w:tcW w:type="dxa" w:w="1958"/>
            <w:tcMar>
              <w:top w:w="60" w:type="dxa"/>
              <w:bottom w:w="60" w:type="dxa"/>
              <w:left w:w="100" w:type="dxa"/>
              <w:right w:w="100" w:type="dxa"/>
            </w:tcMar>
          </w:tcPr>
          <w:p>
            <w:r>
              <w:rPr>
                <w:b/>
                <w:sz w:val="17"/>
              </w:rPr>
              <w:t>WACC Tradicional</w:t>
            </w:r>
          </w:p>
        </w:tc>
        <w:tc>
          <w:tcPr>
            <w:tcW w:type="dxa" w:w="1958"/>
            <w:tcMar>
              <w:top w:w="60" w:type="dxa"/>
              <w:bottom w:w="60" w:type="dxa"/>
              <w:left w:w="100" w:type="dxa"/>
              <w:right w:w="100" w:type="dxa"/>
            </w:tcMar>
          </w:tcPr>
          <w:p>
            <w:r>
              <w:rPr>
                <w:b/>
                <w:sz w:val="17"/>
              </w:rPr>
              <w:t>No Aplicable</w:t>
            </w:r>
          </w:p>
        </w:tc>
        <w:tc>
          <w:tcPr>
            <w:tcW w:type="dxa" w:w="1958"/>
            <w:tcMar>
              <w:top w:w="60" w:type="dxa"/>
              <w:bottom w:w="60" w:type="dxa"/>
              <w:left w:w="100" w:type="dxa"/>
              <w:right w:w="100" w:type="dxa"/>
            </w:tcMar>
          </w:tcPr>
          <w:p>
            <w:r>
              <w:rPr>
                <w:sz w:val="17"/>
              </w:rPr>
              <w:t>Inaplicable</w:t>
            </w:r>
          </w:p>
        </w:tc>
        <w:tc>
          <w:tcPr>
            <w:tcW w:type="dxa" w:w="1958"/>
            <w:tcMar>
              <w:top w:w="60" w:type="dxa"/>
              <w:bottom w:w="60" w:type="dxa"/>
              <w:left w:w="100" w:type="dxa"/>
              <w:right w:w="100" w:type="dxa"/>
            </w:tcMar>
          </w:tcPr>
          <w:p>
            <w:r>
              <w:rPr>
                <w:sz w:val="17"/>
              </w:rPr>
              <w:t>Pasivos operativos (depósitos/float) no computan en WACC.</w:t>
            </w:r>
          </w:p>
        </w:tc>
      </w:tr>
      <w:tr>
        <w:tc>
          <w:tcPr>
            <w:tcW w:type="dxa" w:w="1958"/>
            <w:tcMar>
              <w:top w:w="60" w:type="dxa"/>
              <w:bottom w:w="60" w:type="dxa"/>
              <w:left w:w="100" w:type="dxa"/>
              <w:right w:w="100" w:type="dxa"/>
            </w:tcMar>
            <w:shd w:fill="F7FAFC"/>
            <w:shd w:fill="E2EFDA"/>
          </w:tcPr>
          <w:p>
            <w:r>
              <w:rPr>
                <w:b/>
                <w:sz w:val="17"/>
              </w:rPr>
              <w:t>Rentabilidad de Balance</w:t>
            </w:r>
          </w:p>
        </w:tc>
        <w:tc>
          <w:tcPr>
            <w:tcW w:type="dxa" w:w="1958"/>
            <w:tcMar>
              <w:top w:w="60" w:type="dxa"/>
              <w:bottom w:w="60" w:type="dxa"/>
              <w:left w:w="100" w:type="dxa"/>
              <w:right w:w="100" w:type="dxa"/>
            </w:tcMar>
            <w:shd w:fill="F7FAFC"/>
            <w:shd w:fill="E2EFDA"/>
          </w:tcPr>
          <w:p>
            <w:r>
              <w:rPr>
                <w:b/>
                <w:sz w:val="17"/>
              </w:rPr>
              <w:t>ROTCE Auditado</w:t>
            </w:r>
          </w:p>
        </w:tc>
        <w:tc>
          <w:tcPr>
            <w:tcW w:type="dxa" w:w="1958"/>
            <w:tcMar>
              <w:top w:w="60" w:type="dxa"/>
              <w:bottom w:w="60" w:type="dxa"/>
              <w:left w:w="100" w:type="dxa"/>
              <w:right w:w="100" w:type="dxa"/>
            </w:tcMar>
            <w:shd w:fill="F7FAFC"/>
            <w:shd w:fill="E2EFDA"/>
          </w:tcPr>
          <w:p>
            <w:r>
              <w:rPr>
                <w:b/>
                <w:sz w:val="17"/>
              </w:rPr>
              <w:t>28.11%</w:t>
            </w:r>
          </w:p>
        </w:tc>
        <w:tc>
          <w:tcPr>
            <w:tcW w:type="dxa" w:w="1958"/>
            <w:tcMar>
              <w:top w:w="60" w:type="dxa"/>
              <w:bottom w:w="60" w:type="dxa"/>
              <w:left w:w="100" w:type="dxa"/>
              <w:right w:w="100" w:type="dxa"/>
            </w:tcMar>
            <w:shd w:fill="F7FAFC"/>
            <w:shd w:fill="E2EFDA"/>
          </w:tcPr>
          <w:p>
            <w:r>
              <w:rPr>
                <w:b/>
                <w:sz w:val="17"/>
              </w:rPr>
              <w:t>Benchmark Sectorial</w:t>
            </w:r>
          </w:p>
        </w:tc>
        <w:tc>
          <w:tcPr>
            <w:tcW w:type="dxa" w:w="1958"/>
            <w:tcMar>
              <w:top w:w="60" w:type="dxa"/>
              <w:bottom w:w="60" w:type="dxa"/>
              <w:left w:w="100" w:type="dxa"/>
              <w:right w:w="100" w:type="dxa"/>
            </w:tcMar>
            <w:shd w:fill="F7FAFC"/>
            <w:shd w:fill="E2EFDA"/>
          </w:tcPr>
          <w:p>
            <w:r>
              <w:rPr>
                <w:b/>
                <w:sz w:val="17"/>
              </w:rPr>
              <w:t>Rentabilidad financiera sobre fondos propios tangibles.</w:t>
            </w:r>
          </w:p>
        </w:tc>
      </w:tr>
      <w:tr>
        <w:tc>
          <w:tcPr>
            <w:tcW w:type="dxa" w:w="1958"/>
            <w:tcMar>
              <w:top w:w="60" w:type="dxa"/>
              <w:bottom w:w="60" w:type="dxa"/>
              <w:left w:w="100" w:type="dxa"/>
              <w:right w:w="100" w:type="dxa"/>
            </w:tcMar>
          </w:tcPr>
          <w:p>
            <w:r>
              <w:rPr>
                <w:sz w:val="17"/>
              </w:rPr>
              <w:t>Rentabilidad de Balance</w:t>
            </w:r>
          </w:p>
        </w:tc>
        <w:tc>
          <w:tcPr>
            <w:tcW w:type="dxa" w:w="1958"/>
            <w:tcMar>
              <w:top w:w="60" w:type="dxa"/>
              <w:bottom w:w="60" w:type="dxa"/>
              <w:left w:w="100" w:type="dxa"/>
              <w:right w:w="100" w:type="dxa"/>
            </w:tcMar>
          </w:tcPr>
          <w:p>
            <w:r>
              <w:rPr>
                <w:b/>
                <w:sz w:val="17"/>
              </w:rPr>
              <w:t>Base Patrimonial Tangible</w:t>
            </w:r>
          </w:p>
        </w:tc>
        <w:tc>
          <w:tcPr>
            <w:tcW w:type="dxa" w:w="1958"/>
            <w:tcMar>
              <w:top w:w="60" w:type="dxa"/>
              <w:bottom w:w="60" w:type="dxa"/>
              <w:left w:w="100" w:type="dxa"/>
              <w:right w:w="100" w:type="dxa"/>
            </w:tcMar>
          </w:tcPr>
          <w:p>
            <w:r>
              <w:rPr>
                <w:b/>
                <w:sz w:val="17"/>
              </w:rPr>
              <w:t>$12,840.3M</w:t>
            </w:r>
          </w:p>
        </w:tc>
        <w:tc>
          <w:tcPr>
            <w:tcW w:type="dxa" w:w="1958"/>
            <w:tcMar>
              <w:top w:w="60" w:type="dxa"/>
              <w:bottom w:w="60" w:type="dxa"/>
              <w:left w:w="100" w:type="dxa"/>
              <w:right w:w="100" w:type="dxa"/>
            </w:tcMar>
          </w:tcPr>
          <w:p>
            <w:r>
              <w:rPr>
                <w:sz w:val="17"/>
              </w:rPr>
              <w:t>Balance SEC</w:t>
            </w:r>
          </w:p>
        </w:tc>
        <w:tc>
          <w:tcPr>
            <w:tcW w:type="dxa" w:w="1958"/>
            <w:tcMar>
              <w:top w:w="60" w:type="dxa"/>
              <w:bottom w:w="60" w:type="dxa"/>
              <w:left w:w="100" w:type="dxa"/>
              <w:right w:w="100" w:type="dxa"/>
            </w:tcMar>
          </w:tcPr>
          <w:p>
            <w:r>
              <w:rPr>
                <w:sz w:val="17"/>
              </w:rPr>
              <w:t>Patrimonio neto reportado que sustenta la operación.</w:t>
            </w:r>
          </w:p>
        </w:tc>
      </w:tr>
      <w:tr>
        <w:tc>
          <w:tcPr>
            <w:tcW w:type="dxa" w:w="1958"/>
            <w:tcMar>
              <w:top w:w="60" w:type="dxa"/>
              <w:bottom w:w="60" w:type="dxa"/>
              <w:left w:w="100" w:type="dxa"/>
              <w:right w:w="100" w:type="dxa"/>
            </w:tcMar>
            <w:shd w:fill="F7FAFC"/>
            <w:shd w:fill="E2EFDA"/>
          </w:tcPr>
          <w:p>
            <w:r>
              <w:rPr>
                <w:b/>
                <w:sz w:val="17"/>
              </w:rPr>
              <w:t>Creación de Valor (EVA)</w:t>
            </w:r>
          </w:p>
        </w:tc>
        <w:tc>
          <w:tcPr>
            <w:tcW w:type="dxa" w:w="1958"/>
            <w:tcMar>
              <w:top w:w="60" w:type="dxa"/>
              <w:bottom w:w="60" w:type="dxa"/>
              <w:left w:w="100" w:type="dxa"/>
              <w:right w:w="100" w:type="dxa"/>
            </w:tcMar>
            <w:shd w:fill="F7FAFC"/>
            <w:shd w:fill="E2EFDA"/>
          </w:tcPr>
          <w:p>
            <w:r>
              <w:rPr>
                <w:b/>
                <w:sz w:val="17"/>
              </w:rPr>
              <w:t>Spread Económico (ROTCE − Ke)</w:t>
            </w:r>
          </w:p>
        </w:tc>
        <w:tc>
          <w:tcPr>
            <w:tcW w:type="dxa" w:w="1958"/>
            <w:tcMar>
              <w:top w:w="60" w:type="dxa"/>
              <w:bottom w:w="60" w:type="dxa"/>
              <w:left w:w="100" w:type="dxa"/>
              <w:right w:w="100" w:type="dxa"/>
            </w:tcMar>
            <w:shd w:fill="F7FAFC"/>
            <w:shd w:fill="E2EFDA"/>
          </w:tcPr>
          <w:p>
            <w:r>
              <w:rPr>
                <w:b/>
                <w:sz w:val="17"/>
              </w:rPr>
              <w:t>+18.30 p.p.</w:t>
            </w:r>
          </w:p>
        </w:tc>
        <w:tc>
          <w:tcPr>
            <w:tcW w:type="dxa" w:w="1958"/>
            <w:tcMar>
              <w:top w:w="60" w:type="dxa"/>
              <w:bottom w:w="60" w:type="dxa"/>
              <w:left w:w="100" w:type="dxa"/>
              <w:right w:w="100" w:type="dxa"/>
            </w:tcMar>
            <w:shd w:fill="F7FAFC"/>
            <w:shd w:fill="E2EFDA"/>
          </w:tcPr>
          <w:p>
            <w:r>
              <w:rPr>
                <w:b/>
                <w:sz w:val="17"/>
              </w:rPr>
              <w:t>Hurdle Rate</w:t>
            </w:r>
          </w:p>
        </w:tc>
        <w:tc>
          <w:tcPr>
            <w:tcW w:type="dxa" w:w="1958"/>
            <w:tcMar>
              <w:top w:w="60" w:type="dxa"/>
              <w:bottom w:w="60" w:type="dxa"/>
              <w:left w:w="100" w:type="dxa"/>
              <w:right w:w="100" w:type="dxa"/>
            </w:tcMar>
            <w:shd w:fill="F7FAFC"/>
            <w:shd w:fill="E2EFDA"/>
          </w:tcPr>
          <w:p>
            <w:r>
              <w:rPr>
                <w:b/>
                <w:sz w:val="17"/>
              </w:rPr>
              <w:t>Extraordinaria generación de riqueza neta sobre el coste de capital.</w:t>
            </w:r>
          </w:p>
        </w:tc>
      </w:tr>
      <w:tr>
        <w:tc>
          <w:tcPr>
            <w:tcW w:type="dxa" w:w="1958"/>
            <w:tcMar>
              <w:top w:w="60" w:type="dxa"/>
              <w:bottom w:w="60" w:type="dxa"/>
              <w:left w:w="100" w:type="dxa"/>
              <w:right w:w="100" w:type="dxa"/>
            </w:tcMar>
          </w:tcPr>
          <w:p>
            <w:r>
              <w:rPr>
                <w:sz w:val="17"/>
              </w:rPr>
              <w:t>Creación de Valor (EVA)</w:t>
            </w:r>
          </w:p>
        </w:tc>
        <w:tc>
          <w:tcPr>
            <w:tcW w:type="dxa" w:w="1958"/>
            <w:tcMar>
              <w:top w:w="60" w:type="dxa"/>
              <w:bottom w:w="60" w:type="dxa"/>
              <w:left w:w="100" w:type="dxa"/>
              <w:right w:w="100" w:type="dxa"/>
            </w:tcMar>
          </w:tcPr>
          <w:p>
            <w:r>
              <w:rPr>
                <w:b/>
                <w:sz w:val="17"/>
              </w:rPr>
              <w:t>Dictamen Foso Defensivo</w:t>
            </w:r>
          </w:p>
        </w:tc>
        <w:tc>
          <w:tcPr>
            <w:tcW w:type="dxa" w:w="1958"/>
            <w:tcMar>
              <w:top w:w="60" w:type="dxa"/>
              <w:bottom w:w="60" w:type="dxa"/>
              <w:left w:w="100" w:type="dxa"/>
              <w:right w:w="100" w:type="dxa"/>
            </w:tcMar>
          </w:tcPr>
          <w:p>
            <w:r>
              <w:rPr>
                <w:b/>
                <w:sz w:val="17"/>
              </w:rPr>
              <w:t>🏰 WIDE MOAT / COMPOUNDING MACHINE</w:t>
            </w:r>
          </w:p>
        </w:tc>
        <w:tc>
          <w:tcPr>
            <w:tcW w:type="dxa" w:w="1958"/>
            <w:tcMar>
              <w:top w:w="60" w:type="dxa"/>
              <w:bottom w:w="60" w:type="dxa"/>
              <w:left w:w="100" w:type="dxa"/>
              <w:right w:w="100" w:type="dxa"/>
            </w:tcMar>
          </w:tcPr>
          <w:p>
            <w:r>
              <w:rPr>
                <w:sz w:val="17"/>
              </w:rPr>
              <w:t>Compounding Machine</w:t>
            </w:r>
          </w:p>
        </w:tc>
        <w:tc>
          <w:tcPr>
            <w:tcW w:type="dxa" w:w="1958"/>
            <w:tcMar>
              <w:top w:w="60" w:type="dxa"/>
              <w:bottom w:w="60" w:type="dxa"/>
              <w:left w:w="100" w:type="dxa"/>
              <w:right w:w="100" w:type="dxa"/>
            </w:tcMar>
          </w:tcPr>
          <w:p>
            <w:r>
              <w:rPr>
                <w:sz w:val="17"/>
              </w:rPr>
              <w:t>Fortaleza estructural de intermediación y fondeo.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ANÁLISIS SECTORIAL BANCARIO</w:t>
        <w:br/>
      </w:r>
      <w:r>
        <w:rPr>
          <w:rFonts w:ascii="Calibri" w:hAnsi="Calibri"/>
          <w:color w:val="2D3748"/>
          <w:sz w:val="19"/>
        </w:rPr>
        <w:t>• Ratio Sloan de Devengos: +6.33% [DEVENGOS EQUILIBRADOS]</w:t>
        <w:br/>
        <w:t>• Montier C-Score: NO APLICABLE [NO APLICABLE]</w:t>
        <w:br/>
        <w:t>• Dictamen: AUDITORÍA FORENSE ADAPTADA (FINANCIAL_BANKING): Los modelos cuantitativos de devengos industriales y Montier C-Score no son aplicables a balances bancarios y aseguradores. La solvencia e integridad contable se evalúan mediante la calidad de cartera (NPLs), ratios de cobertura de provisiones, margen de interés neto (NIM) y solidez de capital regulatorio (CET1).</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$3,610.0M</w:t>
            </w:r>
          </w:p>
        </w:tc>
        <w:tc>
          <w:tcPr>
            <w:tcW w:type="dxa" w:w="1094"/>
            <w:tcMar>
              <w:top w:w="60" w:type="dxa"/>
              <w:bottom w:w="60" w:type="dxa"/>
              <w:left w:w="60" w:type="dxa"/>
              <w:right w:w="60" w:type="dxa"/>
            </w:tcMar>
          </w:tcPr>
          <w:p>
            <w:pPr>
              <w:jc w:val="right"/>
            </w:pPr>
            <w:r>
              <w:rPr>
                <w:rFonts w:ascii="Calibri" w:hAnsi="Calibri"/>
                <w:b w:val="0"/>
                <w:sz w:val="17"/>
              </w:rPr>
              <w:t>$2,871.7M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$-1,381.6M</w:t>
            </w:r>
          </w:p>
        </w:tc>
        <w:tc>
          <w:tcPr>
            <w:tcW w:type="dxa" w:w="1094"/>
            <w:tcMar>
              <w:top w:w="60" w:type="dxa"/>
              <w:bottom w:w="60" w:type="dxa"/>
              <w:left w:w="60" w:type="dxa"/>
              <w:right w:w="60" w:type="dxa"/>
            </w:tcMar>
          </w:tcPr>
          <w:p>
            <w:pPr>
              <w:jc w:val="right"/>
            </w:pPr>
            <w:r>
              <w:rPr>
                <w:rFonts w:ascii="Calibri" w:hAnsi="Calibri"/>
                <w:b w:val="0"/>
                <w:sz w:val="17"/>
              </w:rPr>
              <w:t>$3,500.5M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$+4,991.6M</w:t>
            </w:r>
          </w:p>
        </w:tc>
        <w:tc>
          <w:tcPr>
            <w:tcW w:type="dxa" w:w="1094"/>
            <w:tcMar>
              <w:top w:w="60" w:type="dxa"/>
              <w:bottom w:w="60" w:type="dxa"/>
              <w:left w:w="60" w:type="dxa"/>
              <w:right w:w="60" w:type="dxa"/>
            </w:tcMar>
          </w:tcPr>
          <w:p>
            <w:pPr>
              <w:jc w:val="right"/>
            </w:pPr>
            <w:r>
              <w:rPr>
                <w:rFonts w:ascii="Calibri" w:hAnsi="Calibri"/>
                <w:b/>
                <w:sz w:val="17"/>
              </w:rPr>
              <w:t>$-628.8M</w:t>
            </w:r>
          </w:p>
        </w:tc>
        <w:tc>
          <w:tcPr>
            <w:tcW w:type="dxa" w:w="1094"/>
            <w:tcMar>
              <w:top w:w="60" w:type="dxa"/>
              <w:bottom w:w="60" w:type="dxa"/>
              <w:left w:w="60" w:type="dxa"/>
              <w:right w:w="60" w:type="dxa"/>
            </w:tcMar>
          </w:tcPr>
          <w:p>
            <w:pPr>
              <w:jc w:val="right"/>
            </w:pPr>
            <w:r>
              <w:rPr>
                <w:rFonts w:ascii="Calibri" w:hAnsi="Calibri"/>
                <w:b/>
                <w:sz w:val="17"/>
              </w:rPr>
              <w:t>$-426.9M</w:t>
            </w:r>
          </w:p>
        </w:tc>
        <w:tc>
          <w:tcPr>
            <w:tcW w:type="dxa" w:w="1094"/>
            <w:tcMar>
              <w:top w:w="60" w:type="dxa"/>
              <w:bottom w:w="60" w:type="dxa"/>
              <w:left w:w="60" w:type="dxa"/>
              <w:right w:w="60" w:type="dxa"/>
            </w:tcMar>
          </w:tcPr>
          <w:p>
            <w:pPr>
              <w:jc w:val="right"/>
            </w:pPr>
            <w:r>
              <w:rPr>
                <w:rFonts w:ascii="Calibri" w:hAnsi="Calibri"/>
                <w:b/>
                <w:sz w:val="17"/>
              </w:rPr>
              <w:t>$-235.7M</w:t>
            </w:r>
          </w:p>
        </w:tc>
        <w:tc>
          <w:tcPr>
            <w:tcW w:type="dxa" w:w="1094"/>
            <w:tcMar>
              <w:top w:w="60" w:type="dxa"/>
              <w:bottom w:w="60" w:type="dxa"/>
              <w:left w:w="60" w:type="dxa"/>
              <w:right w:w="60" w:type="dxa"/>
            </w:tcMar>
          </w:tcPr>
          <w:p>
            <w:pPr>
              <w:jc w:val="right"/>
            </w:pPr>
            <w:r>
              <w:rPr>
                <w:rFonts w:ascii="Calibri" w:hAnsi="Calibri"/>
                <w:b/>
                <w:sz w:val="17"/>
              </w:rPr>
              <w:t>$-1,120.2M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$78,823.6M</w:t>
            </w:r>
          </w:p>
        </w:tc>
        <w:tc>
          <w:tcPr>
            <w:tcW w:type="dxa" w:w="1094"/>
            <w:tcMar>
              <w:top w:w="60" w:type="dxa"/>
              <w:bottom w:w="60" w:type="dxa"/>
              <w:left w:w="60" w:type="dxa"/>
              <w:right w:w="60" w:type="dxa"/>
            </w:tcMar>
          </w:tcPr>
          <w:p>
            <w:pPr>
              <w:jc w:val="right"/>
            </w:pPr>
            <w:r>
              <w:rPr>
                <w:rFonts w:ascii="Calibri" w:hAnsi="Calibri"/>
                <w:b w:val="0"/>
                <w:sz w:val="17"/>
              </w:rPr>
              <w:t>$62,412.5M</w:t>
            </w:r>
          </w:p>
        </w:tc>
        <w:tc>
          <w:tcPr>
            <w:tcW w:type="dxa" w:w="1094"/>
            <w:tcMar>
              <w:top w:w="60" w:type="dxa"/>
              <w:bottom w:w="60" w:type="dxa"/>
              <w:left w:w="60" w:type="dxa"/>
              <w:right w:w="60" w:type="dxa"/>
            </w:tcMar>
          </w:tcPr>
          <w:p>
            <w:pPr>
              <w:jc w:val="right"/>
            </w:pPr>
            <w:r>
              <w:rPr>
                <w:rFonts w:ascii="Calibri" w:hAnsi="Calibri"/>
                <w:b w:val="0"/>
                <w:sz w:val="17"/>
              </w:rPr>
              <w:t>$46,638.2M</w:t>
            </w:r>
          </w:p>
        </w:tc>
        <w:tc>
          <w:tcPr>
            <w:tcW w:type="dxa" w:w="1094"/>
            <w:tcMar>
              <w:top w:w="60" w:type="dxa"/>
              <w:bottom w:w="60" w:type="dxa"/>
              <w:left w:w="60" w:type="dxa"/>
              <w:right w:w="60" w:type="dxa"/>
            </w:tcMar>
          </w:tcPr>
          <w:p>
            <w:pPr>
              <w:jc w:val="right"/>
            </w:pPr>
            <w:r>
              <w:rPr>
                <w:rFonts w:ascii="Calibri" w:hAnsi="Calibri"/>
                <w:b w:val="0"/>
                <w:sz w:val="17"/>
              </w:rPr>
              <w:t>$36,640.0M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+6.33%</w:t>
            </w:r>
          </w:p>
        </w:tc>
        <w:tc>
          <w:tcPr>
            <w:tcW w:type="dxa" w:w="1094"/>
            <w:tcMar>
              <w:top w:w="60" w:type="dxa"/>
              <w:bottom w:w="60" w:type="dxa"/>
              <w:left w:w="60" w:type="dxa"/>
              <w:right w:w="60" w:type="dxa"/>
            </w:tcMar>
          </w:tcPr>
          <w:p>
            <w:pPr>
              <w:jc w:val="right"/>
            </w:pPr>
            <w:r>
              <w:rPr>
                <w:rFonts w:ascii="Calibri" w:hAnsi="Calibri"/>
                <w:b/>
                <w:sz w:val="17"/>
              </w:rPr>
              <w:t>-1.01%</w:t>
            </w:r>
          </w:p>
        </w:tc>
        <w:tc>
          <w:tcPr>
            <w:tcW w:type="dxa" w:w="1094"/>
            <w:tcMar>
              <w:top w:w="60" w:type="dxa"/>
              <w:bottom w:w="60" w:type="dxa"/>
              <w:left w:w="60" w:type="dxa"/>
              <w:right w:w="60" w:type="dxa"/>
            </w:tcMar>
          </w:tcPr>
          <w:p>
            <w:pPr>
              <w:jc w:val="right"/>
            </w:pPr>
            <w:r>
              <w:rPr>
                <w:rFonts w:ascii="Calibri" w:hAnsi="Calibri"/>
                <w:b/>
                <w:sz w:val="17"/>
              </w:rPr>
              <w:t>-0.92%</w:t>
            </w:r>
          </w:p>
        </w:tc>
        <w:tc>
          <w:tcPr>
            <w:tcW w:type="dxa" w:w="1094"/>
            <w:tcMar>
              <w:top w:w="60" w:type="dxa"/>
              <w:bottom w:w="60" w:type="dxa"/>
              <w:left w:w="60" w:type="dxa"/>
              <w:right w:w="60" w:type="dxa"/>
            </w:tcMar>
          </w:tcPr>
          <w:p>
            <w:pPr>
              <w:jc w:val="right"/>
            </w:pPr>
            <w:r>
              <w:rPr>
                <w:rFonts w:ascii="Calibri" w:hAnsi="Calibri"/>
                <w:b/>
                <w:sz w:val="17"/>
              </w:rPr>
              <w:t>-0.64%</w:t>
            </w:r>
          </w:p>
        </w:tc>
        <w:tc>
          <w:tcPr>
            <w:tcW w:type="dxa" w:w="1094"/>
            <w:tcMar>
              <w:top w:w="60" w:type="dxa"/>
              <w:bottom w:w="60" w:type="dxa"/>
              <w:left w:w="60" w:type="dxa"/>
              <w:right w:w="60" w:type="dxa"/>
            </w:tcMar>
          </w:tcPr>
          <w:p>
            <w:pPr>
              <w:jc w:val="right"/>
            </w:pPr>
            <w:r>
              <w:rPr>
                <w:rFonts w:ascii="Calibri" w:hAnsi="Calibri"/>
                <w:b/>
                <w:sz w:val="17"/>
              </w:rPr>
              <w:t>-4.50%</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Nu Holdings Ltd. generó $-1,381.6M de CFO frente a $3,610.0M de beneficio neto, arrojando una tasa de conversión de caja del -38.3% (cada dólar reportado está respaldado por $-0.38 de efectivo). El Ratio Sloan de +6.33%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72.5%</w:t>
            </w:r>
          </w:p>
        </w:tc>
        <w:tc>
          <w:tcPr>
            <w:tcW w:type="dxa" w:w="1440"/>
            <w:tcMar>
              <w:top w:w="60" w:type="dxa"/>
              <w:bottom w:w="60" w:type="dxa"/>
              <w:left w:w="80" w:type="dxa"/>
              <w:right w:w="80" w:type="dxa"/>
            </w:tcMar>
          </w:tcPr>
          <w:p>
            <w:pPr>
              <w:jc w:val="center"/>
            </w:pPr>
            <w:r>
              <w:rPr>
                <w:rFonts w:ascii="Calibri" w:hAnsi="Calibri"/>
                <w:sz w:val="17"/>
              </w:rPr>
              <w:t>Δ: +5.3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Holdings Ltd.): Entidad del arquetipo 'FINANCIAL_BANKING': no mantiene inventario de existencias ni coste de ventas (COGS).</w:t>
      </w:r>
    </w:p>
    <w:p>
      <w:pPr>
        <w:pStyle w:val="Heading2"/>
      </w:pPr>
      <w:r>
        <w:rPr>
          <w:rFonts w:ascii="Calibri" w:hAnsi="Calibri"/>
          <w:b/>
          <w:color w:val="1B365D"/>
          <w:sz w:val="23"/>
        </w:rPr>
        <w:t>12.3. Desglose Forense Montier C-Score (NO APLICABLE)</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NI &gt; CFO</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No aplicable a intermediación financiera.</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AR &gt; %Δ Ventas)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operan con cuentas comerciales a cobrar.</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 &gt; %Δ COGS)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mantienen existencias de mercancía ni COGS.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Estructura de balance sin clasificación corriente/no corriente.</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PP&amp;E tangible inmaterial frente al activo financiero total.</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Totales &gt; 10.0%</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La expansión de balance bancario responde a depósitos y política monetaria.</w:t>
            </w:r>
          </w:p>
        </w:tc>
      </w:tr>
    </w:tbl>
    <w:p>
      <w:pPr>
        <w:spacing w:before="80" w:after="160"/>
      </w:pPr>
      <w:r>
        <w:rPr>
          <w:rFonts w:ascii="Calibri" w:hAnsi="Calibri"/>
          <w:b/>
          <w:color w:val="1B365D"/>
          <w:sz w:val="17"/>
        </w:rPr>
        <w:t>Dictamen Montier: NO APLICABLE — NO APLICABLE. Montier C-Score NO APLICABLE para entidades del arquetipo 'FINANCIAL_BANKING'. El modelo de James Montier (Cooking the Books) evalúa partidas de capital de trabajo, inventarios (DIO), cuentas a cobrar comerciales (DSO), otros activos corrientes y depreciación física de PP&amp;E, conceptos ajenos a la estructura operativa de intermediación financiera y balances bancarios/aseguradores.</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+6.33%</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+5.3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(+5.3 pp); balance sano con activos blandos bajo 75% (72.5%).</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NO APLICABLE</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No aplicable a modelo financiero o pendiente de ejercicio comparativo (t-1).</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(LTM): SOLVENCIA REGULATORIA BASILEA III</w:t>
              <w:br/>
            </w:r>
            <w:r>
              <w:rPr>
                <w:color w:val="2D3748"/>
                <w:sz w:val="19"/>
              </w:rPr>
              <w:t>Rating Sintético: D (DEFAULT INMINENTE O TÉCNICO (D / Default)) | Loan-to-Deposit Ratio: 83.1%</w:t>
              <w:br/>
              <w:t>Cobertura de Provisiones: N/D | Retorno sobre Patrimonio Tangible (ROTCE): 26.40%</w:t>
              <w:br/>
              <w:br/>
              <w:t>En instituciones financieras, los depósitos de clientes son materia prima operativa y no deuda corporativa. Nu Holdings Ltd. presenta solvencia prudencial respaldada por depósitos y capitalización conforme a Basilea III.</w:t>
            </w:r>
          </w:p>
        </w:tc>
      </w:tr>
    </w:tbl>
    <w:p/>
    <w:p>
      <w:pPr>
        <w:pStyle w:val="Heading2"/>
      </w:pPr>
      <w:r>
        <w:t>13.1. Estructura de Balance, Cartera de Crédito y Fondeo (LTM)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LTM</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Créditos</w:t>
            </w:r>
          </w:p>
        </w:tc>
        <w:tc>
          <w:tcPr>
            <w:tcW w:type="dxa" w:w="2448"/>
          </w:tcPr>
          <w:p>
            <w:r>
              <w:rPr>
                <w:b/>
                <w:sz w:val="17"/>
              </w:rPr>
              <w:t>$30,400.0 M</w:t>
            </w:r>
          </w:p>
        </w:tc>
        <w:tc>
          <w:tcPr>
            <w:tcW w:type="dxa" w:w="2448"/>
          </w:tcPr>
          <w:p>
            <w:r>
              <w:rPr>
                <w:sz w:val="17"/>
              </w:rPr>
              <w:t>Cartera de activos productivos de crédito.</w:t>
            </w:r>
          </w:p>
        </w:tc>
      </w:tr>
      <w:tr>
        <w:tc>
          <w:tcPr>
            <w:tcW w:type="dxa" w:w="2448"/>
            <w:shd w:fill="F7FAFC"/>
          </w:tcPr>
          <w:p>
            <w:r>
              <w:rPr>
                <w:b/>
                <w:sz w:val="17"/>
              </w:rPr>
              <w:t>Depósitos Totales de Clientes</w:t>
            </w:r>
          </w:p>
        </w:tc>
        <w:tc>
          <w:tcPr>
            <w:tcW w:type="dxa" w:w="2448"/>
            <w:shd w:fill="F7FAFC"/>
          </w:tcPr>
          <w:p>
            <w:r>
              <w:rPr>
                <w:sz w:val="17"/>
              </w:rPr>
              <w:t>Cuentas Corrientes y de Ahorro</w:t>
            </w:r>
          </w:p>
        </w:tc>
        <w:tc>
          <w:tcPr>
            <w:tcW w:type="dxa" w:w="2448"/>
            <w:shd w:fill="F7FAFC"/>
          </w:tcPr>
          <w:p>
            <w:r>
              <w:rPr>
                <w:b/>
                <w:sz w:val="17"/>
              </w:rPr>
              <w:t>$36,600.0 M</w:t>
            </w:r>
          </w:p>
        </w:tc>
        <w:tc>
          <w:tcPr>
            <w:tcW w:type="dxa" w:w="2448"/>
            <w:shd w:fill="F7FAFC"/>
          </w:tcPr>
          <w:p>
            <w:r>
              <w:rPr>
                <w:sz w:val="17"/>
              </w:rPr>
              <w:t>Base de captación y fondeo de clientes.</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Proporción de fondeo con pasivos de clientes.</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$22,700.7M</w:t>
            </w:r>
          </w:p>
        </w:tc>
        <w:tc>
          <w:tcPr>
            <w:tcW w:type="dxa" w:w="2448"/>
            <w:shd w:fill="F7FAFC"/>
          </w:tcPr>
          <w:p>
            <w:r>
              <w:rPr>
                <w:sz w:val="17"/>
              </w:rPr>
              <w:t>Colchón de reserva ante fluctuaciones de pasivo.</w:t>
            </w:r>
          </w:p>
        </w:tc>
      </w:tr>
      <w:tr>
        <w:tc>
          <w:tcPr>
            <w:tcW w:type="dxa" w:w="2448"/>
          </w:tcPr>
          <w:p>
            <w:r>
              <w:rPr>
                <w:b/>
                <w:sz w:val="17"/>
              </w:rPr>
              <w:t>Deuda Corporativa Emitida</w:t>
            </w:r>
          </w:p>
        </w:tc>
        <w:tc>
          <w:tcPr>
            <w:tcW w:type="dxa" w:w="2448"/>
          </w:tcPr>
          <w:p>
            <w:r>
              <w:rPr>
                <w:sz w:val="17"/>
              </w:rPr>
              <w:t>Bonos y Préstamos de Mercado</w:t>
            </w:r>
          </w:p>
        </w:tc>
        <w:tc>
          <w:tcPr>
            <w:tcW w:type="dxa" w:w="2448"/>
          </w:tcPr>
          <w:p>
            <w:r>
              <w:rPr>
                <w:b/>
                <w:sz w:val="17"/>
              </w:rPr>
              <w:t>$5,740.6M</w:t>
            </w:r>
          </w:p>
        </w:tc>
        <w:tc>
          <w:tcPr>
            <w:tcW w:type="dxa" w:w="2448"/>
          </w:tcPr>
          <w:p>
            <w:r>
              <w:rPr>
                <w:sz w:val="17"/>
              </w:rPr>
              <w:t>Pasivos financieros de mercado emitidos.</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Control de mora en tramos iniciales.</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Cartera dudosa en mora madura.</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N/D</w:t>
            </w:r>
          </w:p>
        </w:tc>
        <w:tc>
          <w:tcPr>
            <w:tcW w:type="dxa" w:w="2448"/>
          </w:tcPr>
          <w:p>
            <w:r>
              <w:rPr>
                <w:sz w:val="17"/>
              </w:rPr>
              <w:t>Cobertura de reservas sobre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N/D</w:t>
            </w:r>
          </w:p>
        </w:tc>
        <w:tc>
          <w:tcPr>
            <w:tcW w:type="dxa" w:w="2448"/>
            <w:shd w:fill="F7FAFC"/>
          </w:tcPr>
          <w:p>
            <w:r>
              <w:rPr>
                <w:sz w:val="17"/>
              </w:rPr>
              <w:t>Coste de riesgo asumido en la cartera.</w:t>
            </w:r>
          </w:p>
        </w:tc>
      </w:tr>
      <w:tr>
        <w:tc>
          <w:tcPr>
            <w:tcW w:type="dxa" w:w="2448"/>
          </w:tcPr>
          <w:p>
            <w:r>
              <w:rPr>
                <w:b/>
                <w:sz w:val="17"/>
              </w:rPr>
              <w:t>Margen de Interés Neto (NIM)</w:t>
            </w:r>
          </w:p>
        </w:tc>
        <w:tc>
          <w:tcPr>
            <w:tcW w:type="dxa" w:w="2448"/>
          </w:tcPr>
          <w:p>
            <w:r>
              <w:rPr>
                <w:sz w:val="17"/>
              </w:rPr>
              <w:t>NII sobre Activos Medios</w:t>
            </w:r>
          </w:p>
        </w:tc>
        <w:tc>
          <w:tcPr>
            <w:tcW w:type="dxa" w:w="2448"/>
          </w:tcPr>
          <w:p>
            <w:r>
              <w:rPr>
                <w:b/>
                <w:sz w:val="17"/>
              </w:rPr>
              <w:t>13.45%</w:t>
            </w:r>
          </w:p>
        </w:tc>
        <w:tc>
          <w:tcPr>
            <w:tcW w:type="dxa" w:w="2448"/>
          </w:tcPr>
          <w:p>
            <w:r>
              <w:rPr>
                <w:sz w:val="17"/>
              </w:rPr>
              <w:t>Margen de intermediación financiera.</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Capital Regulatorio / Basilea III</w:t>
            </w:r>
          </w:p>
        </w:tc>
        <w:tc>
          <w:tcPr>
            <w:tcW w:type="dxa" w:w="2448"/>
          </w:tcPr>
          <w:p>
            <w:r>
              <w:rPr>
                <w:b/>
                <w:sz w:val="17"/>
              </w:rPr>
              <w:t>Conforme</w:t>
            </w:r>
          </w:p>
        </w:tc>
        <w:tc>
          <w:tcPr>
            <w:tcW w:type="dxa" w:w="2448"/>
          </w:tcPr>
          <w:p>
            <w:r>
              <w:rPr>
                <w:sz w:val="17"/>
              </w:rPr>
              <w:t>Requerimientos Internacionales</w:t>
            </w:r>
          </w:p>
        </w:tc>
        <w:tc>
          <w:tcPr>
            <w:tcW w:type="dxa" w:w="2448"/>
          </w:tcPr>
          <w:p>
            <w:r>
              <w:rPr>
                <w:sz w:val="17"/>
              </w:rPr>
              <w:t>Supervisión prudencial de solvencia bancaria.</w:t>
            </w:r>
          </w:p>
        </w:tc>
      </w:tr>
      <w:tr>
        <w:tc>
          <w:tcPr>
            <w:tcW w:type="dxa" w:w="2448"/>
            <w:shd w:fill="F7FAFC"/>
          </w:tcPr>
          <w:p>
            <w:r>
              <w:rPr>
                <w:b/>
                <w:sz w:val="17"/>
              </w:rPr>
              <w:t>Rating Sintético Damodaran</w:t>
            </w:r>
          </w:p>
        </w:tc>
        <w:tc>
          <w:tcPr>
            <w:tcW w:type="dxa" w:w="2448"/>
            <w:shd w:fill="F7FAFC"/>
          </w:tcPr>
          <w:p>
            <w:r>
              <w:rPr>
                <w:b/>
                <w:sz w:val="17"/>
              </w:rPr>
              <w:t>D</w:t>
            </w:r>
          </w:p>
        </w:tc>
        <w:tc>
          <w:tcPr>
            <w:tcW w:type="dxa" w:w="2448"/>
            <w:shd w:fill="F7FAFC"/>
          </w:tcPr>
          <w:p>
            <w:r>
              <w:rPr>
                <w:sz w:val="17"/>
              </w:rPr>
              <w:t>Metodología Damodaran</w:t>
            </w:r>
          </w:p>
        </w:tc>
        <w:tc>
          <w:tcPr>
            <w:tcW w:type="dxa" w:w="2448"/>
            <w:shd w:fill="F7FAFC"/>
          </w:tcPr>
          <w:p>
            <w:r>
              <w:rPr>
                <w:sz w:val="17"/>
              </w:rPr>
              <w:t>DEFAULT INMINENTE O TÉCNICO (D / Default)</w:t>
            </w:r>
          </w:p>
        </w:tc>
      </w:tr>
      <w:tr>
        <w:tc>
          <w:tcPr>
            <w:tcW w:type="dxa" w:w="2448"/>
          </w:tcPr>
          <w:p>
            <w:r>
              <w:rPr>
                <w:b/>
                <w:sz w:val="17"/>
              </w:rPr>
              <w:t>Altman Z''-Score (Nota Explicativa)</w:t>
            </w:r>
          </w:p>
        </w:tc>
        <w:tc>
          <w:tcPr>
            <w:tcW w:type="dxa" w:w="2448"/>
          </w:tcPr>
          <w:p>
            <w:r>
              <w:rPr>
                <w:b/>
                <w:sz w:val="17"/>
              </w:rPr>
              <w:t>NO APLICA A LA BANCA</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FINANCIERA: MODELO DE RETORNO EXCEDENTE (P/TBV)</w:t>
        <w:br/>
      </w:r>
      <w:r>
        <w:rPr>
          <w:rFonts w:ascii="Calibri" w:hAnsi="Calibri"/>
          <w:color w:val="2D3748"/>
          <w:sz w:val="19"/>
        </w:rPr>
        <w:t>• Cotización: $15.72  |  Valor en Libros por Acción: $2.63  |  P/TBV Mercado: 5.98x</w:t>
        <w:br/>
        <w:t>• Rentabilidad de Balance (ROTCE): 28.11% vs. Coste Capital (Ke): 9.82%  -&gt;  Spread: +18.3 pp</w:t>
        <w:br/>
        <w:t>• P/TBV Justificado Teórico: 3.68x (Precio Teórico Justo: $9.68)</w:t>
        <w:br/>
        <w:t>• Veredicto: El mercado descuenta sostener un ROTCE del ~43.8% o expansión con retornos sobre fondos propios.</w:t>
      </w:r>
    </w:p>
    <w:p>
      <w:pPr>
        <w:pStyle w:val="Heading2"/>
      </w:pPr>
      <w:r>
        <w:rPr>
          <w:rFonts w:ascii="Calibri" w:hAnsi="Calibri"/>
          <w:b/>
          <w:color w:val="1B365D"/>
          <w:sz w:val="23"/>
        </w:rPr>
        <w:t>14.1. Parámetros Maestros de Valoración Financiera (Gordon-Shapiro &amp; CAPM)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3264"/>
        <w:gridCol w:w="3264"/>
        <w:gridCol w:w="3264"/>
      </w:tblGrid>
      <w:tr>
        <w:tc>
          <w:tcPr>
            <w:tcW w:type="dxa" w:w="3264"/>
            <w:shd w:fill="1B365D"/>
          </w:tcPr>
          <w:p>
            <w:r>
              <w:rPr>
                <w:b/>
                <w:color w:val="FFFFFF"/>
                <w:sz w:val="18"/>
              </w:rPr>
              <w:t>Parámetro Financiero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Contable Total</w:t>
            </w:r>
          </w:p>
        </w:tc>
        <w:tc>
          <w:tcPr>
            <w:tcW w:type="dxa" w:w="3264"/>
          </w:tcPr>
          <w:p>
            <w:r>
              <w:rPr>
                <w:b/>
                <w:sz w:val="17"/>
              </w:rPr>
              <w:t>$12,840.3 M</w:t>
            </w:r>
          </w:p>
        </w:tc>
        <w:tc>
          <w:tcPr>
            <w:tcW w:type="dxa" w:w="3264"/>
          </w:tcPr>
          <w:p>
            <w:r>
              <w:rPr>
                <w:sz w:val="17"/>
              </w:rPr>
              <w:t>Fondos propios auditados en el último balance oficial SEC.</w:t>
            </w:r>
          </w:p>
        </w:tc>
      </w:tr>
      <w:tr>
        <w:tc>
          <w:tcPr>
            <w:tcW w:type="dxa" w:w="3264"/>
            <w:shd w:fill="F7FAFC"/>
          </w:tcPr>
          <w:p>
            <w:r>
              <w:rPr>
                <w:b/>
                <w:sz w:val="17"/>
              </w:rPr>
              <w:t>Valor Contable por Acción</w:t>
            </w:r>
          </w:p>
        </w:tc>
        <w:tc>
          <w:tcPr>
            <w:tcW w:type="dxa" w:w="3264"/>
            <w:shd w:fill="F7FAFC"/>
          </w:tcPr>
          <w:p>
            <w:r>
              <w:rPr>
                <w:b/>
                <w:sz w:val="17"/>
              </w:rPr>
              <w:t>$2.63</w:t>
            </w:r>
          </w:p>
        </w:tc>
        <w:tc>
          <w:tcPr>
            <w:tcW w:type="dxa" w:w="3264"/>
            <w:shd w:fill="F7FAFC"/>
          </w:tcPr>
          <w:p>
            <w:r>
              <w:rPr>
                <w:sz w:val="17"/>
              </w:rPr>
              <w:t>Valor en libros por título en circulación.</w:t>
            </w:r>
          </w:p>
        </w:tc>
      </w:tr>
      <w:tr>
        <w:tc>
          <w:tcPr>
            <w:tcW w:type="dxa" w:w="3264"/>
          </w:tcPr>
          <w:p>
            <w:r>
              <w:rPr>
                <w:b/>
                <w:sz w:val="17"/>
              </w:rPr>
              <w:t>Rentabilidad de Balance (ROTCE)</w:t>
            </w:r>
          </w:p>
        </w:tc>
        <w:tc>
          <w:tcPr>
            <w:tcW w:type="dxa" w:w="3264"/>
          </w:tcPr>
          <w:p>
            <w:r>
              <w:rPr>
                <w:b/>
                <w:sz w:val="17"/>
              </w:rPr>
              <w:t>28.11%</w:t>
            </w:r>
          </w:p>
        </w:tc>
        <w:tc>
          <w:tcPr>
            <w:tcW w:type="dxa" w:w="3264"/>
          </w:tcPr>
          <w:p>
            <w:r>
              <w:rPr>
                <w:sz w:val="17"/>
              </w:rPr>
              <w:t>Capacidad de generar utilidad neta sobre capital propio.</w:t>
            </w:r>
          </w:p>
        </w:tc>
      </w:tr>
      <w:tr>
        <w:tc>
          <w:tcPr>
            <w:tcW w:type="dxa" w:w="3264"/>
            <w:shd w:fill="F7FAFC"/>
          </w:tcPr>
          <w:p>
            <w:r>
              <w:rPr>
                <w:b/>
                <w:sz w:val="17"/>
              </w:rPr>
              <w:t>Coste del Capital Propio (Ke)</w:t>
            </w:r>
          </w:p>
        </w:tc>
        <w:tc>
          <w:tcPr>
            <w:tcW w:type="dxa" w:w="3264"/>
            <w:shd w:fill="F7FAFC"/>
          </w:tcPr>
          <w:p>
            <w:r>
              <w:rPr>
                <w:b/>
                <w:sz w:val="17"/>
              </w:rPr>
              <w:t>9.82%</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+18.3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3.68x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$9.68</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22.1%</w:t>
            </w:r>
          </w:p>
        </w:tc>
        <w:tc>
          <w:tcPr>
            <w:tcW w:type="dxa" w:w="1224"/>
            <w:shd w:fill="1B365D"/>
          </w:tcPr>
          <w:p>
            <w:r>
              <w:rPr>
                <w:b/>
                <w:color w:val="FFFFFF"/>
                <w:sz w:val="17"/>
              </w:rPr>
              <w:t>24.1%</w:t>
            </w:r>
          </w:p>
        </w:tc>
        <w:tc>
          <w:tcPr>
            <w:tcW w:type="dxa" w:w="1224"/>
            <w:shd w:fill="1B365D"/>
          </w:tcPr>
          <w:p>
            <w:r>
              <w:rPr>
                <w:b/>
                <w:color w:val="FFFFFF"/>
                <w:sz w:val="17"/>
              </w:rPr>
              <w:t>26.1%</w:t>
            </w:r>
          </w:p>
        </w:tc>
        <w:tc>
          <w:tcPr>
            <w:tcW w:type="dxa" w:w="1224"/>
            <w:shd w:fill="1B365D"/>
          </w:tcPr>
          <w:p>
            <w:r>
              <w:rPr>
                <w:b/>
                <w:color w:val="FFFFFF"/>
                <w:sz w:val="17"/>
              </w:rPr>
              <w:t>28.1%</w:t>
            </w:r>
          </w:p>
        </w:tc>
        <w:tc>
          <w:tcPr>
            <w:tcW w:type="dxa" w:w="1224"/>
            <w:shd w:fill="1B365D"/>
          </w:tcPr>
          <w:p>
            <w:r>
              <w:rPr>
                <w:b/>
                <w:color w:val="FFFFFF"/>
                <w:sz w:val="17"/>
              </w:rPr>
              <w:t>30.1%</w:t>
            </w:r>
          </w:p>
        </w:tc>
        <w:tc>
          <w:tcPr>
            <w:tcW w:type="dxa" w:w="1224"/>
            <w:shd w:fill="1B365D"/>
          </w:tcPr>
          <w:p>
            <w:r>
              <w:rPr>
                <w:b/>
                <w:color w:val="FFFFFF"/>
                <w:sz w:val="17"/>
              </w:rPr>
              <w:t>32.1%</w:t>
            </w:r>
          </w:p>
        </w:tc>
        <w:tc>
          <w:tcPr>
            <w:tcW w:type="dxa" w:w="1224"/>
            <w:shd w:fill="1B365D"/>
          </w:tcPr>
          <w:p>
            <w:r>
              <w:rPr>
                <w:b/>
                <w:color w:val="FFFFFF"/>
                <w:sz w:val="17"/>
              </w:rPr>
              <w:t>Diagnóstico</w:t>
            </w:r>
          </w:p>
        </w:tc>
      </w:tr>
      <w:tr>
        <w:tc>
          <w:tcPr>
            <w:tcW w:type="dxa" w:w="1224"/>
          </w:tcPr>
          <w:p>
            <w:r>
              <w:rPr>
                <w:sz w:val="16"/>
              </w:rPr>
              <w:t>8.82% (Bajo / Optimista)</w:t>
            </w:r>
          </w:p>
        </w:tc>
        <w:tc>
          <w:tcPr>
            <w:tcW w:type="dxa" w:w="1224"/>
          </w:tcPr>
          <w:p>
            <w:r>
              <w:rPr>
                <w:sz w:val="16"/>
              </w:rPr>
              <w:t>$8.63</w:t>
            </w:r>
          </w:p>
        </w:tc>
        <w:tc>
          <w:tcPr>
            <w:tcW w:type="dxa" w:w="1224"/>
          </w:tcPr>
          <w:p>
            <w:r>
              <w:rPr>
                <w:sz w:val="16"/>
              </w:rPr>
              <w:t>$9.54</w:t>
            </w:r>
          </w:p>
        </w:tc>
        <w:tc>
          <w:tcPr>
            <w:tcW w:type="dxa" w:w="1224"/>
          </w:tcPr>
          <w:p>
            <w:r>
              <w:rPr>
                <w:sz w:val="16"/>
              </w:rPr>
              <w:t>$10.44</w:t>
            </w:r>
          </w:p>
        </w:tc>
        <w:tc>
          <w:tcPr>
            <w:tcW w:type="dxa" w:w="1224"/>
          </w:tcPr>
          <w:p>
            <w:r>
              <w:rPr>
                <w:b/>
                <w:sz w:val="16"/>
              </w:rPr>
              <w:t>$11.35</w:t>
            </w:r>
          </w:p>
        </w:tc>
        <w:tc>
          <w:tcPr>
            <w:tcW w:type="dxa" w:w="1224"/>
          </w:tcPr>
          <w:p>
            <w:r>
              <w:rPr>
                <w:sz w:val="16"/>
              </w:rPr>
              <w:t>$12.25</w:t>
            </w:r>
          </w:p>
        </w:tc>
        <w:tc>
          <w:tcPr>
            <w:tcW w:type="dxa" w:w="1224"/>
          </w:tcPr>
          <w:p>
            <w:r>
              <w:rPr>
                <w:sz w:val="16"/>
              </w:rPr>
              <w:t>$13.15</w:t>
            </w:r>
          </w:p>
        </w:tc>
        <w:tc>
          <w:tcPr>
            <w:tcW w:type="dxa" w:w="1224"/>
          </w:tcPr>
          <w:p>
            <w:r>
              <w:rPr>
                <w:sz w:val="16"/>
              </w:rPr>
              <w:t>Favorable: Expansión de múltiplos por menor prima de riesgo.</w:t>
            </w:r>
          </w:p>
        </w:tc>
      </w:tr>
      <w:tr>
        <w:tc>
          <w:tcPr>
            <w:tcW w:type="dxa" w:w="1224"/>
            <w:shd w:fill="F7FAFC"/>
          </w:tcPr>
          <w:p>
            <w:r>
              <w:rPr>
                <w:sz w:val="16"/>
              </w:rPr>
              <w:t>9.32% (Favorable)</w:t>
            </w:r>
          </w:p>
        </w:tc>
        <w:tc>
          <w:tcPr>
            <w:tcW w:type="dxa" w:w="1224"/>
            <w:shd w:fill="F7FAFC"/>
          </w:tcPr>
          <w:p>
            <w:r>
              <w:rPr>
                <w:sz w:val="16"/>
              </w:rPr>
              <w:t>$7.95</w:t>
            </w:r>
          </w:p>
        </w:tc>
        <w:tc>
          <w:tcPr>
            <w:tcW w:type="dxa" w:w="1224"/>
            <w:shd w:fill="F7FAFC"/>
          </w:tcPr>
          <w:p>
            <w:r>
              <w:rPr>
                <w:sz w:val="16"/>
              </w:rPr>
              <w:t>$8.78</w:t>
            </w:r>
          </w:p>
        </w:tc>
        <w:tc>
          <w:tcPr>
            <w:tcW w:type="dxa" w:w="1224"/>
            <w:shd w:fill="F7FAFC"/>
          </w:tcPr>
          <w:p>
            <w:r>
              <w:rPr>
                <w:sz w:val="16"/>
              </w:rPr>
              <w:t>$9.62</w:t>
            </w:r>
          </w:p>
        </w:tc>
        <w:tc>
          <w:tcPr>
            <w:tcW w:type="dxa" w:w="1224"/>
            <w:shd w:fill="F7FAFC"/>
          </w:tcPr>
          <w:p>
            <w:r>
              <w:rPr>
                <w:b/>
                <w:sz w:val="16"/>
              </w:rPr>
              <w:t>$10.45</w:t>
            </w:r>
          </w:p>
        </w:tc>
        <w:tc>
          <w:tcPr>
            <w:tcW w:type="dxa" w:w="1224"/>
            <w:shd w:fill="F7FAFC"/>
          </w:tcPr>
          <w:p>
            <w:r>
              <w:rPr>
                <w:sz w:val="16"/>
              </w:rPr>
              <w:t>$11.28</w:t>
            </w:r>
          </w:p>
        </w:tc>
        <w:tc>
          <w:tcPr>
            <w:tcW w:type="dxa" w:w="1224"/>
            <w:shd w:fill="F7FAFC"/>
          </w:tcPr>
          <w:p>
            <w:r>
              <w:rPr>
                <w:sz w:val="16"/>
              </w:rPr>
              <w:t>$12.11</w:t>
            </w:r>
          </w:p>
        </w:tc>
        <w:tc>
          <w:tcPr>
            <w:tcW w:type="dxa" w:w="1224"/>
            <w:shd w:fill="F7FAFC"/>
          </w:tcPr>
          <w:p>
            <w:r>
              <w:rPr>
                <w:sz w:val="16"/>
              </w:rPr>
              <w:t>Escenario de sensibilidad financiera.</w:t>
            </w:r>
          </w:p>
        </w:tc>
      </w:tr>
      <w:tr>
        <w:tc>
          <w:tcPr>
            <w:tcW w:type="dxa" w:w="1224"/>
            <w:shd w:fill="F7FAFC"/>
          </w:tcPr>
          <w:p>
            <w:r>
              <w:rPr>
                <w:sz w:val="16"/>
              </w:rPr>
              <w:t>9.82% (Ke Auditado Base)</w:t>
            </w:r>
          </w:p>
        </w:tc>
        <w:tc>
          <w:tcPr>
            <w:tcW w:type="dxa" w:w="1224"/>
            <w:shd w:fill="F7FAFC"/>
          </w:tcPr>
          <w:p>
            <w:r>
              <w:rPr>
                <w:b/>
                <w:sz w:val="16"/>
              </w:rPr>
              <w:t>$7.37</w:t>
            </w:r>
          </w:p>
        </w:tc>
        <w:tc>
          <w:tcPr>
            <w:tcW w:type="dxa" w:w="1224"/>
            <w:shd w:fill="F7FAFC"/>
          </w:tcPr>
          <w:p>
            <w:r>
              <w:rPr>
                <w:b/>
                <w:sz w:val="16"/>
              </w:rPr>
              <w:t>$8.14</w:t>
            </w:r>
          </w:p>
        </w:tc>
        <w:tc>
          <w:tcPr>
            <w:tcW w:type="dxa" w:w="1224"/>
            <w:shd w:fill="F7FAFC"/>
          </w:tcPr>
          <w:p>
            <w:r>
              <w:rPr>
                <w:b/>
                <w:sz w:val="16"/>
              </w:rPr>
              <w:t>$8.91</w:t>
            </w:r>
          </w:p>
        </w:tc>
        <w:tc>
          <w:tcPr>
            <w:tcW w:type="dxa" w:w="1224"/>
            <w:shd w:fill="FFF2CC"/>
          </w:tcPr>
          <w:p>
            <w:r>
              <w:rPr>
                <w:b/>
                <w:sz w:val="16"/>
              </w:rPr>
              <w:t>$9.68</w:t>
            </w:r>
          </w:p>
        </w:tc>
        <w:tc>
          <w:tcPr>
            <w:tcW w:type="dxa" w:w="1224"/>
            <w:shd w:fill="F7FAFC"/>
          </w:tcPr>
          <w:p>
            <w:r>
              <w:rPr>
                <w:b/>
                <w:sz w:val="16"/>
              </w:rPr>
              <w:t>$10.45</w:t>
            </w:r>
          </w:p>
        </w:tc>
        <w:tc>
          <w:tcPr>
            <w:tcW w:type="dxa" w:w="1224"/>
            <w:shd w:fill="F7FAFC"/>
          </w:tcPr>
          <w:p>
            <w:r>
              <w:rPr>
                <w:b/>
                <w:sz w:val="16"/>
              </w:rPr>
              <w:t>$11.23</w:t>
            </w:r>
          </w:p>
        </w:tc>
        <w:tc>
          <w:tcPr>
            <w:tcW w:type="dxa" w:w="1224"/>
            <w:shd w:fill="F7FAFC"/>
          </w:tcPr>
          <w:p>
            <w:r>
              <w:rPr>
                <w:sz w:val="16"/>
              </w:rPr>
              <w:t>ESCENARIO CENTRAL: Valor teórico fundamental por rentabilidad de balance.</w:t>
            </w:r>
          </w:p>
        </w:tc>
      </w:tr>
      <w:tr>
        <w:tc>
          <w:tcPr>
            <w:tcW w:type="dxa" w:w="1224"/>
            <w:shd w:fill="F7FAFC"/>
          </w:tcPr>
          <w:p>
            <w:r>
              <w:rPr>
                <w:sz w:val="16"/>
              </w:rPr>
              <w:t>10.32% (Exigente)</w:t>
            </w:r>
          </w:p>
        </w:tc>
        <w:tc>
          <w:tcPr>
            <w:tcW w:type="dxa" w:w="1224"/>
            <w:shd w:fill="F7FAFC"/>
          </w:tcPr>
          <w:p>
            <w:r>
              <w:rPr>
                <w:sz w:val="16"/>
              </w:rPr>
              <w:t>$6.86</w:t>
            </w:r>
          </w:p>
        </w:tc>
        <w:tc>
          <w:tcPr>
            <w:tcW w:type="dxa" w:w="1224"/>
            <w:shd w:fill="F7FAFC"/>
          </w:tcPr>
          <w:p>
            <w:r>
              <w:rPr>
                <w:sz w:val="16"/>
              </w:rPr>
              <w:t>$7.58</w:t>
            </w:r>
          </w:p>
        </w:tc>
        <w:tc>
          <w:tcPr>
            <w:tcW w:type="dxa" w:w="1224"/>
            <w:shd w:fill="F7FAFC"/>
          </w:tcPr>
          <w:p>
            <w:r>
              <w:rPr>
                <w:sz w:val="16"/>
              </w:rPr>
              <w:t>$8.30</w:t>
            </w:r>
          </w:p>
        </w:tc>
        <w:tc>
          <w:tcPr>
            <w:tcW w:type="dxa" w:w="1224"/>
            <w:shd w:fill="F7FAFC"/>
          </w:tcPr>
          <w:p>
            <w:r>
              <w:rPr>
                <w:b/>
                <w:sz w:val="16"/>
              </w:rPr>
              <w:t>$9.02</w:t>
            </w:r>
          </w:p>
        </w:tc>
        <w:tc>
          <w:tcPr>
            <w:tcW w:type="dxa" w:w="1224"/>
            <w:shd w:fill="F7FAFC"/>
          </w:tcPr>
          <w:p>
            <w:r>
              <w:rPr>
                <w:sz w:val="16"/>
              </w:rPr>
              <w:t>$9.74</w:t>
            </w:r>
          </w:p>
        </w:tc>
        <w:tc>
          <w:tcPr>
            <w:tcW w:type="dxa" w:w="1224"/>
            <w:shd w:fill="F7FAFC"/>
          </w:tcPr>
          <w:p>
            <w:r>
              <w:rPr>
                <w:sz w:val="16"/>
              </w:rPr>
              <w:t>$10.46</w:t>
            </w:r>
          </w:p>
        </w:tc>
        <w:tc>
          <w:tcPr>
            <w:tcW w:type="dxa" w:w="1224"/>
            <w:shd w:fill="F7FAFC"/>
          </w:tcPr>
          <w:p>
            <w:r>
              <w:rPr>
                <w:sz w:val="16"/>
              </w:rPr>
              <w:t>Escenario de sensibilidad financiera.</w:t>
            </w:r>
          </w:p>
        </w:tc>
      </w:tr>
      <w:tr>
        <w:tc>
          <w:tcPr>
            <w:tcW w:type="dxa" w:w="1224"/>
          </w:tcPr>
          <w:p>
            <w:r>
              <w:rPr>
                <w:sz w:val="16"/>
              </w:rPr>
              <w:t>10.82% (Estrés Macro / Tipos)</w:t>
            </w:r>
          </w:p>
        </w:tc>
        <w:tc>
          <w:tcPr>
            <w:tcW w:type="dxa" w:w="1224"/>
          </w:tcPr>
          <w:p>
            <w:r>
              <w:rPr>
                <w:sz w:val="16"/>
              </w:rPr>
              <w:t>$6.43</w:t>
            </w:r>
          </w:p>
        </w:tc>
        <w:tc>
          <w:tcPr>
            <w:tcW w:type="dxa" w:w="1224"/>
          </w:tcPr>
          <w:p>
            <w:r>
              <w:rPr>
                <w:sz w:val="16"/>
              </w:rPr>
              <w:t>$7.10</w:t>
            </w:r>
          </w:p>
        </w:tc>
        <w:tc>
          <w:tcPr>
            <w:tcW w:type="dxa" w:w="1224"/>
          </w:tcPr>
          <w:p>
            <w:r>
              <w:rPr>
                <w:sz w:val="16"/>
              </w:rPr>
              <w:t>$7.77</w:t>
            </w:r>
          </w:p>
        </w:tc>
        <w:tc>
          <w:tcPr>
            <w:tcW w:type="dxa" w:w="1224"/>
          </w:tcPr>
          <w:p>
            <w:r>
              <w:rPr>
                <w:b/>
                <w:sz w:val="16"/>
              </w:rPr>
              <w:t>$8.44</w:t>
            </w:r>
          </w:p>
        </w:tc>
        <w:tc>
          <w:tcPr>
            <w:tcW w:type="dxa" w:w="1224"/>
          </w:tcPr>
          <w:p>
            <w:r>
              <w:rPr>
                <w:sz w:val="16"/>
              </w:rPr>
              <w:t>$9.12</w:t>
            </w:r>
          </w:p>
        </w:tc>
        <w:tc>
          <w:tcPr>
            <w:tcW w:type="dxa" w:w="1224"/>
          </w:tcPr>
          <w:p>
            <w:r>
              <w:rPr>
                <w:sz w:val="16"/>
              </w:rPr>
              <w:t>$9.79</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de Valoración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Eficiencia Operativa + Estructura de Fondeo</w:t>
            </w:r>
          </w:p>
        </w:tc>
        <w:tc>
          <w:tcPr>
            <w:tcW w:type="dxa" w:w="2448"/>
          </w:tcPr>
          <w:p>
            <w:r>
              <w:rPr>
                <w:b/>
                <w:sz w:val="17"/>
              </w:rPr>
              <w:t>🏰 WIDE MOAT / COMPOUNDING MACHINE</w:t>
            </w:r>
          </w:p>
        </w:tc>
        <w:tc>
          <w:tcPr>
            <w:tcW w:type="dxa" w:w="2448"/>
          </w:tcPr>
          <w:p>
            <w:r>
              <w:rPr>
                <w:sz w:val="17"/>
              </w:rPr>
              <w:t>Ventaja competitiva estructural en captación e intermediación.</w:t>
            </w:r>
          </w:p>
        </w:tc>
      </w:tr>
      <w:tr>
        <w:tc>
          <w:tcPr>
            <w:tcW w:type="dxa" w:w="2448"/>
            <w:shd w:fill="F7FAFC"/>
          </w:tcPr>
          <w:p>
            <w:r>
              <w:rPr>
                <w:b/>
                <w:sz w:val="17"/>
              </w:rPr>
              <w:t>Calidad de Cartera</w:t>
            </w:r>
          </w:p>
        </w:tc>
        <w:tc>
          <w:tcPr>
            <w:tcW w:type="dxa" w:w="2448"/>
            <w:shd w:fill="F7FAFC"/>
          </w:tcPr>
          <w:p>
            <w:r>
              <w:rPr>
                <w:sz w:val="17"/>
              </w:rPr>
              <w:t>Gestión de Riesgo y Cobertura de Provisiones</w:t>
            </w:r>
          </w:p>
        </w:tc>
        <w:tc>
          <w:tcPr>
            <w:tcW w:type="dxa" w:w="2448"/>
            <w:shd w:fill="F7FAFC"/>
          </w:tcPr>
          <w:p>
            <w:r>
              <w:rPr>
                <w:b/>
                <w:sz w:val="17"/>
              </w:rPr>
              <w:t>BLINDAJE DE PROVISIONES</w:t>
            </w:r>
          </w:p>
        </w:tc>
        <w:tc>
          <w:tcPr>
            <w:tcW w:type="dxa" w:w="2448"/>
            <w:shd w:fill="F7FAFC"/>
          </w:tcPr>
          <w:p>
            <w:r>
              <w:rPr>
                <w:sz w:val="17"/>
              </w:rPr>
              <w:t>Provisiones adecuadas para absorber pérdidas esperadas en ciclo crediticio.</w:t>
            </w:r>
          </w:p>
        </w:tc>
      </w:tr>
      <w:tr>
        <w:tc>
          <w:tcPr>
            <w:tcW w:type="dxa" w:w="2448"/>
          </w:tcPr>
          <w:p>
            <w:r>
              <w:rPr>
                <w:b/>
                <w:sz w:val="17"/>
              </w:rPr>
              <w:t>Solvencia y Capital</w:t>
            </w:r>
          </w:p>
        </w:tc>
        <w:tc>
          <w:tcPr>
            <w:tcW w:type="dxa" w:w="2448"/>
          </w:tcPr>
          <w:p>
            <w:r>
              <w:rPr>
                <w:sz w:val="17"/>
              </w:rPr>
              <w:t>Capital Regulatorio Basilea III / Tier 1 / CET1</w:t>
            </w:r>
          </w:p>
        </w:tc>
        <w:tc>
          <w:tcPr>
            <w:tcW w:type="dxa" w:w="2448"/>
          </w:tcPr>
          <w:p>
            <w:r>
              <w:rPr>
                <w:b/>
                <w:sz w:val="17"/>
              </w:rPr>
              <w:t>SOLVENCIA BASILEA III</w:t>
            </w:r>
          </w:p>
        </w:tc>
        <w:tc>
          <w:tcPr>
            <w:tcW w:type="dxa" w:w="2448"/>
          </w:tcPr>
          <w:p>
            <w:r>
              <w:rPr>
                <w:sz w:val="17"/>
              </w:rPr>
              <w:t>Colchón de capital anticíclico y absorción de activos ponderados por riesgo.</w:t>
            </w:r>
          </w:p>
        </w:tc>
      </w:tr>
      <w:tr>
        <w:tc>
          <w:tcPr>
            <w:tcW w:type="dxa" w:w="2448"/>
            <w:shd w:fill="F7FAFC"/>
          </w:tcPr>
          <w:p>
            <w:r>
              <w:rPr>
                <w:b/>
                <w:sz w:val="17"/>
              </w:rPr>
              <w:t>Productividad del Capital</w:t>
            </w:r>
          </w:p>
        </w:tc>
        <w:tc>
          <w:tcPr>
            <w:tcW w:type="dxa" w:w="2448"/>
            <w:shd w:fill="F7FAFC"/>
          </w:tcPr>
          <w:p>
            <w:r>
              <w:rPr>
                <w:sz w:val="17"/>
              </w:rPr>
              <w:t>ROTCE Tangible: 28.1% vs Ke 9.82%</w:t>
            </w:r>
          </w:p>
        </w:tc>
        <w:tc>
          <w:tcPr>
            <w:tcW w:type="dxa" w:w="2448"/>
            <w:shd w:fill="F7FAFC"/>
          </w:tcPr>
          <w:p>
            <w:r>
              <w:rPr>
                <w:b/>
                <w:sz w:val="17"/>
              </w:rPr>
              <w:t>COMPOUNDING MACHINE</w:t>
            </w:r>
          </w:p>
        </w:tc>
        <w:tc>
          <w:tcPr>
            <w:tcW w:type="dxa" w:w="2448"/>
            <w:shd w:fill="F7FAFC"/>
          </w:tcPr>
          <w:p>
            <w:r>
              <w:rPr>
                <w:sz w:val="17"/>
              </w:rPr>
              <w:t>Spread económico de +18.3 pp sobre coste de capital propio.</w:t>
            </w:r>
          </w:p>
        </w:tc>
      </w:tr>
      <w:tr>
        <w:tc>
          <w:tcPr>
            <w:tcW w:type="dxa" w:w="2448"/>
          </w:tcPr>
          <w:p>
            <w:r>
              <w:rPr>
                <w:b/>
                <w:sz w:val="17"/>
              </w:rPr>
              <w:t>Valoración de Mercado</w:t>
            </w:r>
          </w:p>
        </w:tc>
        <w:tc>
          <w:tcPr>
            <w:tcW w:type="dxa" w:w="2448"/>
          </w:tcPr>
          <w:p>
            <w:r>
              <w:rPr>
                <w:sz w:val="17"/>
              </w:rPr>
              <w:t>P/TBV: 6.0x vs P/TBV Teórico: 3.7x</w:t>
            </w:r>
          </w:p>
        </w:tc>
        <w:tc>
          <w:tcPr>
            <w:tcW w:type="dxa" w:w="2448"/>
          </w:tcPr>
          <w:p>
            <w:r>
              <w:rPr>
                <w:b/>
                <w:sz w:val="17"/>
              </w:rPr>
              <w:t>PRICED FOR GROWTH</w:t>
            </w:r>
          </w:p>
        </w:tc>
        <w:tc>
          <w:tcPr>
            <w:tcW w:type="dxa" w:w="2448"/>
          </w:tcPr>
          <w:p>
            <w:r>
              <w:rPr>
                <w:sz w:val="17"/>
              </w:rPr>
              <w:t>Cotización descuenta sostener crecimiento y rentabilidad elevada.</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