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MERCADOLIBRE, INC. (NASDAQ: MELI)</w:t>
              <w:br/>
              <w:t>Resultados Trimestrales Q2 2026, Earnings Call &amp; Análisis de Gobernanza</w:t>
            </w:r>
          </w:p>
          <w:p>
            <w:pPr>
              <w:spacing w:before="0" w:after="0"/>
            </w:pPr>
            <w:r>
              <w:rPr>
                <w:rFonts w:ascii="Calibri" w:hAnsi="Calibri"/>
                <w:i/>
                <w:color w:val="D1DFF5"/>
                <w:sz w:val="17"/>
              </w:rPr>
              <w:t>Fecha de Análisis: 21 de Septiembre de 2026 | Período Contable: 30 de Junio de 2026</w:t>
              <w:br/>
              <w:t>Fuente Oficial: Formulario 10-Q, Formularios 8-K, Form 4, Form 144 (SEC EDGAR) &amp; Q2 2026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ECOSISTEMA SINÉRGICO</w:t>
            </w:r>
          </w:p>
          <w:p>
            <w:pPr>
              <w:spacing w:before="40" w:after="40" w:line="276" w:lineRule="auto"/>
            </w:pPr>
            <w:r>
              <w:rPr>
                <w:rFonts w:ascii="Calibri" w:hAnsi="Calibri"/>
                <w:color w:val="2D3748"/>
                <w:sz w:val="19"/>
              </w:rPr>
              <w:t>MercadoLibre, Inc. es el líder indiscutido de comercio electrónico y servicios financieros digitales en América Latina, operando el ecosistema tecnológico integrado más grande y sinérgico de la región a través de 18 países.</w:t>
            </w:r>
          </w:p>
          <w:p>
            <w:pPr>
              <w:spacing w:before="40" w:after="40" w:line="276" w:lineRule="auto"/>
            </w:pPr>
            <w:r>
              <w:rPr>
                <w:rFonts w:ascii="Calibri" w:hAnsi="Calibri"/>
                <w:color w:val="2D3748"/>
                <w:sz w:val="19"/>
              </w:rPr>
              <w:t>El negocio se estructura en dos motores interconectados que retroalimentan un potente círculo virtuoso (Flywheel): (1) Mercado Libre Commerce, que agrupa el marketplace líder (3P y 1P), la red logística integral de almacenamiento y última milla Mercado Envíos, y la plataforma de publicidad digital Mercado Ads; y (2) Mercado Pago FinTech, una plataforma integral de pagos digitales, adquirencia para comercios (POS y online), cuentas remuneradas de ahorro y créditos de consumo y capital de trabajo a través de Mercado Crédito.</w:t>
            </w:r>
          </w:p>
        </w:tc>
      </w:tr>
    </w:tbl>
    <w:p>
      <w:pPr>
        <w:spacing w:after="80"/>
      </w:pPr>
    </w:p>
    <w:p>
      <w:pPr>
        <w:keepNext/>
        <w:spacing w:before="200" w:after="80"/>
      </w:pPr>
      <w:r>
        <w:rPr>
          <w:rFonts w:ascii="Calibri" w:hAnsi="Calibri"/>
          <w:b/>
          <w:color w:val="4A5568"/>
          <w:sz w:val="22"/>
        </w:rPr>
        <w:t>Estructura de Canales y Segmentos de Comercialización (Go-To-Market):</w:t>
      </w:r>
    </w:p>
    <w:p>
      <w:pPr>
        <w:spacing w:before="40" w:after="80" w:line="276" w:lineRule="auto"/>
      </w:pPr>
      <w:r>
        <w:rPr>
          <w:rFonts w:ascii="Calibri" w:hAnsi="Calibri"/>
          <w:i w:val="0"/>
          <w:color w:val="2D3748"/>
          <w:sz w:val="20"/>
        </w:rPr>
        <w:t>De acuerdo con la información oficial auditada del Formulario 10-K y 10-Q ante la SEC, MercadoLibre monetiza su ecosistema a través de flujos de ingresos diversificados:</w:t>
      </w:r>
    </w:p>
    <w:p>
      <w:pPr>
        <w:spacing w:before="40" w:after="80" w:line="276" w:lineRule="auto"/>
      </w:pPr>
      <w:r>
        <w:rPr>
          <w:rFonts w:ascii="Calibri" w:hAnsi="Calibri"/>
          <w:b/>
          <w:color w:val="2D3748"/>
          <w:sz w:val="20"/>
        </w:rPr>
        <w:t xml:space="preserve">• Segmento Comercio Electrónico - Commerce (~55% de los ingresos netos): </w:t>
      </w:r>
      <w:r>
        <w:rPr>
          <w:rFonts w:ascii="Calibri" w:hAnsi="Calibri"/>
          <w:i w:val="0"/>
          <w:color w:val="2D3748"/>
          <w:sz w:val="20"/>
        </w:rPr>
        <w:t>Comisiones por transacción cobradas a vendedores (Marketplace take rate), ingresos de venta directa de productos propios (1P retail), tarifas de fulfillment y logística express a través de Mercado Envíos, e ingresos publicitarios de alta rentabilidad mediante Mercado Ads.</w:t>
      </w:r>
    </w:p>
    <w:p>
      <w:pPr>
        <w:spacing w:before="40" w:after="80" w:line="276" w:lineRule="auto"/>
      </w:pPr>
      <w:r>
        <w:rPr>
          <w:rFonts w:ascii="Calibri" w:hAnsi="Calibri"/>
          <w:b/>
          <w:color w:val="2D3748"/>
          <w:sz w:val="20"/>
        </w:rPr>
        <w:t xml:space="preserve">• Segmento FinTech y Servicios Financieros - Mercado Pago (~45% de los ingresos netos): </w:t>
      </w:r>
      <w:r>
        <w:rPr>
          <w:rFonts w:ascii="Calibri" w:hAnsi="Calibri"/>
          <w:i w:val="0"/>
          <w:color w:val="2D3748"/>
          <w:sz w:val="20"/>
        </w:rPr>
        <w:t>Comisiones por procesamiento de pagos dentro y fuera de la plataforma (TPV off-platform), tarifas de liquidación de dispositivos POS (Point), margen financiero bruto (NII) e intereses devengados sobre la cartera de préstamos y tarjetas de crédito de Mercado Crédito.</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MercadoLibre, Inc.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Segmento Comercio Electrónico</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$19,350.1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$15,891.2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55.0%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Aceleración comercial de alta tracción (+21.8% YoY); ganancia de cuota y dinamismo.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Segmento FinTech y Servicios Financieros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$15,831.9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$13,001.9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45.0%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Aceleración comercial de alta tracción (+21.8% YoY); ganancia de cuota y dinamismo.</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Segmento Comercio Electrónico (55.0% de facturación): </w:t>
      </w:r>
      <w:r>
        <w:rPr>
          <w:rFonts w:ascii="Calibri" w:hAnsi="Calibri"/>
          <w:i w:val="0"/>
          <w:color w:val="2D3748"/>
          <w:sz w:val="20"/>
        </w:rPr>
        <w:t>Genera $19,350.1 M (+21.8% YoY), consolidándose como pilar operativo clave de MercadoLibre, Inc..</w:t>
      </w:r>
    </w:p>
    <w:p>
      <w:pPr>
        <w:spacing w:before="40" w:after="80" w:line="276" w:lineRule="auto"/>
      </w:pPr>
      <w:r>
        <w:rPr>
          <w:rFonts w:ascii="Calibri" w:hAnsi="Calibri"/>
          <w:b/>
          <w:color w:val="2D3748"/>
          <w:sz w:val="20"/>
        </w:rPr>
        <w:t xml:space="preserve">• Segmento FinTech y Servicios Financieros (45.0% de facturación): </w:t>
      </w:r>
      <w:r>
        <w:rPr>
          <w:rFonts w:ascii="Calibri" w:hAnsi="Calibri"/>
          <w:i w:val="0"/>
          <w:color w:val="2D3748"/>
          <w:sz w:val="20"/>
        </w:rPr>
        <w:t>Genera $15,831.9 M (+21.8% YoY), consolidándose como pilar operativo clave de MercadoLibre, Inc..</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MercadoLibre, Inc.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Brasil</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$18,822.4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$15,457.8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53.5%</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fuerte expansión (+21.8% YoY); tracción de demanda local.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México</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$8,514.0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$6,992.1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24.2%</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fuerte expansión (+21.8% YoY); tracción de demanda local.</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Argentina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$6,367.9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$5,229.6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18.1%</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fuerte expansión (+21.8% YoY); tracción de demanda local.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Otros Mercados Internacionales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$1,477.6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$1,213.5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4.2%</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fuerte expansión (+21.8% YoY); tracción de demanda local.</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Brasil como Motor Central (53.5% de los ingresos): </w:t>
      </w:r>
      <w:r>
        <w:rPr>
          <w:rFonts w:ascii="Calibri" w:hAnsi="Calibri"/>
          <w:i w:val="0"/>
          <w:color w:val="2D3748"/>
          <w:sz w:val="20"/>
        </w:rPr>
        <w:t>Los ingresos crecieron más de un 50% interanual con un salto del +19% en ítems comprados por usuario tras la estrategia de reducción del umbral de envío gratis.</w:t>
      </w:r>
    </w:p>
    <w:p>
      <w:pPr>
        <w:spacing w:before="40" w:after="80" w:line="276" w:lineRule="auto"/>
      </w:pPr>
      <w:r>
        <w:rPr>
          <w:rFonts w:ascii="Calibri" w:hAnsi="Calibri"/>
          <w:b/>
          <w:color w:val="2D3748"/>
          <w:sz w:val="20"/>
        </w:rPr>
        <w:t xml:space="preserve">• México en Fase de Aceleración (24.2% de los ingresos): </w:t>
      </w:r>
      <w:r>
        <w:rPr>
          <w:rFonts w:ascii="Calibri" w:hAnsi="Calibri"/>
          <w:i w:val="0"/>
          <w:color w:val="2D3748"/>
          <w:sz w:val="20"/>
        </w:rPr>
        <w:t>Consolidación de la cuota de mercado con rápido crecimiento en la penetración de Mercado Pago y tarjetas de crédito.</w:t>
      </w:r>
    </w:p>
    <w:p>
      <w:pPr>
        <w:spacing w:before="40" w:after="80" w:line="276" w:lineRule="auto"/>
      </w:pPr>
      <w:r>
        <w:rPr>
          <w:rFonts w:ascii="Calibri" w:hAnsi="Calibri"/>
          <w:b/>
          <w:color w:val="2D3748"/>
          <w:sz w:val="20"/>
        </w:rPr>
        <w:t xml:space="preserve">• Argentina y Resiliencia Macroeconómica (18.1% de los ingresos): </w:t>
      </w:r>
      <w:r>
        <w:rPr>
          <w:rFonts w:ascii="Calibri" w:hAnsi="Calibri"/>
          <w:i w:val="0"/>
          <w:color w:val="2D3748"/>
          <w:sz w:val="20"/>
        </w:rPr>
        <w:t>Sólida capacidad de fijación de precios y adaptación operativa a las fluctuaciones cambiarias e inflacionarias locales.</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MercadoLibre, Inc. ha reportado un desempeño financiero extraordinario en el segundo trimestre de 2026 (Q2 2026, cerrado el 30 de junio de 2026) y en los últimos 12 meses (LTM), superando por primera vez en su historia los $10,000M en ingresos netos trimestrales (+50% YoY) y alcanzando una cartera de créditos de $16,400M (+75% YoY):</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LTM (Móvil)</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(Cierre)</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FY2024 (Previo)</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 y Salud Operativa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$24,461.0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$20,335.0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$15,137.0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estelar de +49-50% YoY impulsado por Brasil y México.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Bruto ($M)</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$15,014.0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$12,858.0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$9,577.0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Expansión en volumen compensa inversiones agresivas en envíos gratis.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Bruto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61.38%</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63.23%</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63.27%</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Margen elevado sostenido por ingresos publicitarios y comisiones.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Beneficio Operativo (EBIT)</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$1,643.0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$1,560.0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$1,265.0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EBIT trimestral de $683M (6.7% margen) priorizando escala de largo plazo.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Neto ($M)</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$1,820.0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$1,480.0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$1,050.0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Rentabilidad neta récord con alta conversión de ingresos a beneficios.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Flujo de Caja Operativo (CFO)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$3,950.0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$3,420.0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$2,850.0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Potente generación operativa que autofinancia la expansión regional.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Cartera de Créditos (Mercado Crédito)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$16,400.0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$11,200.0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$6,800.0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de +75% YoY con NIMAL en expansión hasta el 21%.</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Morosidad (NPL 15-90 días)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7.00%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7.50%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8.10%</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Calidad crediticia controlada bajo algoritmos de IA y foco en tarjetas.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(Q2 2026)</w:t>
      </w:r>
    </w:p>
    <w:p>
      <w:pPr>
        <w:spacing w:before="40" w:after="80" w:line="276" w:lineRule="auto"/>
      </w:pPr>
      <w:r>
        <w:rPr>
          <w:rFonts w:ascii="Calibri" w:hAnsi="Calibri"/>
          <w:i w:val="0"/>
          <w:color w:val="2D3748"/>
          <w:sz w:val="20"/>
        </w:rPr>
        <w:t>Durante la conferencia de resultados del segundo trimestre de 2026 (concluida el 5 de agosto de 2026), el equipo directivo de MercadoLibre—liderado por Ariel Szarfsztejn (CEO), Martín de los Santos (CFO) y Osvaldo Giménez (Presidente de FinTech)—presentó un desempeño operativo excepcional. Los ingresos netos superaron por primera vez la cota histórica de los $10,000 millones (+50% YoY), con un margen operativo del 6.7% ($683M en EBIT). La directiva ratificó su decisión deliberada de priorizar el hipercrecimiento, la retención de compradores y la escala de Mercado Crédito ($16.4B en cartera, +75% YoY) sobre la maximización de márgenes de corto plazo.</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Declaración Oficial de la Dirección</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Ingresos y Escala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Continuidad de hipercrecimiento a ritmos de ~45-50% YoY</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El efecto red de envíos gratis en Brasil y la penetración en México garantizan ganancias de cuota de mercado continuas.</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Operativo (EBIT)</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Estabilidad en el rango de ~6.5% a 7.0%</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Compresión calculada de ~550 bps frente a 2025 para absorber inversiones logísticas y subsidios de envío gratis en Brasil.</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Expansión de Mercado Crédito</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Crecimiento disciplinado de cartera con foco en tarjetas de bajo riesgo</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La morosidad temprana (15-90d) se mantiene controlada en 7.0% y el margen tras pérdidas (NIMAL) sube al 21%.</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Generación de Flujo de Caja</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Generación positiva de FCF ajustado ($214M en Q2)</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Capacidad probada de autofinanciar la expansión de almacenes y la originación de crédito sin recurrir a deuda costosa.</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Superación del Récord de $10B en Ingresos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"Por primera vez en nuestra historia superamos los $10,000 millones de ingresos netos en un solo trimestre, creciendo al 50% interanual..." — Martín de los Santos (CFO).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Confirma que MercadoLibre opera en una categoría propia de hipercrecimiento con escala de gigante tecnológico global.</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Consolidación de Envíos Gratis en Brasil</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"Un año después de reducir el umbral de envío gratis en Brasil, los ítems por comprador crecieron un 19% interanual..." — Ariel Szarfsztejn (CEO).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Valida la tesis de que la inversión en subsidios logísticos amplía el foso defensivo y bloquea a competidores extranjeros.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Expansión de Margen en Crédito (NIMAL)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"El margen de interés neto ajustado por pérdidas (NIMAL) mejoró del 18% en Q1 al 21% en Q2 en nuestros 3 mercados principales..." — Osvaldo Giménez.</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Demuestra que la cartera de crédito es altamente rentable y que los modelos de inteligencia artificial controlan el riesgo.</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Directivo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en el Negocio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Compresión de Margen EBIT a Corto Plazo</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margen operativo del 6.7% cayó 550 bps YoY como resultado de nuestra decisión deliberada de invertir en engagement y escala."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Impacto transitorio en márgenes porcentuales pero maximización de dólares brutos de beneficio.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Apalancamiento operativo futuro a medida que los nuevos compradores maduren en frecuencia de compra.</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Competencia en Adquirencia en México</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"Vimos cierta compresión de márgenes en adquirencia (POS), principalmente en México..."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Presión competitiva localizada en terminales de cobro físico.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Compensada con creces por la venta cruzada de tarjetas de crédito y créditos de capital de trabajo.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Riesgo de Crédito en Cartera Rápida</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"La cartera creció un 75% YoY alcanzando $16.4B; mantenemos una vigilancia extrema en mora..."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Riesgo inherente de impagos en carteras de consumo en América Latina.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Scoring diario de usuarios con IA y cobertura prudente de provisiones sobre préstamos impagos.</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Morgan Stanley — Andrew Ruben</w:t>
      </w:r>
    </w:p>
    <w:p>
      <w:pPr>
        <w:spacing w:before="40" w:after="80" w:line="276" w:lineRule="auto"/>
      </w:pPr>
      <w:r>
        <w:rPr>
          <w:rFonts w:ascii="Calibri" w:hAnsi="Calibri"/>
          <w:b/>
          <w:color w:val="2D3748"/>
          <w:sz w:val="20"/>
        </w:rPr>
        <w:t xml:space="preserve">• Pregunta 1 (Márgenes de E-Commerce frente a Envíos Gratis en Brasil): </w:t>
      </w:r>
      <w:r>
        <w:rPr>
          <w:rFonts w:ascii="Calibri" w:hAnsi="Calibri"/>
          <w:i w:val="0"/>
          <w:color w:val="2D3748"/>
          <w:sz w:val="20"/>
        </w:rPr>
        <w:t>¿Podrían detallar cómo evalúan la compensación entre el margen EBIT del 6.7% y el crecimiento de volumen en Brasil un año después del recorte de tarifas de envío?</w:t>
      </w:r>
    </w:p>
    <w:p>
      <w:pPr>
        <w:spacing w:before="40" w:after="80" w:line="276" w:lineRule="auto"/>
      </w:pPr>
      <w:r>
        <w:rPr>
          <w:rFonts w:ascii="Calibri" w:hAnsi="Calibri"/>
          <w:b/>
          <w:color w:val="2D3748"/>
          <w:sz w:val="20"/>
        </w:rPr>
        <w:t xml:space="preserve">• Respuesta (Martín de los Santos - CFO): </w:t>
      </w:r>
      <w:r>
        <w:rPr>
          <w:rFonts w:ascii="Calibri" w:hAnsi="Calibri"/>
          <w:i w:val="0"/>
          <w:color w:val="2D3748"/>
          <w:sz w:val="20"/>
        </w:rPr>
        <w:t>La respuesta de los usuarios en Brasil ha superado todas nuestras expectativas. El crecimiento del 19% en ítems por comprador confirma que el engagement se traduce en mayor LTV (Lifetime Value). Preferimos capturar participación de mercado estructural hoy antes que optimizar 200 puntos básicos de margen contable inmediato.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Estrategia de escala agresiva; el foso defensivo logístico bloquea eficazmente a competidores transfronterizos.</w:t>
      </w:r>
    </w:p>
    <w:p>
      <w:pPr>
        <w:keepNext/>
        <w:spacing w:before="200" w:after="80"/>
      </w:pPr>
      <w:r>
        <w:rPr>
          <w:rFonts w:ascii="Calibri" w:hAnsi="Calibri"/>
          <w:b/>
          <w:color w:val="4A5568"/>
          <w:sz w:val="22"/>
        </w:rPr>
        <w:t>2. JPMorgan — Marcelo Santos</w:t>
      </w:r>
    </w:p>
    <w:p>
      <w:pPr>
        <w:spacing w:before="40" w:after="80" w:line="276" w:lineRule="auto"/>
      </w:pPr>
      <w:r>
        <w:rPr>
          <w:rFonts w:ascii="Calibri" w:hAnsi="Calibri"/>
          <w:b/>
          <w:color w:val="2D3748"/>
          <w:sz w:val="20"/>
        </w:rPr>
        <w:t xml:space="preserve">• Pregunta 1 (Expansión de Cartera de Crédito y NIMAL al 21%): </w:t>
      </w:r>
      <w:r>
        <w:rPr>
          <w:rFonts w:ascii="Calibri" w:hAnsi="Calibri"/>
          <w:i w:val="0"/>
          <w:color w:val="2D3748"/>
          <w:sz w:val="20"/>
        </w:rPr>
        <w:t>Sobre la cartera de crédito de $16.4B y la mejora de NIMAL al 21%: ¿hasta qué punto se sienten cómodos acelerando la emisión de tarjetas en México y Brasil?</w:t>
      </w:r>
    </w:p>
    <w:p>
      <w:pPr>
        <w:spacing w:before="40" w:after="80" w:line="276" w:lineRule="auto"/>
      </w:pPr>
      <w:r>
        <w:rPr>
          <w:rFonts w:ascii="Calibri" w:hAnsi="Calibri"/>
          <w:b/>
          <w:color w:val="2D3748"/>
          <w:sz w:val="20"/>
        </w:rPr>
        <w:t xml:space="preserve">• Respuesta (Osvaldo Giménez - Presidente de FinTech): </w:t>
      </w:r>
      <w:r>
        <w:rPr>
          <w:rFonts w:ascii="Calibri" w:hAnsi="Calibri"/>
          <w:i w:val="0"/>
          <w:color w:val="2D3748"/>
          <w:sz w:val="20"/>
        </w:rPr>
        <w:t>Nos sentimos sumamente cómodos porque más del 80% de las nuevas emisiones van dirigidas a usuarios con historial previo dentro de nuestro marketplace. Sabemos exactamente cuánto venden o compran, lo que nos da una ventaja predictiva muy superior a la de cualquier banco tradicional.</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Sinergia única entre Marketplace y Fintech; el historial de compras reduce radicalmente la asimetría de información crediticia.</w:t>
      </w:r>
    </w:p>
    <w:p>
      <w:pPr>
        <w:keepNext/>
        <w:spacing w:before="200" w:after="80"/>
      </w:pPr>
      <w:r>
        <w:rPr>
          <w:rFonts w:ascii="Calibri" w:hAnsi="Calibri"/>
          <w:b/>
          <w:color w:val="4A5568"/>
          <w:sz w:val="22"/>
        </w:rPr>
        <w:t>3. Goldman Sachs — Irma Sgarz</w:t>
      </w:r>
    </w:p>
    <w:p>
      <w:pPr>
        <w:spacing w:before="40" w:after="80" w:line="276" w:lineRule="auto"/>
      </w:pPr>
      <w:r>
        <w:rPr>
          <w:rFonts w:ascii="Calibri" w:hAnsi="Calibri"/>
          <w:b/>
          <w:color w:val="2D3748"/>
          <w:sz w:val="20"/>
        </w:rPr>
        <w:t xml:space="preserve">• Pregunta 1 (Monetización de Publicidad Digital Mercado Ads): </w:t>
      </w:r>
      <w:r>
        <w:rPr>
          <w:rFonts w:ascii="Calibri" w:hAnsi="Calibri"/>
          <w:i w:val="0"/>
          <w:color w:val="2D3748"/>
          <w:sz w:val="20"/>
        </w:rPr>
        <w:t>¿Qué rol está jugando Mercado Ads en la rentabilidad consolidada frente a las inversiones en envíos?</w:t>
      </w:r>
    </w:p>
    <w:p>
      <w:pPr>
        <w:spacing w:before="40" w:after="80" w:line="276" w:lineRule="auto"/>
      </w:pPr>
      <w:r>
        <w:rPr>
          <w:rFonts w:ascii="Calibri" w:hAnsi="Calibri"/>
          <w:b/>
          <w:color w:val="2D3748"/>
          <w:sz w:val="20"/>
        </w:rPr>
        <w:t xml:space="preserve">• Respuesta (Ariel Szarfsztejn - CEO): </w:t>
      </w:r>
      <w:r>
        <w:rPr>
          <w:rFonts w:ascii="Calibri" w:hAnsi="Calibri"/>
          <w:i w:val="0"/>
          <w:color w:val="2D3748"/>
          <w:sz w:val="20"/>
        </w:rPr>
        <w:t>Mercado Ads es nuestro flujo de más alto margen. A medida que el tráfico del marketplace crece al 50%, la demanda de los vendedores por visibilidad se dispara, convirtiendo la publicidad en el mayor amortiguador natural del costo logístico.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Flujo de ingresos con márgenes brutos superiores al 80% que financia el foso de envíos rápidos.</w:t>
      </w:r>
    </w:p>
    <w:p>
      <w:pPr>
        <w:keepNext/>
        <w:spacing w:before="200" w:after="80"/>
      </w:pPr>
      <w:r>
        <w:rPr>
          <w:rFonts w:ascii="Calibri" w:hAnsi="Calibri"/>
          <w:b/>
          <w:color w:val="4A5568"/>
          <w:sz w:val="22"/>
        </w:rPr>
        <w:t>BLOQUE B: Análisis Longitudinal y Auditoría de Discurso Directivo (5 Trimestres)</w:t>
      </w:r>
    </w:p>
    <w:p>
      <w:pPr>
        <w:spacing w:before="40" w:after="80" w:line="276" w:lineRule="auto"/>
      </w:pPr>
      <w:r>
        <w:rPr>
          <w:rFonts w:ascii="Calibri" w:hAnsi="Calibri"/>
          <w:i w:val="0"/>
          <w:color w:val="2D3748"/>
          <w:sz w:val="20"/>
        </w:rPr>
        <w:t>Evaluación exhaustiva de la consistencia estratégica de la dirección de MercadoLibre a lo largo de los últimos 5 trimestres consecutivos (Q2 2025 a Q2 2026), auditando el cumplimiento de metas (Say-Do Ratio), la mutación de los factores de riesgo y la credibilidad directiva: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Promesa / Orientación del Management</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 Operativo Asumido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Resultado Real Entregado a Wall Street</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Dictamen de Cumplimiento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2025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Lanzamiento de reducción de umbral de envío gratis en Brasil y programa de afiliados.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Temor de Wall Street a una caída destructiva de márgenes por absorción logística.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crecieron al +42% y el volumen aceleró inmediatamente en Brasil.</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CUMPLIDO (Apuesta validada)</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Q3 2025</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Navegar la volatilidad electoral en Argentina y sostener el ritmo de TPV.</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Incertidumbre cambiaria y desaceleración del consumo en el cono sur.</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Crecimiento resiliente con expansión de cuota de mercado en pagos digitales.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(Resiliencia macro)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Q4 2025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Cierre de año con aceleración en comercio e inversión masiva en modelos de IA.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Presión logística en Black Friday y picos estacionales de fin de año.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récord de +45% YoY con GMV en Brasil creciendo al 35% y piezas al 45%.</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(Récord anual)</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Q1 2026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Arranque de año priorizando volumen (+49% YoY) y expansión de tarjetas de crédito.</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Compresión de margen EBIT por absorción de costos anuales de envío gratis.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EBIT de $611M (6.9% margen) y emisión de 2.7M de nuevas tarjetas de crédito.</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(Guía confirmada)</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2026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Superar los $10B en ingresos trimestrales y mejorar el retorno crediticio (NIMAL).</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Competencia en adquirencia física en México y costos de financiamiento.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récord de $10.0B+ (+50% YoY), cartera en $16.4B y NIMAL sube al 21%.</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(Hito histórico)</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Q2 2025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Coste de Absorción Logística por Envíos Gratis en Brasil</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Excelente evolución: La masa crítica de volumen abarató el coste por paquete y fidelizó compradores.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Q3 2025</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Inestabilidad Macroeconómica e Inflación en Argentina</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Alta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Gestión óptima: Mercado Libre demostró pricing power y Mercado Pago absorbió el ahorro de los usuarios.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Q4 2025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Competencia de Plataformas Transfronterizas (Shopee, Shein, Temu)</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con éxito: La entrega en 24h y los centros locales neutralizaron la amenaza de envíos lentos de Asia.</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Q1 2026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Deterioro Potencial de Calidad Crediticia por Rápida Expansión</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Riesgo controlado: Los modelos de IA mantuvieron la mora 15-90d en niveles predecibles de ~7%.</w:t>
            </w:r>
          </w:p>
        </w:tc>
      </w:tr>
      <w:tr>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Q2 2026</w:t>
            </w:r>
          </w:p>
        </w:tc>
        <w:tc>
          <w:tcPr>
            <w:tcW w:type="dxa" w:w="3168"/>
            <w:shd w:fill="E2E8F0"/>
            <w:tcMar>
              <w:top w:w="80" w:type="dxa"/>
              <w:bottom w:w="80" w:type="dxa"/>
              <w:left w:w="120" w:type="dxa"/>
              <w:right w:w="120" w:type="dxa"/>
            </w:tcMar>
          </w:tcPr>
          <w:p>
            <w:pPr>
              <w:spacing w:before="0" w:after="0"/>
              <w:jc w:val="left"/>
            </w:pPr>
            <w:r>
              <w:rPr>
                <w:rFonts w:ascii="Calibri" w:hAnsi="Calibri"/>
                <w:b/>
                <w:color w:val="2D3748"/>
                <w:sz w:val="18"/>
              </w:rPr>
              <w:t>Compresión de Margen Operativo frente a Exigencias de Wall Street</w:t>
            </w:r>
          </w:p>
        </w:tc>
        <w:tc>
          <w:tcPr>
            <w:tcW w:type="dxa" w:w="1728"/>
            <w:shd w:fill="E2E8F0"/>
            <w:tcMar>
              <w:top w:w="80" w:type="dxa"/>
              <w:bottom w:w="80" w:type="dxa"/>
              <w:left w:w="120" w:type="dxa"/>
              <w:right w:w="120" w:type="dxa"/>
            </w:tcMar>
          </w:tcPr>
          <w:p>
            <w:pPr>
              <w:spacing w:before="0" w:after="0"/>
              <w:jc w:val="center"/>
            </w:pPr>
            <w:r>
              <w:rPr>
                <w:rFonts w:ascii="Calibri" w:hAnsi="Calibri"/>
                <w:b/>
                <w:color w:val="2D3748"/>
                <w:sz w:val="18"/>
              </w:rPr>
              <w:t>Alerta Media</w:t>
            </w:r>
          </w:p>
        </w:tc>
        <w:tc>
          <w:tcPr>
            <w:tcW w:type="dxa" w:w="3456"/>
            <w:shd w:fill="E2E8F0"/>
            <w:tcMar>
              <w:top w:w="80" w:type="dxa"/>
              <w:bottom w:w="80" w:type="dxa"/>
              <w:left w:w="120" w:type="dxa"/>
              <w:right w:w="120" w:type="dxa"/>
            </w:tcMar>
          </w:tcPr>
          <w:p>
            <w:pPr>
              <w:spacing w:before="0" w:after="0"/>
              <w:jc w:val="left"/>
            </w:pPr>
            <w:r>
              <w:rPr>
                <w:rFonts w:ascii="Calibri" w:hAnsi="Calibri"/>
                <w:b/>
                <w:color w:val="2D3748"/>
                <w:sz w:val="18"/>
              </w:rPr>
              <w:t>Estrategia deliberada: El management comunicó con total claridad que antepone la captura de mercado.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De la defensa de márgenes a la captura agresiva de cuota de mercado: </w:t>
      </w:r>
      <w:r>
        <w:rPr>
          <w:rFonts w:ascii="Calibri" w:hAnsi="Calibri"/>
          <w:i w:val="0"/>
          <w:color w:val="2D3748"/>
          <w:sz w:val="20"/>
        </w:rPr>
        <w:t>MercadoLibre ha demostrado que su foso defensivo se ensancha cuando reinvierte sus márgenes en precios y velocidad logística, haciendo imposible la entrada rentable a competidores globales.</w:t>
      </w:r>
    </w:p>
    <w:p>
      <w:pPr>
        <w:spacing w:before="40" w:after="80" w:line="276" w:lineRule="auto"/>
      </w:pPr>
      <w:r>
        <w:rPr>
          <w:rFonts w:ascii="Calibri" w:hAnsi="Calibri"/>
          <w:b/>
          <w:color w:val="2D3748"/>
          <w:sz w:val="20"/>
        </w:rPr>
        <w:t xml:space="preserve">• El crédito como palanca de aceleración controlada: </w:t>
      </w:r>
      <w:r>
        <w:rPr>
          <w:rFonts w:ascii="Calibri" w:hAnsi="Calibri"/>
          <w:i w:val="0"/>
          <w:color w:val="2D3748"/>
          <w:sz w:val="20"/>
        </w:rPr>
        <w:t>A diferencia de 2022 donde la inflación forzó una pausa crediticia, en 2025-2026 la compañía domina la originación mediante IA, manteniendo un spread NIMAL del 21% sobre una cartera de $16.4B.</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w:t>
            </w:r>
          </w:p>
          <w:p>
            <w:pPr>
              <w:spacing w:before="40" w:after="40" w:line="276" w:lineRule="auto"/>
            </w:pPr>
            <w:r>
              <w:rPr>
                <w:rFonts w:ascii="Calibri" w:hAnsi="Calibri"/>
                <w:color w:val="2D3748"/>
                <w:sz w:val="19"/>
              </w:rPr>
              <w:t>• Transparencia y Consistencia Estratégica: El equipo directivo ha cumplido rigurosamente lo prometido en 5 de los últimos 5 trimestres, explicando con anticipación cualquier compresión de márgenes como una inversión deliberada en crecimiento.</w:t>
            </w:r>
          </w:p>
          <w:p>
            <w:pPr>
              <w:spacing w:before="40" w:after="40" w:line="276" w:lineRule="auto"/>
            </w:pPr>
            <w:r>
              <w:rPr>
                <w:rFonts w:ascii="Calibri" w:hAnsi="Calibri"/>
                <w:color w:val="2D3748"/>
                <w:sz w:val="19"/>
              </w:rPr>
              <w:t>• Capacidad de Ejecución Sobresaliente: Superar los $10B en un trimestre con un crecimiento del 50% confirma una de las mejores ejecuciones operativas de la historia corporativa latinoamericana.</w:t>
            </w:r>
          </w:p>
          <w:p>
            <w:pPr>
              <w:spacing w:before="40" w:after="40" w:line="276" w:lineRule="auto"/>
            </w:pPr>
            <w:r>
              <w:rPr>
                <w:rFonts w:ascii="Calibri" w:hAnsi="Calibri"/>
                <w:color w:val="2D3748"/>
                <w:sz w:val="19"/>
              </w:rPr>
              <w:t>• Resiliencia del Ecosistema: La capacidad de equilibrar retail, logística propia y fintech bajo un mismo techo operativo demuestra un liderazgo visionario y disciplinado.</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posición patrimonial de MercadoLibre combina un balance comercial con alta liquidez y una estructura de financiamiento crediticio prudente y diversificada:</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FY2025 ($M)</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de Solvencia y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Efectivo y Equivalentes Líquidos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$4,100.0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$3,750.0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+9.3%</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Elevada liquidez para respaldo operativo y de tesorería.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Cartera Neta de Préstamos</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$15,100.0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$10,350.0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+45.9%</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Activo financiero productivo respaldado por provisiones robustas.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Deuda Financiera Total</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$5,400.0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$5,100.0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+5.9%</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Compuesta principalmente por notas convertibles y líneas sindicadas.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Patrimonio Neto (Stockholders' Equity)</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$4,850.0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$3,680.0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+31.8%</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Rápida capitalización orgánica impulsada por beneficios retenidos.</w:t>
            </w:r>
          </w:p>
        </w:tc>
      </w:tr>
    </w:tbl>
    <w:p>
      <w:pPr>
        <w:spacing w:after="120"/>
      </w:pPr>
    </w:p>
    <w:p>
      <w:pPr>
        <w:spacing w:before="40" w:after="80" w:line="276" w:lineRule="auto"/>
      </w:pPr>
      <w:r>
        <w:rPr>
          <w:rFonts w:ascii="Calibri" w:hAnsi="Calibri"/>
          <w:b/>
          <w:color w:val="2D3748"/>
          <w:sz w:val="20"/>
        </w:rPr>
        <w:t xml:space="preserve">• Estructura de Rendimiento de Tesorería: </w:t>
      </w:r>
      <w:r>
        <w:rPr>
          <w:rFonts w:ascii="Calibri" w:hAnsi="Calibri"/>
          <w:i w:val="0"/>
          <w:color w:val="2D3748"/>
          <w:sz w:val="20"/>
        </w:rPr>
        <w:t>MercadoLibre financia su cartera de créditos mediante una combinación de fondos propios, depósitos en billeteras digitales y securitizaciones (fideicomisos financieros), limitando la exposición del balance central.</w:t>
      </w: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La compañía reinvierte prácticamente el 100% de sus beneficios operativos en el crecimiento del ecosistema, manteniendo una política conservadora de retorno de capital sin pago de dividendos: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Asignación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Cifra LTM ($M)</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Objetivo Estratégico</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 para el Accionista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Reinversión Orgánica (CapEx + Crédito)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~$2,500.0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Expansión logística y de créditos</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Tasa de reinversión de alto rendimiento que sostiene el foso defensivo.</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Recompra de Acciones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Preservación de capital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Prioridad absoluta en compounder growth de dos dígitos.</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Dividendos en Efectivo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Cero distribución</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Eficiencia fiscal óptima para inversores de crecimiento.</w:t>
            </w:r>
          </w:p>
        </w:tc>
      </w:tr>
    </w:tbl>
    <w:p>
      <w:pPr>
        <w:spacing w:after="120"/>
      </w:pPr>
    </w:p>
    <w:p>
      <w:pPr>
        <w:spacing w:before="40" w:after="80" w:line="276" w:lineRule="auto"/>
      </w:pPr>
      <w:r>
        <w:rPr>
          <w:rFonts w:ascii="Calibri" w:hAnsi="Calibri"/>
          <w:b/>
          <w:color w:val="2D3748"/>
          <w:sz w:val="20"/>
        </w:rPr>
        <w:t xml:space="preserve">• Calidad de la Recompra vs. Dilución por SBC: </w:t>
      </w:r>
      <w:r>
        <w:rPr>
          <w:rFonts w:ascii="Calibri" w:hAnsi="Calibri"/>
          <w:i w:val="0"/>
          <w:color w:val="2D3748"/>
          <w:sz w:val="20"/>
        </w:rPr>
        <w:t>La compensación basada en acciones (SBC) se mantiene controlada en torno al 2.5% de los ingresos netos, alineando los incentivos de la dirección con la creación de valor por acción a largo plazo.</w:t>
      </w: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 / Transacción</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 de Operación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 / Compromiso</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¿Qué se busca estratégicamente con ello?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Expansión de Red de Centros de Fulfillment</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CapEx Logístico Directo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~$980 M anuales</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Apertura de nuevos mega-hubs en Brasil, México y Colombia para blindar la promesa de entrega en 24 horas.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Crecimiento de Cartera Mercado Crédito</w:t>
            </w:r>
          </w:p>
        </w:tc>
        <w:tc>
          <w:tcPr>
            <w:tcW w:type="dxa" w:w="1872"/>
            <w:shd w:fill="F7FAFC"/>
            <w:tcMar>
              <w:top w:w="80" w:type="dxa"/>
              <w:bottom w:w="80" w:type="dxa"/>
              <w:left w:w="120" w:type="dxa"/>
              <w:right w:w="120" w:type="dxa"/>
            </w:tcMar>
          </w:tcPr>
          <w:p>
            <w:pPr>
              <w:spacing w:before="0" w:after="0"/>
              <w:jc w:val="left"/>
            </w:pPr>
            <w:r>
              <w:rPr>
                <w:rFonts w:ascii="Calibri" w:hAnsi="Calibri"/>
                <w:color w:val="2D3748"/>
                <w:sz w:val="18"/>
              </w:rPr>
              <w:t>Asignación de Capital Crediticio</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$16,400 M en cartera</w:t>
            </w:r>
          </w:p>
        </w:tc>
        <w:tc>
          <w:tcPr>
            <w:tcW w:type="dxa" w:w="3744"/>
            <w:shd w:fill="F7FAFC"/>
            <w:tcMar>
              <w:top w:w="80" w:type="dxa"/>
              <w:bottom w:w="80" w:type="dxa"/>
              <w:left w:w="120" w:type="dxa"/>
              <w:right w:w="120" w:type="dxa"/>
            </w:tcMar>
          </w:tcPr>
          <w:p>
            <w:pPr>
              <w:spacing w:before="0" w:after="0"/>
              <w:jc w:val="left"/>
            </w:pPr>
            <w:r>
              <w:rPr>
                <w:rFonts w:ascii="Calibri" w:hAnsi="Calibri"/>
                <w:color w:val="2D3748"/>
                <w:sz w:val="18"/>
              </w:rPr>
              <w:t>Despliegue selectivo de préstamos con foco en tarjetas de crédito de bajo riesgo y expansión de NIMAL al 21%.</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Desarrollo e Inversión en Inteligencia Artificial</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Gasto I+D y Software</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~$1,850 M anuales</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Optimización de rutas de reparto, modelos de riesgo crediticio automatizado y personalización publicitaria en Mercado Ads.</w:t>
            </w:r>
          </w:p>
        </w:tc>
      </w:tr>
    </w:tbl>
    <w:p>
      <w:pPr>
        <w:spacing w:after="120"/>
      </w:pPr>
    </w:p>
    <w:p>
      <w:pPr>
        <w:keepNext/>
        <w:spacing w:before="200" w:after="80"/>
      </w:pPr>
      <w:r>
        <w:rPr>
          <w:rFonts w:ascii="Calibri" w:hAnsi="Calibri"/>
          <w:b/>
          <w:color w:val="4A5568"/>
          <w:sz w:val="22"/>
        </w:rPr>
        <w:t>6.4. Política de Inversión, Eficiencia Logística y Flujo de Caja Libre</w:t>
      </w:r>
    </w:p>
    <w:p>
      <w:pPr>
        <w:spacing w:before="40" w:after="80" w:line="276" w:lineRule="auto"/>
      </w:pPr>
      <w:r>
        <w:rPr>
          <w:rFonts w:ascii="Calibri" w:hAnsi="Calibri"/>
          <w:i w:val="0"/>
          <w:color w:val="2D3748"/>
          <w:sz w:val="20"/>
        </w:rPr>
        <w:t>MercadoLibre reinvierte activamente su flujo operativo en infraestructura logística y desarrollo de software, priorizando la expansión de escala y el afianzamiento de sus fosos sobre la rentabilidad a corto plazo:</w:t>
      </w:r>
    </w:p>
    <w:p>
      <w:pPr>
        <w:spacing w:before="40" w:after="80" w:line="276" w:lineRule="auto"/>
      </w:pPr>
      <w:r>
        <w:rPr>
          <w:rFonts w:ascii="Calibri" w:hAnsi="Calibri"/>
          <w:b/>
          <w:color w:val="2D3748"/>
          <w:sz w:val="20"/>
        </w:rPr>
        <w:t xml:space="preserve">• CapEx Logístico de Alto Retorno: </w:t>
      </w:r>
      <w:r>
        <w:rPr>
          <w:rFonts w:ascii="Calibri" w:hAnsi="Calibri"/>
          <w:i w:val="0"/>
          <w:color w:val="2D3748"/>
          <w:sz w:val="20"/>
        </w:rPr>
        <w:t>La inversión en flota y almacenes automatizados reduce el coste unitario por entrega y consolida la ventaja de entrega en el mismo día.</w:t>
      </w:r>
    </w:p>
    <w:p>
      <w:pPr>
        <w:spacing w:before="40" w:after="80" w:line="276" w:lineRule="auto"/>
      </w:pPr>
      <w:r>
        <w:rPr>
          <w:rFonts w:ascii="Calibri" w:hAnsi="Calibri"/>
          <w:b/>
          <w:color w:val="2D3748"/>
          <w:sz w:val="20"/>
        </w:rPr>
        <w:t xml:space="preserve">• FCF Ajustado Sólido: </w:t>
      </w:r>
      <w:r>
        <w:rPr>
          <w:rFonts w:ascii="Calibri" w:hAnsi="Calibri"/>
          <w:i w:val="0"/>
          <w:color w:val="2D3748"/>
          <w:sz w:val="20"/>
        </w:rPr>
        <w:t>A pesar del hipercrecimiento y del fondeo de la cartera de crédito, la compañía generó $214M en FCF ajustado en el último trimestre, respaldando más de $4,100M en liquidez total.</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La posición de dominio de MercadoLibre en América Latina está protegida por un Foso Defensivo Amplio (Wide Moat / Dorsey Framework), blindado por efectos de red bilaterales masivos, infraestructura logística propia irreplicable y altos costes de cambio en su ecosistema financiero:</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 Defensivo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 de Protección Económica</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Competitivo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Efecto de Red Bilateral (Two-Sided Network)</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DOMINANTE</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Más de 60 millones de compradores activos y millones de vendedores en la misma plataforma; más oferta atrae más demanda y viceversa de forma orgánica.</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Barrera de entrada insalvable para nuevos competidores regionales; el Marketplace de referencia obligatorio en Brasil, México y Argentina.</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Infraestructura Logística Propia (Mercado Envíos)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ESTRUCTURAL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Red masiva de centros de fulfillment y despacho que entrega más del 50% de los paquetes el mismo día o al día siguiente en las principales metrópolis.</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Ventaja de coste de escala inalcanzable; la reducción del umbral de envío gratis en Brasil dispara el volumen y ahoga a rivales locales.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Costes de Cambio y Ecosistema Mercado Pago</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ELEVADO</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Comerciantes y usuarios retienen saldos en la cuenta remunerada, cobran con lectores Point y financian sus compras mediante Mercado Crédito en un solo clic.</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Retención superior y fidelidad transaccional; el usuario migra naturalmente de consumidor de e-commerce a cliente bancarizado.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Poder de Datos y Scoring Crediticio Propietario</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ALTA</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Algoritmos de inteligencia artificial entrenados con miles de millones de transacciones de compraventa para estimar el riesgo crediticio en tiempo real.</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Capacidad de otorgar crédito con mejor selección de riesgo (NIMAL del 21%) frente a bancos tradicionales que carecen de visibilidad operativa.</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 | Tendencia: EN EXPANSIÓN.</w:t>
      </w:r>
    </w:p>
    <w:p>
      <w:pPr>
        <w:keepNext/>
        <w:spacing w:before="200" w:after="80"/>
      </w:pPr>
      <w:r>
        <w:rPr>
          <w:rFonts w:ascii="Calibri" w:hAnsi="Calibri"/>
          <w:b/>
          <w:color w:val="4A5568"/>
          <w:sz w:val="22"/>
        </w:rPr>
        <w:t>7.2. El Círculo Virtuoso (Flywheel) entre Comercio y Fintech</w:t>
      </w:r>
    </w:p>
    <w:p>
      <w:pPr>
        <w:spacing w:before="40" w:after="80" w:line="276" w:lineRule="auto"/>
      </w:pPr>
      <w:r>
        <w:rPr>
          <w:rFonts w:ascii="Calibri" w:hAnsi="Calibri"/>
          <w:b/>
          <w:color w:val="2D3748"/>
          <w:sz w:val="20"/>
        </w:rPr>
        <w:t xml:space="preserve">• Comercio alimenta FinTech: </w:t>
      </w:r>
      <w:r>
        <w:rPr>
          <w:rFonts w:ascii="Calibri" w:hAnsi="Calibri"/>
          <w:i w:val="0"/>
          <w:color w:val="2D3748"/>
          <w:sz w:val="20"/>
        </w:rPr>
        <w:t>El volumen transaccional del marketplace genera liquidez cautiva inmediata en las billeteras digitales de Mercado Pago sin coste de adquisición de clientes.</w:t>
      </w:r>
    </w:p>
    <w:p>
      <w:pPr>
        <w:spacing w:before="40" w:after="80" w:line="276" w:lineRule="auto"/>
      </w:pPr>
      <w:r>
        <w:rPr>
          <w:rFonts w:ascii="Calibri" w:hAnsi="Calibri"/>
          <w:b/>
          <w:color w:val="2D3748"/>
          <w:sz w:val="20"/>
        </w:rPr>
        <w:t xml:space="preserve">• FinTech potencia el Comercio: </w:t>
      </w:r>
      <w:r>
        <w:rPr>
          <w:rFonts w:ascii="Calibri" w:hAnsi="Calibri"/>
          <w:i w:val="0"/>
          <w:color w:val="2D3748"/>
          <w:sz w:val="20"/>
        </w:rPr>
        <w:t>Las líneas de crédito personal y la tarjeta de crédito propia de Mercado Crédito elevan el poder de compra del usuario e incrementan los ítems comprados por usuario en un +19% YoY.</w:t>
      </w:r>
    </w:p>
    <w:p>
      <w:pPr>
        <w:keepNext/>
        <w:spacing w:before="200" w:after="80"/>
      </w:pPr>
      <w:r>
        <w:rPr>
          <w:rFonts w:ascii="Calibri" w:hAnsi="Calibri"/>
          <w:b/>
          <w:color w:val="4A5568"/>
          <w:sz w:val="22"/>
        </w:rPr>
        <w:t>7.3. Densidad Logística como Escudo frente a Gigantes Globales (Amazon / Shopee)</w:t>
      </w:r>
    </w:p>
    <w:p>
      <w:pPr>
        <w:spacing w:before="40" w:after="80" w:line="276" w:lineRule="auto"/>
      </w:pPr>
      <w:r>
        <w:rPr>
          <w:rFonts w:ascii="Calibri" w:hAnsi="Calibri"/>
          <w:b/>
          <w:color w:val="2D3748"/>
          <w:sz w:val="20"/>
        </w:rPr>
        <w:t xml:space="preserve">• Eficiencia por Milla Recorrida: </w:t>
      </w:r>
      <w:r>
        <w:rPr>
          <w:rFonts w:ascii="Calibri" w:hAnsi="Calibri"/>
          <w:i w:val="0"/>
          <w:color w:val="2D3748"/>
          <w:sz w:val="20"/>
        </w:rPr>
        <w:t>La escala logística de MELI en Brasil y México reduce el costo unitario por paquete con cada incremento de volumen, convirtiendo el gasto logístico en un arma competitiva.</w:t>
      </w:r>
    </w:p>
    <w:p>
      <w:pPr>
        <w:spacing w:before="40" w:after="80" w:line="276" w:lineRule="auto"/>
      </w:pPr>
      <w:r>
        <w:rPr>
          <w:rFonts w:ascii="Calibri" w:hAnsi="Calibri"/>
          <w:b/>
          <w:color w:val="2D3748"/>
          <w:sz w:val="20"/>
        </w:rPr>
        <w:t xml:space="preserve">• Cobertura Geográfica Extrema: </w:t>
      </w:r>
      <w:r>
        <w:rPr>
          <w:rFonts w:ascii="Calibri" w:hAnsi="Calibri"/>
          <w:i w:val="0"/>
          <w:color w:val="2D3748"/>
          <w:sz w:val="20"/>
        </w:rPr>
        <w:t>Capacidad de entrega en regiones remotas de América Latina donde competidores transfronterizos tardan semanas o no tienen presencia.</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Oficial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Naturaleza del 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 para la Empresa?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Inversor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2026-08-05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Resultados Financieros Trimestrales Q2 2026</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Superación de $10B en ingresos trimestrales (+50%) y expansión de cartera a $16.4B.</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OPERATIVO: Resultados extraordinarios que baten las proyecciones de consenso.</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2026-05-07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Resultados Financieros Trimestrales Q1 2026</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Ingresos de $4.3B (+49% YoY) y emisión de 2.7M de nuevas tarjetas de crédito.</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ORDINARIO: Cumplimiento de reporte periódico en calendario regular.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2026-04-15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5.07</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Junta General Anual de Accionistas</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Reelección del Consejo de Administración y aprobación de auditores independientes.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GOBERNANZA: Respaldo institucional masivo a la gestión estratégica.</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 Clave</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de Operación y Modalidad SEC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 de Acciones</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 Efectivo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 SEC</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 de Convicción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Marcos Galperin</w:t>
              <w:br/>
              <w:t>(Chairman &amp; Founder)</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Retención Patrimonial Central</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Posición Fundador</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 ventas abiertas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Compromiso estratégico y control accionario de largo plazo.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Ariel Szarfsztejn</w:t>
              <w:br/>
              <w:t>(Chief Executive Officer)</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Asignación y Retención (RSUs)</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+25,000</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Alineación ejecutiva completa en su liderazgo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Martín de los Santos</w:t>
              <w:br/>
              <w:t>(Chief Financial Officer)</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Planes Programados 10b5-1</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Operaciones rutinarias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Ventas programadas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Diversificación planificada sin impacto en la convicción interna.</w:t>
            </w:r>
          </w:p>
        </w:tc>
      </w:tr>
    </w:tbl>
    <w:p>
      <w:pPr>
        <w:spacing w:after="120"/>
      </w:pP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Bajo riesgo</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TRAMPA DE VALOR / DETERIORO</w:t>
            </w:r>
          </w:p>
          <w:p>
            <w:pPr>
              <w:spacing w:before="40" w:after="40" w:line="276" w:lineRule="auto"/>
            </w:pPr>
            <w:r>
              <w:rPr>
                <w:rFonts w:ascii="Calibri" w:hAnsi="Calibri"/>
                <w:color w:val="2D3748"/>
                <w:sz w:val="19"/>
              </w:rPr>
              <w:t>Piotroski F-Score (Solvencia Interna): 5 / 9 Puntos | SALUD MODERADA</w:t>
            </w:r>
          </w:p>
          <w:p>
            <w:pPr>
              <w:spacing w:before="40" w:after="40" w:line="276" w:lineRule="auto"/>
            </w:pPr>
            <w:r>
              <w:rPr>
                <w:rFonts w:ascii="Calibri" w:hAnsi="Calibri"/>
                <w:color w:val="2D3748"/>
                <w:sz w:val="19"/>
              </w:rPr>
              <w:t>Mohanram G-Score (Ventaja Sectorial):  3 / 8 Puntos | CRECIMIENTO FRÁGIL</w:t>
            </w:r>
          </w:p>
          <w:p>
            <w:pPr>
              <w:spacing w:before="40" w:after="40" w:line="276" w:lineRule="auto"/>
            </w:pPr>
            <w:r>
              <w:rPr>
                <w:rFonts w:ascii="Calibri" w:hAnsi="Calibri"/>
                <w:color w:val="2D3748"/>
                <w:sz w:val="19"/>
              </w:rPr>
              <w:t>Tesis Cuantitativa: MercadoLibre, Inc.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5 / 9 Puntos en LTM (SALUD MODERADA) (5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5/9 sitúa a MercadoLibre, Inc.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($13,905.0M en LTM) respalda con holgura al beneficio neto contable ($1,863.0M),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20.7% vs 21.5% (-0.86%)).</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51M vs 51M (-0M)).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42.7% vs 44.5% (-1.83%)) como la productividad de sus activos instalados (Rot 0.75x vs 0.85x (-0.10x)).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promedio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3.96%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$13,905.0M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4.0% vs 5.9% (-1.92%)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$13,905.0M &gt; NI $1,863.0M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20.7% vs 21.5% (-0.86%)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1.12x vs 1.17x (-0.05x)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51M vs 51M (-0M)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42.7% vs 44.5% (-1.83%)</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0.75x vs 0.85x (-0.10x)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3 / 8 Puntos en LTM (CRECIMIENTO FRÁGIL) (5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3/8 consolida a MercadoLibre, Inc.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4.37% vs Med 8.04%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32.59% vs Med 18.08%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$13,905.0M &gt; NI $1,863.0M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0.57 &lt; 0.38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0.16 vs 0.40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6.04% vs Med 9.77%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Reinversión en infraestructura de capital físico (CapEx)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CapEx 3.51% vs Med 4.49%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Vtas +21.8% vs SG&amp;A +25.4%</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9.3. Benchmarking Competitivo del Sector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MELI</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MercadoLibre, Inc.</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5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3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REZAGADA (INFERIOR A LA MEDIANA (&lt; PERCENTIL 50))</w:t>
              <w:br/>
            </w:r>
          </w:p>
          <w:p>
            <w:pPr>
              <w:spacing w:before="40" w:after="40" w:line="276" w:lineRule="auto"/>
            </w:pPr>
            <w:r>
              <w:rPr>
                <w:rFonts w:ascii="Calibri" w:hAnsi="Calibri"/>
                <w:color w:val="2D3748"/>
                <w:sz w:val="19"/>
              </w:rPr>
              <w:t>• Gross Profitability Total (LTM): 29.24% de los Activos Totales (vs. Mediana Sector: 54.46%).</w:t>
            </w:r>
          </w:p>
          <w:p>
            <w:pPr>
              <w:spacing w:before="40" w:after="40" w:line="276" w:lineRule="auto"/>
            </w:pPr>
            <w:r>
              <w:rPr>
                <w:rFonts w:ascii="Calibri" w:hAnsi="Calibri"/>
                <w:color w:val="2D3748"/>
                <w:sz w:val="19"/>
              </w:rPr>
              <w:t>• Gross Profitability Operativa Ex-Caja (LTM): 31.47% de los Activos Operativos (vs. Mediana Sector: 71.88%).</w:t>
            </w:r>
          </w:p>
          <w:p>
            <w:pPr>
              <w:spacing w:before="40" w:after="40" w:line="276" w:lineRule="auto"/>
            </w:pPr>
            <w:r>
              <w:rPr>
                <w:rFonts w:ascii="Calibri" w:hAnsi="Calibri"/>
                <w:color w:val="2D3748"/>
                <w:sz w:val="19"/>
              </w:rPr>
              <w:t>• Efecto Arrastre de Caja (Cash Drag): +2.24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+-25.23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Inferior a la Mediana (&lt; Percentil 50)?: Significa que la rentabilidad de capital de MELI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29.24%?: Por cada $1.00 de activo total en su balance general, la empresa produce $0.29 de utilidad bruta pura al año, antes de deducciones operativas, intereses e impuestos.</w:t>
            </w:r>
          </w:p>
          <w:p>
            <w:pPr>
              <w:spacing w:before="40" w:after="40" w:line="276" w:lineRule="auto"/>
            </w:pPr>
            <w:r>
              <w:rPr>
                <w:rFonts w:ascii="Calibri" w:hAnsi="Calibri"/>
                <w:color w:val="2D3748"/>
                <w:sz w:val="19"/>
              </w:rPr>
              <w:t>3. ¿Qué significa Ex-Caja (31.47%)?: Al excluir el efectivo y valores negociables líquidos (capital ocioso en caja que no produce bienes), el negocio puramente operativo rinde $0.31 por cada dólar en activos operativos en funcionamiento.</w:t>
            </w:r>
          </w:p>
          <w:p>
            <w:pPr>
              <w:spacing w:before="40" w:after="40" w:line="276" w:lineRule="auto"/>
            </w:pPr>
            <w:r>
              <w:rPr>
                <w:rFonts w:ascii="Calibri" w:hAnsi="Calibri"/>
                <w:color w:val="2D3748"/>
                <w:sz w:val="19"/>
              </w:rPr>
              <w:t>4. ¿Qué revela el Cash Drag (+2.24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29.24%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30.14%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54.46%</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Inferior a la Mediana (&lt; Percentil 50)</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$0.29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31.47%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32.97%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71.88%</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$0.31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+2.24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+2.84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+17.41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+-25.23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+-24.33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+-25.23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BAJA PRODUCTIVIDAD DE CAPITAL</w:t>
              <w:br/>
            </w:r>
          </w:p>
          <w:p>
            <w:pPr>
              <w:spacing w:before="40" w:after="40" w:line="276" w:lineRule="auto"/>
            </w:pPr>
            <w:r>
              <w:rPr>
                <w:rFonts w:ascii="Calibri" w:hAnsi="Calibri"/>
                <w:color w:val="2D3748"/>
                <w:sz w:val="19"/>
              </w:rPr>
              <w:t>Alerta de eficiencia: tanto el margen bruto (42.7%) como la rotación (0.69x) se sitúan por debajo de las medianas de la industria. El capital instalado no genera suficiente valor económico por unidad de costo.</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(42.68%) × Rotación de Activos (0.685x) = 29.24% (Concilia al 100.0% con GP/A de 29.24%).</w:t>
            </w:r>
          </w:p>
          <w:p>
            <w:pPr>
              <w:spacing w:before="40" w:after="40" w:line="276" w:lineRule="auto"/>
            </w:pPr>
            <w:r>
              <w:rPr>
                <w:rFonts w:ascii="Calibri" w:hAnsi="Calibri"/>
                <w:color w:val="2D3748"/>
                <w:sz w:val="19"/>
              </w:rPr>
              <w:t>• Identidad Operativa Ex-Caja: Margen Bruto (42.68%) × Rotación Ex-Caja (0.737x) = 31.47% (concilia con 31.47%).</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42.68%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44.50%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49.18%</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-6.51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0.685x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0.677x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1.119x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-0.43x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0.737x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0.741x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1.231x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29.24%</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30.14%</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54.46%</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+-25.23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-13.86 puntos porcentuales.</w:t>
            </w:r>
          </w:p>
          <w:p>
            <w:pPr>
              <w:spacing w:before="40" w:after="40" w:line="276" w:lineRule="auto"/>
            </w:pPr>
            <w:r>
              <w:rPr>
                <w:rFonts w:ascii="Calibri" w:hAnsi="Calibri"/>
                <w:color w:val="2D3748"/>
                <w:sz w:val="19"/>
              </w:rPr>
              <w:t>• Expansión a 5 Años (vs. FY2021): -0.51 puntos porcentuales.</w:t>
            </w:r>
          </w:p>
          <w:p>
            <w:pPr>
              <w:spacing w:before="40" w:after="40" w:line="276" w:lineRule="auto"/>
            </w:pPr>
            <w:r>
              <w:rPr>
                <w:rFonts w:ascii="Calibri" w:hAnsi="Calibri"/>
                <w:color w:val="2D3748"/>
                <w:sz w:val="19"/>
              </w:rPr>
              <w:t>• Coeficiente de Variación (CV GP/A): 0.160 (indica una trayectoria predecible y baja volatilidad operativa).</w:t>
            </w:r>
          </w:p>
          <w:p>
            <w:pPr>
              <w:spacing w:before="40" w:after="40" w:line="276" w:lineRule="auto"/>
            </w:pPr>
            <w:r>
              <w:rPr>
                <w:rFonts w:ascii="Calibri" w:hAnsi="Calibri"/>
                <w:color w:val="2D3748"/>
                <w:sz w:val="19"/>
              </w:rPr>
              <w:t>• Conclusión de Tendencia: Compresión de rentabilidad sobre activos (-0.51 p.p. en 5 años); vigilar presión en costos directos o acumulación de activos.</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29.24%</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31.47%</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+2.24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42.68%</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0.685x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BAJA PRODUCTIVIDAD DE CAPITAL</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30.14%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32.97%</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+2.84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44.50%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0.677x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38.01%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42.45%</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+4.44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46.09%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0.825x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43.10%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50.41%</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+7.32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50.24%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0.858x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37.84%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43.95%</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+6.11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48.22%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0.785x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29.75%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39.98%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+10.23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42.51%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0.700x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26.19%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36.60%</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+10.41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43.00%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0.609x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23.05%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32.44%</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+9.40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48.00%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0.480x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AMZN</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Amazon.com,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(FY2024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54.46%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64.62%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49.18%</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1.11x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SE</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Sea Limited</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(FY2024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53.91%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71.88%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43.67%</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1.23x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-0.56 pp</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MELI</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MERCADOLIBRE INC</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29.24%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31.47%</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42.68%</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0.69x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-25.23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54.46%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71.88%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49.18%</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1.12x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61.59%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+7.12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MELI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MercadoLibre, Inc. (MELI)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NARROW MOAT / CREACIÓN DE VALOR SOSTENIBLE (SPREAD +7.07 p.p.)</w:t>
              <w:br/>
            </w:r>
          </w:p>
          <w:p>
            <w:pPr>
              <w:spacing w:before="40" w:after="40" w:line="276" w:lineRule="auto"/>
            </w:pPr>
            <w:r>
              <w:rPr>
                <w:rFonts w:ascii="Calibri" w:hAnsi="Calibri"/>
                <w:color w:val="2D3748"/>
                <w:sz w:val="19"/>
              </w:rPr>
              <w:t>• ROC Greenblatt Tangible (LTM): 82.36% (Productividad operativa pura pre-tax sobre capital de trabajo y PP&amp;E físico instalado).</w:t>
            </w:r>
          </w:p>
          <w:p>
            <w:pPr>
              <w:spacing w:before="40" w:after="40" w:line="276" w:lineRule="auto"/>
            </w:pPr>
            <w:r>
              <w:rPr>
                <w:rFonts w:ascii="Calibri" w:hAnsi="Calibri"/>
                <w:color w:val="2D3748"/>
                <w:sz w:val="19"/>
              </w:rPr>
              <w:t>• ROIC Ajustado por Intangibles (LTM): 18.10% frente a un ROIC contable tradicional de 25.45%.</w:t>
            </w:r>
          </w:p>
          <w:p>
            <w:pPr>
              <w:spacing w:before="40" w:after="40" w:line="276" w:lineRule="auto"/>
            </w:pPr>
            <w:r>
              <w:rPr>
                <w:rFonts w:ascii="Calibri" w:hAnsi="Calibri"/>
                <w:color w:val="2D3748"/>
                <w:sz w:val="19"/>
              </w:rPr>
              <w:t>• Costo Promedio Ponderado de Capital (WACC): 11.03% (Costo del Equity Ke: 11.67%, Deuda Neta Kd: 5.50%).</w:t>
            </w:r>
          </w:p>
          <w:p>
            <w:pPr>
              <w:spacing w:before="40" w:after="40" w:line="276" w:lineRule="auto"/>
            </w:pPr>
            <w:r>
              <w:rPr>
                <w:rFonts w:ascii="Calibri" w:hAnsi="Calibri"/>
                <w:color w:val="2D3748"/>
                <w:sz w:val="19"/>
              </w:rPr>
              <w:t>• Spread Económico Neto: +7.07 p.p. de rendimiento por encima del costo de capital exigido por el mercado.</w:t>
            </w:r>
          </w:p>
          <w:p>
            <w:pPr>
              <w:spacing w:before="40" w:after="40" w:line="276" w:lineRule="auto"/>
            </w:pPr>
            <w:r>
              <w:rPr>
                <w:rFonts w:ascii="Calibri" w:hAnsi="Calibri"/>
                <w:color w:val="2D3748"/>
                <w:sz w:val="19"/>
              </w:rPr>
              <w:t>• Stock de Intangibles Fuera de Balance: $7,912.4M capitalizados en innovación y amortizados económicamente a 3 años.</w:t>
            </w:r>
          </w:p>
          <w:p>
            <w:pPr>
              <w:spacing w:before="40" w:after="40" w:line="276" w:lineRule="auto"/>
            </w:pPr>
            <w:r>
              <w:rPr>
                <w:rFonts w:ascii="Calibri" w:hAnsi="Calibri"/>
                <w:color w:val="2D3748"/>
                <w:sz w:val="19"/>
              </w:rPr>
              <w:t>• Tesis de Foso Defensivo: El negocio genera un Spread positivo de +7.07 p.p. sobre el WACC (11.03%), demostrando capacidad de generar valor económico superior a la media de forma constante frente a sus competidores.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$1821.81</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$92,360.8M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5.19%</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1.36</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MercadoLibre, Inc., el ROC de 82.36%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FY2025</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$2,907.0M</w:t>
            </w:r>
          </w:p>
        </w:tc>
        <w:tc>
          <w:tcPr>
            <w:tcW w:type="dxa" w:w="1958"/>
            <w:tcMar>
              <w:top w:w="60" w:type="dxa"/>
              <w:bottom w:w="60" w:type="dxa"/>
              <w:left w:w="100" w:type="dxa"/>
              <w:right w:w="100" w:type="dxa"/>
            </w:tcMar>
          </w:tcPr>
          <w:p>
            <w:r>
              <w:rPr>
                <w:sz w:val="17"/>
              </w:rPr>
              <w:t>$3,201.0M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$37,133.0M</w:t>
            </w:r>
          </w:p>
        </w:tc>
        <w:tc>
          <w:tcPr>
            <w:tcW w:type="dxa" w:w="1958"/>
            <w:tcMar>
              <w:top w:w="60" w:type="dxa"/>
              <w:bottom w:w="60" w:type="dxa"/>
              <w:left w:w="100" w:type="dxa"/>
              <w:right w:w="100" w:type="dxa"/>
            </w:tcMar>
            <w:shd w:fill="F7FAFC"/>
          </w:tcPr>
          <w:p>
            <w:r>
              <w:rPr>
                <w:sz w:val="17"/>
              </w:rPr>
              <w:t>$29,903.0M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$36,372.0M</w:t>
            </w:r>
          </w:p>
        </w:tc>
        <w:tc>
          <w:tcPr>
            <w:tcW w:type="dxa" w:w="1958"/>
            <w:tcMar>
              <w:top w:w="60" w:type="dxa"/>
              <w:bottom w:w="60" w:type="dxa"/>
              <w:left w:w="100" w:type="dxa"/>
              <w:right w:w="100" w:type="dxa"/>
            </w:tcMar>
          </w:tcPr>
          <w:p>
            <w:r>
              <w:rPr>
                <w:sz w:val="17"/>
              </w:rPr>
              <w:t>$28,633.0M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$761.0M</w:t>
            </w:r>
          </w:p>
        </w:tc>
        <w:tc>
          <w:tcPr>
            <w:tcW w:type="dxa" w:w="1958"/>
            <w:tcMar>
              <w:top w:w="60" w:type="dxa"/>
              <w:bottom w:w="60" w:type="dxa"/>
              <w:left w:w="100" w:type="dxa"/>
              <w:right w:w="100" w:type="dxa"/>
            </w:tcMar>
            <w:shd w:fill="F7FAFC"/>
          </w:tcPr>
          <w:p>
            <w:r>
              <w:rPr>
                <w:sz w:val="17"/>
              </w:rPr>
              <w:t>$1,270.0M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$2,725.0M</w:t>
            </w:r>
          </w:p>
        </w:tc>
        <w:tc>
          <w:tcPr>
            <w:tcW w:type="dxa" w:w="1958"/>
            <w:tcMar>
              <w:top w:w="60" w:type="dxa"/>
              <w:bottom w:w="60" w:type="dxa"/>
              <w:left w:w="100" w:type="dxa"/>
              <w:right w:w="100" w:type="dxa"/>
            </w:tcMar>
          </w:tcPr>
          <w:p>
            <w:r>
              <w:rPr>
                <w:sz w:val="17"/>
              </w:rPr>
              <w:t>$2,303.0M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$3,486.0M</w:t>
            </w:r>
          </w:p>
        </w:tc>
        <w:tc>
          <w:tcPr>
            <w:tcW w:type="dxa" w:w="1958"/>
            <w:tcMar>
              <w:top w:w="60" w:type="dxa"/>
              <w:bottom w:w="60" w:type="dxa"/>
              <w:left w:w="100" w:type="dxa"/>
              <w:right w:w="100" w:type="dxa"/>
            </w:tcMar>
            <w:shd w:fill="F7FAFC"/>
          </w:tcPr>
          <w:p>
            <w:r>
              <w:rPr>
                <w:sz w:val="17"/>
              </w:rPr>
              <w:t>$3,573.0M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$3,529.5M</w:t>
            </w:r>
          </w:p>
        </w:tc>
        <w:tc>
          <w:tcPr>
            <w:tcW w:type="dxa" w:w="1958"/>
            <w:tcMar>
              <w:top w:w="60" w:type="dxa"/>
              <w:bottom w:w="60" w:type="dxa"/>
              <w:left w:w="100" w:type="dxa"/>
              <w:right w:w="100" w:type="dxa"/>
            </w:tcMar>
          </w:tcPr>
          <w:p>
            <w:r>
              <w:rPr>
                <w:sz w:val="17"/>
              </w:rPr>
              <w:t>$2,928.5M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82.36%</w:t>
            </w:r>
          </w:p>
        </w:tc>
        <w:tc>
          <w:tcPr>
            <w:tcW w:type="dxa" w:w="1958"/>
            <w:tcMar>
              <w:top w:w="60" w:type="dxa"/>
              <w:bottom w:w="60" w:type="dxa"/>
              <w:left w:w="100" w:type="dxa"/>
              <w:right w:w="100" w:type="dxa"/>
            </w:tcMar>
            <w:shd w:fill="F7FAFC"/>
            <w:shd w:fill="E2EFDA"/>
          </w:tcPr>
          <w:p>
            <w:r>
              <w:rPr>
                <w:b/>
                <w:sz w:val="17"/>
              </w:rPr>
              <w:t>109.31%</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(25.45%) sobrestima el retorno al mandar el I+D a gasto inmediato. La metodología Damodaran capitaliza la innovación a 3 años, reconociendo $7,912.4M de intangibles fuera de balance. El ROIC Ajustado resultante de 18.10% refleja el verdadero retorno económico sobre el capital total invertido ($18,531.3M).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FY2021</w:t>
            </w:r>
          </w:p>
        </w:tc>
        <w:tc>
          <w:tcPr>
            <w:tcW w:type="dxa" w:w="1399"/>
            <w:tcMar>
              <w:top w:w="60" w:type="dxa"/>
              <w:bottom w:w="60" w:type="dxa"/>
              <w:left w:w="100" w:type="dxa"/>
              <w:right w:w="100" w:type="dxa"/>
            </w:tcMar>
          </w:tcPr>
          <w:p>
            <w:r>
              <w:rPr>
                <w:b/>
                <w:sz w:val="17"/>
              </w:rPr>
              <w:t>73.58%</w:t>
            </w:r>
          </w:p>
        </w:tc>
        <w:tc>
          <w:tcPr>
            <w:tcW w:type="dxa" w:w="1399"/>
            <w:tcMar>
              <w:top w:w="60" w:type="dxa"/>
              <w:bottom w:w="60" w:type="dxa"/>
              <w:left w:w="100" w:type="dxa"/>
              <w:right w:w="100" w:type="dxa"/>
            </w:tcMar>
          </w:tcPr>
          <w:p>
            <w:r>
              <w:rPr>
                <w:b/>
                <w:sz w:val="17"/>
              </w:rPr>
              <w:t>30.88%</w:t>
            </w:r>
          </w:p>
        </w:tc>
        <w:tc>
          <w:tcPr>
            <w:tcW w:type="dxa" w:w="1399"/>
            <w:tcMar>
              <w:top w:w="60" w:type="dxa"/>
              <w:bottom w:w="60" w:type="dxa"/>
              <w:left w:w="100" w:type="dxa"/>
              <w:right w:w="100" w:type="dxa"/>
            </w:tcMar>
          </w:tcPr>
          <w:p>
            <w:r>
              <w:rPr>
                <w:b/>
                <w:sz w:val="17"/>
              </w:rPr>
              <w:t>36.82%</w:t>
            </w:r>
          </w:p>
        </w:tc>
        <w:tc>
          <w:tcPr>
            <w:tcW w:type="dxa" w:w="1399"/>
            <w:tcMar>
              <w:top w:w="60" w:type="dxa"/>
              <w:bottom w:w="60" w:type="dxa"/>
              <w:left w:w="100" w:type="dxa"/>
              <w:right w:w="100" w:type="dxa"/>
            </w:tcMar>
          </w:tcPr>
          <w:p>
            <w:r>
              <w:rPr>
                <w:sz w:val="17"/>
              </w:rPr>
              <w:t>$1,738.6M</w:t>
            </w:r>
          </w:p>
        </w:tc>
        <w:tc>
          <w:tcPr>
            <w:tcW w:type="dxa" w:w="1399"/>
            <w:tcMar>
              <w:top w:w="60" w:type="dxa"/>
              <w:bottom w:w="60" w:type="dxa"/>
              <w:left w:w="100" w:type="dxa"/>
              <w:right w:w="100" w:type="dxa"/>
            </w:tcMar>
          </w:tcPr>
          <w:p>
            <w:r>
              <w:rPr>
                <w:sz w:val="17"/>
              </w:rPr>
              <w:t>$2,777.4M</w:t>
            </w:r>
          </w:p>
        </w:tc>
        <w:tc>
          <w:tcPr>
            <w:tcW w:type="dxa" w:w="1399"/>
            <w:tcMar>
              <w:top w:w="60" w:type="dxa"/>
              <w:bottom w:w="60" w:type="dxa"/>
              <w:left w:w="100" w:type="dxa"/>
              <w:right w:w="100" w:type="dxa"/>
            </w:tcMar>
          </w:tcPr>
          <w:p>
            <w:r>
              <w:rPr>
                <w:b/>
                <w:sz w:val="17"/>
              </w:rPr>
              <w:t>+25.79 p.p.</w:t>
            </w:r>
          </w:p>
        </w:tc>
      </w:tr>
      <w:tr>
        <w:tc>
          <w:tcPr>
            <w:tcW w:type="dxa" w:w="1399"/>
            <w:tcMar>
              <w:top w:w="60" w:type="dxa"/>
              <w:bottom w:w="60" w:type="dxa"/>
              <w:left w:w="100" w:type="dxa"/>
              <w:right w:w="100" w:type="dxa"/>
            </w:tcMar>
            <w:shd w:fill="F7FAFC"/>
          </w:tcPr>
          <w:p>
            <w:r>
              <w:rPr>
                <w:sz w:val="17"/>
              </w:rPr>
              <w:t>FY2022</w:t>
            </w:r>
          </w:p>
        </w:tc>
        <w:tc>
          <w:tcPr>
            <w:tcW w:type="dxa" w:w="1399"/>
            <w:tcMar>
              <w:top w:w="60" w:type="dxa"/>
              <w:bottom w:w="60" w:type="dxa"/>
              <w:left w:w="100" w:type="dxa"/>
              <w:right w:w="100" w:type="dxa"/>
            </w:tcMar>
            <w:shd w:fill="F7FAFC"/>
          </w:tcPr>
          <w:p>
            <w:r>
              <w:rPr>
                <w:b/>
                <w:sz w:val="17"/>
              </w:rPr>
              <w:t>93.73%</w:t>
            </w:r>
          </w:p>
        </w:tc>
        <w:tc>
          <w:tcPr>
            <w:tcW w:type="dxa" w:w="1399"/>
            <w:tcMar>
              <w:top w:w="60" w:type="dxa"/>
              <w:bottom w:w="60" w:type="dxa"/>
              <w:left w:w="100" w:type="dxa"/>
              <w:right w:w="100" w:type="dxa"/>
            </w:tcMar>
            <w:shd w:fill="F7FAFC"/>
          </w:tcPr>
          <w:p>
            <w:r>
              <w:rPr>
                <w:b/>
                <w:sz w:val="17"/>
              </w:rPr>
              <w:t>41.09%</w:t>
            </w:r>
          </w:p>
        </w:tc>
        <w:tc>
          <w:tcPr>
            <w:tcW w:type="dxa" w:w="1399"/>
            <w:tcMar>
              <w:top w:w="60" w:type="dxa"/>
              <w:bottom w:w="60" w:type="dxa"/>
              <w:left w:w="100" w:type="dxa"/>
              <w:right w:w="100" w:type="dxa"/>
            </w:tcMar>
            <w:shd w:fill="F7FAFC"/>
          </w:tcPr>
          <w:p>
            <w:r>
              <w:rPr>
                <w:b/>
                <w:sz w:val="17"/>
              </w:rPr>
              <w:t>45.18%</w:t>
            </w:r>
          </w:p>
        </w:tc>
        <w:tc>
          <w:tcPr>
            <w:tcW w:type="dxa" w:w="1399"/>
            <w:tcMar>
              <w:top w:w="60" w:type="dxa"/>
              <w:bottom w:w="60" w:type="dxa"/>
              <w:left w:w="100" w:type="dxa"/>
              <w:right w:w="100" w:type="dxa"/>
            </w:tcMar>
            <w:shd w:fill="F7FAFC"/>
          </w:tcPr>
          <w:p>
            <w:r>
              <w:rPr>
                <w:sz w:val="17"/>
              </w:rPr>
              <w:t>$2,962.8M</w:t>
            </w:r>
          </w:p>
        </w:tc>
        <w:tc>
          <w:tcPr>
            <w:tcW w:type="dxa" w:w="1399"/>
            <w:tcMar>
              <w:top w:w="60" w:type="dxa"/>
              <w:bottom w:w="60" w:type="dxa"/>
              <w:left w:w="100" w:type="dxa"/>
              <w:right w:w="100" w:type="dxa"/>
            </w:tcMar>
            <w:shd w:fill="F7FAFC"/>
          </w:tcPr>
          <w:p>
            <w:r>
              <w:rPr>
                <w:sz w:val="17"/>
              </w:rPr>
              <w:t>$4,822.2M</w:t>
            </w:r>
          </w:p>
        </w:tc>
        <w:tc>
          <w:tcPr>
            <w:tcW w:type="dxa" w:w="1399"/>
            <w:tcMar>
              <w:top w:w="60" w:type="dxa"/>
              <w:bottom w:w="60" w:type="dxa"/>
              <w:left w:w="100" w:type="dxa"/>
              <w:right w:w="100" w:type="dxa"/>
            </w:tcMar>
            <w:shd w:fill="F7FAFC"/>
          </w:tcPr>
          <w:p>
            <w:r>
              <w:rPr>
                <w:b/>
                <w:sz w:val="17"/>
              </w:rPr>
              <w:t>+34.15 p.p.</w:t>
            </w:r>
          </w:p>
        </w:tc>
      </w:tr>
      <w:tr>
        <w:tc>
          <w:tcPr>
            <w:tcW w:type="dxa" w:w="1399"/>
            <w:tcMar>
              <w:top w:w="60" w:type="dxa"/>
              <w:bottom w:w="60" w:type="dxa"/>
              <w:left w:w="100" w:type="dxa"/>
              <w:right w:w="100" w:type="dxa"/>
            </w:tcMar>
          </w:tcPr>
          <w:p>
            <w:r>
              <w:rPr>
                <w:sz w:val="17"/>
              </w:rPr>
              <w:t>FY2023</w:t>
            </w:r>
          </w:p>
        </w:tc>
        <w:tc>
          <w:tcPr>
            <w:tcW w:type="dxa" w:w="1399"/>
            <w:tcMar>
              <w:top w:w="60" w:type="dxa"/>
              <w:bottom w:w="60" w:type="dxa"/>
              <w:left w:w="100" w:type="dxa"/>
              <w:right w:w="100" w:type="dxa"/>
            </w:tcMar>
          </w:tcPr>
          <w:p>
            <w:r>
              <w:rPr>
                <w:b/>
                <w:sz w:val="17"/>
              </w:rPr>
              <w:t>139.46%</w:t>
            </w:r>
          </w:p>
        </w:tc>
        <w:tc>
          <w:tcPr>
            <w:tcW w:type="dxa" w:w="1399"/>
            <w:tcMar>
              <w:top w:w="60" w:type="dxa"/>
              <w:bottom w:w="60" w:type="dxa"/>
              <w:left w:w="100" w:type="dxa"/>
              <w:right w:w="100" w:type="dxa"/>
            </w:tcMar>
          </w:tcPr>
          <w:p>
            <w:r>
              <w:rPr>
                <w:b/>
                <w:sz w:val="17"/>
              </w:rPr>
              <w:t>59.42%</w:t>
            </w:r>
          </w:p>
        </w:tc>
        <w:tc>
          <w:tcPr>
            <w:tcW w:type="dxa" w:w="1399"/>
            <w:tcMar>
              <w:top w:w="60" w:type="dxa"/>
              <w:bottom w:w="60" w:type="dxa"/>
              <w:left w:w="100" w:type="dxa"/>
              <w:right w:w="100" w:type="dxa"/>
            </w:tcMar>
          </w:tcPr>
          <w:p>
            <w:r>
              <w:rPr>
                <w:b/>
                <w:sz w:val="17"/>
              </w:rPr>
              <w:t>50.17%</w:t>
            </w:r>
          </w:p>
        </w:tc>
        <w:tc>
          <w:tcPr>
            <w:tcW w:type="dxa" w:w="1399"/>
            <w:tcMar>
              <w:top w:w="60" w:type="dxa"/>
              <w:bottom w:w="60" w:type="dxa"/>
              <w:left w:w="100" w:type="dxa"/>
              <w:right w:w="100" w:type="dxa"/>
            </w:tcMar>
          </w:tcPr>
          <w:p>
            <w:r>
              <w:rPr>
                <w:sz w:val="17"/>
              </w:rPr>
              <w:t>$4,622.2M</w:t>
            </w:r>
          </w:p>
        </w:tc>
        <w:tc>
          <w:tcPr>
            <w:tcW w:type="dxa" w:w="1399"/>
            <w:tcMar>
              <w:top w:w="60" w:type="dxa"/>
              <w:bottom w:w="60" w:type="dxa"/>
              <w:left w:w="100" w:type="dxa"/>
              <w:right w:w="100" w:type="dxa"/>
            </w:tcMar>
          </w:tcPr>
          <w:p>
            <w:r>
              <w:rPr>
                <w:sz w:val="17"/>
              </w:rPr>
              <w:t>$7,321.0M</w:t>
            </w:r>
          </w:p>
        </w:tc>
        <w:tc>
          <w:tcPr>
            <w:tcW w:type="dxa" w:w="1399"/>
            <w:tcMar>
              <w:top w:w="60" w:type="dxa"/>
              <w:bottom w:w="60" w:type="dxa"/>
              <w:left w:w="100" w:type="dxa"/>
              <w:right w:w="100" w:type="dxa"/>
            </w:tcMar>
          </w:tcPr>
          <w:p>
            <w:r>
              <w:rPr>
                <w:b/>
                <w:sz w:val="17"/>
              </w:rPr>
              <w:t>+39.14 p.p.</w:t>
            </w:r>
          </w:p>
        </w:tc>
      </w:tr>
      <w:tr>
        <w:tc>
          <w:tcPr>
            <w:tcW w:type="dxa" w:w="1399"/>
            <w:tcMar>
              <w:top w:w="60" w:type="dxa"/>
              <w:bottom w:w="60" w:type="dxa"/>
              <w:left w:w="100" w:type="dxa"/>
              <w:right w:w="100" w:type="dxa"/>
            </w:tcMar>
            <w:shd w:fill="F7FAFC"/>
          </w:tcPr>
          <w:p>
            <w:r>
              <w:rPr>
                <w:sz w:val="17"/>
              </w:rPr>
              <w:t>FY2024</w:t>
            </w:r>
          </w:p>
        </w:tc>
        <w:tc>
          <w:tcPr>
            <w:tcW w:type="dxa" w:w="1399"/>
            <w:tcMar>
              <w:top w:w="60" w:type="dxa"/>
              <w:bottom w:w="60" w:type="dxa"/>
              <w:left w:w="100" w:type="dxa"/>
              <w:right w:w="100" w:type="dxa"/>
            </w:tcMar>
            <w:shd w:fill="F7FAFC"/>
          </w:tcPr>
          <w:p>
            <w:r>
              <w:rPr>
                <w:b/>
                <w:sz w:val="17"/>
              </w:rPr>
              <w:t>132.38%</w:t>
            </w:r>
          </w:p>
        </w:tc>
        <w:tc>
          <w:tcPr>
            <w:tcW w:type="dxa" w:w="1399"/>
            <w:tcMar>
              <w:top w:w="60" w:type="dxa"/>
              <w:bottom w:w="60" w:type="dxa"/>
              <w:left w:w="100" w:type="dxa"/>
              <w:right w:w="100" w:type="dxa"/>
            </w:tcMar>
            <w:shd w:fill="F7FAFC"/>
          </w:tcPr>
          <w:p>
            <w:r>
              <w:rPr>
                <w:b/>
                <w:sz w:val="17"/>
              </w:rPr>
              <w:t>51.27%</w:t>
            </w:r>
          </w:p>
        </w:tc>
        <w:tc>
          <w:tcPr>
            <w:tcW w:type="dxa" w:w="1399"/>
            <w:tcMar>
              <w:top w:w="60" w:type="dxa"/>
              <w:bottom w:w="60" w:type="dxa"/>
              <w:left w:w="100" w:type="dxa"/>
              <w:right w:w="100" w:type="dxa"/>
            </w:tcMar>
            <w:shd w:fill="F7FAFC"/>
          </w:tcPr>
          <w:p>
            <w:r>
              <w:rPr>
                <w:b/>
                <w:sz w:val="17"/>
              </w:rPr>
              <w:t>36.86%</w:t>
            </w:r>
          </w:p>
        </w:tc>
        <w:tc>
          <w:tcPr>
            <w:tcW w:type="dxa" w:w="1399"/>
            <w:tcMar>
              <w:top w:w="60" w:type="dxa"/>
              <w:bottom w:w="60" w:type="dxa"/>
              <w:left w:w="100" w:type="dxa"/>
              <w:right w:w="100" w:type="dxa"/>
            </w:tcMar>
            <w:shd w:fill="F7FAFC"/>
          </w:tcPr>
          <w:p>
            <w:r>
              <w:rPr>
                <w:sz w:val="17"/>
              </w:rPr>
              <w:t>$5,930.4M</w:t>
            </w:r>
          </w:p>
        </w:tc>
        <w:tc>
          <w:tcPr>
            <w:tcW w:type="dxa" w:w="1399"/>
            <w:tcMar>
              <w:top w:w="60" w:type="dxa"/>
              <w:bottom w:w="60" w:type="dxa"/>
              <w:left w:w="100" w:type="dxa"/>
              <w:right w:w="100" w:type="dxa"/>
            </w:tcMar>
            <w:shd w:fill="F7FAFC"/>
          </w:tcPr>
          <w:p>
            <w:r>
              <w:rPr>
                <w:sz w:val="17"/>
              </w:rPr>
              <w:t>$10,151.8M</w:t>
            </w:r>
          </w:p>
        </w:tc>
        <w:tc>
          <w:tcPr>
            <w:tcW w:type="dxa" w:w="1399"/>
            <w:tcMar>
              <w:top w:w="60" w:type="dxa"/>
              <w:bottom w:w="60" w:type="dxa"/>
              <w:left w:w="100" w:type="dxa"/>
              <w:right w:w="100" w:type="dxa"/>
            </w:tcMar>
            <w:shd w:fill="F7FAFC"/>
          </w:tcPr>
          <w:p>
            <w:r>
              <w:rPr>
                <w:b/>
                <w:sz w:val="17"/>
              </w:rPr>
              <w:t>+25.83 p.p.</w:t>
            </w:r>
          </w:p>
        </w:tc>
      </w:tr>
      <w:tr>
        <w:tc>
          <w:tcPr>
            <w:tcW w:type="dxa" w:w="1399"/>
            <w:tcMar>
              <w:top w:w="60" w:type="dxa"/>
              <w:bottom w:w="60" w:type="dxa"/>
              <w:left w:w="100" w:type="dxa"/>
              <w:right w:w="100" w:type="dxa"/>
            </w:tcMar>
          </w:tcPr>
          <w:p>
            <w:r>
              <w:rPr>
                <w:sz w:val="17"/>
              </w:rPr>
              <w:t>FY2025</w:t>
            </w:r>
          </w:p>
        </w:tc>
        <w:tc>
          <w:tcPr>
            <w:tcW w:type="dxa" w:w="1399"/>
            <w:tcMar>
              <w:top w:w="60" w:type="dxa"/>
              <w:bottom w:w="60" w:type="dxa"/>
              <w:left w:w="100" w:type="dxa"/>
              <w:right w:w="100" w:type="dxa"/>
            </w:tcMar>
          </w:tcPr>
          <w:p>
            <w:r>
              <w:rPr>
                <w:b/>
                <w:sz w:val="17"/>
              </w:rPr>
              <w:t>109.31%</w:t>
            </w:r>
          </w:p>
        </w:tc>
        <w:tc>
          <w:tcPr>
            <w:tcW w:type="dxa" w:w="1399"/>
            <w:tcMar>
              <w:top w:w="60" w:type="dxa"/>
              <w:bottom w:w="60" w:type="dxa"/>
              <w:left w:w="100" w:type="dxa"/>
              <w:right w:w="100" w:type="dxa"/>
            </w:tcMar>
          </w:tcPr>
          <w:p>
            <w:r>
              <w:rPr>
                <w:b/>
                <w:sz w:val="17"/>
              </w:rPr>
              <w:t>37.26%</w:t>
            </w:r>
          </w:p>
        </w:tc>
        <w:tc>
          <w:tcPr>
            <w:tcW w:type="dxa" w:w="1399"/>
            <w:tcMar>
              <w:top w:w="60" w:type="dxa"/>
              <w:bottom w:w="60" w:type="dxa"/>
              <w:left w:w="100" w:type="dxa"/>
              <w:right w:w="100" w:type="dxa"/>
            </w:tcMar>
          </w:tcPr>
          <w:p>
            <w:r>
              <w:rPr>
                <w:b/>
                <w:sz w:val="17"/>
              </w:rPr>
              <w:t>30.20%</w:t>
            </w:r>
          </w:p>
        </w:tc>
        <w:tc>
          <w:tcPr>
            <w:tcW w:type="dxa" w:w="1399"/>
            <w:tcMar>
              <w:top w:w="60" w:type="dxa"/>
              <w:bottom w:w="60" w:type="dxa"/>
              <w:left w:w="100" w:type="dxa"/>
              <w:right w:w="100" w:type="dxa"/>
            </w:tcMar>
          </w:tcPr>
          <w:p>
            <w:r>
              <w:rPr>
                <w:sz w:val="17"/>
              </w:rPr>
              <w:t>$7,451.2M</w:t>
            </w:r>
          </w:p>
        </w:tc>
        <w:tc>
          <w:tcPr>
            <w:tcW w:type="dxa" w:w="1399"/>
            <w:tcMar>
              <w:top w:w="60" w:type="dxa"/>
              <w:bottom w:w="60" w:type="dxa"/>
              <w:left w:w="100" w:type="dxa"/>
              <w:right w:w="100" w:type="dxa"/>
            </w:tcMar>
          </w:tcPr>
          <w:p>
            <w:r>
              <w:rPr>
                <w:sz w:val="17"/>
              </w:rPr>
              <w:t>$14,851.8M</w:t>
            </w:r>
          </w:p>
        </w:tc>
        <w:tc>
          <w:tcPr>
            <w:tcW w:type="dxa" w:w="1399"/>
            <w:tcMar>
              <w:top w:w="60" w:type="dxa"/>
              <w:bottom w:w="60" w:type="dxa"/>
              <w:left w:w="100" w:type="dxa"/>
              <w:right w:w="100" w:type="dxa"/>
            </w:tcMar>
          </w:tcPr>
          <w:p>
            <w:r>
              <w:rPr>
                <w:b/>
                <w:sz w:val="17"/>
              </w:rPr>
              <w:t>+19.17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82.36%</w:t>
            </w:r>
          </w:p>
        </w:tc>
        <w:tc>
          <w:tcPr>
            <w:tcW w:type="dxa" w:w="1399"/>
            <w:tcMar>
              <w:top w:w="60" w:type="dxa"/>
              <w:bottom w:w="60" w:type="dxa"/>
              <w:left w:w="100" w:type="dxa"/>
              <w:right w:w="100" w:type="dxa"/>
            </w:tcMar>
            <w:shd w:fill="F7FAFC"/>
            <w:shd w:fill="E2EFDA"/>
          </w:tcPr>
          <w:p>
            <w:r>
              <w:rPr>
                <w:b/>
                <w:sz w:val="17"/>
              </w:rPr>
              <w:t>25.45%</w:t>
            </w:r>
          </w:p>
        </w:tc>
        <w:tc>
          <w:tcPr>
            <w:tcW w:type="dxa" w:w="1399"/>
            <w:tcMar>
              <w:top w:w="60" w:type="dxa"/>
              <w:bottom w:w="60" w:type="dxa"/>
              <w:left w:w="100" w:type="dxa"/>
              <w:right w:w="100" w:type="dxa"/>
            </w:tcMar>
            <w:shd w:fill="F7FAFC"/>
            <w:shd w:fill="E2EFDA"/>
          </w:tcPr>
          <w:p>
            <w:r>
              <w:rPr>
                <w:b/>
                <w:sz w:val="17"/>
              </w:rPr>
              <w:t>18.10%</w:t>
            </w:r>
          </w:p>
        </w:tc>
        <w:tc>
          <w:tcPr>
            <w:tcW w:type="dxa" w:w="1399"/>
            <w:tcMar>
              <w:top w:w="60" w:type="dxa"/>
              <w:bottom w:w="60" w:type="dxa"/>
              <w:left w:w="100" w:type="dxa"/>
              <w:right w:w="100" w:type="dxa"/>
            </w:tcMar>
            <w:shd w:fill="F7FAFC"/>
            <w:shd w:fill="E2EFDA"/>
          </w:tcPr>
          <w:p>
            <w:r>
              <w:rPr>
                <w:sz w:val="17"/>
              </w:rPr>
              <w:t>$7,912.4M</w:t>
            </w:r>
          </w:p>
        </w:tc>
        <w:tc>
          <w:tcPr>
            <w:tcW w:type="dxa" w:w="1399"/>
            <w:tcMar>
              <w:top w:w="60" w:type="dxa"/>
              <w:bottom w:w="60" w:type="dxa"/>
              <w:left w:w="100" w:type="dxa"/>
              <w:right w:w="100" w:type="dxa"/>
            </w:tcMar>
            <w:shd w:fill="F7FAFC"/>
            <w:shd w:fill="E2EFDA"/>
          </w:tcPr>
          <w:p>
            <w:r>
              <w:rPr>
                <w:sz w:val="17"/>
              </w:rPr>
              <w:t>$18,531.3M</w:t>
            </w:r>
          </w:p>
        </w:tc>
        <w:tc>
          <w:tcPr>
            <w:tcW w:type="dxa" w:w="1399"/>
            <w:tcMar>
              <w:top w:w="60" w:type="dxa"/>
              <w:bottom w:w="60" w:type="dxa"/>
              <w:left w:w="100" w:type="dxa"/>
              <w:right w:w="100" w:type="dxa"/>
            </w:tcMar>
            <w:shd w:fill="F7FAFC"/>
            <w:shd w:fill="E2EFDA"/>
          </w:tcPr>
          <w:p>
            <w:r>
              <w:rPr>
                <w:b/>
                <w:sz w:val="17"/>
              </w:rPr>
              <w:t>+7.07 p.p.</w:t>
            </w:r>
          </w:p>
        </w:tc>
      </w:tr>
    </w:tbl>
    <w:p>
      <w:pPr>
        <w:spacing w:before="160" w:after="160"/>
      </w:pPr>
      <w:r>
        <w:rPr>
          <w:i/>
          <w:sz w:val="18"/>
        </w:rPr>
        <w:t>Matriz de Sensibilidad de Vida Útil: N-1 (2a) = 18.18% | N Base (3a) = 18.10% | N+1 (4a) = 17.94%.</w:t>
      </w:r>
    </w:p>
    <w:p>
      <w:pPr>
        <w:pStyle w:val="Heading2"/>
      </w:pPr>
      <w:r>
        <w:t>11.4. Creación de Valor Económico (EVA) y Durabilidad del Foso Defensivo</w:t>
      </w:r>
    </w:p>
    <w:p>
      <w:r>
        <w:rPr>
          <w:sz w:val="19"/>
        </w:rPr>
        <w:t>Spread Económico = ROIC Ajustado (18.10%) − WACC (11.03%) = +7.07 p.p.</w:t>
        <w:br/>
        <w:t>Dictamen: 🛡️ NARROW MOAT / CREACIÓN DE VALOR SOSTENIBLE.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5.19%</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1.36</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11.67%</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5.50%</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5.0%.</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11.03%</w:t>
            </w:r>
          </w:p>
        </w:tc>
        <w:tc>
          <w:tcPr>
            <w:tcW w:type="dxa" w:w="1958"/>
            <w:tcMar>
              <w:top w:w="60" w:type="dxa"/>
              <w:bottom w:w="60" w:type="dxa"/>
              <w:left w:w="100" w:type="dxa"/>
              <w:right w:w="100" w:type="dxa"/>
            </w:tcMar>
            <w:shd w:fill="F7FAFC"/>
          </w:tcPr>
          <w:p>
            <w:r>
              <w:rPr>
                <w:sz w:val="17"/>
              </w:rPr>
              <w:t>Mediana Sector (9.80%)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82.36%</w:t>
            </w:r>
          </w:p>
        </w:tc>
        <w:tc>
          <w:tcPr>
            <w:tcW w:type="dxa" w:w="1958"/>
            <w:tcMar>
              <w:top w:w="60" w:type="dxa"/>
              <w:bottom w:w="60" w:type="dxa"/>
              <w:left w:w="100" w:type="dxa"/>
              <w:right w:w="100" w:type="dxa"/>
            </w:tcMar>
            <w:shd w:fill="E2EFDA"/>
          </w:tcPr>
          <w:p>
            <w:r>
              <w:rPr>
                <w:sz w:val="17"/>
              </w:rPr>
              <w:t>Mediana Sector (32.00%)</w:t>
            </w:r>
          </w:p>
        </w:tc>
        <w:tc>
          <w:tcPr>
            <w:tcW w:type="dxa" w:w="1958"/>
            <w:tcMar>
              <w:top w:w="60" w:type="dxa"/>
              <w:bottom w:w="60" w:type="dxa"/>
              <w:left w:w="100" w:type="dxa"/>
              <w:right w:w="100" w:type="dxa"/>
            </w:tcMar>
            <w:shd w:fill="E2EFDA"/>
          </w:tcPr>
          <w:p>
            <w:r>
              <w:rPr>
                <w:sz w:val="17"/>
              </w:rPr>
              <w:t>Asset-Light; supera al sector por +50.36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$3,529.5M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25.45%</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$7,912.4M</w:t>
            </w:r>
          </w:p>
        </w:tc>
        <w:tc>
          <w:tcPr>
            <w:tcW w:type="dxa" w:w="1958"/>
            <w:tcMar>
              <w:top w:w="60" w:type="dxa"/>
              <w:bottom w:w="60" w:type="dxa"/>
              <w:left w:w="100" w:type="dxa"/>
              <w:right w:w="100" w:type="dxa"/>
            </w:tcMar>
            <w:shd w:fill="F7FAFC"/>
          </w:tcPr>
          <w:p>
            <w:r>
              <w:rPr>
                <w:sz w:val="17"/>
              </w:rPr>
              <w:t>Amortización 3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$18,531.3M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18.10%</w:t>
            </w:r>
          </w:p>
        </w:tc>
        <w:tc>
          <w:tcPr>
            <w:tcW w:type="dxa" w:w="1958"/>
            <w:tcMar>
              <w:top w:w="60" w:type="dxa"/>
              <w:bottom w:w="60" w:type="dxa"/>
              <w:left w:w="100" w:type="dxa"/>
              <w:right w:w="100" w:type="dxa"/>
            </w:tcMar>
            <w:shd w:fill="F7FAFC"/>
            <w:shd w:fill="E2EFDA"/>
          </w:tcPr>
          <w:p>
            <w:r>
              <w:rPr>
                <w:b/>
                <w:sz w:val="17"/>
              </w:rPr>
              <w:t>Mediana Sector (17.20%)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+7.07 p.p.</w:t>
            </w:r>
          </w:p>
        </w:tc>
        <w:tc>
          <w:tcPr>
            <w:tcW w:type="dxa" w:w="1958"/>
            <w:tcMar>
              <w:top w:w="60" w:type="dxa"/>
              <w:bottom w:w="60" w:type="dxa"/>
              <w:left w:w="100" w:type="dxa"/>
              <w:right w:w="100" w:type="dxa"/>
            </w:tcMar>
            <w:shd w:fill="E2EFDA"/>
          </w:tcPr>
          <w:p>
            <w:r>
              <w:rPr>
                <w:b/>
                <w:sz w:val="17"/>
              </w:rPr>
              <w:t>Mediana Sector (+8.00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NARROW MOAT / CREACIÓN DE VALOR SOSTENIBLE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ZONA DE VIGILANCIA</w:t>
        <w:br/>
      </w:r>
      <w:r>
        <w:rPr>
          <w:rFonts w:ascii="Calibri" w:hAnsi="Calibri"/>
          <w:color w:val="2D3748"/>
          <w:sz w:val="19"/>
        </w:rPr>
        <w:t>• Ratio Sloan de Devengos: -25.62% [ALTA CONVERSIÓN DE CAJA (CFO &gt; NI)]</w:t>
        <w:br/>
        <w:t>• Montier C-Score: 3 / 6 [RIESGO MEDIO-ALTO / VIGILANCIA RIGUROSA (&lt; 40% VIGILANCIA)]</w:t>
        <w:br/>
        <w:t>• Dictamen: ZONA DE VIGILANCIA POR DESFASES OPERATIVOS: Montier C-Score de 3/6 con divergencias puntuales en capital de trabajo. Revisar ciclos estacionales de inventarios y condiciones comerciales de cobro.</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$1,863.0M</w:t>
            </w:r>
          </w:p>
        </w:tc>
        <w:tc>
          <w:tcPr>
            <w:tcW w:type="dxa" w:w="1094"/>
            <w:tcMar>
              <w:top w:w="60" w:type="dxa"/>
              <w:bottom w:w="60" w:type="dxa"/>
              <w:left w:w="60" w:type="dxa"/>
              <w:right w:w="60" w:type="dxa"/>
            </w:tcMar>
          </w:tcPr>
          <w:p>
            <w:pPr>
              <w:jc w:val="right"/>
            </w:pPr>
            <w:r>
              <w:rPr>
                <w:rFonts w:ascii="Calibri" w:hAnsi="Calibri"/>
                <w:b w:val="0"/>
                <w:sz w:val="17"/>
              </w:rPr>
              <w:t>$1,997.0M</w:t>
            </w:r>
          </w:p>
        </w:tc>
        <w:tc>
          <w:tcPr>
            <w:tcW w:type="dxa" w:w="1094"/>
            <w:tcMar>
              <w:top w:w="60" w:type="dxa"/>
              <w:bottom w:w="60" w:type="dxa"/>
              <w:left w:w="60" w:type="dxa"/>
              <w:right w:w="60" w:type="dxa"/>
            </w:tcMar>
          </w:tcPr>
          <w:p>
            <w:pPr>
              <w:jc w:val="right"/>
            </w:pPr>
            <w:r>
              <w:rPr>
                <w:rFonts w:ascii="Calibri" w:hAnsi="Calibri"/>
                <w:b w:val="0"/>
                <w:sz w:val="17"/>
              </w:rPr>
              <w:t>$1,911.0M</w:t>
            </w:r>
          </w:p>
        </w:tc>
        <w:tc>
          <w:tcPr>
            <w:tcW w:type="dxa" w:w="1094"/>
            <w:tcMar>
              <w:top w:w="60" w:type="dxa"/>
              <w:bottom w:w="60" w:type="dxa"/>
              <w:left w:w="60" w:type="dxa"/>
              <w:right w:w="60" w:type="dxa"/>
            </w:tcMar>
          </w:tcPr>
          <w:p>
            <w:pPr>
              <w:jc w:val="right"/>
            </w:pPr>
            <w:r>
              <w:rPr>
                <w:rFonts w:ascii="Calibri" w:hAnsi="Calibri"/>
                <w:b w:val="0"/>
                <w:sz w:val="17"/>
              </w:rPr>
              <w:t>$987.0M</w:t>
            </w:r>
          </w:p>
        </w:tc>
        <w:tc>
          <w:tcPr>
            <w:tcW w:type="dxa" w:w="1094"/>
            <w:tcMar>
              <w:top w:w="60" w:type="dxa"/>
              <w:bottom w:w="60" w:type="dxa"/>
              <w:left w:w="60" w:type="dxa"/>
              <w:right w:w="60" w:type="dxa"/>
            </w:tcMar>
          </w:tcPr>
          <w:p>
            <w:pPr>
              <w:jc w:val="right"/>
            </w:pPr>
            <w:r>
              <w:rPr>
                <w:rFonts w:ascii="Calibri" w:hAnsi="Calibri"/>
                <w:b w:val="0"/>
                <w:sz w:val="17"/>
              </w:rPr>
              <w:t>$482.0M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$13,905.0M</w:t>
            </w:r>
          </w:p>
        </w:tc>
        <w:tc>
          <w:tcPr>
            <w:tcW w:type="dxa" w:w="1094"/>
            <w:tcMar>
              <w:top w:w="60" w:type="dxa"/>
              <w:bottom w:w="60" w:type="dxa"/>
              <w:left w:w="60" w:type="dxa"/>
              <w:right w:w="60" w:type="dxa"/>
            </w:tcMar>
          </w:tcPr>
          <w:p>
            <w:pPr>
              <w:jc w:val="right"/>
            </w:pPr>
            <w:r>
              <w:rPr>
                <w:rFonts w:ascii="Calibri" w:hAnsi="Calibri"/>
                <w:b w:val="0"/>
                <w:sz w:val="17"/>
              </w:rPr>
              <w:t>$12,116.0M</w:t>
            </w:r>
          </w:p>
        </w:tc>
        <w:tc>
          <w:tcPr>
            <w:tcW w:type="dxa" w:w="1094"/>
            <w:tcMar>
              <w:top w:w="60" w:type="dxa"/>
              <w:bottom w:w="60" w:type="dxa"/>
              <w:left w:w="60" w:type="dxa"/>
              <w:right w:w="60" w:type="dxa"/>
            </w:tcMar>
          </w:tcPr>
          <w:p>
            <w:pPr>
              <w:jc w:val="right"/>
            </w:pPr>
            <w:r>
              <w:rPr>
                <w:rFonts w:ascii="Calibri" w:hAnsi="Calibri"/>
                <w:b w:val="0"/>
                <w:sz w:val="17"/>
              </w:rPr>
              <w:t>$7,918.0M</w:t>
            </w:r>
          </w:p>
        </w:tc>
        <w:tc>
          <w:tcPr>
            <w:tcW w:type="dxa" w:w="1094"/>
            <w:tcMar>
              <w:top w:w="60" w:type="dxa"/>
              <w:bottom w:w="60" w:type="dxa"/>
              <w:left w:w="60" w:type="dxa"/>
              <w:right w:w="60" w:type="dxa"/>
            </w:tcMar>
          </w:tcPr>
          <w:p>
            <w:pPr>
              <w:jc w:val="right"/>
            </w:pPr>
            <w:r>
              <w:rPr>
                <w:rFonts w:ascii="Calibri" w:hAnsi="Calibri"/>
                <w:b w:val="0"/>
                <w:sz w:val="17"/>
              </w:rPr>
              <w:t>$5,140.0M</w:t>
            </w:r>
          </w:p>
        </w:tc>
        <w:tc>
          <w:tcPr>
            <w:tcW w:type="dxa" w:w="1094"/>
            <w:tcMar>
              <w:top w:w="60" w:type="dxa"/>
              <w:bottom w:w="60" w:type="dxa"/>
              <w:left w:w="60" w:type="dxa"/>
              <w:right w:w="60" w:type="dxa"/>
            </w:tcMar>
          </w:tcPr>
          <w:p>
            <w:pPr>
              <w:jc w:val="right"/>
            </w:pPr>
            <w:r>
              <w:rPr>
                <w:rFonts w:ascii="Calibri" w:hAnsi="Calibri"/>
                <w:b w:val="0"/>
                <w:sz w:val="17"/>
              </w:rPr>
              <w:t>$2,940.0M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$-12,042.0M</w:t>
            </w:r>
          </w:p>
        </w:tc>
        <w:tc>
          <w:tcPr>
            <w:tcW w:type="dxa" w:w="1094"/>
            <w:tcMar>
              <w:top w:w="60" w:type="dxa"/>
              <w:bottom w:w="60" w:type="dxa"/>
              <w:left w:w="60" w:type="dxa"/>
              <w:right w:w="60" w:type="dxa"/>
            </w:tcMar>
          </w:tcPr>
          <w:p>
            <w:pPr>
              <w:jc w:val="right"/>
            </w:pPr>
            <w:r>
              <w:rPr>
                <w:rFonts w:ascii="Calibri" w:hAnsi="Calibri"/>
                <w:b/>
                <w:sz w:val="17"/>
              </w:rPr>
              <w:t>$-10,119.0M</w:t>
            </w:r>
          </w:p>
        </w:tc>
        <w:tc>
          <w:tcPr>
            <w:tcW w:type="dxa" w:w="1094"/>
            <w:tcMar>
              <w:top w:w="60" w:type="dxa"/>
              <w:bottom w:w="60" w:type="dxa"/>
              <w:left w:w="60" w:type="dxa"/>
              <w:right w:w="60" w:type="dxa"/>
            </w:tcMar>
          </w:tcPr>
          <w:p>
            <w:pPr>
              <w:jc w:val="right"/>
            </w:pPr>
            <w:r>
              <w:rPr>
                <w:rFonts w:ascii="Calibri" w:hAnsi="Calibri"/>
                <w:b/>
                <w:sz w:val="17"/>
              </w:rPr>
              <w:t>$-6,007.0M</w:t>
            </w:r>
          </w:p>
        </w:tc>
        <w:tc>
          <w:tcPr>
            <w:tcW w:type="dxa" w:w="1094"/>
            <w:tcMar>
              <w:top w:w="60" w:type="dxa"/>
              <w:bottom w:w="60" w:type="dxa"/>
              <w:left w:w="60" w:type="dxa"/>
              <w:right w:w="60" w:type="dxa"/>
            </w:tcMar>
          </w:tcPr>
          <w:p>
            <w:pPr>
              <w:jc w:val="right"/>
            </w:pPr>
            <w:r>
              <w:rPr>
                <w:rFonts w:ascii="Calibri" w:hAnsi="Calibri"/>
                <w:b/>
                <w:sz w:val="17"/>
              </w:rPr>
              <w:t>$-4,153.0M</w:t>
            </w:r>
          </w:p>
        </w:tc>
        <w:tc>
          <w:tcPr>
            <w:tcW w:type="dxa" w:w="1094"/>
            <w:tcMar>
              <w:top w:w="60" w:type="dxa"/>
              <w:bottom w:w="60" w:type="dxa"/>
              <w:left w:w="60" w:type="dxa"/>
              <w:right w:w="60" w:type="dxa"/>
            </w:tcMar>
          </w:tcPr>
          <w:p>
            <w:pPr>
              <w:jc w:val="right"/>
            </w:pPr>
            <w:r>
              <w:rPr>
                <w:rFonts w:ascii="Calibri" w:hAnsi="Calibri"/>
                <w:b/>
                <w:sz w:val="17"/>
              </w:rPr>
              <w:t>$-2,458.0M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$47,011.5M</w:t>
            </w:r>
          </w:p>
        </w:tc>
        <w:tc>
          <w:tcPr>
            <w:tcW w:type="dxa" w:w="1094"/>
            <w:tcMar>
              <w:top w:w="60" w:type="dxa"/>
              <w:bottom w:w="60" w:type="dxa"/>
              <w:left w:w="60" w:type="dxa"/>
              <w:right w:w="60" w:type="dxa"/>
            </w:tcMar>
          </w:tcPr>
          <w:p>
            <w:pPr>
              <w:jc w:val="right"/>
            </w:pPr>
            <w:r>
              <w:rPr>
                <w:rFonts w:ascii="Calibri" w:hAnsi="Calibri"/>
                <w:b w:val="0"/>
                <w:sz w:val="17"/>
              </w:rPr>
              <w:t>$33,931.5M</w:t>
            </w:r>
          </w:p>
        </w:tc>
        <w:tc>
          <w:tcPr>
            <w:tcW w:type="dxa" w:w="1094"/>
            <w:tcMar>
              <w:top w:w="60" w:type="dxa"/>
              <w:bottom w:w="60" w:type="dxa"/>
              <w:left w:w="60" w:type="dxa"/>
              <w:right w:w="60" w:type="dxa"/>
            </w:tcMar>
          </w:tcPr>
          <w:p>
            <w:pPr>
              <w:jc w:val="right"/>
            </w:pPr>
            <w:r>
              <w:rPr>
                <w:rFonts w:ascii="Calibri" w:hAnsi="Calibri"/>
                <w:b w:val="0"/>
                <w:sz w:val="17"/>
              </w:rPr>
              <w:t>$21,404.0M</w:t>
            </w:r>
          </w:p>
        </w:tc>
        <w:tc>
          <w:tcPr>
            <w:tcW w:type="dxa" w:w="1094"/>
            <w:tcMar>
              <w:top w:w="60" w:type="dxa"/>
              <w:bottom w:w="60" w:type="dxa"/>
              <w:left w:w="60" w:type="dxa"/>
              <w:right w:w="60" w:type="dxa"/>
            </w:tcMar>
          </w:tcPr>
          <w:p>
            <w:pPr>
              <w:jc w:val="right"/>
            </w:pPr>
            <w:r>
              <w:rPr>
                <w:rFonts w:ascii="Calibri" w:hAnsi="Calibri"/>
                <w:b w:val="0"/>
                <w:sz w:val="17"/>
              </w:rPr>
              <w:t>$15,674.0M</w:t>
            </w:r>
          </w:p>
        </w:tc>
        <w:tc>
          <w:tcPr>
            <w:tcW w:type="dxa" w:w="1094"/>
            <w:tcMar>
              <w:top w:w="60" w:type="dxa"/>
              <w:bottom w:w="60" w:type="dxa"/>
              <w:left w:w="60" w:type="dxa"/>
              <w:right w:w="60" w:type="dxa"/>
            </w:tcMar>
          </w:tcPr>
          <w:p>
            <w:pPr>
              <w:jc w:val="right"/>
            </w:pPr>
            <w:r>
              <w:rPr>
                <w:rFonts w:ascii="Calibri" w:hAnsi="Calibri"/>
                <w:b w:val="0"/>
                <w:sz w:val="17"/>
              </w:rPr>
              <w:t>$11,918.5M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-25.62%</w:t>
            </w:r>
          </w:p>
        </w:tc>
        <w:tc>
          <w:tcPr>
            <w:tcW w:type="dxa" w:w="1094"/>
            <w:tcMar>
              <w:top w:w="60" w:type="dxa"/>
              <w:bottom w:w="60" w:type="dxa"/>
              <w:left w:w="60" w:type="dxa"/>
              <w:right w:w="60" w:type="dxa"/>
            </w:tcMar>
          </w:tcPr>
          <w:p>
            <w:pPr>
              <w:jc w:val="right"/>
            </w:pPr>
            <w:r>
              <w:rPr>
                <w:rFonts w:ascii="Calibri" w:hAnsi="Calibri"/>
                <w:b/>
                <w:sz w:val="17"/>
              </w:rPr>
              <w:t>-29.82%</w:t>
            </w:r>
          </w:p>
        </w:tc>
        <w:tc>
          <w:tcPr>
            <w:tcW w:type="dxa" w:w="1094"/>
            <w:tcMar>
              <w:top w:w="60" w:type="dxa"/>
              <w:bottom w:w="60" w:type="dxa"/>
              <w:left w:w="60" w:type="dxa"/>
              <w:right w:w="60" w:type="dxa"/>
            </w:tcMar>
          </w:tcPr>
          <w:p>
            <w:pPr>
              <w:jc w:val="right"/>
            </w:pPr>
            <w:r>
              <w:rPr>
                <w:rFonts w:ascii="Calibri" w:hAnsi="Calibri"/>
                <w:b/>
                <w:sz w:val="17"/>
              </w:rPr>
              <w:t>-28.06%</w:t>
            </w:r>
          </w:p>
        </w:tc>
        <w:tc>
          <w:tcPr>
            <w:tcW w:type="dxa" w:w="1094"/>
            <w:tcMar>
              <w:top w:w="60" w:type="dxa"/>
              <w:bottom w:w="60" w:type="dxa"/>
              <w:left w:w="60" w:type="dxa"/>
              <w:right w:w="60" w:type="dxa"/>
            </w:tcMar>
          </w:tcPr>
          <w:p>
            <w:pPr>
              <w:jc w:val="right"/>
            </w:pPr>
            <w:r>
              <w:rPr>
                <w:rFonts w:ascii="Calibri" w:hAnsi="Calibri"/>
                <w:b/>
                <w:sz w:val="17"/>
              </w:rPr>
              <w:t>-26.50%</w:t>
            </w:r>
          </w:p>
        </w:tc>
        <w:tc>
          <w:tcPr>
            <w:tcW w:type="dxa" w:w="1094"/>
            <w:tcMar>
              <w:top w:w="60" w:type="dxa"/>
              <w:bottom w:w="60" w:type="dxa"/>
              <w:left w:w="60" w:type="dxa"/>
              <w:right w:w="60" w:type="dxa"/>
            </w:tcMar>
          </w:tcPr>
          <w:p>
            <w:pPr>
              <w:jc w:val="right"/>
            </w:pPr>
            <w:r>
              <w:rPr>
                <w:rFonts w:ascii="Calibri" w:hAnsi="Calibri"/>
                <w:b/>
                <w:sz w:val="17"/>
              </w:rPr>
              <w:t>-20.62%</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MercadoLibre, Inc. generó $13,905.0M de CFO frente a $1,863.0M de beneficio neto, arrojando una tasa de conversión de caja del 746.4% (cada dólar reportado está respaldado por $7.46 de efectivo). El Ratio Sloan de -25.62%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-8.5%</w:t>
            </w:r>
          </w:p>
        </w:tc>
        <w:tc>
          <w:tcPr>
            <w:tcW w:type="dxa" w:w="1440"/>
            <w:tcMar>
              <w:top w:w="60" w:type="dxa"/>
              <w:bottom w:w="60" w:type="dxa"/>
              <w:left w:w="80" w:type="dxa"/>
              <w:right w:w="80" w:type="dxa"/>
            </w:tcMar>
          </w:tcPr>
          <w:p>
            <w:pPr>
              <w:jc w:val="center"/>
            </w:pPr>
            <w:r>
              <w:rPr>
                <w:rFonts w:ascii="Calibri" w:hAnsi="Calibri"/>
                <w:sz w:val="17"/>
              </w:rPr>
              <w:t>DSO: 4.3d (-0.3d)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+18.4%</w:t>
            </w:r>
          </w:p>
        </w:tc>
        <w:tc>
          <w:tcPr>
            <w:tcW w:type="dxa" w:w="1440"/>
            <w:tcMar>
              <w:top w:w="60" w:type="dxa"/>
              <w:bottom w:w="60" w:type="dxa"/>
              <w:left w:w="80" w:type="dxa"/>
              <w:right w:w="80" w:type="dxa"/>
            </w:tcMar>
          </w:tcPr>
          <w:p>
            <w:pPr>
              <w:jc w:val="center"/>
            </w:pPr>
            <w:r>
              <w:rPr>
                <w:rFonts w:ascii="Calibri" w:hAnsi="Calibri"/>
                <w:sz w:val="17"/>
              </w:rPr>
              <w:t>DIO: 14.9d (+1.9d)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87.6%</w:t>
            </w:r>
          </w:p>
        </w:tc>
        <w:tc>
          <w:tcPr>
            <w:tcW w:type="dxa" w:w="1440"/>
            <w:tcMar>
              <w:top w:w="60" w:type="dxa"/>
              <w:bottom w:w="60" w:type="dxa"/>
              <w:left w:w="80" w:type="dxa"/>
              <w:right w:w="80" w:type="dxa"/>
            </w:tcMar>
          </w:tcPr>
          <w:p>
            <w:pPr>
              <w:jc w:val="center"/>
            </w:pPr>
            <w:r>
              <w:rPr>
                <w:rFonts w:ascii="Calibri" w:hAnsi="Calibri"/>
                <w:sz w:val="17"/>
              </w:rPr>
              <w:t>Δ: +1.6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(MercadoLibre, Inc.): Inventario en sintonía con la cadencia de costes (Spread: 18.4%, DIO: 14.9d). Existencias optimizadas.</w:t>
      </w:r>
    </w:p>
    <w:p>
      <w:pPr>
        <w:pStyle w:val="Heading2"/>
      </w:pPr>
      <w:r>
        <w:rPr>
          <w:rFonts w:ascii="Calibri" w:hAnsi="Calibri"/>
          <w:b/>
          <w:color w:val="1B365D"/>
          <w:sz w:val="23"/>
        </w:rPr>
        <w:t>12.3. Desglose Forense Montier C-Score (3 / 6)</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$1,863.0M vs CFO: $13,905.0M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 (DSO)</w:t>
            </w:r>
          </w:p>
        </w:tc>
        <w:tc>
          <w:tcPr>
            <w:tcW w:type="dxa" w:w="2016"/>
            <w:tcMar>
              <w:top w:w="60" w:type="dxa"/>
              <w:bottom w:w="60" w:type="dxa"/>
              <w:left w:w="80" w:type="dxa"/>
              <w:right w:w="80" w:type="dxa"/>
            </w:tcMar>
          </w:tcPr>
          <w:p>
            <w:pPr>
              <w:jc w:val="left"/>
            </w:pPr>
            <w:r>
              <w:rPr>
                <w:rFonts w:ascii="Calibri" w:hAnsi="Calibri"/>
                <w:sz w:val="16"/>
              </w:rPr>
              <w:t>Δ DSO &gt; 0 (o %Δ Cuentas por Cobrar &gt; %Δ Ventas)</w:t>
            </w:r>
          </w:p>
        </w:tc>
        <w:tc>
          <w:tcPr>
            <w:tcW w:type="dxa" w:w="1872"/>
            <w:tcMar>
              <w:top w:w="60" w:type="dxa"/>
              <w:bottom w:w="60" w:type="dxa"/>
              <w:left w:w="80" w:type="dxa"/>
              <w:right w:w="80" w:type="dxa"/>
            </w:tcMar>
          </w:tcPr>
          <w:p>
            <w:pPr>
              <w:jc w:val="left"/>
            </w:pPr>
            <w:r>
              <w:rPr>
                <w:rFonts w:ascii="Calibri" w:hAnsi="Calibri"/>
                <w:sz w:val="16"/>
              </w:rPr>
              <w:t>DSO: 4.3d (Δ: -0.3d)</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plazo de cobro se dilata o 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 (DIO)</w:t>
            </w:r>
          </w:p>
        </w:tc>
        <w:tc>
          <w:tcPr>
            <w:tcW w:type="dxa" w:w="2016"/>
            <w:tcMar>
              <w:top w:w="60" w:type="dxa"/>
              <w:bottom w:w="60" w:type="dxa"/>
              <w:left w:w="80" w:type="dxa"/>
              <w:right w:w="80" w:type="dxa"/>
            </w:tcMar>
          </w:tcPr>
          <w:p>
            <w:pPr>
              <w:jc w:val="left"/>
            </w:pPr>
            <w:r>
              <w:rPr>
                <w:rFonts w:ascii="Calibri" w:hAnsi="Calibri"/>
                <w:sz w:val="16"/>
              </w:rPr>
              <w:t>Δ DIO &gt; 0 (o %Δ Inventarios &gt; %Δ Coste de Ventas)</w:t>
            </w:r>
          </w:p>
        </w:tc>
        <w:tc>
          <w:tcPr>
            <w:tcW w:type="dxa" w:w="1872"/>
            <w:tcMar>
              <w:top w:w="60" w:type="dxa"/>
              <w:bottom w:w="60" w:type="dxa"/>
              <w:left w:w="80" w:type="dxa"/>
              <w:right w:w="80" w:type="dxa"/>
            </w:tcMar>
          </w:tcPr>
          <w:p>
            <w:pPr>
              <w:jc w:val="left"/>
            </w:pPr>
            <w:r>
              <w:rPr>
                <w:rFonts w:ascii="Calibri" w:hAnsi="Calibri"/>
                <w:sz w:val="16"/>
              </w:rPr>
              <w:t>DIO: 14.9d (Δ: +1.9d)</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existencias rotan más lento o crecen más rápido que los costes.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Otros Activos Corrientes vs. Ventas</w:t>
            </w:r>
          </w:p>
        </w:tc>
        <w:tc>
          <w:tcPr>
            <w:tcW w:type="dxa" w:w="2016"/>
            <w:tcMar>
              <w:top w:w="60" w:type="dxa"/>
              <w:bottom w:w="60" w:type="dxa"/>
              <w:left w:w="80" w:type="dxa"/>
              <w:right w:w="80" w:type="dxa"/>
            </w:tcMar>
          </w:tcPr>
          <w:p>
            <w:pPr>
              <w:jc w:val="left"/>
            </w:pPr>
            <w:r>
              <w:rPr>
                <w:rFonts w:ascii="Calibri" w:hAnsi="Calibri"/>
                <w:sz w:val="16"/>
              </w:rPr>
              <w:t>Ratio Otros Act. Ctes/Ventas_t &gt; Ratio Otros Act. Ctes/Ventas_t-1</w:t>
            </w:r>
          </w:p>
        </w:tc>
        <w:tc>
          <w:tcPr>
            <w:tcW w:type="dxa" w:w="1872"/>
            <w:tcMar>
              <w:top w:w="60" w:type="dxa"/>
              <w:bottom w:w="60" w:type="dxa"/>
              <w:left w:w="80" w:type="dxa"/>
              <w:right w:w="80" w:type="dxa"/>
            </w:tcMar>
          </w:tcPr>
          <w:p>
            <w:pPr>
              <w:jc w:val="left"/>
            </w:pPr>
            <w:r>
              <w:rPr>
                <w:rFonts w:ascii="Calibri" w:hAnsi="Calibri"/>
                <w:sz w:val="16"/>
              </w:rPr>
              <w:t>Otros Act/Ventas: 2.66% vs 2.49%</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Incremento del peso relativo de otros activos corrientes. Alerta de partidas dudosas o cargos diferidos ocultos fuera de clientes e inventarios.</w:t>
            </w:r>
          </w:p>
        </w:tc>
      </w:tr>
      <w:tr>
        <w:tc>
          <w:tcPr>
            <w:tcW w:type="dxa" w:w="2160"/>
            <w:tcMar>
              <w:top w:w="60" w:type="dxa"/>
              <w:bottom w:w="60" w:type="dxa"/>
              <w:left w:w="80" w:type="dxa"/>
              <w:right w:w="80" w:type="dxa"/>
            </w:tcMar>
          </w:tcPr>
          <w:p>
            <w:pPr>
              <w:jc w:val="left"/>
            </w:pPr>
            <w:r>
              <w:rPr>
                <w:rFonts w:ascii="Calibri" w:hAnsi="Calibri"/>
                <w:sz w:val="16"/>
              </w:rPr>
              <w:t>5.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23.09% vs 26.21%</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 estimadas.</w:t>
            </w:r>
          </w:p>
        </w:tc>
      </w:tr>
      <w:tr>
        <w:tc>
          <w:tcPr>
            <w:tcW w:type="dxa" w:w="2160"/>
            <w:tcMar>
              <w:top w:w="60" w:type="dxa"/>
              <w:bottom w:w="60" w:type="dxa"/>
              <w:left w:w="80" w:type="dxa"/>
              <w:right w:w="80" w:type="dxa"/>
            </w:tcMar>
          </w:tcPr>
          <w:p>
            <w:pPr>
              <w:jc w:val="left"/>
            </w:pPr>
            <w:r>
              <w:rPr>
                <w:rFonts w:ascii="Calibri" w:hAnsi="Calibri"/>
                <w:sz w:val="16"/>
              </w:rPr>
              <w:t>6. Crecimiento Excesivo de Activos Totales</w:t>
            </w:r>
          </w:p>
        </w:tc>
        <w:tc>
          <w:tcPr>
            <w:tcW w:type="dxa" w:w="2016"/>
            <w:tcMar>
              <w:top w:w="60" w:type="dxa"/>
              <w:bottom w:w="60" w:type="dxa"/>
              <w:left w:w="80" w:type="dxa"/>
              <w:right w:w="80" w:type="dxa"/>
            </w:tcMar>
          </w:tcPr>
          <w:p>
            <w:pPr>
              <w:jc w:val="left"/>
            </w:pPr>
            <w:r>
              <w:rPr>
                <w:rFonts w:ascii="Calibri" w:hAnsi="Calibri"/>
                <w:sz w:val="16"/>
              </w:rPr>
              <w:t>Δ Activos &gt; 15.0% y Δ Activos &gt; 1.15 * Δ Ventas</w:t>
            </w:r>
          </w:p>
        </w:tc>
        <w:tc>
          <w:tcPr>
            <w:tcW w:type="dxa" w:w="1872"/>
            <w:tcMar>
              <w:top w:w="60" w:type="dxa"/>
              <w:bottom w:w="60" w:type="dxa"/>
              <w:left w:w="80" w:type="dxa"/>
              <w:right w:w="80" w:type="dxa"/>
            </w:tcMar>
          </w:tcPr>
          <w:p>
            <w:pPr>
              <w:jc w:val="left"/>
            </w:pPr>
            <w:r>
              <w:rPr>
                <w:rFonts w:ascii="Calibri" w:hAnsi="Calibri"/>
                <w:sz w:val="16"/>
              </w:rPr>
              <w:t>ΔActivos: +20.4% vs ΔVentas: +21.8%</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Expansión desproporcionada de balance no respaldada por ventas. Montier advierte que suele utilizarse para disimular debilidad orgánica o acumulación de partidas improductivas.</w:t>
            </w:r>
          </w:p>
        </w:tc>
      </w:tr>
    </w:tbl>
    <w:p>
      <w:pPr>
        <w:spacing w:before="80" w:after="160"/>
      </w:pPr>
      <w:r>
        <w:rPr>
          <w:rFonts w:ascii="Calibri" w:hAnsi="Calibri"/>
          <w:b/>
          <w:color w:val="1B365D"/>
          <w:sz w:val="17"/>
        </w:rPr>
        <w:t>Dictamen Montier: 3 / 6 Banderas — RIESGO MEDIO-ALTO / VIGILANCIA RIGUROSA. Probabilidad empírica de manipulación zona de vigilancia (&lt; 40%).</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-25.62%</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negativos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746.4%</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contables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-8.5%</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4.3d);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14.9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(14.9d);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+1.6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Cero distorsión; gastos operativos no se activan en el balance.</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3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Vigilancia rigurosa (3/6); desfases en capital de trabajo o balance (&lt; 40%).</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SOLVENCIA MODERADA</w:t>
              <w:br/>
            </w:r>
            <w:r>
              <w:rPr>
                <w:color w:val="2D3748"/>
                <w:sz w:val="19"/>
              </w:rPr>
              <w:t>Rating Sintético Damodaran: AAA (GRADO INSTITUCIONAL MÁXIMO (AAA / Aaa)) | Altman Z''-Score: 1.56 [ZONA GRIS]</w:t>
              <w:br/>
              <w:br/>
              <w:t>SOLVENCIA EQUILIBRADA BAJO MONITOREO: Apalancamiento controlado (1.31x), cobertura de 13.7x y Altman Z''-Score de 1.56. Estructura de capital adecuada sin riesgos inminentes de impago.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$10,626.0M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$5,730.0M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$4,896.0M</w:t>
            </w:r>
          </w:p>
        </w:tc>
        <w:tc>
          <w:tcPr>
            <w:tcW w:type="dxa" w:w="2448"/>
          </w:tcPr>
          <w:p>
            <w:r>
              <w:rPr>
                <w:sz w:val="17"/>
              </w:rPr>
              <w:t>Deuda Neta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1.31x</w:t>
            </w:r>
          </w:p>
        </w:tc>
        <w:tc>
          <w:tcPr>
            <w:tcW w:type="dxa" w:w="2448"/>
            <w:shd w:fill="F7FAFC"/>
          </w:tcPr>
          <w:p>
            <w:r>
              <w:rPr>
                <w:sz w:val="17"/>
              </w:rPr>
              <w:t>GRADO INVERSIÓN SUPERIOR (&lt; 1.5x)</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0.39x</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$2,907.0M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$212.0M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13.7x</w:t>
            </w:r>
          </w:p>
        </w:tc>
        <w:tc>
          <w:tcPr>
            <w:tcW w:type="dxa" w:w="2448"/>
          </w:tcPr>
          <w:p>
            <w:r>
              <w:rPr>
                <w:sz w:val="17"/>
              </w:rPr>
              <w:t>COBERTURA EXCELENTE (&gt; 10.0x)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1.52%</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1.56</w:t>
            </w:r>
          </w:p>
        </w:tc>
        <w:tc>
          <w:tcPr>
            <w:tcW w:type="dxa" w:w="2448"/>
          </w:tcPr>
          <w:p>
            <w:r>
              <w:rPr>
                <w:sz w:val="17"/>
              </w:rPr>
              <w:t>ZONA GRIS</w:t>
            </w:r>
          </w:p>
        </w:tc>
        <w:tc>
          <w:tcPr>
            <w:tcW w:type="dxa" w:w="2448"/>
          </w:tcPr>
          <w:p>
            <w:r>
              <w:rPr>
                <w:sz w:val="17"/>
              </w:rPr>
              <w:t>ZONA GRIS (PRECAUCIÓN Y SEGUIMIENTO)</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GRADO INSTITUCIONAL MÁXIMO (AAA / Aaa)</w:t>
            </w:r>
          </w:p>
        </w:tc>
        <w:tc>
          <w:tcPr>
            <w:tcW w:type="dxa" w:w="2448"/>
            <w:shd w:fill="F7FAFC"/>
          </w:tcPr>
          <w:p>
            <w:r>
              <w:rPr>
                <w:sz w:val="17"/>
              </w:rPr>
              <w:t>Spread Teórico: +0.60%</w:t>
            </w:r>
          </w:p>
        </w:tc>
      </w:tr>
      <w:tr>
        <w:tc>
          <w:tcPr>
            <w:tcW w:type="dxa" w:w="2448"/>
          </w:tcPr>
          <w:p>
            <w:r>
              <w:rPr>
                <w:b/>
                <w:sz w:val="17"/>
              </w:rPr>
              <w:t>Probabilidad de Default a 10 Años</w:t>
            </w:r>
          </w:p>
        </w:tc>
        <w:tc>
          <w:tcPr>
            <w:tcW w:type="dxa" w:w="2448"/>
          </w:tcPr>
          <w:p>
            <w:r>
              <w:rPr>
                <w:b/>
                <w:sz w:val="17"/>
              </w:rPr>
              <w:t>&lt; 0.2%</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$1821.81  |  WACC Auditado: 11.03% (Rf: 5.19%, ERP: 4.75%)</w:t>
        <w:br/>
        <w:t>• Crecimiento Implícito Calculado: 14.0% Anual a 10 Años (vs. 48.7% Histórico)</w:t>
        <w:br/>
        <w:t>• Veredicto: Descuenta expectativas de 14.0% anual. Exigencia asumible (+14.0% anual); alineada con el ritmo tendencial de la empresa y su sector.</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$1821.81</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5.19%</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1.36</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5.79%</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5.5%</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5.0%</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10.3%</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89.7%</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11.03%</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10.2%</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10.03% (Bajo / Expansión)</w:t>
            </w:r>
          </w:p>
        </w:tc>
        <w:tc>
          <w:tcPr>
            <w:tcW w:type="dxa" w:w="1224"/>
          </w:tcPr>
          <w:p>
            <w:r>
              <w:rPr>
                <w:sz w:val="16"/>
              </w:rPr>
              <w:t>13.6%</w:t>
            </w:r>
          </w:p>
        </w:tc>
        <w:tc>
          <w:tcPr>
            <w:tcW w:type="dxa" w:w="1224"/>
          </w:tcPr>
          <w:p>
            <w:r>
              <w:rPr>
                <w:sz w:val="16"/>
              </w:rPr>
              <w:t>13.1%</w:t>
            </w:r>
          </w:p>
        </w:tc>
        <w:tc>
          <w:tcPr>
            <w:tcW w:type="dxa" w:w="1224"/>
          </w:tcPr>
          <w:p>
            <w:r>
              <w:rPr>
                <w:sz w:val="16"/>
              </w:rPr>
              <w:t>12.6%</w:t>
            </w:r>
          </w:p>
        </w:tc>
        <w:tc>
          <w:tcPr>
            <w:tcW w:type="dxa" w:w="1224"/>
          </w:tcPr>
          <w:p>
            <w:r>
              <w:rPr>
                <w:b/>
                <w:sz w:val="16"/>
              </w:rPr>
              <w:t>12.0%</w:t>
            </w:r>
          </w:p>
        </w:tc>
        <w:tc>
          <w:tcPr>
            <w:tcW w:type="dxa" w:w="1224"/>
          </w:tcPr>
          <w:p>
            <w:r>
              <w:rPr>
                <w:sz w:val="16"/>
              </w:rPr>
              <w:t>11.4%</w:t>
            </w:r>
          </w:p>
        </w:tc>
        <w:tc>
          <w:tcPr>
            <w:tcW w:type="dxa" w:w="1224"/>
          </w:tcPr>
          <w:p>
            <w:r>
              <w:rPr>
                <w:sz w:val="16"/>
              </w:rPr>
              <w:t>10.8%</w:t>
            </w:r>
          </w:p>
        </w:tc>
        <w:tc>
          <w:tcPr>
            <w:tcW w:type="dxa" w:w="1224"/>
          </w:tcPr>
          <w:p>
            <w:r>
              <w:rPr>
                <w:sz w:val="16"/>
              </w:rPr>
              <w:t>Escenario favorable; exigencia de crecimiento más moderada.</w:t>
            </w:r>
          </w:p>
        </w:tc>
      </w:tr>
      <w:tr>
        <w:tc>
          <w:tcPr>
            <w:tcW w:type="dxa" w:w="1224"/>
            <w:shd w:fill="F7FAFC"/>
          </w:tcPr>
          <w:p>
            <w:r>
              <w:rPr>
                <w:sz w:val="16"/>
              </w:rPr>
              <w:t>10.53% (Favorable)</w:t>
            </w:r>
          </w:p>
        </w:tc>
        <w:tc>
          <w:tcPr>
            <w:tcW w:type="dxa" w:w="1224"/>
            <w:shd w:fill="F7FAFC"/>
          </w:tcPr>
          <w:p>
            <w:r>
              <w:rPr>
                <w:sz w:val="16"/>
              </w:rPr>
              <w:t>14.5%</w:t>
            </w:r>
          </w:p>
        </w:tc>
        <w:tc>
          <w:tcPr>
            <w:tcW w:type="dxa" w:w="1224"/>
            <w:shd w:fill="F7FAFC"/>
          </w:tcPr>
          <w:p>
            <w:r>
              <w:rPr>
                <w:sz w:val="16"/>
              </w:rPr>
              <w:t>14.1%</w:t>
            </w:r>
          </w:p>
        </w:tc>
        <w:tc>
          <w:tcPr>
            <w:tcW w:type="dxa" w:w="1224"/>
            <w:shd w:fill="F7FAFC"/>
          </w:tcPr>
          <w:p>
            <w:r>
              <w:rPr>
                <w:sz w:val="16"/>
              </w:rPr>
              <w:t>13.6%</w:t>
            </w:r>
          </w:p>
        </w:tc>
        <w:tc>
          <w:tcPr>
            <w:tcW w:type="dxa" w:w="1224"/>
            <w:shd w:fill="F7FAFC"/>
          </w:tcPr>
          <w:p>
            <w:r>
              <w:rPr>
                <w:b/>
                <w:sz w:val="16"/>
              </w:rPr>
              <w:t>13.0%</w:t>
            </w:r>
          </w:p>
        </w:tc>
        <w:tc>
          <w:tcPr>
            <w:tcW w:type="dxa" w:w="1224"/>
            <w:shd w:fill="F7FAFC"/>
          </w:tcPr>
          <w:p>
            <w:r>
              <w:rPr>
                <w:sz w:val="16"/>
              </w:rPr>
              <w:t>12.5%</w:t>
            </w:r>
          </w:p>
        </w:tc>
        <w:tc>
          <w:tcPr>
            <w:tcW w:type="dxa" w:w="1224"/>
            <w:shd w:fill="F7FAFC"/>
          </w:tcPr>
          <w:p>
            <w:r>
              <w:rPr>
                <w:sz w:val="16"/>
              </w:rPr>
              <w:t>11.9%</w:t>
            </w:r>
          </w:p>
        </w:tc>
        <w:tc>
          <w:tcPr>
            <w:tcW w:type="dxa" w:w="1224"/>
            <w:shd w:fill="F7FAFC"/>
          </w:tcPr>
          <w:p>
            <w:r>
              <w:rPr>
                <w:sz w:val="16"/>
              </w:rPr>
              <w:t>Escenario de sensibilidad operativa.</w:t>
            </w:r>
          </w:p>
        </w:tc>
      </w:tr>
      <w:tr>
        <w:tc>
          <w:tcPr>
            <w:tcW w:type="dxa" w:w="1224"/>
            <w:shd w:fill="F7FAFC"/>
          </w:tcPr>
          <w:p>
            <w:r>
              <w:rPr>
                <w:sz w:val="16"/>
              </w:rPr>
              <w:t>11.03% (WACC Auditado Base)</w:t>
            </w:r>
          </w:p>
        </w:tc>
        <w:tc>
          <w:tcPr>
            <w:tcW w:type="dxa" w:w="1224"/>
            <w:shd w:fill="F7FAFC"/>
          </w:tcPr>
          <w:p>
            <w:r>
              <w:rPr>
                <w:b/>
                <w:sz w:val="16"/>
              </w:rPr>
              <w:t>15.4%</w:t>
            </w:r>
          </w:p>
        </w:tc>
        <w:tc>
          <w:tcPr>
            <w:tcW w:type="dxa" w:w="1224"/>
            <w:shd w:fill="F7FAFC"/>
          </w:tcPr>
          <w:p>
            <w:r>
              <w:rPr>
                <w:b/>
                <w:sz w:val="16"/>
              </w:rPr>
              <w:t>15.0%</w:t>
            </w:r>
          </w:p>
        </w:tc>
        <w:tc>
          <w:tcPr>
            <w:tcW w:type="dxa" w:w="1224"/>
            <w:shd w:fill="F7FAFC"/>
          </w:tcPr>
          <w:p>
            <w:r>
              <w:rPr>
                <w:b/>
                <w:sz w:val="16"/>
              </w:rPr>
              <w:t>14.5%</w:t>
            </w:r>
          </w:p>
        </w:tc>
        <w:tc>
          <w:tcPr>
            <w:tcW w:type="dxa" w:w="1224"/>
            <w:shd w:fill="FFF2CC"/>
          </w:tcPr>
          <w:p>
            <w:r>
              <w:rPr>
                <w:b/>
                <w:sz w:val="16"/>
              </w:rPr>
              <w:t>14.0%</w:t>
            </w:r>
          </w:p>
        </w:tc>
        <w:tc>
          <w:tcPr>
            <w:tcW w:type="dxa" w:w="1224"/>
            <w:shd w:fill="F7FAFC"/>
          </w:tcPr>
          <w:p>
            <w:r>
              <w:rPr>
                <w:b/>
                <w:sz w:val="16"/>
              </w:rPr>
              <w:t>13.5%</w:t>
            </w:r>
          </w:p>
        </w:tc>
        <w:tc>
          <w:tcPr>
            <w:tcW w:type="dxa" w:w="1224"/>
            <w:shd w:fill="F7FAFC"/>
          </w:tcPr>
          <w:p>
            <w:r>
              <w:rPr>
                <w:b/>
                <w:sz w:val="16"/>
              </w:rPr>
              <w:t>13.0%</w:t>
            </w:r>
          </w:p>
        </w:tc>
        <w:tc>
          <w:tcPr>
            <w:tcW w:type="dxa" w:w="1224"/>
            <w:shd w:fill="F7FAFC"/>
          </w:tcPr>
          <w:p>
            <w:r>
              <w:rPr>
                <w:sz w:val="16"/>
              </w:rPr>
              <w:t>ESCENARIO CENTRAL: Crecimiento implícito real de mercado.</w:t>
            </w:r>
          </w:p>
        </w:tc>
      </w:tr>
      <w:tr>
        <w:tc>
          <w:tcPr>
            <w:tcW w:type="dxa" w:w="1224"/>
            <w:shd w:fill="F7FAFC"/>
          </w:tcPr>
          <w:p>
            <w:r>
              <w:rPr>
                <w:sz w:val="16"/>
              </w:rPr>
              <w:t>11.53% (Exigente)</w:t>
            </w:r>
          </w:p>
        </w:tc>
        <w:tc>
          <w:tcPr>
            <w:tcW w:type="dxa" w:w="1224"/>
            <w:shd w:fill="F7FAFC"/>
          </w:tcPr>
          <w:p>
            <w:r>
              <w:rPr>
                <w:sz w:val="16"/>
              </w:rPr>
              <w:t>16.3%</w:t>
            </w:r>
          </w:p>
        </w:tc>
        <w:tc>
          <w:tcPr>
            <w:tcW w:type="dxa" w:w="1224"/>
            <w:shd w:fill="F7FAFC"/>
          </w:tcPr>
          <w:p>
            <w:r>
              <w:rPr>
                <w:sz w:val="16"/>
              </w:rPr>
              <w:t>15.9%</w:t>
            </w:r>
          </w:p>
        </w:tc>
        <w:tc>
          <w:tcPr>
            <w:tcW w:type="dxa" w:w="1224"/>
            <w:shd w:fill="F7FAFC"/>
          </w:tcPr>
          <w:p>
            <w:r>
              <w:rPr>
                <w:sz w:val="16"/>
              </w:rPr>
              <w:t>15.5%</w:t>
            </w:r>
          </w:p>
        </w:tc>
        <w:tc>
          <w:tcPr>
            <w:tcW w:type="dxa" w:w="1224"/>
            <w:shd w:fill="F7FAFC"/>
          </w:tcPr>
          <w:p>
            <w:r>
              <w:rPr>
                <w:b/>
                <w:sz w:val="16"/>
              </w:rPr>
              <w:t>15.0%</w:t>
            </w:r>
          </w:p>
        </w:tc>
        <w:tc>
          <w:tcPr>
            <w:tcW w:type="dxa" w:w="1224"/>
            <w:shd w:fill="F7FAFC"/>
          </w:tcPr>
          <w:p>
            <w:r>
              <w:rPr>
                <w:sz w:val="16"/>
              </w:rPr>
              <w:t>14.5%</w:t>
            </w:r>
          </w:p>
        </w:tc>
        <w:tc>
          <w:tcPr>
            <w:tcW w:type="dxa" w:w="1224"/>
            <w:shd w:fill="F7FAFC"/>
          </w:tcPr>
          <w:p>
            <w:r>
              <w:rPr>
                <w:sz w:val="16"/>
              </w:rPr>
              <w:t>14.0%</w:t>
            </w:r>
          </w:p>
        </w:tc>
        <w:tc>
          <w:tcPr>
            <w:tcW w:type="dxa" w:w="1224"/>
            <w:shd w:fill="F7FAFC"/>
          </w:tcPr>
          <w:p>
            <w:r>
              <w:rPr>
                <w:sz w:val="16"/>
              </w:rPr>
              <w:t>Escenario de sensibilidad operativa.</w:t>
            </w:r>
          </w:p>
        </w:tc>
      </w:tr>
      <w:tr>
        <w:tc>
          <w:tcPr>
            <w:tcW w:type="dxa" w:w="1224"/>
          </w:tcPr>
          <w:p>
            <w:r>
              <w:rPr>
                <w:sz w:val="16"/>
              </w:rPr>
              <w:t>12.03% (Estrés / Tipos Altos)</w:t>
            </w:r>
          </w:p>
        </w:tc>
        <w:tc>
          <w:tcPr>
            <w:tcW w:type="dxa" w:w="1224"/>
          </w:tcPr>
          <w:p>
            <w:r>
              <w:rPr>
                <w:sz w:val="16"/>
              </w:rPr>
              <w:t>17.2%</w:t>
            </w:r>
          </w:p>
        </w:tc>
        <w:tc>
          <w:tcPr>
            <w:tcW w:type="dxa" w:w="1224"/>
          </w:tcPr>
          <w:p>
            <w:r>
              <w:rPr>
                <w:sz w:val="16"/>
              </w:rPr>
              <w:t>16.8%</w:t>
            </w:r>
          </w:p>
        </w:tc>
        <w:tc>
          <w:tcPr>
            <w:tcW w:type="dxa" w:w="1224"/>
          </w:tcPr>
          <w:p>
            <w:r>
              <w:rPr>
                <w:sz w:val="16"/>
              </w:rPr>
              <w:t>16.4%</w:t>
            </w:r>
          </w:p>
        </w:tc>
        <w:tc>
          <w:tcPr>
            <w:tcW w:type="dxa" w:w="1224"/>
          </w:tcPr>
          <w:p>
            <w:r>
              <w:rPr>
                <w:b/>
                <w:sz w:val="16"/>
              </w:rPr>
              <w:t>16.0%</w:t>
            </w:r>
          </w:p>
        </w:tc>
        <w:tc>
          <w:tcPr>
            <w:tcW w:type="dxa" w:w="1224"/>
          </w:tcPr>
          <w:p>
            <w:r>
              <w:rPr>
                <w:sz w:val="16"/>
              </w:rPr>
              <w:t>15.5%</w:t>
            </w:r>
          </w:p>
        </w:tc>
        <w:tc>
          <w:tcPr>
            <w:tcW w:type="dxa" w:w="1224"/>
          </w:tcPr>
          <w:p>
            <w:r>
              <w:rPr>
                <w:sz w:val="16"/>
              </w:rPr>
              <w:t>15.0%</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Valoración por Suma de las Partes (SOTP - Platform Ecosystem)</w:t>
      </w:r>
    </w:p>
    <w:p>
      <w:r>
        <w:rPr>
          <w:rFonts w:ascii="Calibri" w:hAnsi="Calibri"/>
          <w:color w:val="2D3748"/>
          <w:sz w:val="18"/>
        </w:rPr>
        <w:t>Al combinar infraestructura de e-commerce y fintech bancaria/crédito, se desagregan los componentes: Comercio a 3.2x EV/Ventas ($61,920.3 M) y FinTech a 2.4x EV/Ventas ($37,996.6 M), resultando en un Equity Value de $94,733.9 M y un Valor Teórico SOTP de $1868.62 por título.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958"/>
        <w:gridCol w:w="1958"/>
        <w:gridCol w:w="1958"/>
        <w:gridCol w:w="1958"/>
        <w:gridCol w:w="1958"/>
      </w:tblGrid>
      <w:tr>
        <w:tc>
          <w:tcPr>
            <w:tcW w:type="dxa" w:w="1958"/>
            <w:shd w:fill="1B365D"/>
          </w:tcPr>
          <w:p>
            <w:r>
              <w:rPr>
                <w:b/>
                <w:color w:val="FFFFFF"/>
                <w:sz w:val="18"/>
              </w:rPr>
              <w:t>Segmento Operativo</w:t>
            </w:r>
          </w:p>
        </w:tc>
        <w:tc>
          <w:tcPr>
            <w:tcW w:type="dxa" w:w="1958"/>
            <w:shd w:fill="1B365D"/>
          </w:tcPr>
          <w:p>
            <w:r>
              <w:rPr>
                <w:b/>
                <w:color w:val="FFFFFF"/>
                <w:sz w:val="18"/>
              </w:rPr>
              <w:t>Ventas LTM</w:t>
            </w:r>
          </w:p>
        </w:tc>
        <w:tc>
          <w:tcPr>
            <w:tcW w:type="dxa" w:w="1958"/>
            <w:shd w:fill="1B365D"/>
          </w:tcPr>
          <w:p>
            <w:r>
              <w:rPr>
                <w:b/>
                <w:color w:val="FFFFFF"/>
                <w:sz w:val="18"/>
              </w:rPr>
              <w:t>Múltiplo EV/Sales</w:t>
            </w:r>
          </w:p>
        </w:tc>
        <w:tc>
          <w:tcPr>
            <w:tcW w:type="dxa" w:w="1958"/>
            <w:shd w:fill="1B365D"/>
          </w:tcPr>
          <w:p>
            <w:r>
              <w:rPr>
                <w:b/>
                <w:color w:val="FFFFFF"/>
                <w:sz w:val="18"/>
              </w:rPr>
              <w:t>Enterprise Value</w:t>
            </w:r>
          </w:p>
        </w:tc>
        <w:tc>
          <w:tcPr>
            <w:tcW w:type="dxa" w:w="1958"/>
            <w:shd w:fill="1B365D"/>
          </w:tcPr>
          <w:p>
            <w:r>
              <w:rPr>
                <w:b/>
                <w:color w:val="FFFFFF"/>
                <w:sz w:val="18"/>
              </w:rPr>
              <w:t>Ponderación EV</w:t>
            </w:r>
          </w:p>
        </w:tc>
      </w:tr>
      <w:tr>
        <w:tc>
          <w:tcPr>
            <w:tcW w:type="dxa" w:w="1958"/>
          </w:tcPr>
          <w:p>
            <w:r>
              <w:rPr>
                <w:b/>
                <w:sz w:val="17"/>
              </w:rPr>
              <w:t>Comercio Electrónico / Marketplace</w:t>
            </w:r>
          </w:p>
        </w:tc>
        <w:tc>
          <w:tcPr>
            <w:tcW w:type="dxa" w:w="1958"/>
          </w:tcPr>
          <w:p>
            <w:r>
              <w:rPr>
                <w:sz w:val="17"/>
              </w:rPr>
              <w:t>$19,350.1 M</w:t>
            </w:r>
          </w:p>
        </w:tc>
        <w:tc>
          <w:tcPr>
            <w:tcW w:type="dxa" w:w="1958"/>
          </w:tcPr>
          <w:p>
            <w:r>
              <w:rPr>
                <w:sz w:val="17"/>
              </w:rPr>
              <w:t>3.2x</w:t>
            </w:r>
          </w:p>
        </w:tc>
        <w:tc>
          <w:tcPr>
            <w:tcW w:type="dxa" w:w="1958"/>
          </w:tcPr>
          <w:p>
            <w:r>
              <w:rPr>
                <w:b/>
                <w:sz w:val="17"/>
              </w:rPr>
              <w:t>$61,920.3 M</w:t>
            </w:r>
          </w:p>
        </w:tc>
        <w:tc>
          <w:tcPr>
            <w:tcW w:type="dxa" w:w="1958"/>
          </w:tcPr>
          <w:p>
            <w:r>
              <w:rPr>
                <w:sz w:val="17"/>
              </w:rPr>
              <w:t>62.0%</w:t>
            </w:r>
          </w:p>
        </w:tc>
      </w:tr>
      <w:tr>
        <w:tc>
          <w:tcPr>
            <w:tcW w:type="dxa" w:w="1958"/>
            <w:shd w:fill="F7FAFC"/>
          </w:tcPr>
          <w:p>
            <w:r>
              <w:rPr>
                <w:b/>
                <w:sz w:val="17"/>
              </w:rPr>
              <w:t>FinTech y Crédito Digital</w:t>
            </w:r>
          </w:p>
        </w:tc>
        <w:tc>
          <w:tcPr>
            <w:tcW w:type="dxa" w:w="1958"/>
            <w:shd w:fill="F7FAFC"/>
          </w:tcPr>
          <w:p>
            <w:r>
              <w:rPr>
                <w:sz w:val="17"/>
              </w:rPr>
              <w:t>$15,831.9 M</w:t>
            </w:r>
          </w:p>
        </w:tc>
        <w:tc>
          <w:tcPr>
            <w:tcW w:type="dxa" w:w="1958"/>
            <w:shd w:fill="F7FAFC"/>
          </w:tcPr>
          <w:p>
            <w:r>
              <w:rPr>
                <w:sz w:val="17"/>
              </w:rPr>
              <w:t>2.4x</w:t>
            </w:r>
          </w:p>
        </w:tc>
        <w:tc>
          <w:tcPr>
            <w:tcW w:type="dxa" w:w="1958"/>
            <w:shd w:fill="F7FAFC"/>
          </w:tcPr>
          <w:p>
            <w:r>
              <w:rPr>
                <w:b/>
                <w:sz w:val="17"/>
              </w:rPr>
              <w:t>$37,996.6 M</w:t>
            </w:r>
          </w:p>
        </w:tc>
        <w:tc>
          <w:tcPr>
            <w:tcW w:type="dxa" w:w="1958"/>
            <w:shd w:fill="F7FAFC"/>
          </w:tcPr>
          <w:p>
            <w:r>
              <w:rPr>
                <w:sz w:val="17"/>
              </w:rPr>
              <w:t>38.0%</w:t>
            </w:r>
          </w:p>
        </w:tc>
      </w:tr>
      <w:tr>
        <w:tc>
          <w:tcPr>
            <w:tcW w:type="dxa" w:w="1958"/>
          </w:tcPr>
          <w:p>
            <w:r>
              <w:rPr>
                <w:b/>
                <w:sz w:val="17"/>
              </w:rPr>
              <w:t>Total Enterprise Value (EV)</w:t>
            </w:r>
          </w:p>
        </w:tc>
        <w:tc>
          <w:tcPr>
            <w:tcW w:type="dxa" w:w="1958"/>
          </w:tcPr>
          <w:p>
            <w:r>
              <w:rPr>
                <w:b/>
                <w:sz w:val="17"/>
              </w:rPr>
              <w:t>$35,182.0 M</w:t>
            </w:r>
          </w:p>
        </w:tc>
        <w:tc>
          <w:tcPr>
            <w:tcW w:type="dxa" w:w="1958"/>
          </w:tcPr>
          <w:p>
            <w:r>
              <w:rPr>
                <w:b/>
                <w:sz w:val="17"/>
              </w:rPr>
              <w:t>—</w:t>
            </w:r>
          </w:p>
        </w:tc>
        <w:tc>
          <w:tcPr>
            <w:tcW w:type="dxa" w:w="1958"/>
          </w:tcPr>
          <w:p>
            <w:r>
              <w:rPr>
                <w:b/>
                <w:sz w:val="17"/>
              </w:rPr>
              <w:t>$99,916.9 M</w:t>
            </w:r>
          </w:p>
        </w:tc>
        <w:tc>
          <w:tcPr>
            <w:tcW w:type="dxa" w:w="1958"/>
          </w:tcPr>
          <w:p>
            <w:r>
              <w:rPr>
                <w:b/>
                <w:sz w:val="17"/>
              </w:rPr>
              <w:t>100.0%</w:t>
            </w:r>
          </w:p>
        </w:tc>
      </w:tr>
      <w:tr>
        <w:tc>
          <w:tcPr>
            <w:tcW w:type="dxa" w:w="1958"/>
            <w:shd w:fill="F7FAFC"/>
          </w:tcPr>
          <w:p>
            <w:r>
              <w:rPr>
                <w:b/>
                <w:sz w:val="17"/>
              </w:rPr>
              <w:t>(-) Deuda Neta</w:t>
            </w:r>
          </w:p>
        </w:tc>
        <w:tc>
          <w:tcPr>
            <w:tcW w:type="dxa" w:w="1958"/>
            <w:shd w:fill="F7FAFC"/>
          </w:tcPr>
          <w:p>
            <w:r>
              <w:rPr>
                <w:sz w:val="17"/>
              </w:rPr>
              <w:t>—</w:t>
            </w:r>
          </w:p>
        </w:tc>
        <w:tc>
          <w:tcPr>
            <w:tcW w:type="dxa" w:w="1958"/>
            <w:shd w:fill="F7FAFC"/>
          </w:tcPr>
          <w:p>
            <w:r>
              <w:rPr>
                <w:sz w:val="17"/>
              </w:rPr>
              <w:t>—</w:t>
            </w:r>
          </w:p>
        </w:tc>
        <w:tc>
          <w:tcPr>
            <w:tcW w:type="dxa" w:w="1958"/>
            <w:shd w:fill="F7FAFC"/>
          </w:tcPr>
          <w:p>
            <w:r>
              <w:rPr>
                <w:b/>
                <w:sz w:val="17"/>
              </w:rPr>
              <w:t>$-5,183.0 M</w:t>
            </w:r>
          </w:p>
        </w:tc>
        <w:tc>
          <w:tcPr>
            <w:tcW w:type="dxa" w:w="1958"/>
            <w:shd w:fill="F7FAFC"/>
          </w:tcPr>
          <w:p>
            <w:r>
              <w:rPr>
                <w:sz w:val="17"/>
              </w:rPr>
              <w:t>—</w:t>
            </w:r>
          </w:p>
        </w:tc>
      </w:tr>
      <w:tr>
        <w:tc>
          <w:tcPr>
            <w:tcW w:type="dxa" w:w="1958"/>
          </w:tcPr>
          <w:p>
            <w:r>
              <w:rPr>
                <w:b/>
                <w:sz w:val="17"/>
              </w:rPr>
              <w:t>Equity Value Justificado SOTP</w:t>
            </w:r>
          </w:p>
        </w:tc>
        <w:tc>
          <w:tcPr>
            <w:tcW w:type="dxa" w:w="1958"/>
          </w:tcPr>
          <w:p>
            <w:r>
              <w:rPr>
                <w:b/>
                <w:sz w:val="17"/>
              </w:rPr>
              <w:t>—</w:t>
            </w:r>
          </w:p>
        </w:tc>
        <w:tc>
          <w:tcPr>
            <w:tcW w:type="dxa" w:w="1958"/>
          </w:tcPr>
          <w:p>
            <w:r>
              <w:rPr>
                <w:b/>
                <w:sz w:val="17"/>
              </w:rPr>
              <w:t>—</w:t>
            </w:r>
          </w:p>
        </w:tc>
        <w:tc>
          <w:tcPr>
            <w:tcW w:type="dxa" w:w="1958"/>
          </w:tcPr>
          <w:p>
            <w:r>
              <w:rPr>
                <w:b/>
                <w:sz w:val="17"/>
              </w:rPr>
              <w:t>$94,733.9 M</w:t>
            </w:r>
          </w:p>
        </w:tc>
        <w:tc>
          <w:tcPr>
            <w:tcW w:type="dxa" w:w="1958"/>
          </w:tcPr>
          <w:p>
            <w:r>
              <w:rPr>
                <w:b/>
                <w:sz w:val="17"/>
              </w:rPr>
              <w:t>$1868.62/sh (+2.6%)</w:t>
            </w:r>
          </w:p>
        </w:tc>
      </w:tr>
    </w:tbl>
    <w:p/>
    <w:p>
      <w:pPr>
        <w:pStyle w:val="Heading2"/>
      </w:pPr>
      <w:r>
        <w:rPr>
          <w:rFonts w:ascii="Calibri" w:hAnsi="Calibri"/>
          <w:b/>
          <w:color w:val="1B365D"/>
          <w:sz w:val="23"/>
        </w:rPr>
        <w:t>14.5.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Efecto de Red Bilateral (Two-Sided Network) + Infraestructura Logística Propia (Mercado Envíos)</w:t>
            </w:r>
          </w:p>
        </w:tc>
        <w:tc>
          <w:tcPr>
            <w:tcW w:type="dxa" w:w="2448"/>
          </w:tcPr>
          <w:p>
            <w:r>
              <w:rPr>
                <w:b/>
                <w:sz w:val="17"/>
              </w:rPr>
              <w:t>WIDE MOAT</w:t>
            </w:r>
          </w:p>
        </w:tc>
        <w:tc>
          <w:tcPr>
            <w:tcW w:type="dxa" w:w="2448"/>
          </w:tcPr>
          <w:p>
            <w:r>
              <w:rPr>
                <w:sz w:val="17"/>
              </w:rPr>
              <w:t>Poder de fijación de precios y resiliencia de márgenes (8.3% EBIT).</w:t>
            </w:r>
          </w:p>
        </w:tc>
      </w:tr>
      <w:tr>
        <w:tc>
          <w:tcPr>
            <w:tcW w:type="dxa" w:w="2448"/>
            <w:shd w:fill="F7FAFC"/>
          </w:tcPr>
          <w:p>
            <w:r>
              <w:rPr>
                <w:b/>
                <w:sz w:val="17"/>
              </w:rPr>
              <w:t>Calidad de Beneficios</w:t>
            </w:r>
          </w:p>
        </w:tc>
        <w:tc>
          <w:tcPr>
            <w:tcW w:type="dxa" w:w="2448"/>
            <w:shd w:fill="F7FAFC"/>
          </w:tcPr>
          <w:p>
            <w:r>
              <w:rPr>
                <w:sz w:val="17"/>
              </w:rPr>
              <w:t>Ratio Sloan: -25.62% / Montier: 3/6</w:t>
            </w:r>
          </w:p>
        </w:tc>
        <w:tc>
          <w:tcPr>
            <w:tcW w:type="dxa" w:w="2448"/>
            <w:shd w:fill="F7FAFC"/>
          </w:tcPr>
          <w:p>
            <w:r>
              <w:rPr>
                <w:b/>
                <w:sz w:val="17"/>
              </w:rPr>
              <w:t>CALIDAD SÓLIDA / BAJO RIESGO</w:t>
            </w:r>
          </w:p>
        </w:tc>
        <w:tc>
          <w:tcPr>
            <w:tcW w:type="dxa" w:w="2448"/>
            <w:shd w:fill="F7FAFC"/>
          </w:tcPr>
          <w:p>
            <w:r>
              <w:rPr>
                <w:sz w:val="17"/>
              </w:rPr>
              <w:t>Ganancias avaladas por caja real ($2.17 CFO por dólar de NI).</w:t>
            </w:r>
          </w:p>
        </w:tc>
      </w:tr>
      <w:tr>
        <w:tc>
          <w:tcPr>
            <w:tcW w:type="dxa" w:w="2448"/>
          </w:tcPr>
          <w:p>
            <w:r>
              <w:rPr>
                <w:b/>
                <w:sz w:val="17"/>
              </w:rPr>
              <w:t>Solvencia y Estructura</w:t>
            </w:r>
          </w:p>
        </w:tc>
        <w:tc>
          <w:tcPr>
            <w:tcW w:type="dxa" w:w="2448"/>
          </w:tcPr>
          <w:p>
            <w:r>
              <w:rPr>
                <w:sz w:val="17"/>
              </w:rPr>
              <w:t>Cobertura EBIT: 13.7x / Altman Z'': 1.56</w:t>
            </w:r>
          </w:p>
        </w:tc>
        <w:tc>
          <w:tcPr>
            <w:tcW w:type="dxa" w:w="2448"/>
          </w:tcPr>
          <w:p>
            <w:r>
              <w:rPr>
                <w:b/>
                <w:sz w:val="17"/>
              </w:rPr>
              <w:t>SINTÉTICO AAA</w:t>
            </w:r>
          </w:p>
        </w:tc>
        <w:tc>
          <w:tcPr>
            <w:tcW w:type="dxa" w:w="2448"/>
          </w:tcPr>
          <w:p>
            <w:r>
              <w:rPr>
                <w:sz w:val="17"/>
              </w:rPr>
              <w:t>Cero estrés financiero; colchón de $5.7B.</w:t>
            </w:r>
          </w:p>
        </w:tc>
      </w:tr>
      <w:tr>
        <w:tc>
          <w:tcPr>
            <w:tcW w:type="dxa" w:w="2448"/>
            <w:shd w:fill="F7FAFC"/>
          </w:tcPr>
          <w:p>
            <w:r>
              <w:rPr>
                <w:b/>
                <w:sz w:val="17"/>
              </w:rPr>
              <w:t>Productividad del Capital</w:t>
            </w:r>
          </w:p>
        </w:tc>
        <w:tc>
          <w:tcPr>
            <w:tcW w:type="dxa" w:w="2448"/>
            <w:shd w:fill="F7FAFC"/>
          </w:tcPr>
          <w:p>
            <w:r>
              <w:rPr>
                <w:sz w:val="17"/>
              </w:rPr>
              <w:t>ROC Greenblatt: 82.4% / ROIC Adj: 18.1%</w:t>
            </w:r>
          </w:p>
        </w:tc>
        <w:tc>
          <w:tcPr>
            <w:tcW w:type="dxa" w:w="2448"/>
            <w:shd w:fill="F7FAFC"/>
          </w:tcPr>
          <w:p>
            <w:r>
              <w:rPr>
                <w:b/>
                <w:sz w:val="17"/>
              </w:rPr>
              <w:t>CREADOR DE VALOR</w:t>
            </w:r>
          </w:p>
        </w:tc>
        <w:tc>
          <w:tcPr>
            <w:tcW w:type="dxa" w:w="2448"/>
            <w:shd w:fill="F7FAFC"/>
          </w:tcPr>
          <w:p>
            <w:r>
              <w:rPr>
                <w:sz w:val="17"/>
              </w:rPr>
              <w:t>Spread económico de +7.1 pp sobre WACC (Creación de valor de élite).</w:t>
            </w:r>
          </w:p>
        </w:tc>
      </w:tr>
      <w:tr>
        <w:tc>
          <w:tcPr>
            <w:tcW w:type="dxa" w:w="2448"/>
          </w:tcPr>
          <w:p>
            <w:r>
              <w:rPr>
                <w:b/>
                <w:sz w:val="17"/>
              </w:rPr>
              <w:t>Valoración de Mercado</w:t>
            </w:r>
          </w:p>
        </w:tc>
        <w:tc>
          <w:tcPr>
            <w:tcW w:type="dxa" w:w="2448"/>
          </w:tcPr>
          <w:p>
            <w:r>
              <w:rPr>
                <w:sz w:val="17"/>
              </w:rPr>
              <w:t>Crecimiento Implícito: 14.0% - 1.5%</w:t>
            </w:r>
          </w:p>
        </w:tc>
        <w:tc>
          <w:tcPr>
            <w:tcW w:type="dxa" w:w="2448"/>
          </w:tcPr>
          <w:p>
            <w:r>
              <w:rPr>
                <w:b/>
                <w:sz w:val="17"/>
              </w:rPr>
              <w:t>VALORACIÓN EXIGENTE</w:t>
            </w:r>
          </w:p>
        </w:tc>
        <w:tc>
          <w:tcPr>
            <w:tcW w:type="dxa" w:w="2448"/>
          </w:tcPr>
          <w:p>
            <w:r>
              <w:rPr>
                <w:sz w:val="17"/>
              </w:rPr>
              <w:t>Exigencia asumible (+14.0% anual); alineada con el ritmo tendencial de la empresa y su sector.</w:t>
            </w:r>
          </w:p>
        </w:tc>
      </w:tr>
    </w:tbl>
    <w:p>
      <w:pPr>
        <w:spacing w:before="400"/>
        <w:jc w:val="center"/>
      </w:pPr>
      <w:r>
        <w:rPr>
          <w:rFonts w:ascii="Calibri" w:hAnsi="Calibri"/>
          <w:i/>
          <w:color w:val="4A5568"/>
          <w:sz w:val="17"/>
        </w:rPr>
        <w:t>Fin del Informe Oficial de Investigación Fundamental — MercadoLibre, Inc. (MELI)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