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25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Wholesale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Direct-to-Consumer</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$2,264.2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(+1.8%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 | 34.3% Mgn Op.</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 | 38.4% Mgn Op.</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 | 10.6% Mgn Op.</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32.3%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International - Sales Revenue, Net - Net sales in foreign currencies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$1,765.7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$1,748.1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(+1.0%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(43.5%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(32.3% del total): </w:t>
      </w:r>
      <w:r>
        <w:rPr>
          <w:rFonts w:ascii="Calibri" w:hAnsi="Calibri"/>
          <w:i w:val="0"/>
          <w:color w:val="2D3748"/>
          <w:sz w:val="20"/>
        </w:rPr>
        <w:t>Aporta $2,352.4 M con variación YoY de +3.1%, diversificando la exposición geográfica de Deckers Outdoor Corporation.</w:t>
      </w:r>
    </w:p>
    <w:p>
      <w:pPr>
        <w:spacing w:before="40" w:after="80" w:line="276" w:lineRule="auto"/>
      </w:pPr>
      <w:r>
        <w:rPr>
          <w:rFonts w:ascii="Calibri" w:hAnsi="Calibri"/>
          <w:b/>
          <w:color w:val="2D3748"/>
          <w:sz w:val="20"/>
        </w:rPr>
        <w:t xml:space="preserve">• Mercado International - Sales Revenue, Net - Net sales in foreign currencies (24.2% del total): </w:t>
      </w:r>
      <w:r>
        <w:rPr>
          <w:rFonts w:ascii="Calibri" w:hAnsi="Calibri"/>
          <w:i w:val="0"/>
          <w:color w:val="2D3748"/>
          <w:sz w:val="20"/>
        </w:rPr>
        <w:t>Aporta $1,765.7 M con variación YoY de +1.0%,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+38.42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10.52% (Costo del Equity Ke: 10.52%, Deuda Neta Kd: 0.00%).</w:t>
            </w:r>
          </w:p>
          <w:p>
            <w:pPr>
              <w:spacing w:before="40" w:after="40" w:line="276" w:lineRule="auto"/>
            </w:pPr>
            <w:r>
              <w:rPr>
                <w:rFonts w:ascii="Calibri" w:hAnsi="Calibri"/>
                <w:color w:val="2D3748"/>
                <w:sz w:val="19"/>
              </w:rPr>
              <w:t>• Spread Económico Neto: +38.42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(10.52%) por más de 38.42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$82.82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$11,278.6M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+40.15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+48.81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+38.42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(10.52%) = +38.42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+38.42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$3.1M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$82.82  |  WACC Auditado: 10.52% (Rf: 5.19%, ERP: 4.75%)</w:t>
        <w:br/>
        <w:t>• Crecimiento Implícito Calculado: -3.1% Anual a 10 Años (vs. 16.5% Histórico)</w:t>
        <w:br/>
        <w:t>• Veredicto: Descuenta expectativas de -3.1%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$82.82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10.52%</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9.52% (Bajo / Expansión)</w:t>
            </w:r>
          </w:p>
        </w:tc>
        <w:tc>
          <w:tcPr>
            <w:tcW w:type="dxa" w:w="1224"/>
          </w:tcPr>
          <w:p>
            <w:r>
              <w:rPr>
                <w:sz w:val="16"/>
              </w:rPr>
              <w:t>-3.5%</w:t>
            </w:r>
          </w:p>
        </w:tc>
        <w:tc>
          <w:tcPr>
            <w:tcW w:type="dxa" w:w="1224"/>
          </w:tcPr>
          <w:p>
            <w:r>
              <w:rPr>
                <w:sz w:val="16"/>
              </w:rPr>
              <w:t>-3.9%</w:t>
            </w:r>
          </w:p>
        </w:tc>
        <w:tc>
          <w:tcPr>
            <w:tcW w:type="dxa" w:w="1224"/>
          </w:tcPr>
          <w:p>
            <w:r>
              <w:rPr>
                <w:sz w:val="16"/>
              </w:rPr>
              <w:t>-4.3%</w:t>
            </w:r>
          </w:p>
        </w:tc>
        <w:tc>
          <w:tcPr>
            <w:tcW w:type="dxa" w:w="1224"/>
          </w:tcPr>
          <w:p>
            <w:r>
              <w:rPr>
                <w:b/>
                <w:sz w:val="16"/>
              </w:rPr>
              <w:t>-4.7%</w:t>
            </w:r>
          </w:p>
        </w:tc>
        <w:tc>
          <w:tcPr>
            <w:tcW w:type="dxa" w:w="1224"/>
          </w:tcPr>
          <w:p>
            <w:r>
              <w:rPr>
                <w:sz w:val="16"/>
              </w:rPr>
              <w:t>-5.2%</w:t>
            </w:r>
          </w:p>
        </w:tc>
        <w:tc>
          <w:tcPr>
            <w:tcW w:type="dxa" w:w="1224"/>
          </w:tcPr>
          <w:p>
            <w:r>
              <w:rPr>
                <w:sz w:val="16"/>
              </w:rPr>
              <w:t>-5.7%</w:t>
            </w:r>
          </w:p>
        </w:tc>
        <w:tc>
          <w:tcPr>
            <w:tcW w:type="dxa" w:w="1224"/>
          </w:tcPr>
          <w:p>
            <w:r>
              <w:rPr>
                <w:sz w:val="16"/>
              </w:rPr>
              <w:t>Escenario favorable; exigencia de crecimiento más moderada.</w:t>
            </w:r>
          </w:p>
        </w:tc>
      </w:tr>
      <w:tr>
        <w:tc>
          <w:tcPr>
            <w:tcW w:type="dxa" w:w="1224"/>
            <w:shd w:fill="F7FAFC"/>
          </w:tcPr>
          <w:p>
            <w:r>
              <w:rPr>
                <w:sz w:val="16"/>
              </w:rPr>
              <w:t>10.02% (Favorable)</w:t>
            </w:r>
          </w:p>
        </w:tc>
        <w:tc>
          <w:tcPr>
            <w:tcW w:type="dxa" w:w="1224"/>
            <w:shd w:fill="F7FAFC"/>
          </w:tcPr>
          <w:p>
            <w:r>
              <w:rPr>
                <w:sz w:val="16"/>
              </w:rPr>
              <w:t>-2.8%</w:t>
            </w:r>
          </w:p>
        </w:tc>
        <w:tc>
          <w:tcPr>
            <w:tcW w:type="dxa" w:w="1224"/>
            <w:shd w:fill="F7FAFC"/>
          </w:tcPr>
          <w:p>
            <w:r>
              <w:rPr>
                <w:sz w:val="16"/>
              </w:rPr>
              <w:t>-3.1%</w:t>
            </w:r>
          </w:p>
        </w:tc>
        <w:tc>
          <w:tcPr>
            <w:tcW w:type="dxa" w:w="1224"/>
            <w:shd w:fill="F7FAFC"/>
          </w:tcPr>
          <w:p>
            <w:r>
              <w:rPr>
                <w:sz w:val="16"/>
              </w:rPr>
              <w:t>-3.5%</w:t>
            </w:r>
          </w:p>
        </w:tc>
        <w:tc>
          <w:tcPr>
            <w:tcW w:type="dxa" w:w="1224"/>
            <w:shd w:fill="F7FAFC"/>
          </w:tcPr>
          <w:p>
            <w:r>
              <w:rPr>
                <w:b/>
                <w:sz w:val="16"/>
              </w:rPr>
              <w:t>-3.9%</w:t>
            </w:r>
          </w:p>
        </w:tc>
        <w:tc>
          <w:tcPr>
            <w:tcW w:type="dxa" w:w="1224"/>
            <w:shd w:fill="F7FAFC"/>
          </w:tcPr>
          <w:p>
            <w:r>
              <w:rPr>
                <w:sz w:val="16"/>
              </w:rPr>
              <w:t>-4.3%</w:t>
            </w:r>
          </w:p>
        </w:tc>
        <w:tc>
          <w:tcPr>
            <w:tcW w:type="dxa" w:w="1224"/>
            <w:shd w:fill="F7FAFC"/>
          </w:tcPr>
          <w:p>
            <w:r>
              <w:rPr>
                <w:sz w:val="16"/>
              </w:rPr>
              <w:t>-4.8%</w:t>
            </w:r>
          </w:p>
        </w:tc>
        <w:tc>
          <w:tcPr>
            <w:tcW w:type="dxa" w:w="1224"/>
            <w:shd w:fill="F7FAFC"/>
          </w:tcPr>
          <w:p>
            <w:r>
              <w:rPr>
                <w:sz w:val="16"/>
              </w:rPr>
              <w:t>Escenario de sensibilidad operativa.</w:t>
            </w:r>
          </w:p>
        </w:tc>
      </w:tr>
      <w:tr>
        <w:tc>
          <w:tcPr>
            <w:tcW w:type="dxa" w:w="1224"/>
            <w:shd w:fill="F7FAFC"/>
          </w:tcPr>
          <w:p>
            <w:r>
              <w:rPr>
                <w:sz w:val="16"/>
              </w:rPr>
              <w:t>10.52% (WACC Auditado Base)</w:t>
            </w:r>
          </w:p>
        </w:tc>
        <w:tc>
          <w:tcPr>
            <w:tcW w:type="dxa" w:w="1224"/>
            <w:shd w:fill="F7FAFC"/>
          </w:tcPr>
          <w:p>
            <w:r>
              <w:rPr>
                <w:b/>
                <w:sz w:val="16"/>
              </w:rPr>
              <w:t>-2.0%</w:t>
            </w:r>
          </w:p>
        </w:tc>
        <w:tc>
          <w:tcPr>
            <w:tcW w:type="dxa" w:w="1224"/>
            <w:shd w:fill="F7FAFC"/>
          </w:tcPr>
          <w:p>
            <w:r>
              <w:rPr>
                <w:b/>
                <w:sz w:val="16"/>
              </w:rPr>
              <w:t>-2.3%</w:t>
            </w:r>
          </w:p>
        </w:tc>
        <w:tc>
          <w:tcPr>
            <w:tcW w:type="dxa" w:w="1224"/>
            <w:shd w:fill="F7FAFC"/>
          </w:tcPr>
          <w:p>
            <w:r>
              <w:rPr>
                <w:b/>
                <w:sz w:val="16"/>
              </w:rPr>
              <w:t>-2.7%</w:t>
            </w:r>
          </w:p>
        </w:tc>
        <w:tc>
          <w:tcPr>
            <w:tcW w:type="dxa" w:w="1224"/>
            <w:shd w:fill="FFF2CC"/>
          </w:tcPr>
          <w:p>
            <w:r>
              <w:rPr>
                <w:b/>
                <w:sz w:val="16"/>
              </w:rPr>
              <w:t>-3.1%</w:t>
            </w:r>
          </w:p>
        </w:tc>
        <w:tc>
          <w:tcPr>
            <w:tcW w:type="dxa" w:w="1224"/>
            <w:shd w:fill="F7FAFC"/>
          </w:tcPr>
          <w:p>
            <w:r>
              <w:rPr>
                <w:b/>
                <w:sz w:val="16"/>
              </w:rPr>
              <w:t>-3.5%</w:t>
            </w:r>
          </w:p>
        </w:tc>
        <w:tc>
          <w:tcPr>
            <w:tcW w:type="dxa" w:w="1224"/>
            <w:shd w:fill="F7FAFC"/>
          </w:tcPr>
          <w:p>
            <w:r>
              <w:rPr>
                <w:b/>
                <w:sz w:val="16"/>
              </w:rPr>
              <w:t>-3.9%</w:t>
            </w:r>
          </w:p>
        </w:tc>
        <w:tc>
          <w:tcPr>
            <w:tcW w:type="dxa" w:w="1224"/>
            <w:shd w:fill="F7FAFC"/>
          </w:tcPr>
          <w:p>
            <w:r>
              <w:rPr>
                <w:sz w:val="16"/>
              </w:rPr>
              <w:t>ESCENARIO CENTRAL: Crecimiento implícito real de mercado.</w:t>
            </w:r>
          </w:p>
        </w:tc>
      </w:tr>
      <w:tr>
        <w:tc>
          <w:tcPr>
            <w:tcW w:type="dxa" w:w="1224"/>
            <w:shd w:fill="F7FAFC"/>
          </w:tcPr>
          <w:p>
            <w:r>
              <w:rPr>
                <w:sz w:val="16"/>
              </w:rPr>
              <w:t>11.02% (Exigente)</w:t>
            </w:r>
          </w:p>
        </w:tc>
        <w:tc>
          <w:tcPr>
            <w:tcW w:type="dxa" w:w="1224"/>
            <w:shd w:fill="F7FAFC"/>
          </w:tcPr>
          <w:p>
            <w:r>
              <w:rPr>
                <w:sz w:val="16"/>
              </w:rPr>
              <w:t>-1.3%</w:t>
            </w:r>
          </w:p>
        </w:tc>
        <w:tc>
          <w:tcPr>
            <w:tcW w:type="dxa" w:w="1224"/>
            <w:shd w:fill="F7FAFC"/>
          </w:tcPr>
          <w:p>
            <w:r>
              <w:rPr>
                <w:sz w:val="16"/>
              </w:rPr>
              <w:t>-1.6%</w:t>
            </w:r>
          </w:p>
        </w:tc>
        <w:tc>
          <w:tcPr>
            <w:tcW w:type="dxa" w:w="1224"/>
            <w:shd w:fill="F7FAFC"/>
          </w:tcPr>
          <w:p>
            <w:r>
              <w:rPr>
                <w:sz w:val="16"/>
              </w:rPr>
              <w:t>-1.9%</w:t>
            </w:r>
          </w:p>
        </w:tc>
        <w:tc>
          <w:tcPr>
            <w:tcW w:type="dxa" w:w="1224"/>
            <w:shd w:fill="F7FAFC"/>
          </w:tcPr>
          <w:p>
            <w:r>
              <w:rPr>
                <w:b/>
                <w:sz w:val="16"/>
              </w:rPr>
              <w:t>-2.3%</w:t>
            </w:r>
          </w:p>
        </w:tc>
        <w:tc>
          <w:tcPr>
            <w:tcW w:type="dxa" w:w="1224"/>
            <w:shd w:fill="F7FAFC"/>
          </w:tcPr>
          <w:p>
            <w:r>
              <w:rPr>
                <w:sz w:val="16"/>
              </w:rPr>
              <w:t>-2.7%</w:t>
            </w:r>
          </w:p>
        </w:tc>
        <w:tc>
          <w:tcPr>
            <w:tcW w:type="dxa" w:w="1224"/>
            <w:shd w:fill="F7FAFC"/>
          </w:tcPr>
          <w:p>
            <w:r>
              <w:rPr>
                <w:sz w:val="16"/>
              </w:rPr>
              <w:t>-3.1%</w:t>
            </w:r>
          </w:p>
        </w:tc>
        <w:tc>
          <w:tcPr>
            <w:tcW w:type="dxa" w:w="1224"/>
            <w:shd w:fill="F7FAFC"/>
          </w:tcPr>
          <w:p>
            <w:r>
              <w:rPr>
                <w:sz w:val="16"/>
              </w:rPr>
              <w:t>Escenario de sensibilidad operativa.</w:t>
            </w:r>
          </w:p>
        </w:tc>
      </w:tr>
      <w:tr>
        <w:tc>
          <w:tcPr>
            <w:tcW w:type="dxa" w:w="1224"/>
          </w:tcPr>
          <w:p>
            <w:r>
              <w:rPr>
                <w:sz w:val="16"/>
              </w:rPr>
              <w:t>11.52% (Estrés / Tipos Altos)</w:t>
            </w:r>
          </w:p>
        </w:tc>
        <w:tc>
          <w:tcPr>
            <w:tcW w:type="dxa" w:w="1224"/>
          </w:tcPr>
          <w:p>
            <w:r>
              <w:rPr>
                <w:sz w:val="16"/>
              </w:rPr>
              <w:t>-0.6%</w:t>
            </w:r>
          </w:p>
        </w:tc>
        <w:tc>
          <w:tcPr>
            <w:tcW w:type="dxa" w:w="1224"/>
          </w:tcPr>
          <w:p>
            <w:r>
              <w:rPr>
                <w:sz w:val="16"/>
              </w:rPr>
              <w:t>-0.9%</w:t>
            </w:r>
          </w:p>
        </w:tc>
        <w:tc>
          <w:tcPr>
            <w:tcW w:type="dxa" w:w="1224"/>
          </w:tcPr>
          <w:p>
            <w:r>
              <w:rPr>
                <w:sz w:val="16"/>
              </w:rPr>
              <w:t>-1.2%</w:t>
            </w:r>
          </w:p>
        </w:tc>
        <w:tc>
          <w:tcPr>
            <w:tcW w:type="dxa" w:w="1224"/>
          </w:tcPr>
          <w:p>
            <w:r>
              <w:rPr>
                <w:b/>
                <w:sz w:val="16"/>
              </w:rPr>
              <w:t>-1.5%</w:t>
            </w:r>
          </w:p>
        </w:tc>
        <w:tc>
          <w:tcPr>
            <w:tcW w:type="dxa" w:w="1224"/>
          </w:tcPr>
          <w:p>
            <w:r>
              <w:rPr>
                <w:sz w:val="16"/>
              </w:rPr>
              <w:t>-1.9%</w:t>
            </w:r>
          </w:p>
        </w:tc>
        <w:tc>
          <w:tcPr>
            <w:tcW w:type="dxa" w:w="1224"/>
          </w:tcPr>
          <w:p>
            <w:r>
              <w:rPr>
                <w:sz w:val="16"/>
              </w:rPr>
              <w:t>-2.2%</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Valoración por Suma de las Partes (SOTP - Sum-of-the-Parts)</w:t>
      </w:r>
    </w:p>
    <w:p>
      <w:r>
        <w:rPr>
          <w:rFonts w:ascii="Calibri" w:hAnsi="Calibri"/>
          <w:color w:val="2D3748"/>
          <w:sz w:val="18"/>
        </w:rPr>
        <w:t>Al operar con divisiones de negocio diferenciadas en rentabilidad, crecimiento y perfil de riesgo, se aplica un modelo institucional de Suma de las Partes (Sum-of-the-Parts) desagregando las unidades operativas: HOKA a 19.7x EV/EBIT ($17,984.1 M), UGG a 17.6x EV/EBIT ($18,397.3 M), Other Brands a 8.0x EV/EBIT ($122.4 M), resultando en un Equity Value de $38,106.4 M y un Valor Teórico SOTP de $279.82 por título.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632"/>
        <w:gridCol w:w="1632"/>
        <w:gridCol w:w="1632"/>
        <w:gridCol w:w="1632"/>
        <w:gridCol w:w="1632"/>
        <w:gridCol w:w="1632"/>
      </w:tblGrid>
      <w:tr>
        <w:tc>
          <w:tcPr>
            <w:tcW w:type="dxa" w:w="1632"/>
            <w:shd w:fill="1B365D"/>
          </w:tcPr>
          <w:p>
            <w:r>
              <w:rPr>
                <w:b/>
                <w:color w:val="FFFFFF"/>
                <w:sz w:val="17"/>
              </w:rPr>
              <w:t>Segmento de Negocio</w:t>
            </w:r>
          </w:p>
        </w:tc>
        <w:tc>
          <w:tcPr>
            <w:tcW w:type="dxa" w:w="1632"/>
            <w:shd w:fill="1B365D"/>
          </w:tcPr>
          <w:p>
            <w:r>
              <w:rPr>
                <w:b/>
                <w:color w:val="FFFFFF"/>
                <w:sz w:val="17"/>
              </w:rPr>
              <w:t>Ventas Base</w:t>
            </w:r>
          </w:p>
        </w:tc>
        <w:tc>
          <w:tcPr>
            <w:tcW w:type="dxa" w:w="1632"/>
            <w:shd w:fill="1B365D"/>
          </w:tcPr>
          <w:p>
            <w:r>
              <w:rPr>
                <w:b/>
                <w:color w:val="FFFFFF"/>
                <w:sz w:val="17"/>
              </w:rPr>
              <w:t>Margen Op. %</w:t>
            </w:r>
          </w:p>
        </w:tc>
        <w:tc>
          <w:tcPr>
            <w:tcW w:type="dxa" w:w="1632"/>
            <w:shd w:fill="1B365D"/>
          </w:tcPr>
          <w:p>
            <w:r>
              <w:rPr>
                <w:b/>
                <w:color w:val="FFFFFF"/>
                <w:sz w:val="17"/>
              </w:rPr>
              <w:t>Múltiplo</w:t>
            </w:r>
          </w:p>
        </w:tc>
        <w:tc>
          <w:tcPr>
            <w:tcW w:type="dxa" w:w="1632"/>
            <w:shd w:fill="1B365D"/>
          </w:tcPr>
          <w:p>
            <w:r>
              <w:rPr>
                <w:b/>
                <w:color w:val="FFFFFF"/>
                <w:sz w:val="17"/>
              </w:rPr>
              <w:t>Enterprise Value</w:t>
            </w:r>
          </w:p>
        </w:tc>
        <w:tc>
          <w:tcPr>
            <w:tcW w:type="dxa" w:w="1632"/>
            <w:shd w:fill="1B365D"/>
          </w:tcPr>
          <w:p>
            <w:r>
              <w:rPr>
                <w:b/>
                <w:color w:val="FFFFFF"/>
                <w:sz w:val="17"/>
              </w:rPr>
              <w:t>Peso EV</w:t>
            </w:r>
          </w:p>
        </w:tc>
      </w:tr>
      <w:tr>
        <w:tc>
          <w:tcPr>
            <w:tcW w:type="dxa" w:w="1632"/>
          </w:tcPr>
          <w:p>
            <w:r>
              <w:rPr>
                <w:b/>
                <w:sz w:val="16"/>
              </w:rPr>
              <w:t>HOKA</w:t>
            </w:r>
          </w:p>
        </w:tc>
        <w:tc>
          <w:tcPr>
            <w:tcW w:type="dxa" w:w="1632"/>
          </w:tcPr>
          <w:p>
            <w:r>
              <w:rPr>
                <w:sz w:val="16"/>
              </w:rPr>
              <w:t>$2,658.7 M</w:t>
            </w:r>
          </w:p>
        </w:tc>
        <w:tc>
          <w:tcPr>
            <w:tcW w:type="dxa" w:w="1632"/>
          </w:tcPr>
          <w:p>
            <w:r>
              <w:rPr>
                <w:sz w:val="16"/>
              </w:rPr>
              <w:t>34.3%</w:t>
            </w:r>
          </w:p>
        </w:tc>
        <w:tc>
          <w:tcPr>
            <w:tcW w:type="dxa" w:w="1632"/>
          </w:tcPr>
          <w:p>
            <w:r>
              <w:rPr>
                <w:sz w:val="16"/>
              </w:rPr>
              <w:t>19.7x EV/EBIT</w:t>
            </w:r>
          </w:p>
        </w:tc>
        <w:tc>
          <w:tcPr>
            <w:tcW w:type="dxa" w:w="1632"/>
          </w:tcPr>
          <w:p>
            <w:r>
              <w:rPr>
                <w:b/>
                <w:sz w:val="16"/>
              </w:rPr>
              <w:t>$17,984.1 M</w:t>
            </w:r>
          </w:p>
        </w:tc>
        <w:tc>
          <w:tcPr>
            <w:tcW w:type="dxa" w:w="1632"/>
          </w:tcPr>
          <w:p>
            <w:r>
              <w:rPr>
                <w:sz w:val="16"/>
              </w:rPr>
              <w:t>49.3%</w:t>
            </w:r>
          </w:p>
        </w:tc>
      </w:tr>
      <w:tr>
        <w:tc>
          <w:tcPr>
            <w:tcW w:type="dxa" w:w="1632"/>
            <w:shd w:fill="F7FAFC"/>
          </w:tcPr>
          <w:p>
            <w:r>
              <w:rPr>
                <w:b/>
                <w:sz w:val="16"/>
              </w:rPr>
              <w:t>UGG</w:t>
            </w:r>
          </w:p>
        </w:tc>
        <w:tc>
          <w:tcPr>
            <w:tcW w:type="dxa" w:w="1632"/>
            <w:shd w:fill="F7FAFC"/>
          </w:tcPr>
          <w:p>
            <w:r>
              <w:rPr>
                <w:sz w:val="16"/>
              </w:rPr>
              <w:t>$2,724.4 M</w:t>
            </w:r>
          </w:p>
        </w:tc>
        <w:tc>
          <w:tcPr>
            <w:tcW w:type="dxa" w:w="1632"/>
            <w:shd w:fill="F7FAFC"/>
          </w:tcPr>
          <w:p>
            <w:r>
              <w:rPr>
                <w:sz w:val="16"/>
              </w:rPr>
              <w:t>38.4%</w:t>
            </w:r>
          </w:p>
        </w:tc>
        <w:tc>
          <w:tcPr>
            <w:tcW w:type="dxa" w:w="1632"/>
            <w:shd w:fill="F7FAFC"/>
          </w:tcPr>
          <w:p>
            <w:r>
              <w:rPr>
                <w:sz w:val="16"/>
              </w:rPr>
              <w:t>17.6x EV/EBIT</w:t>
            </w:r>
          </w:p>
        </w:tc>
        <w:tc>
          <w:tcPr>
            <w:tcW w:type="dxa" w:w="1632"/>
            <w:shd w:fill="F7FAFC"/>
          </w:tcPr>
          <w:p>
            <w:r>
              <w:rPr>
                <w:b/>
                <w:sz w:val="16"/>
              </w:rPr>
              <w:t>$18,397.3 M</w:t>
            </w:r>
          </w:p>
        </w:tc>
        <w:tc>
          <w:tcPr>
            <w:tcW w:type="dxa" w:w="1632"/>
            <w:shd w:fill="F7FAFC"/>
          </w:tcPr>
          <w:p>
            <w:r>
              <w:rPr>
                <w:sz w:val="16"/>
              </w:rPr>
              <w:t>50.4%</w:t>
            </w:r>
          </w:p>
        </w:tc>
      </w:tr>
      <w:tr>
        <w:tc>
          <w:tcPr>
            <w:tcW w:type="dxa" w:w="1632"/>
          </w:tcPr>
          <w:p>
            <w:r>
              <w:rPr>
                <w:b/>
                <w:sz w:val="16"/>
              </w:rPr>
              <w:t>Other Brands</w:t>
            </w:r>
          </w:p>
        </w:tc>
        <w:tc>
          <w:tcPr>
            <w:tcW w:type="dxa" w:w="1632"/>
          </w:tcPr>
          <w:p>
            <w:r>
              <w:rPr>
                <w:sz w:val="16"/>
              </w:rPr>
              <w:t>$144.2 M</w:t>
            </w:r>
          </w:p>
        </w:tc>
        <w:tc>
          <w:tcPr>
            <w:tcW w:type="dxa" w:w="1632"/>
          </w:tcPr>
          <w:p>
            <w:r>
              <w:rPr>
                <w:sz w:val="16"/>
              </w:rPr>
              <w:t>10.6%</w:t>
            </w:r>
          </w:p>
        </w:tc>
        <w:tc>
          <w:tcPr>
            <w:tcW w:type="dxa" w:w="1632"/>
          </w:tcPr>
          <w:p>
            <w:r>
              <w:rPr>
                <w:sz w:val="16"/>
              </w:rPr>
              <w:t>8.0x EV/EBIT</w:t>
            </w:r>
          </w:p>
        </w:tc>
        <w:tc>
          <w:tcPr>
            <w:tcW w:type="dxa" w:w="1632"/>
          </w:tcPr>
          <w:p>
            <w:r>
              <w:rPr>
                <w:b/>
                <w:sz w:val="16"/>
              </w:rPr>
              <w:t>$122.4 M</w:t>
            </w:r>
          </w:p>
        </w:tc>
        <w:tc>
          <w:tcPr>
            <w:tcW w:type="dxa" w:w="1632"/>
          </w:tcPr>
          <w:p>
            <w:r>
              <w:rPr>
                <w:sz w:val="16"/>
              </w:rPr>
              <w:t>0.3%</w:t>
            </w:r>
          </w:p>
        </w:tc>
      </w:tr>
      <w:tr>
        <w:tc>
          <w:tcPr>
            <w:tcW w:type="dxa" w:w="1632"/>
            <w:shd w:fill="F7FAFC"/>
          </w:tcPr>
          <w:p>
            <w:r>
              <w:rPr>
                <w:b/>
                <w:sz w:val="16"/>
              </w:rPr>
              <w:t>Total Enterprise Value (EV)</w:t>
            </w:r>
          </w:p>
        </w:tc>
        <w:tc>
          <w:tcPr>
            <w:tcW w:type="dxa" w:w="1632"/>
            <w:shd w:fill="F7FAFC"/>
          </w:tcPr>
          <w:p>
            <w:r>
              <w:rPr>
                <w:b/>
                <w:sz w:val="16"/>
              </w:rPr>
              <w:t>$5,527.3 M</w:t>
            </w:r>
          </w:p>
        </w:tc>
        <w:tc>
          <w:tcPr>
            <w:tcW w:type="dxa" w:w="1632"/>
            <w:shd w:fill="F7FAFC"/>
          </w:tcPr>
          <w:p>
            <w:r>
              <w:rPr>
                <w:b/>
                <w:sz w:val="16"/>
              </w:rPr>
              <w:t>—</w:t>
            </w:r>
          </w:p>
        </w:tc>
        <w:tc>
          <w:tcPr>
            <w:tcW w:type="dxa" w:w="1632"/>
            <w:shd w:fill="F7FAFC"/>
          </w:tcPr>
          <w:p>
            <w:r>
              <w:rPr>
                <w:b/>
                <w:sz w:val="16"/>
              </w:rPr>
              <w:t>—</w:t>
            </w:r>
          </w:p>
        </w:tc>
        <w:tc>
          <w:tcPr>
            <w:tcW w:type="dxa" w:w="1632"/>
            <w:shd w:fill="F7FAFC"/>
          </w:tcPr>
          <w:p>
            <w:r>
              <w:rPr>
                <w:b/>
                <w:sz w:val="16"/>
              </w:rPr>
              <w:t>$36,503.8 M</w:t>
            </w:r>
          </w:p>
        </w:tc>
        <w:tc>
          <w:tcPr>
            <w:tcW w:type="dxa" w:w="1632"/>
            <w:shd w:fill="F7FAFC"/>
          </w:tcPr>
          <w:p>
            <w:r>
              <w:rPr>
                <w:b/>
                <w:sz w:val="16"/>
              </w:rPr>
              <w:t>100.0%</w:t>
            </w:r>
          </w:p>
        </w:tc>
      </w:tr>
      <w:tr>
        <w:tc>
          <w:tcPr>
            <w:tcW w:type="dxa" w:w="1632"/>
          </w:tcPr>
          <w:p>
            <w:r>
              <w:rPr>
                <w:b/>
                <w:sz w:val="16"/>
              </w:rPr>
              <w:t>(+) Caja Neta</w:t>
            </w:r>
          </w:p>
        </w:tc>
        <w:tc>
          <w:tcPr>
            <w:tcW w:type="dxa" w:w="1632"/>
          </w:tcPr>
          <w:p>
            <w:r>
              <w:rPr>
                <w:sz w:val="16"/>
              </w:rPr>
              <w:t>—</w:t>
            </w:r>
          </w:p>
        </w:tc>
        <w:tc>
          <w:tcPr>
            <w:tcW w:type="dxa" w:w="1632"/>
          </w:tcPr>
          <w:p>
            <w:r>
              <w:rPr>
                <w:sz w:val="16"/>
              </w:rPr>
              <w:t>—</w:t>
            </w:r>
          </w:p>
        </w:tc>
        <w:tc>
          <w:tcPr>
            <w:tcW w:type="dxa" w:w="1632"/>
          </w:tcPr>
          <w:p>
            <w:r>
              <w:rPr>
                <w:sz w:val="16"/>
              </w:rPr>
              <w:t>—</w:t>
            </w:r>
          </w:p>
        </w:tc>
        <w:tc>
          <w:tcPr>
            <w:tcW w:type="dxa" w:w="1632"/>
          </w:tcPr>
          <w:p>
            <w:r>
              <w:rPr>
                <w:b/>
                <w:sz w:val="16"/>
              </w:rPr>
              <w:t>$1,602.6 M</w:t>
            </w:r>
          </w:p>
        </w:tc>
        <w:tc>
          <w:tcPr>
            <w:tcW w:type="dxa" w:w="1632"/>
          </w:tcPr>
          <w:p>
            <w:r>
              <w:rPr>
                <w:sz w:val="16"/>
              </w:rPr>
              <w:t>—</w:t>
            </w:r>
          </w:p>
        </w:tc>
      </w:tr>
      <w:tr>
        <w:tc>
          <w:tcPr>
            <w:tcW w:type="dxa" w:w="1632"/>
            <w:shd w:fill="F7FAFC"/>
          </w:tcPr>
          <w:p>
            <w:r>
              <w:rPr>
                <w:b/>
                <w:sz w:val="16"/>
              </w:rPr>
              <w:t>Equity Value Justificado SOTP</w:t>
            </w:r>
          </w:p>
        </w:tc>
        <w:tc>
          <w:tcPr>
            <w:tcW w:type="dxa" w:w="1632"/>
            <w:shd w:fill="F7FAFC"/>
          </w:tcPr>
          <w:p>
            <w:r>
              <w:rPr>
                <w:b/>
                <w:sz w:val="16"/>
              </w:rPr>
              <w:t>—</w:t>
            </w:r>
          </w:p>
        </w:tc>
        <w:tc>
          <w:tcPr>
            <w:tcW w:type="dxa" w:w="1632"/>
            <w:shd w:fill="F7FAFC"/>
          </w:tcPr>
          <w:p>
            <w:r>
              <w:rPr>
                <w:b/>
                <w:sz w:val="16"/>
              </w:rPr>
              <w:t>—</w:t>
            </w:r>
          </w:p>
        </w:tc>
        <w:tc>
          <w:tcPr>
            <w:tcW w:type="dxa" w:w="1632"/>
            <w:shd w:fill="F7FAFC"/>
          </w:tcPr>
          <w:p>
            <w:r>
              <w:rPr>
                <w:b/>
                <w:sz w:val="16"/>
              </w:rPr>
              <w:t>—</w:t>
            </w:r>
          </w:p>
        </w:tc>
        <w:tc>
          <w:tcPr>
            <w:tcW w:type="dxa" w:w="1632"/>
            <w:shd w:fill="F7FAFC"/>
          </w:tcPr>
          <w:p>
            <w:r>
              <w:rPr>
                <w:b/>
                <w:sz w:val="16"/>
              </w:rPr>
              <w:t>$38,106.4 M</w:t>
            </w:r>
          </w:p>
        </w:tc>
        <w:tc>
          <w:tcPr>
            <w:tcW w:type="dxa" w:w="1632"/>
            <w:shd w:fill="F7FAFC"/>
          </w:tcPr>
          <w:p>
            <w:r>
              <w:rPr>
                <w:b/>
                <w:sz w:val="16"/>
              </w:rPr>
              <w:t>$279.82/sh (+237.9%)</w:t>
            </w:r>
          </w:p>
        </w:tc>
      </w:tr>
    </w:tbl>
    <w:p/>
    <w:p>
      <w:pPr>
        <w:pStyle w:val="Heading2"/>
      </w:pPr>
      <w:r>
        <w:rPr>
          <w:rFonts w:ascii="Calibri" w:hAnsi="Calibri"/>
          <w:b/>
          <w:color w:val="1B365D"/>
          <w:sz w:val="23"/>
        </w:rPr>
        <w:t>14.5.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-3.1% - -5.3%</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