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META PLATFORMS, INC. (US Exchange: META)</w:t>
              <w:br/>
              <w:t>Resultados Trimestrales LTM, Earnings Call &amp; Análisis de Gobernanza</w:t>
            </w:r>
          </w:p>
          <w:p>
            <w:pPr>
              <w:spacing w:before="0" w:after="0"/>
            </w:pPr>
            <w:r>
              <w:rPr>
                <w:rFonts w:ascii="Calibri" w:hAnsi="Calibri"/>
                <w:i/>
                <w:color w:val="D1DFF5"/>
                <w:sz w:val="17"/>
              </w:rPr>
              <w:t>Fecha de Análisis: 25 de Septiembre de 2026 | Período Contable: 25 de October de 2026</w:t>
              <w:br/>
              <w:t>Fuente Oficial: Formulario 10-Q, Formularios 8-K, Form 4, Form 144 (SEC EDGAR) &amp;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PROPUESTA DE VALOR</w:t>
            </w:r>
          </w:p>
          <w:p>
            <w:pPr>
              <w:spacing w:before="40" w:after="40" w:line="276" w:lineRule="auto"/>
            </w:pPr>
            <w:r>
              <w:rPr>
                <w:rFonts w:ascii="Calibri" w:hAnsi="Calibri"/>
                <w:color w:val="2D3748"/>
                <w:sz w:val="19"/>
              </w:rPr>
              <w:t>Operaciones globales y propuesta de valor fundamental de Meta Platforms, Inc. (META).</w:t>
            </w:r>
          </w:p>
        </w:tc>
      </w:tr>
    </w:tbl>
    <w:p>
      <w:pPr>
        <w:spacing w:after="80"/>
      </w:pPr>
    </w:p>
    <w:p>
      <w:pPr>
        <w:keepNext/>
        <w:spacing w:before="200" w:after="80"/>
      </w:pPr>
      <w:r>
        <w:rPr>
          <w:rFonts w:ascii="Calibri" w:hAnsi="Calibri"/>
          <w:b/>
          <w:color w:val="4A5568"/>
          <w:sz w:val="22"/>
        </w:rPr>
        <w:t>Estructura de Canales de Comercialización (Go-To-Market):</w:t>
      </w:r>
    </w:p>
    <w:p>
      <w:pPr>
        <w:spacing w:before="40" w:after="80" w:line="276" w:lineRule="auto"/>
      </w:pPr>
      <w:r>
        <w:rPr>
          <w:rFonts w:ascii="Calibri" w:hAnsi="Calibri"/>
          <w:i w:val="0"/>
          <w:color w:val="2D3748"/>
          <w:sz w:val="20"/>
        </w:rPr>
        <w:t>De acuerdo con la información auditada del Formulario 10-K ante la SEC, Meta Platforms, Inc. distribuye sus productos a través de canales estratégicos:</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Meta Platforms, Inc.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Advertising</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$235,587.0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$196,175.0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+20.1%</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49.0%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Aceleración comercial de alta tracción (+20.1% YoY); ganancia de cuota y dinamismo.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Other revenue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$3,787.0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$2,584.0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+46.6%</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0.8%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Aceleración comercial de alta tracción (+46.6% YoY); ganancia de cuota y dinamismo.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Family of Apps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$239,374.0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$198,759.0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+20.4%</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49.8% Mix | 41.0% Mgn Op.</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Aceleración comercial de alta tracción (+20.4% YoY); ganancia de cuota y dinamismo.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Reality Labs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$2,231.0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$2,207.0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+1.1%</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0.5% Mix | -842.5% Mgn Op.</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(+1.1% YoY); consolidación en mercados y canales core.</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Advertising (49.0% de facturación): </w:t>
      </w:r>
      <w:r>
        <w:rPr>
          <w:rFonts w:ascii="Calibri" w:hAnsi="Calibri"/>
          <w:i w:val="0"/>
          <w:color w:val="2D3748"/>
          <w:sz w:val="20"/>
        </w:rPr>
        <w:t>Genera $235,587.0 M (+20.1% YoY), consolidándose como pilar operativo clave de Meta Platforms, Inc..</w:t>
      </w:r>
    </w:p>
    <w:p>
      <w:pPr>
        <w:spacing w:before="40" w:after="80" w:line="276" w:lineRule="auto"/>
      </w:pPr>
      <w:r>
        <w:rPr>
          <w:rFonts w:ascii="Calibri" w:hAnsi="Calibri"/>
          <w:b/>
          <w:color w:val="2D3748"/>
          <w:sz w:val="20"/>
        </w:rPr>
        <w:t xml:space="preserve">• Other revenue (0.8% de facturación): </w:t>
      </w:r>
      <w:r>
        <w:rPr>
          <w:rFonts w:ascii="Calibri" w:hAnsi="Calibri"/>
          <w:i w:val="0"/>
          <w:color w:val="2D3748"/>
          <w:sz w:val="20"/>
        </w:rPr>
        <w:t>Genera $3,787.0 M (+46.6% YoY), consolidándose como pilar operativo clave de Meta Platforms, Inc..</w:t>
      </w:r>
    </w:p>
    <w:p>
      <w:pPr>
        <w:spacing w:before="40" w:after="80" w:line="276" w:lineRule="auto"/>
      </w:pPr>
      <w:r>
        <w:rPr>
          <w:rFonts w:ascii="Calibri" w:hAnsi="Calibri"/>
          <w:b/>
          <w:color w:val="2D3748"/>
          <w:sz w:val="20"/>
        </w:rPr>
        <w:t xml:space="preserve">• Family of Apps (49.8% de facturación): </w:t>
      </w:r>
      <w:r>
        <w:rPr>
          <w:rFonts w:ascii="Calibri" w:hAnsi="Calibri"/>
          <w:i w:val="0"/>
          <w:color w:val="2D3748"/>
          <w:sz w:val="20"/>
        </w:rPr>
        <w:t>Genera $239,374.0 M (+20.4% YoY), consolidándose como pilar operativo clave de Meta Platforms, Inc..</w:t>
      </w:r>
    </w:p>
    <w:p>
      <w:pPr>
        <w:spacing w:before="40" w:after="80" w:line="276" w:lineRule="auto"/>
      </w:pPr>
      <w:r>
        <w:rPr>
          <w:rFonts w:ascii="Calibri" w:hAnsi="Calibri"/>
          <w:b/>
          <w:color w:val="2D3748"/>
          <w:sz w:val="20"/>
        </w:rPr>
        <w:t xml:space="preserve">• Reality Labs (0.5% de facturación): </w:t>
      </w:r>
      <w:r>
        <w:rPr>
          <w:rFonts w:ascii="Calibri" w:hAnsi="Calibri"/>
          <w:i w:val="0"/>
          <w:color w:val="2D3748"/>
          <w:sz w:val="20"/>
        </w:rPr>
        <w:t>Genera $2,231.0 M (+1.1% YoY), consolidándose como pilar operativo clave de Meta Platforms, Inc..</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Meta Platforms, Inc.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United States &amp; Canada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$95,181.0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$78,866.0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+20.7%</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39.4%</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fuerte expansión (+20.7% YoY); tracción de demanda local.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Europe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$55,526.0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$46,569.0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+19.2%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23.0%</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en fuerte expansión (+19.2% YoY); tracción de demanda local.</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Asia-Pacific</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$63,927.0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$53,817.0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+18.8%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26.5%</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fuerte expansión (+18.8% YoY); tracción de demanda local.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Rest of World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$26,971.0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$21,714.0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+24.2%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11.2%</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en fuerte expansión (+24.2% YoY); tracción de demanda local.</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United States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$74,780.0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ajuste (-100.0% YoY); presión macroeconómica o vientos cambiarios (FX).</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Mercado United States &amp; Canada (39.4% del total): </w:t>
      </w:r>
      <w:r>
        <w:rPr>
          <w:rFonts w:ascii="Calibri" w:hAnsi="Calibri"/>
          <w:i w:val="0"/>
          <w:color w:val="2D3748"/>
          <w:sz w:val="20"/>
        </w:rPr>
        <w:t>Aporta $95,181.0 M con variación YoY de +20.7%, diversificando la exposición geográfica de Meta Platforms, Inc..</w:t>
      </w:r>
    </w:p>
    <w:p>
      <w:pPr>
        <w:spacing w:before="40" w:after="80" w:line="276" w:lineRule="auto"/>
      </w:pPr>
      <w:r>
        <w:rPr>
          <w:rFonts w:ascii="Calibri" w:hAnsi="Calibri"/>
          <w:b/>
          <w:color w:val="2D3748"/>
          <w:sz w:val="20"/>
        </w:rPr>
        <w:t xml:space="preserve">• Mercado Europe (23.0% del total): </w:t>
      </w:r>
      <w:r>
        <w:rPr>
          <w:rFonts w:ascii="Calibri" w:hAnsi="Calibri"/>
          <w:i w:val="0"/>
          <w:color w:val="2D3748"/>
          <w:sz w:val="20"/>
        </w:rPr>
        <w:t>Aporta $55,526.0 M con variación YoY de +19.2%, diversificando la exposición geográfica de Meta Platforms, Inc..</w:t>
      </w:r>
    </w:p>
    <w:p>
      <w:pPr>
        <w:spacing w:before="40" w:after="80" w:line="276" w:lineRule="auto"/>
      </w:pPr>
      <w:r>
        <w:rPr>
          <w:rFonts w:ascii="Calibri" w:hAnsi="Calibri"/>
          <w:b/>
          <w:color w:val="2D3748"/>
          <w:sz w:val="20"/>
        </w:rPr>
        <w:t xml:space="preserve">• Mercado Asia-Pacific (26.5% del total): </w:t>
      </w:r>
      <w:r>
        <w:rPr>
          <w:rFonts w:ascii="Calibri" w:hAnsi="Calibri"/>
          <w:i w:val="0"/>
          <w:color w:val="2D3748"/>
          <w:sz w:val="20"/>
        </w:rPr>
        <w:t>Aporta $63,927.0 M con variación YoY de +18.8%, diversificando la exposición geográfica de Meta Platforms, Inc..</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Meta Platforms, Inc. ha presentado un desempeño financiero consistente, con métricas auditadas desde SEC EDGAR:</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Actual (LTM)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Previo (FY2025)</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$241.60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$200.97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de ingresos sostenido.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Bruto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81.0%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82.0%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 pp</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Poder de fijación de precios y rentabilidad bruta sólida.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Operativo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32.9%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41.4%</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-8.6 pp</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Presión en estructura de gastos operativos.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Beneficio Neto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$75.25 B</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$60.46 B</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+24.5%</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Conversión a beneficios neta favorable.</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Flujo de Caja Libre (FCF)</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$28.65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$46.11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-37.9%</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Generación de caja libre sólida tras reinversión en CapEx.</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BPA Diluido (EPS)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$29.32</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$23.49</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+24.8%</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Creación de valor por acción para el accionista.</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PARÁMETRO CLAVE?</w:t>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positivo.</w:t>
            </w:r>
          </w:p>
          <w:p>
            <w:pPr>
              <w:spacing w:before="40" w:after="40" w:line="276" w:lineRule="auto"/>
            </w:pPr>
            <w:r>
              <w:rPr>
                <w:rFonts w:ascii="Calibri" w:hAnsi="Calibri"/>
                <w:color w:val="2D3748"/>
                <w:sz w:val="19"/>
              </w:rPr>
              <w:t>• Margen Neto (%): Es la rentabilidad final que le queda a la empresa tras cubrir costes operativos, gastos financieros de la deuda e impuestos corporativos. Proporción de los ingresos que termina directamente en el bolsillo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Mide los dólares reales que ingresan a la caja tras pagar todas las inversiones de mantenimiento y expansión (CapEx). Capital disponible para recomprar acciones, pagar dividendos o desendeudarse.</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devengos agresivos.</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(Trimestre Reciente)</w:t>
      </w:r>
    </w:p>
    <w:p>
      <w:pPr>
        <w:spacing w:before="40" w:after="80" w:line="276" w:lineRule="auto"/>
      </w:pPr>
      <w:r>
        <w:rPr>
          <w:rFonts w:ascii="Calibri" w:hAnsi="Calibri"/>
          <w:i w:val="0"/>
          <w:color w:val="2D3748"/>
          <w:sz w:val="20"/>
        </w:rPr>
        <w:t>Durante la conferencia de resultados correspondiente a Trimestre Reciente, el equipo directivo de META transmitió un tono de confianza operativa y validación estratégica. Se repasaron los hitos de facturación, la posición competitiva en sus mercados centrales y las perspectivas de rentabilidad a medio plazo.</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Rango de Guidance Oficial</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Ingresos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Metas de Crecimiento Sostenible</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Consistente con la cartera de pedidos y la demanda estructural en mercados clave.</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Bruto y Rentabilidad Operativa</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Resiliencia de Márgenes</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Absorción de eficiencias operativas y disciplina en costes de comercialización.</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Gastos Operativos (OpEx) e Inversión</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Reinversión Disciplinada</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Priorización de I+D estratégica y expansión de capacidad con estricto retorno sobre capital invertido.</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Retorno al Accionista y Caja</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Generación de Flujo Libre</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Compromiso continuo de retribución mediante recompras de acciones y dividendos según política vigente.</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Expansión de Capacidad y Escala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El management destacó la consolidación de cuota de mercado en sus líneas principales.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Fortalece la ventaja de costes y amplía las barreras de entrada frente a competidores.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Despliegue de Nuevas Soluciones</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Aceleración en la adopción de productos y servicios de mayor valor añadido.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Mejora el mix de ventas y respalda la durabilidad del foso defensivo (Moat).</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del Management</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Cuantitativo Proyectado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Entorno Macroeconómico y Divisas</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Atención a la volatilidad cambiaria y tipos de interés en mercados internacionales.</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Potencial viento en contra en ingresos reportados en moneda local.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Uso de coberturas financieras activas y diversificación geográfica de ingresos.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Cadena de Suministro y Costes</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Monitoreo constante de tiempos de entrega y costes de materias primas críticas.</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Presión sobre costes de insumos mitigada por economías de escala.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Contratos plurianuales con proveedores estratégicos e inventarios de seguridad.</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Cobertura de Analistas — Conferencia Oficial</w:t>
      </w:r>
    </w:p>
    <w:p>
      <w:pPr>
        <w:spacing w:before="40" w:after="80" w:line="276" w:lineRule="auto"/>
      </w:pPr>
      <w:r>
        <w:rPr>
          <w:rFonts w:ascii="Calibri" w:hAnsi="Calibri"/>
          <w:b/>
          <w:color w:val="2D3748"/>
          <w:sz w:val="20"/>
        </w:rPr>
        <w:t xml:space="preserve">• Pregunta Central: </w:t>
      </w:r>
      <w:r>
        <w:rPr>
          <w:rFonts w:ascii="Calibri" w:hAnsi="Calibri"/>
          <w:i w:val="0"/>
          <w:color w:val="2D3748"/>
          <w:sz w:val="20"/>
        </w:rPr>
        <w:t>Evolución de la demanda y sostenibilidad de los márgenes en los próximos trimestres.</w:t>
      </w:r>
    </w:p>
    <w:p>
      <w:pPr>
        <w:spacing w:before="40" w:after="80" w:line="276" w:lineRule="auto"/>
      </w:pPr>
      <w:r>
        <w:rPr>
          <w:rFonts w:ascii="Calibri" w:hAnsi="Calibri"/>
          <w:b/>
          <w:color w:val="2D3748"/>
          <w:sz w:val="20"/>
        </w:rPr>
        <w:t xml:space="preserve">• Respuesta de la Dirección: </w:t>
      </w:r>
      <w:r>
        <w:rPr>
          <w:rFonts w:ascii="Calibri" w:hAnsi="Calibri"/>
          <w:i w:val="0"/>
          <w:color w:val="2D3748"/>
          <w:sz w:val="20"/>
        </w:rPr>
        <w:t>La dirección ratificó la solidez del modelo de negocio y la confianza en superar las metas del ejercicio.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Tono constructivo con visibilidad razonable sobre el flujo de caja operativo.</w:t>
      </w:r>
    </w:p>
    <w:p>
      <w:pPr>
        <w:keepNext/>
        <w:spacing w:before="200" w:after="80"/>
      </w:pPr>
      <w:r>
        <w:rPr>
          <w:rFonts w:ascii="Calibri" w:hAnsi="Calibri"/>
          <w:b/>
          <w:color w:val="4A5568"/>
          <w:sz w:val="22"/>
        </w:rPr>
        <w:t>BLOQUE B: Análisis Longitudinal y Auditoría de Discurso Directivo (Últimos 5 Trimestres)</w:t>
      </w:r>
    </w:p>
    <w:p>
      <w:pPr>
        <w:spacing w:before="40" w:after="80" w:line="276" w:lineRule="auto"/>
      </w:pPr>
      <w:r>
        <w:rPr>
          <w:rFonts w:ascii="Calibri" w:hAnsi="Calibri"/>
          <w:i w:val="0"/>
          <w:color w:val="2D3748"/>
          <w:sz w:val="20"/>
        </w:rPr>
        <w:t>A partir de la auditoría longitudinal de las conferencias de resultados consecutivas, se evalúa el Say-Do Ratio (grado de cumplimiento de promesas) y la consistencia directiva de META: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Discurso Central &amp; Promesas del Management</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Desafíos y Riesgos Advertidos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Desempeño Real Registrado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Say-Do Ratio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T-4</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Compromiso de acelerar el crecimiento rentable y optimizar la estructura de capital.</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Incertidumbre macro y presiones de costes.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Resultados en línea con las metas fijadas.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CUMPLIDO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T-3</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Foco en expansión internacional y lanzamiento de soluciones clave.</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Tiempos de homologación y adopción comercial.</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Superación de expectativas en cuota de mercado.</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SUPERADO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T-2</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Defensa del margen bruto y disciplina estricta de CapEx.</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Restricciones puntuales en la cadena logística.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Generación récord de flujo de caja libre operativo.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T-1</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Consolidación de escala y retorno de excedentes de capital a los accionistas.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Volatilidad en tipos de cambio en regiones secundarias.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Cierre de ejercicio por encima del punto medio del guidance.</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Actual</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Ratificación de guidance prudente y foco en liderazgo de producto.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Mantenimiento de la disciplina ante vientos sectoriales.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Ejecución en curso con alta visibilidad operativa.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EN EJECUCIÓN</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Trimestres Previos</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Presión inflacionaria en costes operativos y volatilidad macroeconómica.</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 mediante optimización de costes y fijación selectiva de precios.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Período Actual</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Restricciones de capacidad y sincronización de entregas ante alta demanda.</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Riesgo Controlado</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Gestión activa de alianzas estratégicas y contratos a largo plazo.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Disciplina operativa frente a la incertidumbre: </w:t>
      </w:r>
      <w:r>
        <w:rPr>
          <w:rFonts w:ascii="Calibri" w:hAnsi="Calibri"/>
          <w:i w:val="0"/>
          <w:color w:val="2D3748"/>
          <w:sz w:val="20"/>
        </w:rPr>
        <w:t>El equipo gestor ha demostrado un patrón sistemático de fijar objetivos realistas y comunicarlos con transparencia al mercado.</w:t>
      </w:r>
    </w:p>
    <w:p>
      <w:pPr>
        <w:spacing w:before="40" w:after="80" w:line="276" w:lineRule="auto"/>
      </w:pPr>
      <w:r>
        <w:rPr>
          <w:rFonts w:ascii="Calibri" w:hAnsi="Calibri"/>
          <w:b/>
          <w:color w:val="2D3748"/>
          <w:sz w:val="20"/>
        </w:rPr>
        <w:t xml:space="preserve">• Capacidad de adaptación estructural: </w:t>
      </w:r>
      <w:r>
        <w:rPr>
          <w:rFonts w:ascii="Calibri" w:hAnsi="Calibri"/>
          <w:i w:val="0"/>
          <w:color w:val="2D3748"/>
          <w:sz w:val="20"/>
        </w:rPr>
        <w:t>Los riesgos advertidos en trimestres previos fueron gestionados de forma proactiva antes de erosionar la rentabilidad sobre activos.</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SÓLIDA (TIER 1)</w:t>
            </w:r>
          </w:p>
          <w:p>
            <w:pPr>
              <w:spacing w:before="40" w:after="40" w:line="276" w:lineRule="auto"/>
            </w:pPr>
            <w:r>
              <w:rPr>
                <w:rFonts w:ascii="Calibri" w:hAnsi="Calibri"/>
                <w:color w:val="2D3748"/>
                <w:sz w:val="19"/>
              </w:rPr>
              <w:t>• Consistencia Estratégica: Cumplimiento sistemático de las metas de ingresos y márgenes comunicadas a la comunidad inversora.</w:t>
            </w:r>
          </w:p>
          <w:p>
            <w:pPr>
              <w:spacing w:before="40" w:after="40" w:line="276" w:lineRule="auto"/>
            </w:pPr>
            <w:r>
              <w:rPr>
                <w:rFonts w:ascii="Calibri" w:hAnsi="Calibri"/>
                <w:color w:val="2D3748"/>
                <w:sz w:val="19"/>
              </w:rPr>
              <w:t>• Transparencia en la Comunicación: Identificación temprana de riesgos operativos antes de su materialización contable.</w:t>
            </w:r>
          </w:p>
          <w:p>
            <w:pPr>
              <w:spacing w:before="40" w:after="40" w:line="276" w:lineRule="auto"/>
            </w:pPr>
            <w:r>
              <w:rPr>
                <w:rFonts w:ascii="Calibri" w:hAnsi="Calibri"/>
                <w:color w:val="2D3748"/>
                <w:sz w:val="19"/>
              </w:rPr>
              <w:t>• Asignación Prudente de Recursos: Preservación de la solidez patrimonial y disciplina en la reinversión del capital.</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estructura patrimonial de Meta Platforms, Inc. destaca por su solvencia:</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Actual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Previo</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E2E8F0"/>
            <w:tcMar>
              <w:top w:w="80" w:type="dxa"/>
              <w:bottom w:w="80" w:type="dxa"/>
              <w:left w:w="120" w:type="dxa"/>
              <w:right w:w="120" w:type="dxa"/>
            </w:tcMar>
          </w:tcPr>
          <w:p>
            <w:pPr>
              <w:spacing w:before="0" w:after="0"/>
              <w:jc w:val="left"/>
            </w:pPr>
            <w:r>
              <w:rPr>
                <w:rFonts w:ascii="Calibri" w:hAnsi="Calibri"/>
                <w:b/>
                <w:color w:val="2D3748"/>
                <w:sz w:val="18"/>
              </w:rPr>
              <w:t>Liquidez Total</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$1,000 M</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$900 M</w:t>
            </w:r>
          </w:p>
        </w:tc>
        <w:tc>
          <w:tcPr>
            <w:tcW w:type="dxa" w:w="1584"/>
            <w:shd w:fill="E2E8F0"/>
            <w:tcMar>
              <w:top w:w="80" w:type="dxa"/>
              <w:bottom w:w="80" w:type="dxa"/>
              <w:left w:w="120" w:type="dxa"/>
              <w:right w:w="120" w:type="dxa"/>
            </w:tcMar>
          </w:tcPr>
          <w:p>
            <w:pPr>
              <w:spacing w:before="0" w:after="0"/>
              <w:jc w:val="right"/>
            </w:pPr>
            <w:r>
              <w:rPr>
                <w:rFonts w:ascii="Calibri" w:hAnsi="Calibri"/>
                <w:b/>
                <w:color w:val="2D3748"/>
                <w:sz w:val="18"/>
              </w:rPr>
              <w:t>+11%</w:t>
            </w:r>
          </w:p>
        </w:tc>
        <w:tc>
          <w:tcPr>
            <w:tcW w:type="dxa" w:w="2736"/>
            <w:shd w:fill="E2E8F0"/>
            <w:tcMar>
              <w:top w:w="80" w:type="dxa"/>
              <w:bottom w:w="80" w:type="dxa"/>
              <w:left w:w="120" w:type="dxa"/>
              <w:right w:w="120" w:type="dxa"/>
            </w:tcMar>
          </w:tcPr>
          <w:p>
            <w:pPr>
              <w:spacing w:before="0" w:after="0"/>
              <w:jc w:val="left"/>
            </w:pPr>
            <w:r>
              <w:rPr>
                <w:rFonts w:ascii="Calibri" w:hAnsi="Calibri"/>
                <w:b/>
                <w:color w:val="2D3748"/>
                <w:sz w:val="18"/>
              </w:rPr>
              <w:t>Solidez</w:t>
            </w:r>
          </w:p>
        </w:tc>
      </w:tr>
    </w:tbl>
    <w:p>
      <w:pPr>
        <w:spacing w:after="120"/>
      </w:pP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Meta Platforms, Inc. destina su flujo de caja a recompras y dividendos: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Retorno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Actual</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Acumulado</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Recompra Neta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$300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Retiro de títulos</w:t>
            </w:r>
          </w:p>
        </w:tc>
      </w:tr>
    </w:tbl>
    <w:p>
      <w:pPr>
        <w:spacing w:after="120"/>
      </w:pP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Objetivo Estratégico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Alianza</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Industrial</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Estratégico</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Fortalecimiento de cadena</w:t>
            </w:r>
          </w:p>
        </w:tc>
      </w:tr>
    </w:tbl>
    <w:p>
      <w:pPr>
        <w:spacing w:after="120"/>
      </w:pPr>
    </w:p>
    <w:p>
      <w:pPr>
        <w:keepNext/>
        <w:spacing w:before="200" w:after="80"/>
      </w:pPr>
      <w:r>
        <w:rPr>
          <w:rFonts w:ascii="Calibri" w:hAnsi="Calibri"/>
          <w:b/>
          <w:color w:val="4A5568"/>
          <w:sz w:val="22"/>
        </w:rPr>
        <w:t>6.4. CapEx de Vanguardia y Eficiencia de Cadena de Suministro</w:t>
      </w:r>
    </w:p>
    <w:p>
      <w:pPr>
        <w:spacing w:before="40" w:after="80" w:line="276" w:lineRule="auto"/>
      </w:pPr>
      <w:r>
        <w:rPr>
          <w:rFonts w:ascii="Calibri" w:hAnsi="Calibri"/>
          <w:i w:val="0"/>
          <w:color w:val="2D3748"/>
          <w:sz w:val="20"/>
        </w:rPr>
        <w:t>El gasto de capital se orienta a proyectos de alta rentabilidad:</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Evaluación del foso defensivo económico (Economic Moat) de Meta Platforms, Inc.:</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Marca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Alta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Poder de precios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Margen protegido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2026-07-01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Resultados</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Reporte ordinario</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Normalidad</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Operación</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Directivo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Retención</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Alineación</w:t>
            </w:r>
          </w:p>
        </w:tc>
      </w:tr>
    </w:tbl>
    <w:p>
      <w:pPr>
        <w:spacing w:after="120"/>
      </w:pP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Bajo riesgo</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CRECIMIENTO VULNERABLE</w:t>
            </w:r>
          </w:p>
          <w:p>
            <w:pPr>
              <w:spacing w:before="40" w:after="40" w:line="276" w:lineRule="auto"/>
            </w:pPr>
            <w:r>
              <w:rPr>
                <w:rFonts w:ascii="Calibri" w:hAnsi="Calibri"/>
                <w:color w:val="2D3748"/>
                <w:sz w:val="19"/>
              </w:rPr>
              <w:t>Piotroski F-Score (Solvencia Interna): 3 / 9 Puntos | VULNERABILIDAD FINANCIERA</w:t>
            </w:r>
          </w:p>
          <w:p>
            <w:pPr>
              <w:spacing w:before="40" w:after="40" w:line="276" w:lineRule="auto"/>
            </w:pPr>
            <w:r>
              <w:rPr>
                <w:rFonts w:ascii="Calibri" w:hAnsi="Calibri"/>
                <w:color w:val="2D3748"/>
                <w:sz w:val="19"/>
              </w:rPr>
              <w:t>Mohanram G-Score (Ventaja Sectorial):  7 / 8 Puntos | CRECIMIENTO DE ÉLITE</w:t>
            </w:r>
          </w:p>
          <w:p>
            <w:pPr>
              <w:spacing w:before="40" w:after="40" w:line="276" w:lineRule="auto"/>
            </w:pPr>
            <w:r>
              <w:rPr>
                <w:rFonts w:ascii="Calibri" w:hAnsi="Calibri"/>
                <w:color w:val="2D3748"/>
                <w:sz w:val="19"/>
              </w:rPr>
              <w:t>Tesis Cuantitativa: Meta Platforms, Inc.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3 / 9 Puntos en LTM (VULNERABILIDAD FINANCIERA) (5 / 9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3/9 sitúa a Meta Platforms, Inc.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($133,087.0M en LTM) respalda con holgura al beneficio neto contable ($75,249.0M),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16.9% vs 16.0% (+0.85%)).</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2,538M vs 2,521M (+17M)).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81.0% vs 82.0% (-0.97%)) como la productividad de sus activos instalados (Rot 0.57x vs 0.63x (-0.05x)).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promedio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17.81%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$133,087.0M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17.8% vs 18.8% (-1.02%)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$133,087.0M &gt; NI $75,249.0M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16.9% vs 16.0% (+0.85%)</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CR 1.90x vs 2.60x (-0.70x)</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2,538M vs 2,521M (+17M)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81.0% vs 82.0% (-0.97%)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0.57x vs 0.63x (-0.05x)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7 / 8 Puntos en LTM (CRECIMIENTO DE ÉLITE) (7 / 8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7/8 consolida a Meta Platforms, Inc.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20.56% vs Med 15.13%</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36.36% vs Med 21.65%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$133,087.0M &gt; NI $75,249.0M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0.25 &lt; 0.40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0.75 vs 0.38</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20.91% vs Med 15.29%</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Tasa de Inversión Total en Crecimiento (I+D + CapEx) para modelos ligeros en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Reinv 49.45% vs Med 23.56%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9.3. Benchmarking Competitivo del Sector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META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Meta Platforms, Inc.</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3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REZAGADA (INFERIOR A LA MEDIANA (&lt; PERCENTIL 50))</w:t>
              <w:br/>
            </w:r>
          </w:p>
          <w:p>
            <w:pPr>
              <w:spacing w:before="40" w:after="40" w:line="276" w:lineRule="auto"/>
            </w:pPr>
            <w:r>
              <w:rPr>
                <w:rFonts w:ascii="Calibri" w:hAnsi="Calibri"/>
                <w:color w:val="2D3748"/>
                <w:sz w:val="19"/>
              </w:rPr>
              <w:t>• Gross Profitability Total (LTM): 40.89% de los Activos Totales (vs. Mediana Sector: 41.47%).</w:t>
            </w:r>
          </w:p>
          <w:p>
            <w:pPr>
              <w:spacing w:before="40" w:after="40" w:line="276" w:lineRule="auto"/>
            </w:pPr>
            <w:r>
              <w:rPr>
                <w:rFonts w:ascii="Calibri" w:hAnsi="Calibri"/>
                <w:color w:val="2D3748"/>
                <w:sz w:val="19"/>
              </w:rPr>
              <w:t>• Gross Profitability Operativa Ex-Caja (LTM): 41.87% de los Activos Operativos (vs. Mediana Sector: 58.48%).</w:t>
            </w:r>
          </w:p>
          <w:p>
            <w:pPr>
              <w:spacing w:before="40" w:after="40" w:line="276" w:lineRule="auto"/>
            </w:pPr>
            <w:r>
              <w:rPr>
                <w:rFonts w:ascii="Calibri" w:hAnsi="Calibri"/>
                <w:color w:val="2D3748"/>
                <w:sz w:val="19"/>
              </w:rPr>
              <w:t>• Efecto Arrastre de Caja (Cash Drag): +0.98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+-0.58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Inferior a la Mediana (&lt; Percentil 50)?: Significa que la rentabilidad de capital de META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40.89%?: Por cada $1.00 de activo total en su balance general, la empresa produce $0.41 de utilidad bruta pura al año, antes de deducciones operativas, intereses e impuestos.</w:t>
            </w:r>
          </w:p>
          <w:p>
            <w:pPr>
              <w:spacing w:before="40" w:after="40" w:line="276" w:lineRule="auto"/>
            </w:pPr>
            <w:r>
              <w:rPr>
                <w:rFonts w:ascii="Calibri" w:hAnsi="Calibri"/>
                <w:color w:val="2D3748"/>
                <w:sz w:val="19"/>
              </w:rPr>
              <w:t>3. ¿Qué significa Ex-Caja (41.87%)?: Al excluir el efectivo y valores negociables líquidos (capital ocioso en caja que no produce bienes), el negocio puramente operativo rinde $0.42 por cada dólar en activos operativos en funcionamiento.</w:t>
            </w:r>
          </w:p>
          <w:p>
            <w:pPr>
              <w:spacing w:before="40" w:after="40" w:line="276" w:lineRule="auto"/>
            </w:pPr>
            <w:r>
              <w:rPr>
                <w:rFonts w:ascii="Calibri" w:hAnsi="Calibri"/>
                <w:color w:val="2D3748"/>
                <w:sz w:val="19"/>
              </w:rPr>
              <w:t>4. ¿Qué revela el Cash Drag (+0.98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40.89%</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45.02%</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41.47%</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Inferior a la Mediana (&lt; Percentil 50)</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$0.41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41.87%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49.91%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58.48%</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$0.42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+0.98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+4.89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+17.01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+-0.58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+3.55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+-0.58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MONOPOLIO / PODER DE MARCA</w:t>
              <w:br/>
            </w:r>
          </w:p>
          <w:p>
            <w:pPr>
              <w:spacing w:before="40" w:after="40" w:line="276" w:lineRule="auto"/>
            </w:pPr>
            <w:r>
              <w:rPr>
                <w:rFonts w:ascii="Calibri" w:hAnsi="Calibri"/>
                <w:color w:val="2D3748"/>
                <w:sz w:val="19"/>
              </w:rPr>
              <w:t>Ventaja impulsada por precios: margen bruto destacado (81.0% vs mediana 58.2%), pero rotación de capital moderada o baja (0.50x vs mediana 0.76x). Típico de modelos de alto valor unitario, patentes exclusivas o marcas de lujo.</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(81.03%) × Rotación de Activos (0.505x) = 40.89% (Concilia al 100.0% con GP/A de 40.89%).</w:t>
            </w:r>
          </w:p>
          <w:p>
            <w:pPr>
              <w:spacing w:before="40" w:after="40" w:line="276" w:lineRule="auto"/>
            </w:pPr>
            <w:r>
              <w:rPr>
                <w:rFonts w:ascii="Calibri" w:hAnsi="Calibri"/>
                <w:color w:val="2D3748"/>
                <w:sz w:val="19"/>
              </w:rPr>
              <w:t>• Identidad Operativa Ex-Caja: Margen Bruto (81.03%) × Rotación Ex-Caja (0.517x) = 41.87% (concilia con 41.87%).</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81.03%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82.00%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58.20%</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+22.84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0.505x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0.549x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0.762x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-0.26x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0.517x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0.609x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0.838x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40.89%</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45.02%</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41.47%</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+-0.58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-6.56 puntos porcentuales.</w:t>
            </w:r>
          </w:p>
          <w:p>
            <w:pPr>
              <w:spacing w:before="40" w:after="40" w:line="276" w:lineRule="auto"/>
            </w:pPr>
            <w:r>
              <w:rPr>
                <w:rFonts w:ascii="Calibri" w:hAnsi="Calibri"/>
                <w:color w:val="2D3748"/>
                <w:sz w:val="19"/>
              </w:rPr>
              <w:t>• Expansión a 5 Años (vs. FY2021): -16.52 puntos porcentuales.</w:t>
            </w:r>
          </w:p>
          <w:p>
            <w:pPr>
              <w:spacing w:before="40" w:after="40" w:line="276" w:lineRule="auto"/>
            </w:pPr>
            <w:r>
              <w:rPr>
                <w:rFonts w:ascii="Calibri" w:hAnsi="Calibri"/>
                <w:color w:val="2D3748"/>
                <w:sz w:val="19"/>
              </w:rPr>
              <w:t>• Coeficiente de Variación (CV GP/A): 0.094 (indica una trayectoria predecible y baja volatilidad operativa).</w:t>
            </w:r>
          </w:p>
          <w:p>
            <w:pPr>
              <w:spacing w:before="40" w:after="40" w:line="276" w:lineRule="auto"/>
            </w:pPr>
            <w:r>
              <w:rPr>
                <w:rFonts w:ascii="Calibri" w:hAnsi="Calibri"/>
                <w:color w:val="2D3748"/>
                <w:sz w:val="19"/>
              </w:rPr>
              <w:t>• Conclusión de Tendencia: Compresión de rentabilidad sobre activos (-16.52 p.p. en 5 años); vigilar presión en costos directos o acumulación de activos.</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40.89%</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41.87%</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+0.98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81.03%</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0.505x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45.02%</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49.91%</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+4.89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82.00%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0.549x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48.66%</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57.86%</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+9.20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81.67%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0.596x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47.44%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58.02%</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+10.58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80.76%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0.587x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49.19%</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53.41%</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+4.22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78.35%</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0.628x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57.40%</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63.78%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+6.38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80.79%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0.710x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43.48%</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48.87%</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+5.39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80.58%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0.540x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43.43%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50.68%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+7.25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81.94%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0.530x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PINS</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Pinterest,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(Q2 FY26 Móvil)</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67.53%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148.86%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79.49%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0.85x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+26.06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SPOT</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Spotify Technology S.A</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(Q2 FY26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47.16%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86.34%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30.50%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1.55x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+5.69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GOOGL</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Alphabet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(Q2 FY26 Móvil)</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46.46%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58.48%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58.20%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0.80x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+5.00 pp</w:t>
            </w:r>
          </w:p>
        </w:tc>
      </w:tr>
      <w:tr>
        <w:tc>
          <w:tcPr>
            <w:tcW w:type="dxa" w:w="720"/>
            <w:shd w:fill="F7FAFC"/>
            <w:tcMar>
              <w:top w:w="70" w:type="dxa"/>
              <w:bottom w:w="70" w:type="dxa"/>
              <w:left w:w="100" w:type="dxa"/>
              <w:right w:w="100" w:type="dxa"/>
            </w:tcMar>
          </w:tcPr>
          <w:p>
            <w:pPr>
              <w:spacing w:before="0" w:after="0"/>
              <w:jc w:val="left"/>
            </w:pPr>
            <w:r>
              <w:rPr>
                <w:rFonts w:ascii="Calibri" w:hAnsi="Calibri"/>
                <w:b/>
                <w:color w:val="1B365D"/>
                <w:sz w:val="17"/>
              </w:rPr>
              <w:t>#4</w:t>
            </w:r>
          </w:p>
        </w:tc>
        <w:tc>
          <w:tcPr>
            <w:tcW w:type="dxa" w:w="1008"/>
            <w:shd w:fill="F7FAFC"/>
            <w:tcMar>
              <w:top w:w="70" w:type="dxa"/>
              <w:bottom w:w="70" w:type="dxa"/>
              <w:left w:w="100" w:type="dxa"/>
              <w:right w:w="100" w:type="dxa"/>
            </w:tcMar>
          </w:tcPr>
          <w:p>
            <w:pPr>
              <w:spacing w:before="0" w:after="0"/>
              <w:jc w:val="right"/>
            </w:pPr>
            <w:r>
              <w:rPr>
                <w:rFonts w:ascii="Calibri" w:hAnsi="Calibri"/>
                <w:b/>
                <w:color w:val="1B365D"/>
                <w:sz w:val="17"/>
              </w:rPr>
              <w:t>META</w:t>
            </w:r>
          </w:p>
        </w:tc>
        <w:tc>
          <w:tcPr>
            <w:tcW w:type="dxa" w:w="2016"/>
            <w:shd w:fill="F7FAFC"/>
            <w:tcMar>
              <w:top w:w="70" w:type="dxa"/>
              <w:bottom w:w="70" w:type="dxa"/>
              <w:left w:w="100" w:type="dxa"/>
              <w:right w:w="100" w:type="dxa"/>
            </w:tcMar>
          </w:tcPr>
          <w:p>
            <w:pPr>
              <w:spacing w:before="0" w:after="0"/>
              <w:jc w:val="right"/>
            </w:pPr>
            <w:r>
              <w:rPr>
                <w:rFonts w:ascii="Calibri" w:hAnsi="Calibri"/>
                <w:b/>
                <w:color w:val="1B365D"/>
                <w:sz w:val="17"/>
              </w:rPr>
              <w:t>Meta Platforms, Inc.</w:t>
            </w:r>
          </w:p>
        </w:tc>
        <w:tc>
          <w:tcPr>
            <w:tcW w:type="dxa" w:w="1296"/>
            <w:shd w:fill="F7FAFC"/>
            <w:tcMar>
              <w:top w:w="70" w:type="dxa"/>
              <w:bottom w:w="70" w:type="dxa"/>
              <w:left w:w="100" w:type="dxa"/>
              <w:right w:w="100" w:type="dxa"/>
            </w:tcMar>
          </w:tcPr>
          <w:p>
            <w:pPr>
              <w:spacing w:before="0" w:after="0"/>
              <w:jc w:val="right"/>
            </w:pPr>
            <w:r>
              <w:rPr>
                <w:rFonts w:ascii="Calibri" w:hAnsi="Calibri"/>
                <w:b/>
                <w:color w:val="1B365D"/>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40.89%</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41.87%</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81.03%</w:t>
            </w:r>
          </w:p>
        </w:tc>
        <w:tc>
          <w:tcPr>
            <w:tcW w:type="dxa" w:w="720"/>
            <w:shd w:fill="F7FAFC"/>
            <w:tcMar>
              <w:top w:w="70" w:type="dxa"/>
              <w:bottom w:w="70" w:type="dxa"/>
              <w:left w:w="100" w:type="dxa"/>
              <w:right w:w="100" w:type="dxa"/>
            </w:tcMar>
          </w:tcPr>
          <w:p>
            <w:pPr>
              <w:spacing w:before="0" w:after="0"/>
              <w:jc w:val="right"/>
            </w:pPr>
            <w:r>
              <w:rPr>
                <w:rFonts w:ascii="Calibri" w:hAnsi="Calibri"/>
                <w:b/>
                <w:color w:val="1B365D"/>
                <w:sz w:val="17"/>
              </w:rPr>
              <w:t>0.50x</w:t>
            </w:r>
          </w:p>
        </w:tc>
        <w:tc>
          <w:tcPr>
            <w:tcW w:type="dxa" w:w="1152"/>
            <w:shd w:fill="F7FAFC"/>
            <w:tcMar>
              <w:top w:w="70" w:type="dxa"/>
              <w:bottom w:w="70" w:type="dxa"/>
              <w:left w:w="100" w:type="dxa"/>
              <w:right w:w="100" w:type="dxa"/>
            </w:tcMar>
          </w:tcPr>
          <w:p>
            <w:pPr>
              <w:spacing w:before="0" w:after="0"/>
              <w:jc w:val="left"/>
            </w:pPr>
            <w:r>
              <w:rPr>
                <w:rFonts w:ascii="Calibri" w:hAnsi="Calibri"/>
                <w:b/>
                <w:color w:val="1B365D"/>
                <w:sz w:val="17"/>
              </w:rPr>
              <w:t>-0.58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#5</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SNAP</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Snap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(Q2 FY26 Móvil)</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37.86%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63.37%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52.99%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0.71x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-3.61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#6</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NFLX</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Netflix,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(Q2 FY26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35.79%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41.56%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47.00%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0.76x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-5.67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#7</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MSFT</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Microsoft Corporation</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(FY2026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35.74%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41.82%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69.60%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0.51x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-5.72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41.47%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58.48%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58.20%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0.76x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46.81%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+5.34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META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Meta Platforms, Inc. (META)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NARROW MOAT / CREACIÓN DE VALOR SOSTENIBLE (SPREAD +9.83 p.p.)</w:t>
              <w:br/>
            </w:r>
          </w:p>
          <w:p>
            <w:pPr>
              <w:spacing w:before="40" w:after="40" w:line="276" w:lineRule="auto"/>
            </w:pPr>
            <w:r>
              <w:rPr>
                <w:rFonts w:ascii="Calibri" w:hAnsi="Calibri"/>
                <w:color w:val="2D3748"/>
                <w:sz w:val="19"/>
              </w:rPr>
              <w:t>• ROC Greenblatt Tangible (LTM): 31.36% (Productividad operativa pura pre-tax sobre capital de trabajo y PP&amp;E físico instalado).</w:t>
            </w:r>
          </w:p>
          <w:p>
            <w:pPr>
              <w:spacing w:before="40" w:after="40" w:line="276" w:lineRule="auto"/>
            </w:pPr>
            <w:r>
              <w:rPr>
                <w:rFonts w:ascii="Calibri" w:hAnsi="Calibri"/>
                <w:color w:val="2D3748"/>
                <w:sz w:val="19"/>
              </w:rPr>
              <w:t>• ROIC Ajustado por Intangibles (LTM): 20.37% frente a un ROIC contable tradicional de 21.77%.</w:t>
            </w:r>
          </w:p>
          <w:p>
            <w:pPr>
              <w:spacing w:before="40" w:after="40" w:line="276" w:lineRule="auto"/>
            </w:pPr>
            <w:r>
              <w:rPr>
                <w:rFonts w:ascii="Calibri" w:hAnsi="Calibri"/>
                <w:color w:val="2D3748"/>
                <w:sz w:val="19"/>
              </w:rPr>
              <w:t>• Costo Promedio Ponderado de Capital (WACC): 10.54% (Costo del Equity Ke: 10.80%, Deuda Neta Kd: 5.31%).</w:t>
            </w:r>
          </w:p>
          <w:p>
            <w:pPr>
              <w:spacing w:before="40" w:after="40" w:line="276" w:lineRule="auto"/>
            </w:pPr>
            <w:r>
              <w:rPr>
                <w:rFonts w:ascii="Calibri" w:hAnsi="Calibri"/>
                <w:color w:val="2D3748"/>
                <w:sz w:val="19"/>
              </w:rPr>
              <w:t>• Spread Económico Neto: +9.83 p.p. de rendimiento por encima del costo de capital exigido por el mercado.</w:t>
            </w:r>
          </w:p>
          <w:p>
            <w:pPr>
              <w:spacing w:before="40" w:after="40" w:line="276" w:lineRule="auto"/>
            </w:pPr>
            <w:r>
              <w:rPr>
                <w:rFonts w:ascii="Calibri" w:hAnsi="Calibri"/>
                <w:color w:val="2D3748"/>
                <w:sz w:val="19"/>
              </w:rPr>
              <w:t>• Stock de Intangibles Fuera de Balance: $109,034.3M capitalizados en innovación y amortizados económicamente a 3 años.</w:t>
            </w:r>
          </w:p>
          <w:p>
            <w:pPr>
              <w:spacing w:before="40" w:after="40" w:line="276" w:lineRule="auto"/>
            </w:pPr>
            <w:r>
              <w:rPr>
                <w:rFonts w:ascii="Calibri" w:hAnsi="Calibri"/>
                <w:color w:val="2D3748"/>
                <w:sz w:val="19"/>
              </w:rPr>
              <w:t>• Tesis de Foso Defensivo: El negocio genera un Spread positivo de +9.83 p.p. sobre el WACC (10.54%), demostrando capacidad de generar valor económico superior a la media de forma constante frente a sus competidores.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$642.62</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$1,637,078.4M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4.99%</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1.22</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Meta Platforms, Inc., el ROC de 31.36% refleja la eficiencia operativa sobre activos tangibles instalados, optimizando la rotación de capital y la productividad física instalada.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FY2025</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$79,380.0M</w:t>
            </w:r>
          </w:p>
        </w:tc>
        <w:tc>
          <w:tcPr>
            <w:tcW w:type="dxa" w:w="1958"/>
            <w:tcMar>
              <w:top w:w="60" w:type="dxa"/>
              <w:bottom w:w="60" w:type="dxa"/>
              <w:left w:w="100" w:type="dxa"/>
              <w:right w:w="100" w:type="dxa"/>
            </w:tcMar>
          </w:tcPr>
          <w:p>
            <w:r>
              <w:rPr>
                <w:sz w:val="17"/>
              </w:rPr>
              <w:t>$83,276.0M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$108,678.0M</w:t>
            </w:r>
          </w:p>
        </w:tc>
        <w:tc>
          <w:tcPr>
            <w:tcW w:type="dxa" w:w="1958"/>
            <w:tcMar>
              <w:top w:w="60" w:type="dxa"/>
              <w:bottom w:w="60" w:type="dxa"/>
              <w:left w:w="100" w:type="dxa"/>
              <w:right w:w="100" w:type="dxa"/>
            </w:tcMar>
            <w:shd w:fill="F7FAFC"/>
          </w:tcPr>
          <w:p>
            <w:r>
              <w:rPr>
                <w:sz w:val="17"/>
              </w:rPr>
              <w:t>$72,849.0M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$63,011.0M</w:t>
            </w:r>
          </w:p>
        </w:tc>
        <w:tc>
          <w:tcPr>
            <w:tcW w:type="dxa" w:w="1958"/>
            <w:tcMar>
              <w:top w:w="60" w:type="dxa"/>
              <w:bottom w:w="60" w:type="dxa"/>
              <w:left w:w="100" w:type="dxa"/>
              <w:right w:w="100" w:type="dxa"/>
            </w:tcMar>
          </w:tcPr>
          <w:p>
            <w:r>
              <w:rPr>
                <w:sz w:val="17"/>
              </w:rPr>
              <w:t>$41,836.0M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$45,667.0M</w:t>
            </w:r>
          </w:p>
        </w:tc>
        <w:tc>
          <w:tcPr>
            <w:tcW w:type="dxa" w:w="1958"/>
            <w:tcMar>
              <w:top w:w="60" w:type="dxa"/>
              <w:bottom w:w="60" w:type="dxa"/>
              <w:left w:w="100" w:type="dxa"/>
              <w:right w:w="100" w:type="dxa"/>
            </w:tcMar>
            <w:shd w:fill="F7FAFC"/>
          </w:tcPr>
          <w:p>
            <w:r>
              <w:rPr>
                <w:sz w:val="17"/>
              </w:rPr>
              <w:t>$31,013.0M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$253,222.0M</w:t>
            </w:r>
          </w:p>
        </w:tc>
        <w:tc>
          <w:tcPr>
            <w:tcW w:type="dxa" w:w="1958"/>
            <w:tcMar>
              <w:top w:w="60" w:type="dxa"/>
              <w:bottom w:w="60" w:type="dxa"/>
              <w:left w:w="100" w:type="dxa"/>
              <w:right w:w="100" w:type="dxa"/>
            </w:tcMar>
          </w:tcPr>
          <w:p>
            <w:r>
              <w:rPr>
                <w:sz w:val="17"/>
              </w:rPr>
              <w:t>$176,400.0M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$298,889.0M</w:t>
            </w:r>
          </w:p>
        </w:tc>
        <w:tc>
          <w:tcPr>
            <w:tcW w:type="dxa" w:w="1958"/>
            <w:tcMar>
              <w:top w:w="60" w:type="dxa"/>
              <w:bottom w:w="60" w:type="dxa"/>
              <w:left w:w="100" w:type="dxa"/>
              <w:right w:w="100" w:type="dxa"/>
            </w:tcMar>
            <w:shd w:fill="F7FAFC"/>
          </w:tcPr>
          <w:p>
            <w:r>
              <w:rPr>
                <w:sz w:val="17"/>
              </w:rPr>
              <w:t>$207,413.0M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$253,151.0M</w:t>
            </w:r>
          </w:p>
        </w:tc>
        <w:tc>
          <w:tcPr>
            <w:tcW w:type="dxa" w:w="1958"/>
            <w:tcMar>
              <w:top w:w="60" w:type="dxa"/>
              <w:bottom w:w="60" w:type="dxa"/>
              <w:left w:w="100" w:type="dxa"/>
              <w:right w:w="100" w:type="dxa"/>
            </w:tcMar>
          </w:tcPr>
          <w:p>
            <w:r>
              <w:rPr>
                <w:sz w:val="17"/>
              </w:rPr>
              <w:t>$175,659.5M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31.36%</w:t>
            </w:r>
          </w:p>
        </w:tc>
        <w:tc>
          <w:tcPr>
            <w:tcW w:type="dxa" w:w="1958"/>
            <w:tcMar>
              <w:top w:w="60" w:type="dxa"/>
              <w:bottom w:w="60" w:type="dxa"/>
              <w:left w:w="100" w:type="dxa"/>
              <w:right w:w="100" w:type="dxa"/>
            </w:tcMar>
            <w:shd w:fill="F7FAFC"/>
            <w:shd w:fill="E2EFDA"/>
          </w:tcPr>
          <w:p>
            <w:r>
              <w:rPr>
                <w:b/>
                <w:sz w:val="17"/>
              </w:rPr>
              <w:t>47.41%</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(21.77%) sobrestima el retorno al mandar el I+D a gasto inmediato. La metodología Damodaran capitaliza la innovación a 3 años, reconociendo $109,034.3M de intangibles fuera de balance. El ROIC Ajustado resultante de 20.37% refleja el verdadero retorno económico sobre el capital total invertido ($450,698.8M).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FY2021</w:t>
            </w:r>
          </w:p>
        </w:tc>
        <w:tc>
          <w:tcPr>
            <w:tcW w:type="dxa" w:w="1399"/>
            <w:tcMar>
              <w:top w:w="60" w:type="dxa"/>
              <w:bottom w:w="60" w:type="dxa"/>
              <w:left w:w="100" w:type="dxa"/>
              <w:right w:w="100" w:type="dxa"/>
            </w:tcMar>
          </w:tcPr>
          <w:p>
            <w:r>
              <w:rPr>
                <w:b/>
                <w:sz w:val="17"/>
              </w:rPr>
              <w:t>53.28%</w:t>
            </w:r>
          </w:p>
        </w:tc>
        <w:tc>
          <w:tcPr>
            <w:tcW w:type="dxa" w:w="1399"/>
            <w:tcMar>
              <w:top w:w="60" w:type="dxa"/>
              <w:bottom w:w="60" w:type="dxa"/>
              <w:left w:w="100" w:type="dxa"/>
              <w:right w:w="100" w:type="dxa"/>
            </w:tcMar>
          </w:tcPr>
          <w:p>
            <w:r>
              <w:rPr>
                <w:b/>
                <w:sz w:val="17"/>
              </w:rPr>
              <w:t>30.53%</w:t>
            </w:r>
          </w:p>
        </w:tc>
        <w:tc>
          <w:tcPr>
            <w:tcW w:type="dxa" w:w="1399"/>
            <w:tcMar>
              <w:top w:w="60" w:type="dxa"/>
              <w:bottom w:w="60" w:type="dxa"/>
              <w:left w:w="100" w:type="dxa"/>
              <w:right w:w="100" w:type="dxa"/>
            </w:tcMar>
          </w:tcPr>
          <w:p>
            <w:r>
              <w:rPr>
                <w:b/>
                <w:sz w:val="17"/>
              </w:rPr>
              <w:t>29.14%</w:t>
            </w:r>
          </w:p>
        </w:tc>
        <w:tc>
          <w:tcPr>
            <w:tcW w:type="dxa" w:w="1399"/>
            <w:tcMar>
              <w:top w:w="60" w:type="dxa"/>
              <w:bottom w:w="60" w:type="dxa"/>
              <w:left w:w="100" w:type="dxa"/>
              <w:right w:w="100" w:type="dxa"/>
            </w:tcMar>
          </w:tcPr>
          <w:p>
            <w:r>
              <w:rPr>
                <w:sz w:val="17"/>
              </w:rPr>
              <w:t>$41,486.3M</w:t>
            </w:r>
          </w:p>
        </w:tc>
        <w:tc>
          <w:tcPr>
            <w:tcW w:type="dxa" w:w="1399"/>
            <w:tcMar>
              <w:top w:w="60" w:type="dxa"/>
              <w:bottom w:w="60" w:type="dxa"/>
              <w:left w:w="100" w:type="dxa"/>
              <w:right w:w="100" w:type="dxa"/>
            </w:tcMar>
          </w:tcPr>
          <w:p>
            <w:r>
              <w:rPr>
                <w:sz w:val="17"/>
              </w:rPr>
              <w:t>$163,717.2M</w:t>
            </w:r>
          </w:p>
        </w:tc>
        <w:tc>
          <w:tcPr>
            <w:tcW w:type="dxa" w:w="1399"/>
            <w:tcMar>
              <w:top w:w="60" w:type="dxa"/>
              <w:bottom w:w="60" w:type="dxa"/>
              <w:left w:w="100" w:type="dxa"/>
              <w:right w:w="100" w:type="dxa"/>
            </w:tcMar>
          </w:tcPr>
          <w:p>
            <w:r>
              <w:rPr>
                <w:b/>
                <w:sz w:val="17"/>
              </w:rPr>
              <w:t>+18.60 p.p.</w:t>
            </w:r>
          </w:p>
        </w:tc>
      </w:tr>
      <w:tr>
        <w:tc>
          <w:tcPr>
            <w:tcW w:type="dxa" w:w="1399"/>
            <w:tcMar>
              <w:top w:w="60" w:type="dxa"/>
              <w:bottom w:w="60" w:type="dxa"/>
              <w:left w:w="100" w:type="dxa"/>
              <w:right w:w="100" w:type="dxa"/>
            </w:tcMar>
            <w:shd w:fill="F7FAFC"/>
          </w:tcPr>
          <w:p>
            <w:r>
              <w:rPr>
                <w:sz w:val="17"/>
              </w:rPr>
              <w:t>FY2022</w:t>
            </w:r>
          </w:p>
        </w:tc>
        <w:tc>
          <w:tcPr>
            <w:tcW w:type="dxa" w:w="1399"/>
            <w:tcMar>
              <w:top w:w="60" w:type="dxa"/>
              <w:bottom w:w="60" w:type="dxa"/>
              <w:left w:w="100" w:type="dxa"/>
              <w:right w:w="100" w:type="dxa"/>
            </w:tcMar>
            <w:shd w:fill="F7FAFC"/>
          </w:tcPr>
          <w:p>
            <w:r>
              <w:rPr>
                <w:b/>
                <w:sz w:val="17"/>
              </w:rPr>
              <w:t>31.44%</w:t>
            </w:r>
          </w:p>
        </w:tc>
        <w:tc>
          <w:tcPr>
            <w:tcW w:type="dxa" w:w="1399"/>
            <w:tcMar>
              <w:top w:w="60" w:type="dxa"/>
              <w:bottom w:w="60" w:type="dxa"/>
              <w:left w:w="100" w:type="dxa"/>
              <w:right w:w="100" w:type="dxa"/>
            </w:tcMar>
            <w:shd w:fill="F7FAFC"/>
          </w:tcPr>
          <w:p>
            <w:r>
              <w:rPr>
                <w:b/>
                <w:sz w:val="17"/>
              </w:rPr>
              <w:t>17.12%</w:t>
            </w:r>
          </w:p>
        </w:tc>
        <w:tc>
          <w:tcPr>
            <w:tcW w:type="dxa" w:w="1399"/>
            <w:tcMar>
              <w:top w:w="60" w:type="dxa"/>
              <w:bottom w:w="60" w:type="dxa"/>
              <w:left w:w="100" w:type="dxa"/>
              <w:right w:w="100" w:type="dxa"/>
            </w:tcMar>
            <w:shd w:fill="F7FAFC"/>
          </w:tcPr>
          <w:p>
            <w:r>
              <w:rPr>
                <w:b/>
                <w:sz w:val="17"/>
              </w:rPr>
              <w:t>19.66%</w:t>
            </w:r>
          </w:p>
        </w:tc>
        <w:tc>
          <w:tcPr>
            <w:tcW w:type="dxa" w:w="1399"/>
            <w:tcMar>
              <w:top w:w="60" w:type="dxa"/>
              <w:bottom w:w="60" w:type="dxa"/>
              <w:left w:w="100" w:type="dxa"/>
              <w:right w:w="100" w:type="dxa"/>
            </w:tcMar>
            <w:shd w:fill="F7FAFC"/>
          </w:tcPr>
          <w:p>
            <w:r>
              <w:rPr>
                <w:sz w:val="17"/>
              </w:rPr>
              <w:t>$57,923.7M</w:t>
            </w:r>
          </w:p>
        </w:tc>
        <w:tc>
          <w:tcPr>
            <w:tcW w:type="dxa" w:w="1399"/>
            <w:tcMar>
              <w:top w:w="60" w:type="dxa"/>
              <w:bottom w:w="60" w:type="dxa"/>
              <w:left w:w="100" w:type="dxa"/>
              <w:right w:w="100" w:type="dxa"/>
            </w:tcMar>
            <w:shd w:fill="F7FAFC"/>
          </w:tcPr>
          <w:p>
            <w:r>
              <w:rPr>
                <w:sz w:val="17"/>
              </w:rPr>
              <w:t>$185,840.5M</w:t>
            </w:r>
          </w:p>
        </w:tc>
        <w:tc>
          <w:tcPr>
            <w:tcW w:type="dxa" w:w="1399"/>
            <w:tcMar>
              <w:top w:w="60" w:type="dxa"/>
              <w:bottom w:w="60" w:type="dxa"/>
              <w:left w:w="100" w:type="dxa"/>
              <w:right w:w="100" w:type="dxa"/>
            </w:tcMar>
            <w:shd w:fill="F7FAFC"/>
          </w:tcPr>
          <w:p>
            <w:r>
              <w:rPr>
                <w:b/>
                <w:sz w:val="17"/>
              </w:rPr>
              <w:t>+9.11 p.p.</w:t>
            </w:r>
          </w:p>
        </w:tc>
      </w:tr>
      <w:tr>
        <w:tc>
          <w:tcPr>
            <w:tcW w:type="dxa" w:w="1399"/>
            <w:tcMar>
              <w:top w:w="60" w:type="dxa"/>
              <w:bottom w:w="60" w:type="dxa"/>
              <w:left w:w="100" w:type="dxa"/>
              <w:right w:w="100" w:type="dxa"/>
            </w:tcMar>
          </w:tcPr>
          <w:p>
            <w:r>
              <w:rPr>
                <w:sz w:val="17"/>
              </w:rPr>
              <w:t>FY2023</w:t>
            </w:r>
          </w:p>
        </w:tc>
        <w:tc>
          <w:tcPr>
            <w:tcW w:type="dxa" w:w="1399"/>
            <w:tcMar>
              <w:top w:w="60" w:type="dxa"/>
              <w:bottom w:w="60" w:type="dxa"/>
              <w:left w:w="100" w:type="dxa"/>
              <w:right w:w="100" w:type="dxa"/>
            </w:tcMar>
          </w:tcPr>
          <w:p>
            <w:r>
              <w:rPr>
                <w:b/>
                <w:sz w:val="17"/>
              </w:rPr>
              <w:t>45.50%</w:t>
            </w:r>
          </w:p>
        </w:tc>
        <w:tc>
          <w:tcPr>
            <w:tcW w:type="dxa" w:w="1399"/>
            <w:tcMar>
              <w:top w:w="60" w:type="dxa"/>
              <w:bottom w:w="60" w:type="dxa"/>
              <w:left w:w="100" w:type="dxa"/>
              <w:right w:w="100" w:type="dxa"/>
            </w:tcMar>
          </w:tcPr>
          <w:p>
            <w:r>
              <w:rPr>
                <w:b/>
                <w:sz w:val="17"/>
              </w:rPr>
              <w:t>25.71%</w:t>
            </w:r>
          </w:p>
        </w:tc>
        <w:tc>
          <w:tcPr>
            <w:tcW w:type="dxa" w:w="1399"/>
            <w:tcMar>
              <w:top w:w="60" w:type="dxa"/>
              <w:bottom w:w="60" w:type="dxa"/>
              <w:left w:w="100" w:type="dxa"/>
              <w:right w:w="100" w:type="dxa"/>
            </w:tcMar>
          </w:tcPr>
          <w:p>
            <w:r>
              <w:rPr>
                <w:b/>
                <w:sz w:val="17"/>
              </w:rPr>
              <w:t>22.76%</w:t>
            </w:r>
          </w:p>
        </w:tc>
        <w:tc>
          <w:tcPr>
            <w:tcW w:type="dxa" w:w="1399"/>
            <w:tcMar>
              <w:top w:w="60" w:type="dxa"/>
              <w:bottom w:w="60" w:type="dxa"/>
              <w:left w:w="100" w:type="dxa"/>
              <w:right w:w="100" w:type="dxa"/>
            </w:tcMar>
          </w:tcPr>
          <w:p>
            <w:r>
              <w:rPr>
                <w:sz w:val="17"/>
              </w:rPr>
              <w:t>$70,260.0M</w:t>
            </w:r>
          </w:p>
        </w:tc>
        <w:tc>
          <w:tcPr>
            <w:tcW w:type="dxa" w:w="1399"/>
            <w:tcMar>
              <w:top w:w="60" w:type="dxa"/>
              <w:bottom w:w="60" w:type="dxa"/>
              <w:left w:w="100" w:type="dxa"/>
              <w:right w:w="100" w:type="dxa"/>
            </w:tcMar>
          </w:tcPr>
          <w:p>
            <w:r>
              <w:rPr>
                <w:sz w:val="17"/>
              </w:rPr>
              <w:t>$214,002.3M</w:t>
            </w:r>
          </w:p>
        </w:tc>
        <w:tc>
          <w:tcPr>
            <w:tcW w:type="dxa" w:w="1399"/>
            <w:tcMar>
              <w:top w:w="60" w:type="dxa"/>
              <w:bottom w:w="60" w:type="dxa"/>
              <w:left w:w="100" w:type="dxa"/>
              <w:right w:w="100" w:type="dxa"/>
            </w:tcMar>
          </w:tcPr>
          <w:p>
            <w:r>
              <w:rPr>
                <w:b/>
                <w:sz w:val="17"/>
              </w:rPr>
              <w:t>+12.22 p.p.</w:t>
            </w:r>
          </w:p>
        </w:tc>
      </w:tr>
      <w:tr>
        <w:tc>
          <w:tcPr>
            <w:tcW w:type="dxa" w:w="1399"/>
            <w:tcMar>
              <w:top w:w="60" w:type="dxa"/>
              <w:bottom w:w="60" w:type="dxa"/>
              <w:left w:w="100" w:type="dxa"/>
              <w:right w:w="100" w:type="dxa"/>
            </w:tcMar>
            <w:shd w:fill="F7FAFC"/>
          </w:tcPr>
          <w:p>
            <w:r>
              <w:rPr>
                <w:sz w:val="17"/>
              </w:rPr>
              <w:t>FY2024</w:t>
            </w:r>
          </w:p>
        </w:tc>
        <w:tc>
          <w:tcPr>
            <w:tcW w:type="dxa" w:w="1399"/>
            <w:tcMar>
              <w:top w:w="60" w:type="dxa"/>
              <w:bottom w:w="60" w:type="dxa"/>
              <w:left w:w="100" w:type="dxa"/>
              <w:right w:w="100" w:type="dxa"/>
            </w:tcMar>
            <w:shd w:fill="F7FAFC"/>
          </w:tcPr>
          <w:p>
            <w:r>
              <w:rPr>
                <w:b/>
                <w:sz w:val="17"/>
              </w:rPr>
              <w:t>55.06%</w:t>
            </w:r>
          </w:p>
        </w:tc>
        <w:tc>
          <w:tcPr>
            <w:tcW w:type="dxa" w:w="1399"/>
            <w:tcMar>
              <w:top w:w="60" w:type="dxa"/>
              <w:bottom w:w="60" w:type="dxa"/>
              <w:left w:w="100" w:type="dxa"/>
              <w:right w:w="100" w:type="dxa"/>
            </w:tcMar>
            <w:shd w:fill="F7FAFC"/>
          </w:tcPr>
          <w:p>
            <w:r>
              <w:rPr>
                <w:b/>
                <w:sz w:val="17"/>
              </w:rPr>
              <w:t>34.56%</w:t>
            </w:r>
          </w:p>
        </w:tc>
        <w:tc>
          <w:tcPr>
            <w:tcW w:type="dxa" w:w="1399"/>
            <w:tcMar>
              <w:top w:w="60" w:type="dxa"/>
              <w:bottom w:w="60" w:type="dxa"/>
              <w:left w:w="100" w:type="dxa"/>
              <w:right w:w="100" w:type="dxa"/>
            </w:tcMar>
            <w:shd w:fill="F7FAFC"/>
          </w:tcPr>
          <w:p>
            <w:r>
              <w:rPr>
                <w:b/>
                <w:sz w:val="17"/>
              </w:rPr>
              <w:t>28.06%</w:t>
            </w:r>
          </w:p>
        </w:tc>
        <w:tc>
          <w:tcPr>
            <w:tcW w:type="dxa" w:w="1399"/>
            <w:tcMar>
              <w:top w:w="60" w:type="dxa"/>
              <w:bottom w:w="60" w:type="dxa"/>
              <w:left w:w="100" w:type="dxa"/>
              <w:right w:w="100" w:type="dxa"/>
            </w:tcMar>
            <w:shd w:fill="F7FAFC"/>
          </w:tcPr>
          <w:p>
            <w:r>
              <w:rPr>
                <w:sz w:val="17"/>
              </w:rPr>
              <w:t>$81,307.7M</w:t>
            </w:r>
          </w:p>
        </w:tc>
        <w:tc>
          <w:tcPr>
            <w:tcW w:type="dxa" w:w="1399"/>
            <w:tcMar>
              <w:top w:w="60" w:type="dxa"/>
              <w:bottom w:w="60" w:type="dxa"/>
              <w:left w:w="100" w:type="dxa"/>
              <w:right w:w="100" w:type="dxa"/>
            </w:tcMar>
            <w:shd w:fill="F7FAFC"/>
          </w:tcPr>
          <w:p>
            <w:r>
              <w:rPr>
                <w:sz w:val="17"/>
              </w:rPr>
              <w:t>$252,968.8M</w:t>
            </w:r>
          </w:p>
        </w:tc>
        <w:tc>
          <w:tcPr>
            <w:tcW w:type="dxa" w:w="1399"/>
            <w:tcMar>
              <w:top w:w="60" w:type="dxa"/>
              <w:bottom w:w="60" w:type="dxa"/>
              <w:left w:w="100" w:type="dxa"/>
              <w:right w:w="100" w:type="dxa"/>
            </w:tcMar>
            <w:shd w:fill="F7FAFC"/>
          </w:tcPr>
          <w:p>
            <w:r>
              <w:rPr>
                <w:b/>
                <w:sz w:val="17"/>
              </w:rPr>
              <w:t>+17.51 p.p.</w:t>
            </w:r>
          </w:p>
        </w:tc>
      </w:tr>
      <w:tr>
        <w:tc>
          <w:tcPr>
            <w:tcW w:type="dxa" w:w="1399"/>
            <w:tcMar>
              <w:top w:w="60" w:type="dxa"/>
              <w:bottom w:w="60" w:type="dxa"/>
              <w:left w:w="100" w:type="dxa"/>
              <w:right w:w="100" w:type="dxa"/>
            </w:tcMar>
          </w:tcPr>
          <w:p>
            <w:r>
              <w:rPr>
                <w:sz w:val="17"/>
              </w:rPr>
              <w:t>FY2025</w:t>
            </w:r>
          </w:p>
        </w:tc>
        <w:tc>
          <w:tcPr>
            <w:tcW w:type="dxa" w:w="1399"/>
            <w:tcMar>
              <w:top w:w="60" w:type="dxa"/>
              <w:bottom w:w="60" w:type="dxa"/>
              <w:left w:w="100" w:type="dxa"/>
              <w:right w:w="100" w:type="dxa"/>
            </w:tcMar>
          </w:tcPr>
          <w:p>
            <w:r>
              <w:rPr>
                <w:b/>
                <w:sz w:val="17"/>
              </w:rPr>
              <w:t>47.41%</w:t>
            </w:r>
          </w:p>
        </w:tc>
        <w:tc>
          <w:tcPr>
            <w:tcW w:type="dxa" w:w="1399"/>
            <w:tcMar>
              <w:top w:w="60" w:type="dxa"/>
              <w:bottom w:w="60" w:type="dxa"/>
              <w:left w:w="100" w:type="dxa"/>
              <w:right w:w="100" w:type="dxa"/>
            </w:tcMar>
          </w:tcPr>
          <w:p>
            <w:r>
              <w:rPr>
                <w:b/>
                <w:sz w:val="17"/>
              </w:rPr>
              <w:t>24.07%</w:t>
            </w:r>
          </w:p>
        </w:tc>
        <w:tc>
          <w:tcPr>
            <w:tcW w:type="dxa" w:w="1399"/>
            <w:tcMar>
              <w:top w:w="60" w:type="dxa"/>
              <w:bottom w:w="60" w:type="dxa"/>
              <w:left w:w="100" w:type="dxa"/>
              <w:right w:w="100" w:type="dxa"/>
            </w:tcMar>
          </w:tcPr>
          <w:p>
            <w:r>
              <w:rPr>
                <w:b/>
                <w:sz w:val="17"/>
              </w:rPr>
              <w:t>21.37%</w:t>
            </w:r>
          </w:p>
        </w:tc>
        <w:tc>
          <w:tcPr>
            <w:tcW w:type="dxa" w:w="1399"/>
            <w:tcMar>
              <w:top w:w="60" w:type="dxa"/>
              <w:bottom w:w="60" w:type="dxa"/>
              <w:left w:w="100" w:type="dxa"/>
              <w:right w:w="100" w:type="dxa"/>
            </w:tcMar>
          </w:tcPr>
          <w:p>
            <w:r>
              <w:rPr>
                <w:sz w:val="17"/>
              </w:rPr>
              <w:t>$99,448.3M</w:t>
            </w:r>
          </w:p>
        </w:tc>
        <w:tc>
          <w:tcPr>
            <w:tcW w:type="dxa" w:w="1399"/>
            <w:tcMar>
              <w:top w:w="60" w:type="dxa"/>
              <w:bottom w:w="60" w:type="dxa"/>
              <w:left w:w="100" w:type="dxa"/>
              <w:right w:w="100" w:type="dxa"/>
            </w:tcMar>
          </w:tcPr>
          <w:p>
            <w:r>
              <w:rPr>
                <w:sz w:val="17"/>
              </w:rPr>
              <w:t>$333,818.5M</w:t>
            </w:r>
          </w:p>
        </w:tc>
        <w:tc>
          <w:tcPr>
            <w:tcW w:type="dxa" w:w="1399"/>
            <w:tcMar>
              <w:top w:w="60" w:type="dxa"/>
              <w:bottom w:w="60" w:type="dxa"/>
              <w:left w:w="100" w:type="dxa"/>
              <w:right w:w="100" w:type="dxa"/>
            </w:tcMar>
          </w:tcPr>
          <w:p>
            <w:r>
              <w:rPr>
                <w:b/>
                <w:sz w:val="17"/>
              </w:rPr>
              <w:t>+10.83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31.36%</w:t>
            </w:r>
          </w:p>
        </w:tc>
        <w:tc>
          <w:tcPr>
            <w:tcW w:type="dxa" w:w="1399"/>
            <w:tcMar>
              <w:top w:w="60" w:type="dxa"/>
              <w:bottom w:w="60" w:type="dxa"/>
              <w:left w:w="100" w:type="dxa"/>
              <w:right w:w="100" w:type="dxa"/>
            </w:tcMar>
            <w:shd w:fill="F7FAFC"/>
            <w:shd w:fill="E2EFDA"/>
          </w:tcPr>
          <w:p>
            <w:r>
              <w:rPr>
                <w:b/>
                <w:sz w:val="17"/>
              </w:rPr>
              <w:t>21.77%</w:t>
            </w:r>
          </w:p>
        </w:tc>
        <w:tc>
          <w:tcPr>
            <w:tcW w:type="dxa" w:w="1399"/>
            <w:tcMar>
              <w:top w:w="60" w:type="dxa"/>
              <w:bottom w:w="60" w:type="dxa"/>
              <w:left w:w="100" w:type="dxa"/>
              <w:right w:w="100" w:type="dxa"/>
            </w:tcMar>
            <w:shd w:fill="F7FAFC"/>
            <w:shd w:fill="E2EFDA"/>
          </w:tcPr>
          <w:p>
            <w:r>
              <w:rPr>
                <w:b/>
                <w:sz w:val="17"/>
              </w:rPr>
              <w:t>20.37%</w:t>
            </w:r>
          </w:p>
        </w:tc>
        <w:tc>
          <w:tcPr>
            <w:tcW w:type="dxa" w:w="1399"/>
            <w:tcMar>
              <w:top w:w="60" w:type="dxa"/>
              <w:bottom w:w="60" w:type="dxa"/>
              <w:left w:w="100" w:type="dxa"/>
              <w:right w:w="100" w:type="dxa"/>
            </w:tcMar>
            <w:shd w:fill="F7FAFC"/>
            <w:shd w:fill="E2EFDA"/>
          </w:tcPr>
          <w:p>
            <w:r>
              <w:rPr>
                <w:sz w:val="17"/>
              </w:rPr>
              <w:t>$109,034.3M</w:t>
            </w:r>
          </w:p>
        </w:tc>
        <w:tc>
          <w:tcPr>
            <w:tcW w:type="dxa" w:w="1399"/>
            <w:tcMar>
              <w:top w:w="60" w:type="dxa"/>
              <w:bottom w:w="60" w:type="dxa"/>
              <w:left w:w="100" w:type="dxa"/>
              <w:right w:w="100" w:type="dxa"/>
            </w:tcMar>
            <w:shd w:fill="F7FAFC"/>
            <w:shd w:fill="E2EFDA"/>
          </w:tcPr>
          <w:p>
            <w:r>
              <w:rPr>
                <w:sz w:val="17"/>
              </w:rPr>
              <w:t>$450,698.8M</w:t>
            </w:r>
          </w:p>
        </w:tc>
        <w:tc>
          <w:tcPr>
            <w:tcW w:type="dxa" w:w="1399"/>
            <w:tcMar>
              <w:top w:w="60" w:type="dxa"/>
              <w:bottom w:w="60" w:type="dxa"/>
              <w:left w:w="100" w:type="dxa"/>
              <w:right w:w="100" w:type="dxa"/>
            </w:tcMar>
            <w:shd w:fill="F7FAFC"/>
            <w:shd w:fill="E2EFDA"/>
          </w:tcPr>
          <w:p>
            <w:r>
              <w:rPr>
                <w:b/>
                <w:sz w:val="17"/>
              </w:rPr>
              <w:t>+9.83 p.p.</w:t>
            </w:r>
          </w:p>
        </w:tc>
      </w:tr>
    </w:tbl>
    <w:p>
      <w:pPr>
        <w:spacing w:before="160" w:after="160"/>
      </w:pPr>
      <w:r>
        <w:rPr>
          <w:i/>
          <w:sz w:val="18"/>
        </w:rPr>
        <w:t>Matriz de Sensibilidad de Vida Útil: N-1 (2a) = 19.63% | N Base (3a) = 20.37% | N+1 (4a) = 20.61%.</w:t>
      </w:r>
    </w:p>
    <w:p>
      <w:pPr>
        <w:pStyle w:val="Heading2"/>
      </w:pPr>
      <w:r>
        <w:t>11.4. Creación de Valor Económico (EVA) y Durabilidad del Foso Defensivo</w:t>
      </w:r>
    </w:p>
    <w:p>
      <w:r>
        <w:rPr>
          <w:sz w:val="19"/>
        </w:rPr>
        <w:t>Spread Económico = ROIC Ajustado (20.37%) − WACC (10.54%) = +9.83 p.p.</w:t>
        <w:br/>
        <w:t>Dictamen: 🛡️ NARROW MOAT / CREACIÓN DE VALOR SOSTENIBLE. La compañía supera holgadamente su costo de capital, generando retornos netos excedentes sobre cada dólar invertido.</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4.99%</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1.22</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10.80%</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5.31%</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5.0%.</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10.54%</w:t>
            </w:r>
          </w:p>
        </w:tc>
        <w:tc>
          <w:tcPr>
            <w:tcW w:type="dxa" w:w="1958"/>
            <w:tcMar>
              <w:top w:w="60" w:type="dxa"/>
              <w:bottom w:w="60" w:type="dxa"/>
              <w:left w:w="100" w:type="dxa"/>
              <w:right w:w="100" w:type="dxa"/>
            </w:tcMar>
            <w:shd w:fill="F7FAFC"/>
          </w:tcPr>
          <w:p>
            <w:r>
              <w:rPr>
                <w:sz w:val="17"/>
              </w:rPr>
              <w:t>Mediana Sector (8.70%)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31.36%</w:t>
            </w:r>
          </w:p>
        </w:tc>
        <w:tc>
          <w:tcPr>
            <w:tcW w:type="dxa" w:w="1958"/>
            <w:tcMar>
              <w:top w:w="60" w:type="dxa"/>
              <w:bottom w:w="60" w:type="dxa"/>
              <w:left w:w="100" w:type="dxa"/>
              <w:right w:w="100" w:type="dxa"/>
            </w:tcMar>
            <w:shd w:fill="E2EFDA"/>
          </w:tcPr>
          <w:p>
            <w:r>
              <w:rPr>
                <w:sz w:val="17"/>
              </w:rPr>
              <w:t>Mediana Sector (52.00%)</w:t>
            </w:r>
          </w:p>
        </w:tc>
        <w:tc>
          <w:tcPr>
            <w:tcW w:type="dxa" w:w="1958"/>
            <w:tcMar>
              <w:top w:w="60" w:type="dxa"/>
              <w:bottom w:w="60" w:type="dxa"/>
              <w:left w:w="100" w:type="dxa"/>
              <w:right w:w="100" w:type="dxa"/>
            </w:tcMar>
            <w:shd w:fill="E2EFDA"/>
          </w:tcPr>
          <w:p>
            <w:r>
              <w:rPr>
                <w:sz w:val="17"/>
              </w:rPr>
              <w:t>Asset-Light; supera al sector por -20.64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$253,151.0M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operativa mínima tras salvaguardas.</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21.77%</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$109,034.3M</w:t>
            </w:r>
          </w:p>
        </w:tc>
        <w:tc>
          <w:tcPr>
            <w:tcW w:type="dxa" w:w="1958"/>
            <w:tcMar>
              <w:top w:w="60" w:type="dxa"/>
              <w:bottom w:w="60" w:type="dxa"/>
              <w:left w:w="100" w:type="dxa"/>
              <w:right w:w="100" w:type="dxa"/>
            </w:tcMar>
            <w:shd w:fill="F7FAFC"/>
          </w:tcPr>
          <w:p>
            <w:r>
              <w:rPr>
                <w:sz w:val="17"/>
              </w:rPr>
              <w:t>Amortización 3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$450,698.8M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20.37%</w:t>
            </w:r>
          </w:p>
        </w:tc>
        <w:tc>
          <w:tcPr>
            <w:tcW w:type="dxa" w:w="1958"/>
            <w:tcMar>
              <w:top w:w="60" w:type="dxa"/>
              <w:bottom w:w="60" w:type="dxa"/>
              <w:left w:w="100" w:type="dxa"/>
              <w:right w:w="100" w:type="dxa"/>
            </w:tcMar>
            <w:shd w:fill="F7FAFC"/>
            <w:shd w:fill="E2EFDA"/>
          </w:tcPr>
          <w:p>
            <w:r>
              <w:rPr>
                <w:b/>
                <w:sz w:val="17"/>
              </w:rPr>
              <w:t>Mediana Sector (21.20%)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+9.83 p.p.</w:t>
            </w:r>
          </w:p>
        </w:tc>
        <w:tc>
          <w:tcPr>
            <w:tcW w:type="dxa" w:w="1958"/>
            <w:tcMar>
              <w:top w:w="60" w:type="dxa"/>
              <w:bottom w:w="60" w:type="dxa"/>
              <w:left w:w="100" w:type="dxa"/>
              <w:right w:w="100" w:type="dxa"/>
            </w:tcMar>
            <w:shd w:fill="E2EFDA"/>
          </w:tcPr>
          <w:p>
            <w:r>
              <w:rPr>
                <w:b/>
                <w:sz w:val="17"/>
              </w:rPr>
              <w:t>Mediana Sector (+11.70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NARROW MOAT / CREACIÓN DE VALOR SOSTENIBLE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ZONA DE VIGILANCIA</w:t>
        <w:br/>
      </w:r>
      <w:r>
        <w:rPr>
          <w:rFonts w:ascii="Calibri" w:hAnsi="Calibri"/>
          <w:color w:val="2D3748"/>
          <w:sz w:val="19"/>
        </w:rPr>
        <w:t>• Ratio Sloan de Devengos: -13.69% [ALTA CONVERSIÓN DE CAJA (CFO &gt; NI)]</w:t>
        <w:br/>
        <w:t>• Montier C-Score: 3 / 6 [RIESGO MEDIO-ALTO / VIGILANCIA RIGUROSA (&lt; 40% VIGILANCIA)]</w:t>
        <w:br/>
        <w:t>• Dictamen: ZONA DE VIGILANCIA POR DESFASES OPERATIVOS: Montier C-Score de 3/6 con divergencias puntuales en capital de trabajo. Revisar ciclos estacionales de inventarios y condiciones comerciales de cobro.</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$75,249.0M</w:t>
            </w:r>
          </w:p>
        </w:tc>
        <w:tc>
          <w:tcPr>
            <w:tcW w:type="dxa" w:w="1094"/>
            <w:tcMar>
              <w:top w:w="60" w:type="dxa"/>
              <w:bottom w:w="60" w:type="dxa"/>
              <w:left w:w="60" w:type="dxa"/>
              <w:right w:w="60" w:type="dxa"/>
            </w:tcMar>
          </w:tcPr>
          <w:p>
            <w:pPr>
              <w:jc w:val="right"/>
            </w:pPr>
            <w:r>
              <w:rPr>
                <w:rFonts w:ascii="Calibri" w:hAnsi="Calibri"/>
                <w:b w:val="0"/>
                <w:sz w:val="17"/>
              </w:rPr>
              <w:t>$60,458.0M</w:t>
            </w:r>
          </w:p>
        </w:tc>
        <w:tc>
          <w:tcPr>
            <w:tcW w:type="dxa" w:w="1094"/>
            <w:tcMar>
              <w:top w:w="60" w:type="dxa"/>
              <w:bottom w:w="60" w:type="dxa"/>
              <w:left w:w="60" w:type="dxa"/>
              <w:right w:w="60" w:type="dxa"/>
            </w:tcMar>
          </w:tcPr>
          <w:p>
            <w:pPr>
              <w:jc w:val="right"/>
            </w:pPr>
            <w:r>
              <w:rPr>
                <w:rFonts w:ascii="Calibri" w:hAnsi="Calibri"/>
                <w:b w:val="0"/>
                <w:sz w:val="17"/>
              </w:rPr>
              <w:t>$62,360.0M</w:t>
            </w:r>
          </w:p>
        </w:tc>
        <w:tc>
          <w:tcPr>
            <w:tcW w:type="dxa" w:w="1094"/>
            <w:tcMar>
              <w:top w:w="60" w:type="dxa"/>
              <w:bottom w:w="60" w:type="dxa"/>
              <w:left w:w="60" w:type="dxa"/>
              <w:right w:w="60" w:type="dxa"/>
            </w:tcMar>
          </w:tcPr>
          <w:p>
            <w:pPr>
              <w:jc w:val="right"/>
            </w:pPr>
            <w:r>
              <w:rPr>
                <w:rFonts w:ascii="Calibri" w:hAnsi="Calibri"/>
                <w:b w:val="0"/>
                <w:sz w:val="17"/>
              </w:rPr>
              <w:t>$39,098.0M</w:t>
            </w:r>
          </w:p>
        </w:tc>
        <w:tc>
          <w:tcPr>
            <w:tcW w:type="dxa" w:w="1094"/>
            <w:tcMar>
              <w:top w:w="60" w:type="dxa"/>
              <w:bottom w:w="60" w:type="dxa"/>
              <w:left w:w="60" w:type="dxa"/>
              <w:right w:w="60" w:type="dxa"/>
            </w:tcMar>
          </w:tcPr>
          <w:p>
            <w:pPr>
              <w:jc w:val="right"/>
            </w:pPr>
            <w:r>
              <w:rPr>
                <w:rFonts w:ascii="Calibri" w:hAnsi="Calibri"/>
                <w:b w:val="0"/>
                <w:sz w:val="17"/>
              </w:rPr>
              <w:t>$23,200.0M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$133,087.0M</w:t>
            </w:r>
          </w:p>
        </w:tc>
        <w:tc>
          <w:tcPr>
            <w:tcW w:type="dxa" w:w="1094"/>
            <w:tcMar>
              <w:top w:w="60" w:type="dxa"/>
              <w:bottom w:w="60" w:type="dxa"/>
              <w:left w:w="60" w:type="dxa"/>
              <w:right w:w="60" w:type="dxa"/>
            </w:tcMar>
          </w:tcPr>
          <w:p>
            <w:pPr>
              <w:jc w:val="right"/>
            </w:pPr>
            <w:r>
              <w:rPr>
                <w:rFonts w:ascii="Calibri" w:hAnsi="Calibri"/>
                <w:b w:val="0"/>
                <w:sz w:val="17"/>
              </w:rPr>
              <w:t>$115,800.0M</w:t>
            </w:r>
          </w:p>
        </w:tc>
        <w:tc>
          <w:tcPr>
            <w:tcW w:type="dxa" w:w="1094"/>
            <w:tcMar>
              <w:top w:w="60" w:type="dxa"/>
              <w:bottom w:w="60" w:type="dxa"/>
              <w:left w:w="60" w:type="dxa"/>
              <w:right w:w="60" w:type="dxa"/>
            </w:tcMar>
          </w:tcPr>
          <w:p>
            <w:pPr>
              <w:jc w:val="right"/>
            </w:pPr>
            <w:r>
              <w:rPr>
                <w:rFonts w:ascii="Calibri" w:hAnsi="Calibri"/>
                <w:b w:val="0"/>
                <w:sz w:val="17"/>
              </w:rPr>
              <w:t>$91,328.0M</w:t>
            </w:r>
          </w:p>
        </w:tc>
        <w:tc>
          <w:tcPr>
            <w:tcW w:type="dxa" w:w="1094"/>
            <w:tcMar>
              <w:top w:w="60" w:type="dxa"/>
              <w:bottom w:w="60" w:type="dxa"/>
              <w:left w:w="60" w:type="dxa"/>
              <w:right w:w="60" w:type="dxa"/>
            </w:tcMar>
          </w:tcPr>
          <w:p>
            <w:pPr>
              <w:jc w:val="right"/>
            </w:pPr>
            <w:r>
              <w:rPr>
                <w:rFonts w:ascii="Calibri" w:hAnsi="Calibri"/>
                <w:b w:val="0"/>
                <w:sz w:val="17"/>
              </w:rPr>
              <w:t>$71,113.0M</w:t>
            </w:r>
          </w:p>
        </w:tc>
        <w:tc>
          <w:tcPr>
            <w:tcW w:type="dxa" w:w="1094"/>
            <w:tcMar>
              <w:top w:w="60" w:type="dxa"/>
              <w:bottom w:w="60" w:type="dxa"/>
              <w:left w:w="60" w:type="dxa"/>
              <w:right w:w="60" w:type="dxa"/>
            </w:tcMar>
          </w:tcPr>
          <w:p>
            <w:pPr>
              <w:jc w:val="right"/>
            </w:pPr>
            <w:r>
              <w:rPr>
                <w:rFonts w:ascii="Calibri" w:hAnsi="Calibri"/>
                <w:b w:val="0"/>
                <w:sz w:val="17"/>
              </w:rPr>
              <w:t>$50,475.0M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$-57,838.0M</w:t>
            </w:r>
          </w:p>
        </w:tc>
        <w:tc>
          <w:tcPr>
            <w:tcW w:type="dxa" w:w="1094"/>
            <w:tcMar>
              <w:top w:w="60" w:type="dxa"/>
              <w:bottom w:w="60" w:type="dxa"/>
              <w:left w:w="60" w:type="dxa"/>
              <w:right w:w="60" w:type="dxa"/>
            </w:tcMar>
          </w:tcPr>
          <w:p>
            <w:pPr>
              <w:jc w:val="right"/>
            </w:pPr>
            <w:r>
              <w:rPr>
                <w:rFonts w:ascii="Calibri" w:hAnsi="Calibri"/>
                <w:b/>
                <w:sz w:val="17"/>
              </w:rPr>
              <w:t>$-55,342.0M</w:t>
            </w:r>
          </w:p>
        </w:tc>
        <w:tc>
          <w:tcPr>
            <w:tcW w:type="dxa" w:w="1094"/>
            <w:tcMar>
              <w:top w:w="60" w:type="dxa"/>
              <w:bottom w:w="60" w:type="dxa"/>
              <w:left w:w="60" w:type="dxa"/>
              <w:right w:w="60" w:type="dxa"/>
            </w:tcMar>
          </w:tcPr>
          <w:p>
            <w:pPr>
              <w:jc w:val="right"/>
            </w:pPr>
            <w:r>
              <w:rPr>
                <w:rFonts w:ascii="Calibri" w:hAnsi="Calibri"/>
                <w:b/>
                <w:sz w:val="17"/>
              </w:rPr>
              <w:t>$-28,968.0M</w:t>
            </w:r>
          </w:p>
        </w:tc>
        <w:tc>
          <w:tcPr>
            <w:tcW w:type="dxa" w:w="1094"/>
            <w:tcMar>
              <w:top w:w="60" w:type="dxa"/>
              <w:bottom w:w="60" w:type="dxa"/>
              <w:left w:w="60" w:type="dxa"/>
              <w:right w:w="60" w:type="dxa"/>
            </w:tcMar>
          </w:tcPr>
          <w:p>
            <w:pPr>
              <w:jc w:val="right"/>
            </w:pPr>
            <w:r>
              <w:rPr>
                <w:rFonts w:ascii="Calibri" w:hAnsi="Calibri"/>
                <w:b/>
                <w:sz w:val="17"/>
              </w:rPr>
              <w:t>$-32,015.0M</w:t>
            </w:r>
          </w:p>
        </w:tc>
        <w:tc>
          <w:tcPr>
            <w:tcW w:type="dxa" w:w="1094"/>
            <w:tcMar>
              <w:top w:w="60" w:type="dxa"/>
              <w:bottom w:w="60" w:type="dxa"/>
              <w:left w:w="60" w:type="dxa"/>
              <w:right w:w="60" w:type="dxa"/>
            </w:tcMar>
          </w:tcPr>
          <w:p>
            <w:pPr>
              <w:jc w:val="right"/>
            </w:pPr>
            <w:r>
              <w:rPr>
                <w:rFonts w:ascii="Calibri" w:hAnsi="Calibri"/>
                <w:b/>
                <w:sz w:val="17"/>
              </w:rPr>
              <w:t>$-27,275.0M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$422,428.5M</w:t>
            </w:r>
          </w:p>
        </w:tc>
        <w:tc>
          <w:tcPr>
            <w:tcW w:type="dxa" w:w="1094"/>
            <w:tcMar>
              <w:top w:w="60" w:type="dxa"/>
              <w:bottom w:w="60" w:type="dxa"/>
              <w:left w:w="60" w:type="dxa"/>
              <w:right w:w="60" w:type="dxa"/>
            </w:tcMar>
          </w:tcPr>
          <w:p>
            <w:pPr>
              <w:jc w:val="right"/>
            </w:pPr>
            <w:r>
              <w:rPr>
                <w:rFonts w:ascii="Calibri" w:hAnsi="Calibri"/>
                <w:b w:val="0"/>
                <w:sz w:val="17"/>
              </w:rPr>
              <w:t>$321,037.5M</w:t>
            </w:r>
          </w:p>
        </w:tc>
        <w:tc>
          <w:tcPr>
            <w:tcW w:type="dxa" w:w="1094"/>
            <w:tcMar>
              <w:top w:w="60" w:type="dxa"/>
              <w:bottom w:w="60" w:type="dxa"/>
              <w:left w:w="60" w:type="dxa"/>
              <w:right w:w="60" w:type="dxa"/>
            </w:tcMar>
          </w:tcPr>
          <w:p>
            <w:pPr>
              <w:jc w:val="right"/>
            </w:pPr>
            <w:r>
              <w:rPr>
                <w:rFonts w:ascii="Calibri" w:hAnsi="Calibri"/>
                <w:b w:val="0"/>
                <w:sz w:val="17"/>
              </w:rPr>
              <w:t>$252,838.5M</w:t>
            </w:r>
          </w:p>
        </w:tc>
        <w:tc>
          <w:tcPr>
            <w:tcW w:type="dxa" w:w="1094"/>
            <w:tcMar>
              <w:top w:w="60" w:type="dxa"/>
              <w:bottom w:w="60" w:type="dxa"/>
              <w:left w:w="60" w:type="dxa"/>
              <w:right w:w="60" w:type="dxa"/>
            </w:tcMar>
          </w:tcPr>
          <w:p>
            <w:pPr>
              <w:jc w:val="right"/>
            </w:pPr>
            <w:r>
              <w:rPr>
                <w:rFonts w:ascii="Calibri" w:hAnsi="Calibri"/>
                <w:b w:val="0"/>
                <w:sz w:val="17"/>
              </w:rPr>
              <w:t>$207,675.0M</w:t>
            </w:r>
          </w:p>
        </w:tc>
        <w:tc>
          <w:tcPr>
            <w:tcW w:type="dxa" w:w="1094"/>
            <w:tcMar>
              <w:top w:w="60" w:type="dxa"/>
              <w:bottom w:w="60" w:type="dxa"/>
              <w:left w:w="60" w:type="dxa"/>
              <w:right w:w="60" w:type="dxa"/>
            </w:tcMar>
          </w:tcPr>
          <w:p>
            <w:pPr>
              <w:jc w:val="right"/>
            </w:pPr>
            <w:r>
              <w:rPr>
                <w:rFonts w:ascii="Calibri" w:hAnsi="Calibri"/>
                <w:b w:val="0"/>
                <w:sz w:val="17"/>
              </w:rPr>
              <w:t>$175,857.0M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-13.69%</w:t>
            </w:r>
          </w:p>
        </w:tc>
        <w:tc>
          <w:tcPr>
            <w:tcW w:type="dxa" w:w="1094"/>
            <w:tcMar>
              <w:top w:w="60" w:type="dxa"/>
              <w:bottom w:w="60" w:type="dxa"/>
              <w:left w:w="60" w:type="dxa"/>
              <w:right w:w="60" w:type="dxa"/>
            </w:tcMar>
          </w:tcPr>
          <w:p>
            <w:pPr>
              <w:jc w:val="right"/>
            </w:pPr>
            <w:r>
              <w:rPr>
                <w:rFonts w:ascii="Calibri" w:hAnsi="Calibri"/>
                <w:b/>
                <w:sz w:val="17"/>
              </w:rPr>
              <w:t>-17.24%</w:t>
            </w:r>
          </w:p>
        </w:tc>
        <w:tc>
          <w:tcPr>
            <w:tcW w:type="dxa" w:w="1094"/>
            <w:tcMar>
              <w:top w:w="60" w:type="dxa"/>
              <w:bottom w:w="60" w:type="dxa"/>
              <w:left w:w="60" w:type="dxa"/>
              <w:right w:w="60" w:type="dxa"/>
            </w:tcMar>
          </w:tcPr>
          <w:p>
            <w:pPr>
              <w:jc w:val="right"/>
            </w:pPr>
            <w:r>
              <w:rPr>
                <w:rFonts w:ascii="Calibri" w:hAnsi="Calibri"/>
                <w:b/>
                <w:sz w:val="17"/>
              </w:rPr>
              <w:t>-11.46%</w:t>
            </w:r>
          </w:p>
        </w:tc>
        <w:tc>
          <w:tcPr>
            <w:tcW w:type="dxa" w:w="1094"/>
            <w:tcMar>
              <w:top w:w="60" w:type="dxa"/>
              <w:bottom w:w="60" w:type="dxa"/>
              <w:left w:w="60" w:type="dxa"/>
              <w:right w:w="60" w:type="dxa"/>
            </w:tcMar>
          </w:tcPr>
          <w:p>
            <w:pPr>
              <w:jc w:val="right"/>
            </w:pPr>
            <w:r>
              <w:rPr>
                <w:rFonts w:ascii="Calibri" w:hAnsi="Calibri"/>
                <w:b/>
                <w:sz w:val="17"/>
              </w:rPr>
              <w:t>-15.42%</w:t>
            </w:r>
          </w:p>
        </w:tc>
        <w:tc>
          <w:tcPr>
            <w:tcW w:type="dxa" w:w="1094"/>
            <w:tcMar>
              <w:top w:w="60" w:type="dxa"/>
              <w:bottom w:w="60" w:type="dxa"/>
              <w:left w:w="60" w:type="dxa"/>
              <w:right w:w="60" w:type="dxa"/>
            </w:tcMar>
          </w:tcPr>
          <w:p>
            <w:pPr>
              <w:jc w:val="right"/>
            </w:pPr>
            <w:r>
              <w:rPr>
                <w:rFonts w:ascii="Calibri" w:hAnsi="Calibri"/>
                <w:b/>
                <w:sz w:val="17"/>
              </w:rPr>
              <w:t>-15.51%</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Meta Platforms, Inc. generó $133,087.0M de CFO frente a $75,249.0M de beneficio neto, arrojando una tasa de conversión de caja del 176.9% (cada dólar reportado está respaldado por $1.77 de efectivo). El Ratio Sloan de -13.69%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-5.3%</w:t>
            </w:r>
          </w:p>
        </w:tc>
        <w:tc>
          <w:tcPr>
            <w:tcW w:type="dxa" w:w="1440"/>
            <w:tcMar>
              <w:top w:w="60" w:type="dxa"/>
              <w:bottom w:w="60" w:type="dxa"/>
              <w:left w:w="80" w:type="dxa"/>
              <w:right w:w="80" w:type="dxa"/>
            </w:tcMar>
          </w:tcPr>
          <w:p>
            <w:pPr>
              <w:jc w:val="center"/>
            </w:pPr>
            <w:r>
              <w:rPr>
                <w:rFonts w:ascii="Calibri" w:hAnsi="Calibri"/>
                <w:sz w:val="17"/>
              </w:rPr>
              <w:t>DSO: 34.3d (-1.6d)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+0.0%</w:t>
            </w:r>
          </w:p>
        </w:tc>
        <w:tc>
          <w:tcPr>
            <w:tcW w:type="dxa" w:w="1440"/>
            <w:tcMar>
              <w:top w:w="60" w:type="dxa"/>
              <w:bottom w:w="60" w:type="dxa"/>
              <w:left w:w="80" w:type="dxa"/>
              <w:right w:w="80" w:type="dxa"/>
            </w:tcMar>
          </w:tcPr>
          <w:p>
            <w:pPr>
              <w:jc w:val="center"/>
            </w:pPr>
            <w:r>
              <w:rPr>
                <w:rFonts w:ascii="Calibri" w:hAnsi="Calibri"/>
                <w:sz w:val="17"/>
              </w:rPr>
              <w:t>DIO: 0.0d (+0.0d)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44.8%</w:t>
            </w:r>
          </w:p>
        </w:tc>
        <w:tc>
          <w:tcPr>
            <w:tcW w:type="dxa" w:w="1440"/>
            <w:tcMar>
              <w:top w:w="60" w:type="dxa"/>
              <w:bottom w:w="60" w:type="dxa"/>
              <w:left w:w="80" w:type="dxa"/>
              <w:right w:w="80" w:type="dxa"/>
            </w:tcMar>
          </w:tcPr>
          <w:p>
            <w:pPr>
              <w:jc w:val="center"/>
            </w:pPr>
            <w:r>
              <w:rPr>
                <w:rFonts w:ascii="Calibri" w:hAnsi="Calibri"/>
                <w:sz w:val="17"/>
              </w:rPr>
              <w:t>Δ: +2.8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(Meta Platforms, Inc.): Inventario en sintonía con la cadencia de costes (Spread: 0.0%, DIO: 0.0d). Existencias optimizadas.</w:t>
      </w:r>
    </w:p>
    <w:p>
      <w:pPr>
        <w:pStyle w:val="Heading2"/>
      </w:pPr>
      <w:r>
        <w:rPr>
          <w:rFonts w:ascii="Calibri" w:hAnsi="Calibri"/>
          <w:b/>
          <w:color w:val="1B365D"/>
          <w:sz w:val="23"/>
        </w:rPr>
        <w:t>12.3. Desglose Forense Montier C-Score (3 / 6)</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$75,249.0M vs CFO: $133,087.0M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 (DSO)</w:t>
            </w:r>
          </w:p>
        </w:tc>
        <w:tc>
          <w:tcPr>
            <w:tcW w:type="dxa" w:w="2016"/>
            <w:tcMar>
              <w:top w:w="60" w:type="dxa"/>
              <w:bottom w:w="60" w:type="dxa"/>
              <w:left w:w="80" w:type="dxa"/>
              <w:right w:w="80" w:type="dxa"/>
            </w:tcMar>
          </w:tcPr>
          <w:p>
            <w:pPr>
              <w:jc w:val="left"/>
            </w:pPr>
            <w:r>
              <w:rPr>
                <w:rFonts w:ascii="Calibri" w:hAnsi="Calibri"/>
                <w:sz w:val="16"/>
              </w:rPr>
              <w:t>Δ DSO &gt; 0 (o %Δ Cuentas por Cobrar &gt; %Δ Ventas)</w:t>
            </w:r>
          </w:p>
        </w:tc>
        <w:tc>
          <w:tcPr>
            <w:tcW w:type="dxa" w:w="1872"/>
            <w:tcMar>
              <w:top w:w="60" w:type="dxa"/>
              <w:bottom w:w="60" w:type="dxa"/>
              <w:left w:w="80" w:type="dxa"/>
              <w:right w:w="80" w:type="dxa"/>
            </w:tcMar>
          </w:tcPr>
          <w:p>
            <w:pPr>
              <w:jc w:val="left"/>
            </w:pPr>
            <w:r>
              <w:rPr>
                <w:rFonts w:ascii="Calibri" w:hAnsi="Calibri"/>
                <w:sz w:val="16"/>
              </w:rPr>
              <w:t>DSO: 34.3d (Δ: -1.6d)</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plazo de cobro se dilata o 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 (DIO)</w:t>
            </w:r>
          </w:p>
        </w:tc>
        <w:tc>
          <w:tcPr>
            <w:tcW w:type="dxa" w:w="2016"/>
            <w:tcMar>
              <w:top w:w="60" w:type="dxa"/>
              <w:bottom w:w="60" w:type="dxa"/>
              <w:left w:w="80" w:type="dxa"/>
              <w:right w:w="80" w:type="dxa"/>
            </w:tcMar>
          </w:tcPr>
          <w:p>
            <w:pPr>
              <w:jc w:val="left"/>
            </w:pPr>
            <w:r>
              <w:rPr>
                <w:rFonts w:ascii="Calibri" w:hAnsi="Calibri"/>
                <w:sz w:val="16"/>
              </w:rPr>
              <w:t>Δ DIO &gt; 0 (o %Δ Inventarios &gt; %Δ Coste de Ventas)</w:t>
            </w:r>
          </w:p>
        </w:tc>
        <w:tc>
          <w:tcPr>
            <w:tcW w:type="dxa" w:w="1872"/>
            <w:tcMar>
              <w:top w:w="60" w:type="dxa"/>
              <w:bottom w:w="60" w:type="dxa"/>
              <w:left w:w="80" w:type="dxa"/>
              <w:right w:w="80" w:type="dxa"/>
            </w:tcMar>
          </w:tcPr>
          <w:p>
            <w:pPr>
              <w:jc w:val="left"/>
            </w:pPr>
            <w:r>
              <w:rPr>
                <w:rFonts w:ascii="Calibri" w:hAnsi="Calibri"/>
                <w:sz w:val="16"/>
              </w:rPr>
              <w:t>N/A (Sin Inventario)</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Modelo de negocio sin inventario físico ni existencias de mercancía.</w:t>
            </w:r>
          </w:p>
        </w:tc>
      </w:tr>
      <w:tr>
        <w:tc>
          <w:tcPr>
            <w:tcW w:type="dxa" w:w="2160"/>
            <w:tcMar>
              <w:top w:w="60" w:type="dxa"/>
              <w:bottom w:w="60" w:type="dxa"/>
              <w:left w:w="80" w:type="dxa"/>
              <w:right w:w="80" w:type="dxa"/>
            </w:tcMar>
          </w:tcPr>
          <w:p>
            <w:pPr>
              <w:jc w:val="left"/>
            </w:pPr>
            <w:r>
              <w:rPr>
                <w:rFonts w:ascii="Calibri" w:hAnsi="Calibri"/>
                <w:sz w:val="16"/>
              </w:rPr>
              <w:t>4. Otros Activos Corrientes vs. Ventas</w:t>
            </w:r>
          </w:p>
        </w:tc>
        <w:tc>
          <w:tcPr>
            <w:tcW w:type="dxa" w:w="2016"/>
            <w:tcMar>
              <w:top w:w="60" w:type="dxa"/>
              <w:bottom w:w="60" w:type="dxa"/>
              <w:left w:w="80" w:type="dxa"/>
              <w:right w:w="80" w:type="dxa"/>
            </w:tcMar>
          </w:tcPr>
          <w:p>
            <w:pPr>
              <w:jc w:val="left"/>
            </w:pPr>
            <w:r>
              <w:rPr>
                <w:rFonts w:ascii="Calibri" w:hAnsi="Calibri"/>
                <w:sz w:val="16"/>
              </w:rPr>
              <w:t>Ratio Otros Act. Ctes/Ventas_t &gt; Ratio Otros Act. Ctes/Ventas_t-1</w:t>
            </w:r>
          </w:p>
        </w:tc>
        <w:tc>
          <w:tcPr>
            <w:tcW w:type="dxa" w:w="1872"/>
            <w:tcMar>
              <w:top w:w="60" w:type="dxa"/>
              <w:bottom w:w="60" w:type="dxa"/>
              <w:left w:w="80" w:type="dxa"/>
              <w:right w:w="80" w:type="dxa"/>
            </w:tcMar>
          </w:tcPr>
          <w:p>
            <w:pPr>
              <w:jc w:val="left"/>
            </w:pPr>
            <w:r>
              <w:rPr>
                <w:rFonts w:ascii="Calibri" w:hAnsi="Calibri"/>
                <w:sz w:val="16"/>
              </w:rPr>
              <w:t>Otros Act/Ventas: 6.1% vs 3.66%</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Incremento del peso relativo de otros activos corrientes. Alerta de partidas dudosas o cargos diferidos ocultos fuera de clientes e inventarios.</w:t>
            </w:r>
          </w:p>
        </w:tc>
      </w:tr>
      <w:tr>
        <w:tc>
          <w:tcPr>
            <w:tcW w:type="dxa" w:w="2160"/>
            <w:tcMar>
              <w:top w:w="60" w:type="dxa"/>
              <w:bottom w:w="60" w:type="dxa"/>
              <w:left w:w="80" w:type="dxa"/>
              <w:right w:w="80" w:type="dxa"/>
            </w:tcMar>
          </w:tcPr>
          <w:p>
            <w:pPr>
              <w:jc w:val="left"/>
            </w:pPr>
            <w:r>
              <w:rPr>
                <w:rFonts w:ascii="Calibri" w:hAnsi="Calibri"/>
                <w:sz w:val="16"/>
              </w:rPr>
              <w:t>5.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8.96% vs 9.55%</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 estimadas.</w:t>
            </w:r>
          </w:p>
        </w:tc>
      </w:tr>
      <w:tr>
        <w:tc>
          <w:tcPr>
            <w:tcW w:type="dxa" w:w="2160"/>
            <w:tcMar>
              <w:top w:w="60" w:type="dxa"/>
              <w:bottom w:w="60" w:type="dxa"/>
              <w:left w:w="80" w:type="dxa"/>
              <w:right w:w="80" w:type="dxa"/>
            </w:tcMar>
          </w:tcPr>
          <w:p>
            <w:pPr>
              <w:jc w:val="left"/>
            </w:pPr>
            <w:r>
              <w:rPr>
                <w:rFonts w:ascii="Calibri" w:hAnsi="Calibri"/>
                <w:sz w:val="16"/>
              </w:rPr>
              <w:t>6. Crecimiento Excesivo de Activos Totales</w:t>
            </w:r>
          </w:p>
        </w:tc>
        <w:tc>
          <w:tcPr>
            <w:tcW w:type="dxa" w:w="2016"/>
            <w:tcMar>
              <w:top w:w="60" w:type="dxa"/>
              <w:bottom w:w="60" w:type="dxa"/>
              <w:left w:w="80" w:type="dxa"/>
              <w:right w:w="80" w:type="dxa"/>
            </w:tcMar>
          </w:tcPr>
          <w:p>
            <w:pPr>
              <w:jc w:val="left"/>
            </w:pPr>
            <w:r>
              <w:rPr>
                <w:rFonts w:ascii="Calibri" w:hAnsi="Calibri"/>
                <w:sz w:val="16"/>
              </w:rPr>
              <w:t>Δ Activos &gt; 15.0% y Δ Activos &gt; 1.15 * Δ Ventas</w:t>
            </w:r>
          </w:p>
        </w:tc>
        <w:tc>
          <w:tcPr>
            <w:tcW w:type="dxa" w:w="1872"/>
            <w:tcMar>
              <w:top w:w="60" w:type="dxa"/>
              <w:bottom w:w="60" w:type="dxa"/>
              <w:left w:w="80" w:type="dxa"/>
              <w:right w:w="80" w:type="dxa"/>
            </w:tcMar>
          </w:tcPr>
          <w:p>
            <w:pPr>
              <w:jc w:val="left"/>
            </w:pPr>
            <w:r>
              <w:rPr>
                <w:rFonts w:ascii="Calibri" w:hAnsi="Calibri"/>
                <w:sz w:val="16"/>
              </w:rPr>
              <w:t>ΔActivos: +30.8% vs ΔVentas: +20.2%</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Expansión desproporcionada de balance no respaldada por ventas. Montier advierte que suele utilizarse para disimular debilidad orgánica o acumulación de partidas improductivas.</w:t>
            </w:r>
          </w:p>
        </w:tc>
      </w:tr>
    </w:tbl>
    <w:p>
      <w:pPr>
        <w:spacing w:before="80" w:after="160"/>
      </w:pPr>
      <w:r>
        <w:rPr>
          <w:rFonts w:ascii="Calibri" w:hAnsi="Calibri"/>
          <w:b/>
          <w:color w:val="1B365D"/>
          <w:sz w:val="17"/>
        </w:rPr>
        <w:t>Dictamen Montier: 3 / 6 Banderas — RIESGO MEDIO-ALTO / VIGILANCIA RIGUROSA. Probabilidad empírica de manipulación zona de vigilancia (&lt; 40%).</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-13.69%</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negativos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176.9%</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contables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-5.3%</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Cobranza disciplinada (DSO: 34.3d); cobros sincronizados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0.0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Rotación ultra-rápida (0.0d); mínima inmovilización de capital.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+2.8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Aumento moderado (+2.8 pp); balance sano con activos blandos bajo 75% (44.8%).</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3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Vigilancia rigurosa (3/6); desfases en capital de trabajo o balance (&lt; 40%).</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MÁXIMA SOLVENCIA INSTITUCIONAL</w:t>
              <w:br/>
            </w:r>
            <w:r>
              <w:rPr>
                <w:color w:val="2D3748"/>
                <w:sz w:val="19"/>
              </w:rPr>
              <w:t>Rating Sintético Damodaran: AAA (GRADO INSTITUCIONAL MÁXIMO (AAA / Aaa)) | Altman Z''-Score: 4.4 [ZONA SEGURA]</w:t>
              <w:br/>
              <w:br/>
              <w:t>FORTALEZA FINANCIERA INQUEBRANTABLE (GRADO INSTITUCIONAL AAA/AA): Apalancamiento óptimo (CAJA NETA), cobertura de intereses de 90.2x y Altman Z''-Score de 4.4 en Zona Segura. Cero estrés crediticio, con capacidad excepcional de financiación en cualquier ciclo macroeconómico.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$80,922.0M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$82,449.0M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$1,527.0M (Caja Neta)</w:t>
            </w:r>
          </w:p>
        </w:tc>
        <w:tc>
          <w:tcPr>
            <w:tcW w:type="dxa" w:w="2448"/>
          </w:tcPr>
          <w:p>
            <w:r>
              <w:rPr>
                <w:sz w:val="17"/>
              </w:rPr>
              <w:t>Posición Neta de Caja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CAJA NETA</w:t>
            </w:r>
          </w:p>
        </w:tc>
        <w:tc>
          <w:tcPr>
            <w:tcW w:type="dxa" w:w="2448"/>
            <w:shd w:fill="F7FAFC"/>
          </w:tcPr>
          <w:p>
            <w:r>
              <w:rPr>
                <w:sz w:val="17"/>
              </w:rPr>
              <w:t>EXCELENTE (POSICIÓN DE CAJA NETA)</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CAJA NETA</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$79,380.0M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$880.0M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90.2x</w:t>
            </w:r>
          </w:p>
        </w:tc>
        <w:tc>
          <w:tcPr>
            <w:tcW w:type="dxa" w:w="2448"/>
          </w:tcPr>
          <w:p>
            <w:r>
              <w:rPr>
                <w:sz w:val="17"/>
              </w:rPr>
              <w:t>COBERTURA EXCELENTE (&gt; 10.0x)</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0.66%</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4.4</w:t>
            </w:r>
          </w:p>
        </w:tc>
        <w:tc>
          <w:tcPr>
            <w:tcW w:type="dxa" w:w="2448"/>
          </w:tcPr>
          <w:p>
            <w:r>
              <w:rPr>
                <w:sz w:val="17"/>
              </w:rPr>
              <w:t>ZONA SEGURA</w:t>
            </w:r>
          </w:p>
        </w:tc>
        <w:tc>
          <w:tcPr>
            <w:tcW w:type="dxa" w:w="2448"/>
          </w:tcPr>
          <w:p>
            <w:r>
              <w:rPr>
                <w:sz w:val="17"/>
              </w:rPr>
              <w:t>ZONA SEGURA (BAJO RIESGO DE QUIEBRA)</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GRADO INSTITUCIONAL MÁXIMO (AAA / Aaa)</w:t>
            </w:r>
          </w:p>
        </w:tc>
        <w:tc>
          <w:tcPr>
            <w:tcW w:type="dxa" w:w="2448"/>
            <w:shd w:fill="F7FAFC"/>
          </w:tcPr>
          <w:p>
            <w:r>
              <w:rPr>
                <w:sz w:val="17"/>
              </w:rPr>
              <w:t>Spread Teórico: +0.60%</w:t>
            </w:r>
          </w:p>
        </w:tc>
      </w:tr>
      <w:tr>
        <w:tc>
          <w:tcPr>
            <w:tcW w:type="dxa" w:w="2448"/>
          </w:tcPr>
          <w:p>
            <w:r>
              <w:rPr>
                <w:b/>
                <w:sz w:val="17"/>
              </w:rPr>
              <w:t>Probabilidad de Default a 10 Años</w:t>
            </w:r>
          </w:p>
        </w:tc>
        <w:tc>
          <w:tcPr>
            <w:tcW w:type="dxa" w:w="2448"/>
          </w:tcPr>
          <w:p>
            <w:r>
              <w:rPr>
                <w:b/>
                <w:sz w:val="17"/>
              </w:rPr>
              <w:t>&lt; 0.2%</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$642.62  |  WACC Auditado: 10.54% (Rf: 4.99%, ERP: 4.75%)</w:t>
        <w:br/>
        <w:t>• Crecimiento Implícito Calculado: 23.3% Anual a 10 Años (vs. 18.5% Histórico)</w:t>
        <w:br/>
        <w:t>• Veredicto: Descuenta expectativas de 23.3% anual. Exigencia de crecimiento ambiciosa (+23.3% anual); requiere catalizadores sostenidos de expansión comercial.</w:t>
      </w:r>
    </w:p>
    <w:p>
      <w:pPr>
        <w:pStyle w:val="Heading2"/>
      </w:pPr>
      <w:r>
        <w:rPr>
          <w:rFonts w:ascii="Calibri" w:hAnsi="Calibri"/>
          <w:b/>
          <w:color w:val="1B365D"/>
          <w:sz w:val="23"/>
        </w:rPr>
        <w:t>14.1. Configuración Óptima en Plataformas de Valoración (Fiscal AI)</w:t>
      </w:r>
    </w:p>
    <w:p>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en Tiempo Real (Advanced Mode)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Casilla / Input Fiscal AI</w:t>
            </w:r>
          </w:p>
        </w:tc>
        <w:tc>
          <w:tcPr>
            <w:tcW w:type="dxa" w:w="2448"/>
            <w:shd w:fill="1B365D"/>
          </w:tcPr>
          <w:p>
            <w:r>
              <w:rPr>
                <w:b/>
                <w:color w:val="FFFFFF"/>
                <w:sz w:val="18"/>
              </w:rPr>
              <w:t>Valor Auditado</w:t>
            </w:r>
          </w:p>
        </w:tc>
        <w:tc>
          <w:tcPr>
            <w:tcW w:type="dxa" w:w="2448"/>
            <w:shd w:fill="1B365D"/>
          </w:tcPr>
          <w:p>
            <w:r>
              <w:rPr>
                <w:b/>
                <w:color w:val="FFFFFF"/>
                <w:sz w:val="18"/>
              </w:rPr>
              <w:t>Sección de Origen</w:t>
            </w:r>
          </w:p>
        </w:tc>
        <w:tc>
          <w:tcPr>
            <w:tcW w:type="dxa" w:w="2448"/>
            <w:shd w:fill="1B365D"/>
          </w:tcPr>
          <w:p>
            <w:r>
              <w:rPr>
                <w:b/>
                <w:color w:val="FFFFFF"/>
                <w:sz w:val="18"/>
              </w:rPr>
              <w:t>Racional Técnico y Sustento</w:t>
            </w:r>
          </w:p>
        </w:tc>
      </w:tr>
      <w:tr>
        <w:tc>
          <w:tcPr>
            <w:tcW w:type="dxa" w:w="2448"/>
          </w:tcPr>
          <w:p>
            <w:r>
              <w:rPr>
                <w:b/>
                <w:sz w:val="17"/>
              </w:rPr>
              <w:t>Current Share Price</w:t>
            </w:r>
          </w:p>
        </w:tc>
        <w:tc>
          <w:tcPr>
            <w:tcW w:type="dxa" w:w="2448"/>
          </w:tcPr>
          <w:p>
            <w:r>
              <w:rPr>
                <w:b/>
                <w:sz w:val="17"/>
              </w:rPr>
              <w:t>$642.62</w:t>
            </w:r>
          </w:p>
        </w:tc>
        <w:tc>
          <w:tcPr>
            <w:tcW w:type="dxa" w:w="2448"/>
          </w:tcPr>
          <w:p>
            <w:r>
              <w:rPr>
                <w:sz w:val="17"/>
              </w:rPr>
              <w:t>Mercado en Vivo</w:t>
            </w:r>
          </w:p>
        </w:tc>
        <w:tc>
          <w:tcPr>
            <w:tcW w:type="dxa" w:w="2448"/>
          </w:tcPr>
          <w:p>
            <w:r>
              <w:rPr>
                <w:sz w:val="17"/>
              </w:rPr>
              <w:t>Cotización bursátil en tiempo real.</w:t>
            </w:r>
          </w:p>
        </w:tc>
      </w:tr>
      <w:tr>
        <w:tc>
          <w:tcPr>
            <w:tcW w:type="dxa" w:w="2448"/>
            <w:shd w:fill="F7FAFC"/>
          </w:tcPr>
          <w:p>
            <w:r>
              <w:rPr>
                <w:b/>
                <w:sz w:val="17"/>
              </w:rPr>
              <w:t>Risk-Free Rate (Rf)</w:t>
            </w:r>
          </w:p>
        </w:tc>
        <w:tc>
          <w:tcPr>
            <w:tcW w:type="dxa" w:w="2448"/>
            <w:shd w:fill="F7FAFC"/>
          </w:tcPr>
          <w:p>
            <w:r>
              <w:rPr>
                <w:b/>
                <w:sz w:val="17"/>
              </w:rPr>
              <w:t>4.99%</w:t>
            </w:r>
          </w:p>
        </w:tc>
        <w:tc>
          <w:tcPr>
            <w:tcW w:type="dxa" w:w="2448"/>
            <w:shd w:fill="F7FAFC"/>
          </w:tcPr>
          <w:p>
            <w:r>
              <w:rPr>
                <w:sz w:val="17"/>
              </w:rPr>
              <w:t>Sección 11.2 (Bonos)</w:t>
            </w:r>
          </w:p>
        </w:tc>
        <w:tc>
          <w:tcPr>
            <w:tcW w:type="dxa" w:w="2448"/>
            <w:shd w:fill="F7FAFC"/>
          </w:tcPr>
          <w:p>
            <w:r>
              <w:rPr>
                <w:sz w:val="17"/>
              </w:rPr>
              <w:t>Rendimiento del Bono del Tesoro de EE.UU. a 10 años (^TNX).</w:t>
            </w:r>
          </w:p>
        </w:tc>
      </w:tr>
      <w:tr>
        <w:tc>
          <w:tcPr>
            <w:tcW w:type="dxa" w:w="2448"/>
          </w:tcPr>
          <w:p>
            <w:r>
              <w:rPr>
                <w:b/>
                <w:sz w:val="17"/>
              </w:rPr>
              <w:t>Equity Risk Premium</w:t>
            </w:r>
          </w:p>
        </w:tc>
        <w:tc>
          <w:tcPr>
            <w:tcW w:type="dxa" w:w="2448"/>
          </w:tcPr>
          <w:p>
            <w:r>
              <w:rPr>
                <w:b/>
                <w:sz w:val="17"/>
              </w:rPr>
              <w:t>4.75%</w:t>
            </w:r>
          </w:p>
        </w:tc>
        <w:tc>
          <w:tcPr>
            <w:tcW w:type="dxa" w:w="2448"/>
          </w:tcPr>
          <w:p>
            <w:r>
              <w:rPr>
                <w:sz w:val="17"/>
              </w:rPr>
              <w:t>Damodaran Benchmark</w:t>
            </w:r>
          </w:p>
        </w:tc>
        <w:tc>
          <w:tcPr>
            <w:tcW w:type="dxa" w:w="2448"/>
          </w:tcPr>
          <w:p>
            <w:r>
              <w:rPr>
                <w:sz w:val="17"/>
              </w:rPr>
              <w:t>Prima de riesgo de mercado institucional.</w:t>
            </w:r>
          </w:p>
        </w:tc>
      </w:tr>
      <w:tr>
        <w:tc>
          <w:tcPr>
            <w:tcW w:type="dxa" w:w="2448"/>
            <w:shd w:fill="F7FAFC"/>
          </w:tcPr>
          <w:p>
            <w:r>
              <w:rPr>
                <w:b/>
                <w:sz w:val="17"/>
              </w:rPr>
              <w:t>Beta (Levered)</w:t>
            </w:r>
          </w:p>
        </w:tc>
        <w:tc>
          <w:tcPr>
            <w:tcW w:type="dxa" w:w="2448"/>
            <w:shd w:fill="F7FAFC"/>
          </w:tcPr>
          <w:p>
            <w:r>
              <w:rPr>
                <w:b/>
                <w:sz w:val="17"/>
              </w:rPr>
              <w:t>1.22</w:t>
            </w:r>
          </w:p>
        </w:tc>
        <w:tc>
          <w:tcPr>
            <w:tcW w:type="dxa" w:w="2448"/>
            <w:shd w:fill="F7FAFC"/>
          </w:tcPr>
          <w:p>
            <w:r>
              <w:rPr>
                <w:sz w:val="17"/>
              </w:rPr>
              <w:t>Sección 11.2 (Arbitraje)</w:t>
            </w:r>
          </w:p>
        </w:tc>
        <w:tc>
          <w:tcPr>
            <w:tcW w:type="dxa" w:w="2448"/>
            <w:shd w:fill="F7FAFC"/>
          </w:tcPr>
          <w:p>
            <w:r>
              <w:rPr>
                <w:sz w:val="17"/>
              </w:rPr>
              <w:t>Sensibilidad sistemática frente al S&amp;P 500.</w:t>
            </w:r>
          </w:p>
        </w:tc>
      </w:tr>
      <w:tr>
        <w:tc>
          <w:tcPr>
            <w:tcW w:type="dxa" w:w="2448"/>
          </w:tcPr>
          <w:p>
            <w:r>
              <w:rPr>
                <w:b/>
                <w:sz w:val="17"/>
              </w:rPr>
              <w:t>Pre-Tax Cost of Debt</w:t>
            </w:r>
          </w:p>
        </w:tc>
        <w:tc>
          <w:tcPr>
            <w:tcW w:type="dxa" w:w="2448"/>
          </w:tcPr>
          <w:p>
            <w:r>
              <w:rPr>
                <w:b/>
                <w:sz w:val="17"/>
              </w:rPr>
              <w:t>5.59%</w:t>
            </w:r>
          </w:p>
        </w:tc>
        <w:tc>
          <w:tcPr>
            <w:tcW w:type="dxa" w:w="2448"/>
          </w:tcPr>
          <w:p>
            <w:r>
              <w:rPr>
                <w:sz w:val="17"/>
              </w:rPr>
              <w:t>Sección 11.2 (Sintético)</w:t>
            </w:r>
          </w:p>
        </w:tc>
        <w:tc>
          <w:tcPr>
            <w:tcW w:type="dxa" w:w="2448"/>
          </w:tcPr>
          <w:p>
            <w:r>
              <w:rPr>
                <w:sz w:val="17"/>
              </w:rPr>
              <w:t>Coste de financiamiento bruto por rating sintético.</w:t>
            </w:r>
          </w:p>
        </w:tc>
      </w:tr>
      <w:tr>
        <w:tc>
          <w:tcPr>
            <w:tcW w:type="dxa" w:w="2448"/>
            <w:shd w:fill="F7FAFC"/>
          </w:tcPr>
          <w:p>
            <w:r>
              <w:rPr>
                <w:b/>
                <w:sz w:val="17"/>
              </w:rPr>
              <w:t>After-Tax Cost of Debt</w:t>
            </w:r>
          </w:p>
        </w:tc>
        <w:tc>
          <w:tcPr>
            <w:tcW w:type="dxa" w:w="2448"/>
            <w:shd w:fill="F7FAFC"/>
          </w:tcPr>
          <w:p>
            <w:r>
              <w:rPr>
                <w:b/>
                <w:sz w:val="17"/>
              </w:rPr>
              <w:t>5.31%</w:t>
            </w:r>
          </w:p>
        </w:tc>
        <w:tc>
          <w:tcPr>
            <w:tcW w:type="dxa" w:w="2448"/>
            <w:shd w:fill="F7FAFC"/>
          </w:tcPr>
          <w:p>
            <w:r>
              <w:rPr>
                <w:sz w:val="17"/>
              </w:rPr>
              <w:t>Sección 11.2 (WACC)</w:t>
            </w:r>
          </w:p>
        </w:tc>
        <w:tc>
          <w:tcPr>
            <w:tcW w:type="dxa" w:w="2448"/>
            <w:shd w:fill="F7FAFC"/>
          </w:tcPr>
          <w:p>
            <w:r>
              <w:rPr>
                <w:sz w:val="17"/>
              </w:rPr>
              <w:t>Coste neto del escudo fiscal: Kd * (1 - t).</w:t>
            </w:r>
          </w:p>
        </w:tc>
      </w:tr>
      <w:tr>
        <w:tc>
          <w:tcPr>
            <w:tcW w:type="dxa" w:w="2448"/>
          </w:tcPr>
          <w:p>
            <w:r>
              <w:rPr>
                <w:b/>
                <w:sz w:val="17"/>
              </w:rPr>
              <w:t>Effective Tax Rate</w:t>
            </w:r>
          </w:p>
        </w:tc>
        <w:tc>
          <w:tcPr>
            <w:tcW w:type="dxa" w:w="2448"/>
          </w:tcPr>
          <w:p>
            <w:r>
              <w:rPr>
                <w:b/>
                <w:sz w:val="17"/>
              </w:rPr>
              <w:t>5.0%</w:t>
            </w:r>
          </w:p>
        </w:tc>
        <w:tc>
          <w:tcPr>
            <w:tcW w:type="dxa" w:w="2448"/>
          </w:tcPr>
          <w:p>
            <w:r>
              <w:rPr>
                <w:sz w:val="17"/>
              </w:rPr>
              <w:t>Sección 11.2 (SEC 10-K)</w:t>
            </w:r>
          </w:p>
        </w:tc>
        <w:tc>
          <w:tcPr>
            <w:tcW w:type="dxa" w:w="2448"/>
          </w:tcPr>
          <w:p>
            <w:r>
              <w:rPr>
                <w:sz w:val="17"/>
              </w:rPr>
              <w:t>Tasa impositiva estructural auditada.</w:t>
            </w:r>
          </w:p>
        </w:tc>
      </w:tr>
      <w:tr>
        <w:tc>
          <w:tcPr>
            <w:tcW w:type="dxa" w:w="2448"/>
            <w:shd w:fill="F7FAFC"/>
          </w:tcPr>
          <w:p>
            <w:r>
              <w:rPr>
                <w:b/>
                <w:sz w:val="17"/>
              </w:rPr>
              <w:t>Weight of Debt</w:t>
            </w:r>
          </w:p>
        </w:tc>
        <w:tc>
          <w:tcPr>
            <w:tcW w:type="dxa" w:w="2448"/>
            <w:shd w:fill="F7FAFC"/>
          </w:tcPr>
          <w:p>
            <w:r>
              <w:rPr>
                <w:b/>
                <w:sz w:val="17"/>
              </w:rPr>
              <w:t>4.7%</w:t>
            </w:r>
          </w:p>
        </w:tc>
        <w:tc>
          <w:tcPr>
            <w:tcW w:type="dxa" w:w="2448"/>
            <w:shd w:fill="F7FAFC"/>
          </w:tcPr>
          <w:p>
            <w:r>
              <w:rPr>
                <w:sz w:val="17"/>
              </w:rPr>
              <w:t>Estructura Capital</w:t>
            </w:r>
          </w:p>
        </w:tc>
        <w:tc>
          <w:tcPr>
            <w:tcW w:type="dxa" w:w="2448"/>
            <w:shd w:fill="F7FAFC"/>
          </w:tcPr>
          <w:p>
            <w:r>
              <w:rPr>
                <w:sz w:val="17"/>
              </w:rPr>
              <w:t>Peso de la deuda sobre el valor total.</w:t>
            </w:r>
          </w:p>
        </w:tc>
      </w:tr>
      <w:tr>
        <w:tc>
          <w:tcPr>
            <w:tcW w:type="dxa" w:w="2448"/>
          </w:tcPr>
          <w:p>
            <w:r>
              <w:rPr>
                <w:b/>
                <w:sz w:val="17"/>
              </w:rPr>
              <w:t>Weight of Equity</w:t>
            </w:r>
          </w:p>
        </w:tc>
        <w:tc>
          <w:tcPr>
            <w:tcW w:type="dxa" w:w="2448"/>
          </w:tcPr>
          <w:p>
            <w:r>
              <w:rPr>
                <w:b/>
                <w:sz w:val="17"/>
              </w:rPr>
              <w:t>95.3%</w:t>
            </w:r>
          </w:p>
        </w:tc>
        <w:tc>
          <w:tcPr>
            <w:tcW w:type="dxa" w:w="2448"/>
          </w:tcPr>
          <w:p>
            <w:r>
              <w:rPr>
                <w:sz w:val="17"/>
              </w:rPr>
              <w:t>Estructura Capital</w:t>
            </w:r>
          </w:p>
        </w:tc>
        <w:tc>
          <w:tcPr>
            <w:tcW w:type="dxa" w:w="2448"/>
          </w:tcPr>
          <w:p>
            <w:r>
              <w:rPr>
                <w:sz w:val="17"/>
              </w:rPr>
              <w:t>Peso de los fondos propios sobre el valor total.</w:t>
            </w:r>
          </w:p>
        </w:tc>
      </w:tr>
      <w:tr>
        <w:tc>
          <w:tcPr>
            <w:tcW w:type="dxa" w:w="2448"/>
            <w:shd w:fill="F7FAFC"/>
          </w:tcPr>
          <w:p>
            <w:r>
              <w:rPr>
                <w:b/>
                <w:sz w:val="17"/>
              </w:rPr>
              <w:t>WACC (Discount Rate)</w:t>
            </w:r>
          </w:p>
        </w:tc>
        <w:tc>
          <w:tcPr>
            <w:tcW w:type="dxa" w:w="2448"/>
            <w:shd w:fill="F7FAFC"/>
          </w:tcPr>
          <w:p>
            <w:r>
              <w:rPr>
                <w:b/>
                <w:sz w:val="17"/>
              </w:rPr>
              <w:t>10.54%</w:t>
            </w:r>
          </w:p>
        </w:tc>
        <w:tc>
          <w:tcPr>
            <w:tcW w:type="dxa" w:w="2448"/>
            <w:shd w:fill="F7FAFC"/>
          </w:tcPr>
          <w:p>
            <w:r>
              <w:rPr>
                <w:sz w:val="17"/>
              </w:rPr>
              <w:t>Sección 11.2 (WACC)</w:t>
            </w:r>
          </w:p>
        </w:tc>
        <w:tc>
          <w:tcPr>
            <w:tcW w:type="dxa" w:w="2448"/>
            <w:shd w:fill="F7FAFC"/>
          </w:tcPr>
          <w:p>
            <w:r>
              <w:rPr>
                <w:sz w:val="17"/>
              </w:rPr>
              <w:t>Tasa de descuento de corte auditada.</w:t>
            </w:r>
          </w:p>
        </w:tc>
      </w:tr>
      <w:tr>
        <w:tc>
          <w:tcPr>
            <w:tcW w:type="dxa" w:w="2448"/>
          </w:tcPr>
          <w:p>
            <w:r>
              <w:rPr>
                <w:b/>
                <w:sz w:val="17"/>
              </w:rPr>
              <w:t>Normalized FCF Margin</w:t>
            </w:r>
          </w:p>
        </w:tc>
        <w:tc>
          <w:tcPr>
            <w:tcW w:type="dxa" w:w="2448"/>
          </w:tcPr>
          <w:p>
            <w:r>
              <w:rPr>
                <w:b/>
                <w:sz w:val="17"/>
              </w:rPr>
              <w:t>11.9%</w:t>
            </w:r>
          </w:p>
        </w:tc>
        <w:tc>
          <w:tcPr>
            <w:tcW w:type="dxa" w:w="2448"/>
          </w:tcPr>
          <w:p>
            <w:r>
              <w:rPr>
                <w:sz w:val="17"/>
              </w:rPr>
              <w:t>Sección 4 &amp; Solvencia</w:t>
            </w:r>
          </w:p>
        </w:tc>
        <w:tc>
          <w:tcPr>
            <w:tcW w:type="dxa" w:w="2448"/>
          </w:tcPr>
          <w:p>
            <w:r>
              <w:rPr>
                <w:sz w:val="17"/>
              </w:rPr>
              <w:t>Conversión de ventas a caja libre tras CapEx.</w:t>
            </w:r>
          </w:p>
        </w:tc>
      </w:tr>
      <w:tr>
        <w:tc>
          <w:tcPr>
            <w:tcW w:type="dxa" w:w="2448"/>
            <w:shd w:fill="F7FAFC"/>
          </w:tcPr>
          <w:p>
            <w:r>
              <w:rPr>
                <w:b/>
                <w:sz w:val="17"/>
              </w:rPr>
              <w:t>Terminal Growth (gn)</w:t>
            </w:r>
          </w:p>
        </w:tc>
        <w:tc>
          <w:tcPr>
            <w:tcW w:type="dxa" w:w="2448"/>
            <w:shd w:fill="F7FAFC"/>
          </w:tcPr>
          <w:p>
            <w:r>
              <w:rPr>
                <w:b/>
                <w:sz w:val="17"/>
              </w:rPr>
              <w:t>2.5%</w:t>
            </w:r>
          </w:p>
        </w:tc>
        <w:tc>
          <w:tcPr>
            <w:tcW w:type="dxa" w:w="2448"/>
            <w:shd w:fill="F7FAFC"/>
          </w:tcPr>
          <w:p>
            <w:r>
              <w:rPr>
                <w:sz w:val="17"/>
              </w:rPr>
              <w:t>Hipótesis Canónica</w:t>
            </w:r>
          </w:p>
        </w:tc>
        <w:tc>
          <w:tcPr>
            <w:tcW w:type="dxa" w:w="2448"/>
            <w:shd w:fill="F7FAFC"/>
          </w:tcPr>
          <w:p>
            <w:r>
              <w:rPr>
                <w:sz w:val="17"/>
              </w:rPr>
              <w:t>Crecimiento tendencial de la economía global.</w:t>
            </w:r>
          </w:p>
        </w:tc>
      </w:tr>
      <w:tr>
        <w:tc>
          <w:tcPr>
            <w:tcW w:type="dxa" w:w="2448"/>
          </w:tcPr>
          <w:p>
            <w:r>
              <w:rPr>
                <w:b/>
                <w:sz w:val="17"/>
              </w:rPr>
              <w:t>Forecast Period</w:t>
            </w:r>
          </w:p>
        </w:tc>
        <w:tc>
          <w:tcPr>
            <w:tcW w:type="dxa" w:w="2448"/>
          </w:tcPr>
          <w:p>
            <w:r>
              <w:rPr>
                <w:b/>
                <w:sz w:val="17"/>
              </w:rPr>
              <w:t>10 Años</w:t>
            </w:r>
          </w:p>
        </w:tc>
        <w:tc>
          <w:tcPr>
            <w:tcW w:type="dxa" w:w="2448"/>
          </w:tcPr>
          <w:p>
            <w:r>
              <w:rPr>
                <w:sz w:val="17"/>
              </w:rPr>
              <w:t>Configuración Estándar</w:t>
            </w:r>
          </w:p>
        </w:tc>
        <w:tc>
          <w:tcPr>
            <w:tcW w:type="dxa" w:w="2448"/>
          </w:tcPr>
          <w:p>
            <w:r>
              <w:rPr>
                <w:sz w:val="17"/>
              </w:rPr>
              <w:t>Ciclo decenal de amortización y maduración.</w:t>
            </w:r>
          </w:p>
        </w:tc>
      </w:tr>
    </w:tbl>
    <w:p/>
    <w:p>
      <w:pPr>
        <w:pStyle w:val="Heading2"/>
      </w:pPr>
      <w:r>
        <w:rPr>
          <w:rFonts w:ascii="Calibri" w:hAnsi="Calibri"/>
          <w:b/>
          <w:color w:val="1B365D"/>
          <w:sz w:val="23"/>
        </w:rPr>
        <w:t>14.3. Matriz Bidimensional de Sensibilidad (WACC vs. gn)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WACC \ gn</w:t>
            </w:r>
          </w:p>
        </w:tc>
        <w:tc>
          <w:tcPr>
            <w:tcW w:type="dxa" w:w="1224"/>
            <w:shd w:fill="1B365D"/>
          </w:tcPr>
          <w:p>
            <w:r>
              <w:rPr>
                <w:b/>
                <w:color w:val="FFFFFF"/>
                <w:sz w:val="17"/>
              </w:rPr>
              <w:t>1.0%</w:t>
            </w:r>
          </w:p>
        </w:tc>
        <w:tc>
          <w:tcPr>
            <w:tcW w:type="dxa" w:w="1224"/>
            <w:shd w:fill="1B365D"/>
          </w:tcPr>
          <w:p>
            <w:r>
              <w:rPr>
                <w:b/>
                <w:color w:val="FFFFFF"/>
                <w:sz w:val="17"/>
              </w:rPr>
              <w:t>1.5%</w:t>
            </w:r>
          </w:p>
        </w:tc>
        <w:tc>
          <w:tcPr>
            <w:tcW w:type="dxa" w:w="1224"/>
            <w:shd w:fill="1B365D"/>
          </w:tcPr>
          <w:p>
            <w:r>
              <w:rPr>
                <w:b/>
                <w:color w:val="FFFFFF"/>
                <w:sz w:val="17"/>
              </w:rPr>
              <w:t>2.0%</w:t>
            </w:r>
          </w:p>
        </w:tc>
        <w:tc>
          <w:tcPr>
            <w:tcW w:type="dxa" w:w="1224"/>
            <w:shd w:fill="1B365D"/>
          </w:tcPr>
          <w:p>
            <w:r>
              <w:rPr>
                <w:b/>
                <w:color w:val="FFFFFF"/>
                <w:sz w:val="17"/>
              </w:rPr>
              <w:t>2.5%</w:t>
            </w:r>
          </w:p>
        </w:tc>
        <w:tc>
          <w:tcPr>
            <w:tcW w:type="dxa" w:w="1224"/>
            <w:shd w:fill="1B365D"/>
          </w:tcPr>
          <w:p>
            <w:r>
              <w:rPr>
                <w:b/>
                <w:color w:val="FFFFFF"/>
                <w:sz w:val="17"/>
              </w:rPr>
              <w:t>3.0%</w:t>
            </w:r>
          </w:p>
        </w:tc>
        <w:tc>
          <w:tcPr>
            <w:tcW w:type="dxa" w:w="1224"/>
            <w:shd w:fill="1B365D"/>
          </w:tcPr>
          <w:p>
            <w:r>
              <w:rPr>
                <w:b/>
                <w:color w:val="FFFFFF"/>
                <w:sz w:val="17"/>
              </w:rPr>
              <w:t>3.5%</w:t>
            </w:r>
          </w:p>
        </w:tc>
        <w:tc>
          <w:tcPr>
            <w:tcW w:type="dxa" w:w="1224"/>
            <w:shd w:fill="1B365D"/>
          </w:tcPr>
          <w:p>
            <w:r>
              <w:rPr>
                <w:b/>
                <w:color w:val="FFFFFF"/>
                <w:sz w:val="17"/>
              </w:rPr>
              <w:t>Diagnóstico</w:t>
            </w:r>
          </w:p>
        </w:tc>
      </w:tr>
      <w:tr>
        <w:tc>
          <w:tcPr>
            <w:tcW w:type="dxa" w:w="1224"/>
          </w:tcPr>
          <w:p>
            <w:r>
              <w:rPr>
                <w:sz w:val="16"/>
              </w:rPr>
              <w:t>9.54% (Bajo / Expansión)</w:t>
            </w:r>
          </w:p>
        </w:tc>
        <w:tc>
          <w:tcPr>
            <w:tcW w:type="dxa" w:w="1224"/>
          </w:tcPr>
          <w:p>
            <w:r>
              <w:rPr>
                <w:sz w:val="16"/>
              </w:rPr>
              <w:t>22.9%</w:t>
            </w:r>
          </w:p>
        </w:tc>
        <w:tc>
          <w:tcPr>
            <w:tcW w:type="dxa" w:w="1224"/>
          </w:tcPr>
          <w:p>
            <w:r>
              <w:rPr>
                <w:sz w:val="16"/>
              </w:rPr>
              <w:t>22.3%</w:t>
            </w:r>
          </w:p>
        </w:tc>
        <w:tc>
          <w:tcPr>
            <w:tcW w:type="dxa" w:w="1224"/>
          </w:tcPr>
          <w:p>
            <w:r>
              <w:rPr>
                <w:sz w:val="16"/>
              </w:rPr>
              <w:t>21.6%</w:t>
            </w:r>
          </w:p>
        </w:tc>
        <w:tc>
          <w:tcPr>
            <w:tcW w:type="dxa" w:w="1224"/>
          </w:tcPr>
          <w:p>
            <w:r>
              <w:rPr>
                <w:b/>
                <w:sz w:val="16"/>
              </w:rPr>
              <w:t>20.9%</w:t>
            </w:r>
          </w:p>
        </w:tc>
        <w:tc>
          <w:tcPr>
            <w:tcW w:type="dxa" w:w="1224"/>
          </w:tcPr>
          <w:p>
            <w:r>
              <w:rPr>
                <w:sz w:val="16"/>
              </w:rPr>
              <w:t>20.2%</w:t>
            </w:r>
          </w:p>
        </w:tc>
        <w:tc>
          <w:tcPr>
            <w:tcW w:type="dxa" w:w="1224"/>
          </w:tcPr>
          <w:p>
            <w:r>
              <w:rPr>
                <w:sz w:val="16"/>
              </w:rPr>
              <w:t>19.4%</w:t>
            </w:r>
          </w:p>
        </w:tc>
        <w:tc>
          <w:tcPr>
            <w:tcW w:type="dxa" w:w="1224"/>
          </w:tcPr>
          <w:p>
            <w:r>
              <w:rPr>
                <w:sz w:val="16"/>
              </w:rPr>
              <w:t>Escenario favorable; exigencia de crecimiento más moderada.</w:t>
            </w:r>
          </w:p>
        </w:tc>
      </w:tr>
      <w:tr>
        <w:tc>
          <w:tcPr>
            <w:tcW w:type="dxa" w:w="1224"/>
            <w:shd w:fill="F7FAFC"/>
          </w:tcPr>
          <w:p>
            <w:r>
              <w:rPr>
                <w:sz w:val="16"/>
              </w:rPr>
              <w:t>10.04% (Favorable)</w:t>
            </w:r>
          </w:p>
        </w:tc>
        <w:tc>
          <w:tcPr>
            <w:tcW w:type="dxa" w:w="1224"/>
            <w:shd w:fill="F7FAFC"/>
          </w:tcPr>
          <w:p>
            <w:r>
              <w:rPr>
                <w:sz w:val="16"/>
              </w:rPr>
              <w:t>23.9%</w:t>
            </w:r>
          </w:p>
        </w:tc>
        <w:tc>
          <w:tcPr>
            <w:tcW w:type="dxa" w:w="1224"/>
            <w:shd w:fill="F7FAFC"/>
          </w:tcPr>
          <w:p>
            <w:r>
              <w:rPr>
                <w:sz w:val="16"/>
              </w:rPr>
              <w:t>23.4%</w:t>
            </w:r>
          </w:p>
        </w:tc>
        <w:tc>
          <w:tcPr>
            <w:tcW w:type="dxa" w:w="1224"/>
            <w:shd w:fill="F7FAFC"/>
          </w:tcPr>
          <w:p>
            <w:r>
              <w:rPr>
                <w:sz w:val="16"/>
              </w:rPr>
              <w:t>22.8%</w:t>
            </w:r>
          </w:p>
        </w:tc>
        <w:tc>
          <w:tcPr>
            <w:tcW w:type="dxa" w:w="1224"/>
            <w:shd w:fill="F7FAFC"/>
          </w:tcPr>
          <w:p>
            <w:r>
              <w:rPr>
                <w:b/>
                <w:sz w:val="16"/>
              </w:rPr>
              <w:t>22.1%</w:t>
            </w:r>
          </w:p>
        </w:tc>
        <w:tc>
          <w:tcPr>
            <w:tcW w:type="dxa" w:w="1224"/>
            <w:shd w:fill="F7FAFC"/>
          </w:tcPr>
          <w:p>
            <w:r>
              <w:rPr>
                <w:sz w:val="16"/>
              </w:rPr>
              <w:t>21.4%</w:t>
            </w:r>
          </w:p>
        </w:tc>
        <w:tc>
          <w:tcPr>
            <w:tcW w:type="dxa" w:w="1224"/>
            <w:shd w:fill="F7FAFC"/>
          </w:tcPr>
          <w:p>
            <w:r>
              <w:rPr>
                <w:sz w:val="16"/>
              </w:rPr>
              <w:t>20.7%</w:t>
            </w:r>
          </w:p>
        </w:tc>
        <w:tc>
          <w:tcPr>
            <w:tcW w:type="dxa" w:w="1224"/>
            <w:shd w:fill="F7FAFC"/>
          </w:tcPr>
          <w:p>
            <w:r>
              <w:rPr>
                <w:sz w:val="16"/>
              </w:rPr>
              <w:t>Escenario de sensibilidad operativa.</w:t>
            </w:r>
          </w:p>
        </w:tc>
      </w:tr>
      <w:tr>
        <w:tc>
          <w:tcPr>
            <w:tcW w:type="dxa" w:w="1224"/>
            <w:shd w:fill="F7FAFC"/>
          </w:tcPr>
          <w:p>
            <w:r>
              <w:rPr>
                <w:sz w:val="16"/>
              </w:rPr>
              <w:t>10.54% (WACC Auditado Base)</w:t>
            </w:r>
          </w:p>
        </w:tc>
        <w:tc>
          <w:tcPr>
            <w:tcW w:type="dxa" w:w="1224"/>
            <w:shd w:fill="F7FAFC"/>
          </w:tcPr>
          <w:p>
            <w:r>
              <w:rPr>
                <w:b/>
                <w:sz w:val="16"/>
              </w:rPr>
              <w:t>25.0%</w:t>
            </w:r>
          </w:p>
        </w:tc>
        <w:tc>
          <w:tcPr>
            <w:tcW w:type="dxa" w:w="1224"/>
            <w:shd w:fill="F7FAFC"/>
          </w:tcPr>
          <w:p>
            <w:r>
              <w:rPr>
                <w:b/>
                <w:sz w:val="16"/>
              </w:rPr>
              <w:t>24.5%</w:t>
            </w:r>
          </w:p>
        </w:tc>
        <w:tc>
          <w:tcPr>
            <w:tcW w:type="dxa" w:w="1224"/>
            <w:shd w:fill="F7FAFC"/>
          </w:tcPr>
          <w:p>
            <w:r>
              <w:rPr>
                <w:b/>
                <w:sz w:val="16"/>
              </w:rPr>
              <w:t>23.9%</w:t>
            </w:r>
          </w:p>
        </w:tc>
        <w:tc>
          <w:tcPr>
            <w:tcW w:type="dxa" w:w="1224"/>
            <w:shd w:fill="FFF2CC"/>
          </w:tcPr>
          <w:p>
            <w:r>
              <w:rPr>
                <w:b/>
                <w:sz w:val="16"/>
              </w:rPr>
              <w:t>23.3%</w:t>
            </w:r>
          </w:p>
        </w:tc>
        <w:tc>
          <w:tcPr>
            <w:tcW w:type="dxa" w:w="1224"/>
            <w:shd w:fill="F7FAFC"/>
          </w:tcPr>
          <w:p>
            <w:r>
              <w:rPr>
                <w:b/>
                <w:sz w:val="16"/>
              </w:rPr>
              <w:t>22.6%</w:t>
            </w:r>
          </w:p>
        </w:tc>
        <w:tc>
          <w:tcPr>
            <w:tcW w:type="dxa" w:w="1224"/>
            <w:shd w:fill="F7FAFC"/>
          </w:tcPr>
          <w:p>
            <w:r>
              <w:rPr>
                <w:b/>
                <w:sz w:val="16"/>
              </w:rPr>
              <w:t>21.9%</w:t>
            </w:r>
          </w:p>
        </w:tc>
        <w:tc>
          <w:tcPr>
            <w:tcW w:type="dxa" w:w="1224"/>
            <w:shd w:fill="F7FAFC"/>
          </w:tcPr>
          <w:p>
            <w:r>
              <w:rPr>
                <w:sz w:val="16"/>
              </w:rPr>
              <w:t>ESCENARIO CENTRAL: Crecimiento implícito real de mercado.</w:t>
            </w:r>
          </w:p>
        </w:tc>
      </w:tr>
      <w:tr>
        <w:tc>
          <w:tcPr>
            <w:tcW w:type="dxa" w:w="1224"/>
            <w:shd w:fill="F7FAFC"/>
          </w:tcPr>
          <w:p>
            <w:r>
              <w:rPr>
                <w:sz w:val="16"/>
              </w:rPr>
              <w:t>11.04% (Exigente)</w:t>
            </w:r>
          </w:p>
        </w:tc>
        <w:tc>
          <w:tcPr>
            <w:tcW w:type="dxa" w:w="1224"/>
            <w:shd w:fill="F7FAFC"/>
          </w:tcPr>
          <w:p>
            <w:r>
              <w:rPr>
                <w:sz w:val="16"/>
              </w:rPr>
              <w:t>26.0%</w:t>
            </w:r>
          </w:p>
        </w:tc>
        <w:tc>
          <w:tcPr>
            <w:tcW w:type="dxa" w:w="1224"/>
            <w:shd w:fill="F7FAFC"/>
          </w:tcPr>
          <w:p>
            <w:r>
              <w:rPr>
                <w:sz w:val="16"/>
              </w:rPr>
              <w:t>25.5%</w:t>
            </w:r>
          </w:p>
        </w:tc>
        <w:tc>
          <w:tcPr>
            <w:tcW w:type="dxa" w:w="1224"/>
            <w:shd w:fill="F7FAFC"/>
          </w:tcPr>
          <w:p>
            <w:r>
              <w:rPr>
                <w:sz w:val="16"/>
              </w:rPr>
              <w:t>25.0%</w:t>
            </w:r>
          </w:p>
        </w:tc>
        <w:tc>
          <w:tcPr>
            <w:tcW w:type="dxa" w:w="1224"/>
            <w:shd w:fill="F7FAFC"/>
          </w:tcPr>
          <w:p>
            <w:r>
              <w:rPr>
                <w:b/>
                <w:sz w:val="16"/>
              </w:rPr>
              <w:t>24.4%</w:t>
            </w:r>
          </w:p>
        </w:tc>
        <w:tc>
          <w:tcPr>
            <w:tcW w:type="dxa" w:w="1224"/>
            <w:shd w:fill="F7FAFC"/>
          </w:tcPr>
          <w:p>
            <w:r>
              <w:rPr>
                <w:sz w:val="16"/>
              </w:rPr>
              <w:t>23.8%</w:t>
            </w:r>
          </w:p>
        </w:tc>
        <w:tc>
          <w:tcPr>
            <w:tcW w:type="dxa" w:w="1224"/>
            <w:shd w:fill="F7FAFC"/>
          </w:tcPr>
          <w:p>
            <w:r>
              <w:rPr>
                <w:sz w:val="16"/>
              </w:rPr>
              <w:t>23.2%</w:t>
            </w:r>
          </w:p>
        </w:tc>
        <w:tc>
          <w:tcPr>
            <w:tcW w:type="dxa" w:w="1224"/>
            <w:shd w:fill="F7FAFC"/>
          </w:tcPr>
          <w:p>
            <w:r>
              <w:rPr>
                <w:sz w:val="16"/>
              </w:rPr>
              <w:t>Escenario de sensibilidad operativa.</w:t>
            </w:r>
          </w:p>
        </w:tc>
      </w:tr>
      <w:tr>
        <w:tc>
          <w:tcPr>
            <w:tcW w:type="dxa" w:w="1224"/>
          </w:tcPr>
          <w:p>
            <w:r>
              <w:rPr>
                <w:sz w:val="16"/>
              </w:rPr>
              <w:t>11.54% (Estrés / Tipos Altos)</w:t>
            </w:r>
          </w:p>
        </w:tc>
        <w:tc>
          <w:tcPr>
            <w:tcW w:type="dxa" w:w="1224"/>
          </w:tcPr>
          <w:p>
            <w:r>
              <w:rPr>
                <w:sz w:val="16"/>
              </w:rPr>
              <w:t>27.0%</w:t>
            </w:r>
          </w:p>
        </w:tc>
        <w:tc>
          <w:tcPr>
            <w:tcW w:type="dxa" w:w="1224"/>
          </w:tcPr>
          <w:p>
            <w:r>
              <w:rPr>
                <w:sz w:val="16"/>
              </w:rPr>
              <w:t>26.6%</w:t>
            </w:r>
          </w:p>
        </w:tc>
        <w:tc>
          <w:tcPr>
            <w:tcW w:type="dxa" w:w="1224"/>
          </w:tcPr>
          <w:p>
            <w:r>
              <w:rPr>
                <w:sz w:val="16"/>
              </w:rPr>
              <w:t>26.0%</w:t>
            </w:r>
          </w:p>
        </w:tc>
        <w:tc>
          <w:tcPr>
            <w:tcW w:type="dxa" w:w="1224"/>
          </w:tcPr>
          <w:p>
            <w:r>
              <w:rPr>
                <w:b/>
                <w:sz w:val="16"/>
              </w:rPr>
              <w:t>25.5%</w:t>
            </w:r>
          </w:p>
        </w:tc>
        <w:tc>
          <w:tcPr>
            <w:tcW w:type="dxa" w:w="1224"/>
          </w:tcPr>
          <w:p>
            <w:r>
              <w:rPr>
                <w:sz w:val="16"/>
              </w:rPr>
              <w:t>24.9%</w:t>
            </w:r>
          </w:p>
        </w:tc>
        <w:tc>
          <w:tcPr>
            <w:tcW w:type="dxa" w:w="1224"/>
          </w:tcPr>
          <w:p>
            <w:r>
              <w:rPr>
                <w:sz w:val="16"/>
              </w:rPr>
              <w:t>24.3%</w:t>
            </w:r>
          </w:p>
        </w:tc>
        <w:tc>
          <w:tcPr>
            <w:tcW w:type="dxa" w:w="1224"/>
          </w:tcPr>
          <w:p>
            <w:r>
              <w:rPr>
                <w:sz w:val="16"/>
              </w:rPr>
              <w:t>Vulnerabilidad a correcciones si el coste de capital aumenta.</w:t>
            </w:r>
          </w:p>
        </w:tc>
      </w:tr>
    </w:tbl>
    <w:p/>
    <w:p>
      <w:pPr>
        <w:pStyle w:val="Heading2"/>
      </w:pPr>
      <w:r>
        <w:rPr>
          <w:rFonts w:ascii="Calibri" w:hAnsi="Calibri"/>
          <w:b/>
          <w:color w:val="1B365D"/>
          <w:sz w:val="23"/>
        </w:rPr>
        <w:t>14.4. Valoración por Suma de las Partes (SOTP - Sum-of-the-Parts)</w:t>
      </w:r>
    </w:p>
    <w:p>
      <w:r>
        <w:rPr>
          <w:rFonts w:ascii="Calibri" w:hAnsi="Calibri"/>
          <w:color w:val="2D3748"/>
          <w:sz w:val="18"/>
        </w:rPr>
        <w:t>Al operar con divisiones de negocio diferenciadas en rentabilidad, crecimiento y perfil de riesgo, se aplica un modelo institucional de Suma de las Partes (Sum-of-the-Parts) desagregando las unidades operativas: Family of Apps a 23.0x EV/EBIT ($2,258,071.0 M), Reality Labs a 0.8x EV/Sales (I+D) ($1,784.8 M), resultando en un Equity Value de $2,261,382.8 M y un Valor Teórico SOTP de $887.68 por título.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632"/>
        <w:gridCol w:w="1632"/>
        <w:gridCol w:w="1632"/>
        <w:gridCol w:w="1632"/>
        <w:gridCol w:w="1632"/>
        <w:gridCol w:w="1632"/>
      </w:tblGrid>
      <w:tr>
        <w:tc>
          <w:tcPr>
            <w:tcW w:type="dxa" w:w="1632"/>
            <w:shd w:fill="1B365D"/>
          </w:tcPr>
          <w:p>
            <w:r>
              <w:rPr>
                <w:b/>
                <w:color w:val="FFFFFF"/>
                <w:sz w:val="17"/>
              </w:rPr>
              <w:t>Segmento de Negocio</w:t>
            </w:r>
          </w:p>
        </w:tc>
        <w:tc>
          <w:tcPr>
            <w:tcW w:type="dxa" w:w="1632"/>
            <w:shd w:fill="1B365D"/>
          </w:tcPr>
          <w:p>
            <w:r>
              <w:rPr>
                <w:b/>
                <w:color w:val="FFFFFF"/>
                <w:sz w:val="17"/>
              </w:rPr>
              <w:t>Ventas Base</w:t>
            </w:r>
          </w:p>
        </w:tc>
        <w:tc>
          <w:tcPr>
            <w:tcW w:type="dxa" w:w="1632"/>
            <w:shd w:fill="1B365D"/>
          </w:tcPr>
          <w:p>
            <w:r>
              <w:rPr>
                <w:b/>
                <w:color w:val="FFFFFF"/>
                <w:sz w:val="17"/>
              </w:rPr>
              <w:t>Margen Op. %</w:t>
            </w:r>
          </w:p>
        </w:tc>
        <w:tc>
          <w:tcPr>
            <w:tcW w:type="dxa" w:w="1632"/>
            <w:shd w:fill="1B365D"/>
          </w:tcPr>
          <w:p>
            <w:r>
              <w:rPr>
                <w:b/>
                <w:color w:val="FFFFFF"/>
                <w:sz w:val="17"/>
              </w:rPr>
              <w:t>Múltiplo</w:t>
            </w:r>
          </w:p>
        </w:tc>
        <w:tc>
          <w:tcPr>
            <w:tcW w:type="dxa" w:w="1632"/>
            <w:shd w:fill="1B365D"/>
          </w:tcPr>
          <w:p>
            <w:r>
              <w:rPr>
                <w:b/>
                <w:color w:val="FFFFFF"/>
                <w:sz w:val="17"/>
              </w:rPr>
              <w:t>Enterprise Value</w:t>
            </w:r>
          </w:p>
        </w:tc>
        <w:tc>
          <w:tcPr>
            <w:tcW w:type="dxa" w:w="1632"/>
            <w:shd w:fill="1B365D"/>
          </w:tcPr>
          <w:p>
            <w:r>
              <w:rPr>
                <w:b/>
                <w:color w:val="FFFFFF"/>
                <w:sz w:val="17"/>
              </w:rPr>
              <w:t>Peso EV</w:t>
            </w:r>
          </w:p>
        </w:tc>
      </w:tr>
      <w:tr>
        <w:tc>
          <w:tcPr>
            <w:tcW w:type="dxa" w:w="1632"/>
          </w:tcPr>
          <w:p>
            <w:r>
              <w:rPr>
                <w:b/>
                <w:sz w:val="16"/>
              </w:rPr>
              <w:t>Family of Apps</w:t>
            </w:r>
          </w:p>
        </w:tc>
        <w:tc>
          <w:tcPr>
            <w:tcW w:type="dxa" w:w="1632"/>
          </w:tcPr>
          <w:p>
            <w:r>
              <w:rPr>
                <w:sz w:val="16"/>
              </w:rPr>
              <w:t>$239,374.0 M</w:t>
            </w:r>
          </w:p>
        </w:tc>
        <w:tc>
          <w:tcPr>
            <w:tcW w:type="dxa" w:w="1632"/>
          </w:tcPr>
          <w:p>
            <w:r>
              <w:rPr>
                <w:sz w:val="16"/>
              </w:rPr>
              <w:t>41.0%</w:t>
            </w:r>
          </w:p>
        </w:tc>
        <w:tc>
          <w:tcPr>
            <w:tcW w:type="dxa" w:w="1632"/>
          </w:tcPr>
          <w:p>
            <w:r>
              <w:rPr>
                <w:sz w:val="16"/>
              </w:rPr>
              <w:t>23.0x EV/EBIT</w:t>
            </w:r>
          </w:p>
        </w:tc>
        <w:tc>
          <w:tcPr>
            <w:tcW w:type="dxa" w:w="1632"/>
          </w:tcPr>
          <w:p>
            <w:r>
              <w:rPr>
                <w:b/>
                <w:sz w:val="16"/>
              </w:rPr>
              <w:t>$2,258,071.0 M</w:t>
            </w:r>
          </w:p>
        </w:tc>
        <w:tc>
          <w:tcPr>
            <w:tcW w:type="dxa" w:w="1632"/>
          </w:tcPr>
          <w:p>
            <w:r>
              <w:rPr>
                <w:sz w:val="16"/>
              </w:rPr>
              <w:t>99.9%</w:t>
            </w:r>
          </w:p>
        </w:tc>
      </w:tr>
      <w:tr>
        <w:tc>
          <w:tcPr>
            <w:tcW w:type="dxa" w:w="1632"/>
            <w:shd w:fill="F7FAFC"/>
          </w:tcPr>
          <w:p>
            <w:r>
              <w:rPr>
                <w:b/>
                <w:sz w:val="16"/>
              </w:rPr>
              <w:t>Reality Labs</w:t>
            </w:r>
          </w:p>
        </w:tc>
        <w:tc>
          <w:tcPr>
            <w:tcW w:type="dxa" w:w="1632"/>
            <w:shd w:fill="F7FAFC"/>
          </w:tcPr>
          <w:p>
            <w:r>
              <w:rPr>
                <w:sz w:val="16"/>
              </w:rPr>
              <w:t>$2,231.0 M</w:t>
            </w:r>
          </w:p>
        </w:tc>
        <w:tc>
          <w:tcPr>
            <w:tcW w:type="dxa" w:w="1632"/>
            <w:shd w:fill="F7FAFC"/>
          </w:tcPr>
          <w:p>
            <w:r>
              <w:rPr>
                <w:sz w:val="16"/>
              </w:rPr>
              <w:t>-842.5%</w:t>
            </w:r>
          </w:p>
        </w:tc>
        <w:tc>
          <w:tcPr>
            <w:tcW w:type="dxa" w:w="1632"/>
            <w:shd w:fill="F7FAFC"/>
          </w:tcPr>
          <w:p>
            <w:r>
              <w:rPr>
                <w:sz w:val="16"/>
              </w:rPr>
              <w:t>0.8x EV/Sales (I+D)</w:t>
            </w:r>
          </w:p>
        </w:tc>
        <w:tc>
          <w:tcPr>
            <w:tcW w:type="dxa" w:w="1632"/>
            <w:shd w:fill="F7FAFC"/>
          </w:tcPr>
          <w:p>
            <w:r>
              <w:rPr>
                <w:b/>
                <w:sz w:val="16"/>
              </w:rPr>
              <w:t>$1,784.8 M</w:t>
            </w:r>
          </w:p>
        </w:tc>
        <w:tc>
          <w:tcPr>
            <w:tcW w:type="dxa" w:w="1632"/>
            <w:shd w:fill="F7FAFC"/>
          </w:tcPr>
          <w:p>
            <w:r>
              <w:rPr>
                <w:sz w:val="16"/>
              </w:rPr>
              <w:t>0.1%</w:t>
            </w:r>
          </w:p>
        </w:tc>
      </w:tr>
      <w:tr>
        <w:tc>
          <w:tcPr>
            <w:tcW w:type="dxa" w:w="1632"/>
          </w:tcPr>
          <w:p>
            <w:r>
              <w:rPr>
                <w:b/>
                <w:sz w:val="16"/>
              </w:rPr>
              <w:t>Total Enterprise Value (EV)</w:t>
            </w:r>
          </w:p>
        </w:tc>
        <w:tc>
          <w:tcPr>
            <w:tcW w:type="dxa" w:w="1632"/>
          </w:tcPr>
          <w:p>
            <w:r>
              <w:rPr>
                <w:b/>
                <w:sz w:val="16"/>
              </w:rPr>
              <w:t>$241,605.0 M</w:t>
            </w:r>
          </w:p>
        </w:tc>
        <w:tc>
          <w:tcPr>
            <w:tcW w:type="dxa" w:w="1632"/>
          </w:tcPr>
          <w:p>
            <w:r>
              <w:rPr>
                <w:b/>
                <w:sz w:val="16"/>
              </w:rPr>
              <w:t>—</w:t>
            </w:r>
          </w:p>
        </w:tc>
        <w:tc>
          <w:tcPr>
            <w:tcW w:type="dxa" w:w="1632"/>
          </w:tcPr>
          <w:p>
            <w:r>
              <w:rPr>
                <w:b/>
                <w:sz w:val="16"/>
              </w:rPr>
              <w:t>—</w:t>
            </w:r>
          </w:p>
        </w:tc>
        <w:tc>
          <w:tcPr>
            <w:tcW w:type="dxa" w:w="1632"/>
          </w:tcPr>
          <w:p>
            <w:r>
              <w:rPr>
                <w:b/>
                <w:sz w:val="16"/>
              </w:rPr>
              <w:t>$2,259,855.8 M</w:t>
            </w:r>
          </w:p>
        </w:tc>
        <w:tc>
          <w:tcPr>
            <w:tcW w:type="dxa" w:w="1632"/>
          </w:tcPr>
          <w:p>
            <w:r>
              <w:rPr>
                <w:b/>
                <w:sz w:val="16"/>
              </w:rPr>
              <w:t>100.0%</w:t>
            </w:r>
          </w:p>
        </w:tc>
      </w:tr>
      <w:tr>
        <w:tc>
          <w:tcPr>
            <w:tcW w:type="dxa" w:w="1632"/>
            <w:shd w:fill="F7FAFC"/>
          </w:tcPr>
          <w:p>
            <w:r>
              <w:rPr>
                <w:b/>
                <w:sz w:val="16"/>
              </w:rPr>
              <w:t>(+) Caja Neta</w:t>
            </w:r>
          </w:p>
        </w:tc>
        <w:tc>
          <w:tcPr>
            <w:tcW w:type="dxa" w:w="1632"/>
            <w:shd w:fill="F7FAFC"/>
          </w:tcPr>
          <w:p>
            <w:r>
              <w:rPr>
                <w:sz w:val="16"/>
              </w:rPr>
              <w:t>—</w:t>
            </w:r>
          </w:p>
        </w:tc>
        <w:tc>
          <w:tcPr>
            <w:tcW w:type="dxa" w:w="1632"/>
            <w:shd w:fill="F7FAFC"/>
          </w:tcPr>
          <w:p>
            <w:r>
              <w:rPr>
                <w:sz w:val="16"/>
              </w:rPr>
              <w:t>—</w:t>
            </w:r>
          </w:p>
        </w:tc>
        <w:tc>
          <w:tcPr>
            <w:tcW w:type="dxa" w:w="1632"/>
            <w:shd w:fill="F7FAFC"/>
          </w:tcPr>
          <w:p>
            <w:r>
              <w:rPr>
                <w:sz w:val="16"/>
              </w:rPr>
              <w:t>—</w:t>
            </w:r>
          </w:p>
        </w:tc>
        <w:tc>
          <w:tcPr>
            <w:tcW w:type="dxa" w:w="1632"/>
            <w:shd w:fill="F7FAFC"/>
          </w:tcPr>
          <w:p>
            <w:r>
              <w:rPr>
                <w:b/>
                <w:sz w:val="16"/>
              </w:rPr>
              <w:t>$1,527.0 M</w:t>
            </w:r>
          </w:p>
        </w:tc>
        <w:tc>
          <w:tcPr>
            <w:tcW w:type="dxa" w:w="1632"/>
            <w:shd w:fill="F7FAFC"/>
          </w:tcPr>
          <w:p>
            <w:r>
              <w:rPr>
                <w:sz w:val="16"/>
              </w:rPr>
              <w:t>—</w:t>
            </w:r>
          </w:p>
        </w:tc>
      </w:tr>
      <w:tr>
        <w:tc>
          <w:tcPr>
            <w:tcW w:type="dxa" w:w="1632"/>
          </w:tcPr>
          <w:p>
            <w:r>
              <w:rPr>
                <w:b/>
                <w:sz w:val="16"/>
              </w:rPr>
              <w:t>Equity Value Justificado SOTP</w:t>
            </w:r>
          </w:p>
        </w:tc>
        <w:tc>
          <w:tcPr>
            <w:tcW w:type="dxa" w:w="1632"/>
          </w:tcPr>
          <w:p>
            <w:r>
              <w:rPr>
                <w:b/>
                <w:sz w:val="16"/>
              </w:rPr>
              <w:t>—</w:t>
            </w:r>
          </w:p>
        </w:tc>
        <w:tc>
          <w:tcPr>
            <w:tcW w:type="dxa" w:w="1632"/>
          </w:tcPr>
          <w:p>
            <w:r>
              <w:rPr>
                <w:b/>
                <w:sz w:val="16"/>
              </w:rPr>
              <w:t>—</w:t>
            </w:r>
          </w:p>
        </w:tc>
        <w:tc>
          <w:tcPr>
            <w:tcW w:type="dxa" w:w="1632"/>
          </w:tcPr>
          <w:p>
            <w:r>
              <w:rPr>
                <w:b/>
                <w:sz w:val="16"/>
              </w:rPr>
              <w:t>—</w:t>
            </w:r>
          </w:p>
        </w:tc>
        <w:tc>
          <w:tcPr>
            <w:tcW w:type="dxa" w:w="1632"/>
          </w:tcPr>
          <w:p>
            <w:r>
              <w:rPr>
                <w:b/>
                <w:sz w:val="16"/>
              </w:rPr>
              <w:t>$2,261,382.8 M</w:t>
            </w:r>
          </w:p>
        </w:tc>
        <w:tc>
          <w:tcPr>
            <w:tcW w:type="dxa" w:w="1632"/>
          </w:tcPr>
          <w:p>
            <w:r>
              <w:rPr>
                <w:b/>
                <w:sz w:val="16"/>
              </w:rPr>
              <w:t>$887.68/sh (+38.1%)</w:t>
            </w:r>
          </w:p>
        </w:tc>
      </w:tr>
    </w:tbl>
    <w:p/>
    <w:p>
      <w:pPr>
        <w:pStyle w:val="Heading2"/>
      </w:pPr>
      <w:r>
        <w:rPr>
          <w:rFonts w:ascii="Calibri" w:hAnsi="Calibri"/>
          <w:b/>
          <w:color w:val="1B365D"/>
          <w:sz w:val="23"/>
        </w:rPr>
        <w:t>14.5. Cuadro de Mando Consolidado y Tesis Final de Inversión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 Institucional</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Foso Defensivo Amplio (Ventajas Intangibles)</w:t>
            </w:r>
          </w:p>
        </w:tc>
        <w:tc>
          <w:tcPr>
            <w:tcW w:type="dxa" w:w="2448"/>
          </w:tcPr>
          <w:p>
            <w:r>
              <w:rPr>
                <w:b/>
                <w:sz w:val="17"/>
              </w:rPr>
              <w:t>WIDE MOAT</w:t>
            </w:r>
          </w:p>
        </w:tc>
        <w:tc>
          <w:tcPr>
            <w:tcW w:type="dxa" w:w="2448"/>
          </w:tcPr>
          <w:p>
            <w:r>
              <w:rPr>
                <w:sz w:val="17"/>
              </w:rPr>
              <w:t>Poder de fijación de precios y resiliencia de márgenes (32.9% EBIT).</w:t>
            </w:r>
          </w:p>
        </w:tc>
      </w:tr>
      <w:tr>
        <w:tc>
          <w:tcPr>
            <w:tcW w:type="dxa" w:w="2448"/>
            <w:shd w:fill="F7FAFC"/>
          </w:tcPr>
          <w:p>
            <w:r>
              <w:rPr>
                <w:b/>
                <w:sz w:val="17"/>
              </w:rPr>
              <w:t>Calidad de Beneficios</w:t>
            </w:r>
          </w:p>
        </w:tc>
        <w:tc>
          <w:tcPr>
            <w:tcW w:type="dxa" w:w="2448"/>
            <w:shd w:fill="F7FAFC"/>
          </w:tcPr>
          <w:p>
            <w:r>
              <w:rPr>
                <w:sz w:val="17"/>
              </w:rPr>
              <w:t>Ratio Sloan: -13.69% / Montier: 3/6</w:t>
            </w:r>
          </w:p>
        </w:tc>
        <w:tc>
          <w:tcPr>
            <w:tcW w:type="dxa" w:w="2448"/>
            <w:shd w:fill="F7FAFC"/>
          </w:tcPr>
          <w:p>
            <w:r>
              <w:rPr>
                <w:b/>
                <w:sz w:val="17"/>
              </w:rPr>
              <w:t>CALIDAD SÓLIDA / BAJO RIESGO</w:t>
            </w:r>
          </w:p>
        </w:tc>
        <w:tc>
          <w:tcPr>
            <w:tcW w:type="dxa" w:w="2448"/>
            <w:shd w:fill="F7FAFC"/>
          </w:tcPr>
          <w:p>
            <w:r>
              <w:rPr>
                <w:sz w:val="17"/>
              </w:rPr>
              <w:t>Ganancias avaladas por caja real ($1.91 CFO por dólar de NI).</w:t>
            </w:r>
          </w:p>
        </w:tc>
      </w:tr>
      <w:tr>
        <w:tc>
          <w:tcPr>
            <w:tcW w:type="dxa" w:w="2448"/>
          </w:tcPr>
          <w:p>
            <w:r>
              <w:rPr>
                <w:b/>
                <w:sz w:val="17"/>
              </w:rPr>
              <w:t>Solvencia y Estructura</w:t>
            </w:r>
          </w:p>
        </w:tc>
        <w:tc>
          <w:tcPr>
            <w:tcW w:type="dxa" w:w="2448"/>
          </w:tcPr>
          <w:p>
            <w:r>
              <w:rPr>
                <w:sz w:val="17"/>
              </w:rPr>
              <w:t>Cobertura EBIT: 90.2x / Altman Z'': 4.40</w:t>
            </w:r>
          </w:p>
        </w:tc>
        <w:tc>
          <w:tcPr>
            <w:tcW w:type="dxa" w:w="2448"/>
          </w:tcPr>
          <w:p>
            <w:r>
              <w:rPr>
                <w:b/>
                <w:sz w:val="17"/>
              </w:rPr>
              <w:t>SINTÉTICO AAA</w:t>
            </w:r>
          </w:p>
        </w:tc>
        <w:tc>
          <w:tcPr>
            <w:tcW w:type="dxa" w:w="2448"/>
          </w:tcPr>
          <w:p>
            <w:r>
              <w:rPr>
                <w:sz w:val="17"/>
              </w:rPr>
              <w:t>Cero estrés financiero; colchón de $82.4B.</w:t>
            </w:r>
          </w:p>
        </w:tc>
      </w:tr>
      <w:tr>
        <w:tc>
          <w:tcPr>
            <w:tcW w:type="dxa" w:w="2448"/>
            <w:shd w:fill="F7FAFC"/>
          </w:tcPr>
          <w:p>
            <w:r>
              <w:rPr>
                <w:b/>
                <w:sz w:val="17"/>
              </w:rPr>
              <w:t>Productividad del Capital</w:t>
            </w:r>
          </w:p>
        </w:tc>
        <w:tc>
          <w:tcPr>
            <w:tcW w:type="dxa" w:w="2448"/>
            <w:shd w:fill="F7FAFC"/>
          </w:tcPr>
          <w:p>
            <w:r>
              <w:rPr>
                <w:sz w:val="17"/>
              </w:rPr>
              <w:t>ROC Greenblatt: 31.4% / ROIC Adj: 20.4%</w:t>
            </w:r>
          </w:p>
        </w:tc>
        <w:tc>
          <w:tcPr>
            <w:tcW w:type="dxa" w:w="2448"/>
            <w:shd w:fill="F7FAFC"/>
          </w:tcPr>
          <w:p>
            <w:r>
              <w:rPr>
                <w:b/>
                <w:sz w:val="17"/>
              </w:rPr>
              <w:t>CREADOR DE VALOR</w:t>
            </w:r>
          </w:p>
        </w:tc>
        <w:tc>
          <w:tcPr>
            <w:tcW w:type="dxa" w:w="2448"/>
            <w:shd w:fill="F7FAFC"/>
          </w:tcPr>
          <w:p>
            <w:r>
              <w:rPr>
                <w:sz w:val="17"/>
              </w:rPr>
              <w:t>Spread económico de +9.8 pp sobre WACC (Creación de valor de élite).</w:t>
            </w:r>
          </w:p>
        </w:tc>
      </w:tr>
      <w:tr>
        <w:tc>
          <w:tcPr>
            <w:tcW w:type="dxa" w:w="2448"/>
          </w:tcPr>
          <w:p>
            <w:r>
              <w:rPr>
                <w:b/>
                <w:sz w:val="17"/>
              </w:rPr>
              <w:t>Valoración de Mercado</w:t>
            </w:r>
          </w:p>
        </w:tc>
        <w:tc>
          <w:tcPr>
            <w:tcW w:type="dxa" w:w="2448"/>
          </w:tcPr>
          <w:p>
            <w:r>
              <w:rPr>
                <w:sz w:val="17"/>
              </w:rPr>
              <w:t>Crecimiento Implícito: 23.3% - 14.0%</w:t>
            </w:r>
          </w:p>
        </w:tc>
        <w:tc>
          <w:tcPr>
            <w:tcW w:type="dxa" w:w="2448"/>
          </w:tcPr>
          <w:p>
            <w:r>
              <w:rPr>
                <w:b/>
                <w:sz w:val="17"/>
              </w:rPr>
              <w:t>PRICED FOR PERFECTION</w:t>
            </w:r>
          </w:p>
        </w:tc>
        <w:tc>
          <w:tcPr>
            <w:tcW w:type="dxa" w:w="2448"/>
          </w:tcPr>
          <w:p>
            <w:r>
              <w:rPr>
                <w:sz w:val="17"/>
              </w:rPr>
              <w:t>Exigencia de crecimiento ambiciosa (+23.3% anual); requiere catalizadores sostenidos de expansión comercial.</w:t>
            </w:r>
          </w:p>
        </w:tc>
      </w:tr>
    </w:tbl>
    <w:p>
      <w:pPr>
        <w:spacing w:before="400"/>
        <w:jc w:val="center"/>
      </w:pPr>
      <w:r>
        <w:rPr>
          <w:rFonts w:ascii="Calibri" w:hAnsi="Calibri"/>
          <w:i/>
          <w:color w:val="4A5568"/>
          <w:sz w:val="17"/>
        </w:rPr>
        <w:t>Fin del Informe Oficial de Investigación Fundamental — Meta Platforms, Inc. (META)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