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13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Wholesale (Canal)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$3,186.1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(-0.7% YoY).</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Direct-to-Consumer (Canal)</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$2,341.2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$2,264.2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+3.4%</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canal/categoría (+3.4% YoY).</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 (EE.UU.)</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57.4%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 (Global)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(EE.UU.) (57.4%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(Global) (42.6% del total): </w:t>
      </w:r>
      <w:r>
        <w:rPr>
          <w:rFonts w:ascii="Calibri" w:hAnsi="Calibri"/>
          <w:i w:val="0"/>
          <w:color w:val="2D3748"/>
          <w:sz w:val="20"/>
        </w:rPr>
        <w:t>Aporta $2,352.4 M con variación YoY de +3.1%,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(5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1.50x vs 1.53x (-0.03x)).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27.52%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27.5% vs 28.7% (-1.16%)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1.50x vs 1.53x (-0.03x)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+43.04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53.58% frente a un ROIC contable tradicional de 90.86%.</w:t>
            </w:r>
          </w:p>
          <w:p>
            <w:pPr>
              <w:spacing w:before="40" w:after="40" w:line="276" w:lineRule="auto"/>
            </w:pPr>
            <w:r>
              <w:rPr>
                <w:rFonts w:ascii="Calibri" w:hAnsi="Calibri"/>
                <w:color w:val="2D3748"/>
                <w:sz w:val="19"/>
              </w:rPr>
              <w:t>• Costo Promedio Ponderado de Capital (WACC): 10.55% (Costo del Equity Ke: 10.55%, Deuda Neta Kd: 0.00%).</w:t>
            </w:r>
          </w:p>
          <w:p>
            <w:pPr>
              <w:spacing w:before="40" w:after="40" w:line="276" w:lineRule="auto"/>
            </w:pPr>
            <w:r>
              <w:rPr>
                <w:rFonts w:ascii="Calibri" w:hAnsi="Calibri"/>
                <w:color w:val="2D3748"/>
                <w:sz w:val="19"/>
              </w:rPr>
              <w:t>• Spread Económico Neto: +43.04 p.p. de rendimiento por encima del costo de capital exigido por el mercado.</w:t>
            </w:r>
          </w:p>
          <w:p>
            <w:pPr>
              <w:spacing w:before="40" w:after="40" w:line="276" w:lineRule="auto"/>
            </w:pPr>
            <w:r>
              <w:rPr>
                <w:rFonts w:ascii="Calibri" w:hAnsi="Calibri"/>
                <w:color w:val="2D3748"/>
                <w:sz w:val="19"/>
              </w:rPr>
              <w:t>• Stock de Intangibles Fuera de Balance: $947.5M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(53.58%) que supera a su costo de capital (10.55%) por más de 43.04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$84.00</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$12,015.1M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5.22%</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$947.5M de intangibles fuera de balance. El ROIC Ajustado resultante de 53.58% refleja el verdadero retorno económico sobre el capital total invertido ($2,036.9M).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+29.97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+26.39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+40.12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+51.24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+48.78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53.58%</w:t>
            </w:r>
          </w:p>
        </w:tc>
        <w:tc>
          <w:tcPr>
            <w:tcW w:type="dxa" w:w="1399"/>
            <w:tcMar>
              <w:top w:w="60" w:type="dxa"/>
              <w:bottom w:w="60" w:type="dxa"/>
              <w:left w:w="100" w:type="dxa"/>
              <w:right w:w="100" w:type="dxa"/>
            </w:tcMar>
            <w:shd w:fill="F7FAFC"/>
            <w:shd w:fill="E2EFDA"/>
          </w:tcPr>
          <w:p>
            <w:r>
              <w:rPr>
                <w:sz w:val="17"/>
              </w:rPr>
              <w:t>$947.5M</w:t>
            </w:r>
          </w:p>
        </w:tc>
        <w:tc>
          <w:tcPr>
            <w:tcW w:type="dxa" w:w="1399"/>
            <w:tcMar>
              <w:top w:w="60" w:type="dxa"/>
              <w:bottom w:w="60" w:type="dxa"/>
              <w:left w:w="100" w:type="dxa"/>
              <w:right w:w="100" w:type="dxa"/>
            </w:tcMar>
            <w:shd w:fill="F7FAFC"/>
            <w:shd w:fill="E2EFDA"/>
          </w:tcPr>
          <w:p>
            <w:r>
              <w:rPr>
                <w:sz w:val="17"/>
              </w:rPr>
              <w:t>$2,036.9M</w:t>
            </w:r>
          </w:p>
        </w:tc>
        <w:tc>
          <w:tcPr>
            <w:tcW w:type="dxa" w:w="1399"/>
            <w:tcMar>
              <w:top w:w="60" w:type="dxa"/>
              <w:bottom w:w="60" w:type="dxa"/>
              <w:left w:w="100" w:type="dxa"/>
              <w:right w:w="100" w:type="dxa"/>
            </w:tcMar>
            <w:shd w:fill="F7FAFC"/>
            <w:shd w:fill="E2EFDA"/>
          </w:tcPr>
          <w:p>
            <w:r>
              <w:rPr>
                <w:b/>
                <w:sz w:val="17"/>
              </w:rPr>
              <w:t>+43.04 p.p.</w:t>
            </w:r>
          </w:p>
        </w:tc>
      </w:tr>
    </w:tbl>
    <w:p>
      <w:pPr>
        <w:spacing w:before="160" w:after="160"/>
      </w:pPr>
      <w:r>
        <w:rPr>
          <w:i/>
          <w:sz w:val="18"/>
        </w:rPr>
        <w:t>Matriz de Sensibilidad de Vida Útil: N-1 (2a) = 54.08% | N Base (3a) = 53.58% | N+1 (4a) = 53.14%.</w:t>
      </w:r>
    </w:p>
    <w:p>
      <w:pPr>
        <w:pStyle w:val="Heading2"/>
      </w:pPr>
      <w:r>
        <w:t>11.4. Creación de Valor Económico (EVA) y Durabilidad del Foso Defensivo</w:t>
      </w:r>
    </w:p>
    <w:p>
      <w:r>
        <w:rPr>
          <w:sz w:val="19"/>
        </w:rPr>
        <w:t>Spread Económico = ROIC Ajustado (53.58%) − WACC (10.55%) = +43.04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5.22%</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10.55%</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10.55%</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$947.5M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$2,036.9M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53.58%</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+43.04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Crecimiento Interanual de Activos Totales &gt; 10.0%</w:t>
            </w:r>
          </w:p>
        </w:tc>
        <w:tc>
          <w:tcPr>
            <w:tcW w:type="dxa" w:w="1872"/>
            <w:tcMar>
              <w:top w:w="60" w:type="dxa"/>
              <w:bottom w:w="60" w:type="dxa"/>
              <w:left w:w="80" w:type="dxa"/>
              <w:right w:w="80" w:type="dxa"/>
            </w:tcMar>
          </w:tcPr>
          <w:p>
            <w:pPr>
              <w:jc w:val="left"/>
            </w:pPr>
            <w:r>
              <w:rPr>
                <w:rFonts w:ascii="Calibri" w:hAnsi="Calibri"/>
                <w:sz w:val="16"/>
              </w:rPr>
              <w:t>ΔActivos: +4.9% (Umbral: &gt;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acelerada de balance o adquisiciones seriales (M&amp;A). Montier advierte que suele utilizarse para disimular debilidad orgánica y distorsionar resultados.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$3.8M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$84.0  |  WACC Auditado: 10.55% (Rf: 5.22%, ERP: 4.75%)</w:t>
        <w:br/>
        <w:t>• Crecimiento Implícito Calculado: -2.0% Anual a 10 Años (vs. 16.5% Histórico)</w:t>
        <w:br/>
        <w:t>• Veredicto: Descuenta expectativas de -2.0%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$84.0</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5.22%</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10.55%</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9.55% (Bajo / Expansión)</w:t>
            </w:r>
          </w:p>
        </w:tc>
        <w:tc>
          <w:tcPr>
            <w:tcW w:type="dxa" w:w="1224"/>
          </w:tcPr>
          <w:p>
            <w:r>
              <w:rPr>
                <w:sz w:val="16"/>
              </w:rPr>
              <w:t>-2.4%</w:t>
            </w:r>
          </w:p>
        </w:tc>
        <w:tc>
          <w:tcPr>
            <w:tcW w:type="dxa" w:w="1224"/>
          </w:tcPr>
          <w:p>
            <w:r>
              <w:rPr>
                <w:sz w:val="16"/>
              </w:rPr>
              <w:t>-2.8%</w:t>
            </w:r>
          </w:p>
        </w:tc>
        <w:tc>
          <w:tcPr>
            <w:tcW w:type="dxa" w:w="1224"/>
          </w:tcPr>
          <w:p>
            <w:r>
              <w:rPr>
                <w:sz w:val="16"/>
              </w:rPr>
              <w:t>-3.2%</w:t>
            </w:r>
          </w:p>
        </w:tc>
        <w:tc>
          <w:tcPr>
            <w:tcW w:type="dxa" w:w="1224"/>
          </w:tcPr>
          <w:p>
            <w:r>
              <w:rPr>
                <w:b/>
                <w:sz w:val="16"/>
              </w:rPr>
              <w:t>-3.6%</w:t>
            </w:r>
          </w:p>
        </w:tc>
        <w:tc>
          <w:tcPr>
            <w:tcW w:type="dxa" w:w="1224"/>
          </w:tcPr>
          <w:p>
            <w:r>
              <w:rPr>
                <w:sz w:val="16"/>
              </w:rPr>
              <w:t>-4.1%</w:t>
            </w:r>
          </w:p>
        </w:tc>
        <w:tc>
          <w:tcPr>
            <w:tcW w:type="dxa" w:w="1224"/>
          </w:tcPr>
          <w:p>
            <w:r>
              <w:rPr>
                <w:sz w:val="16"/>
              </w:rPr>
              <w:t>-4.6%</w:t>
            </w:r>
          </w:p>
        </w:tc>
        <w:tc>
          <w:tcPr>
            <w:tcW w:type="dxa" w:w="1224"/>
          </w:tcPr>
          <w:p>
            <w:r>
              <w:rPr>
                <w:sz w:val="16"/>
              </w:rPr>
              <w:t>Escenario favorable; exigencia de crecimiento más moderada.</w:t>
            </w:r>
          </w:p>
        </w:tc>
      </w:tr>
      <w:tr>
        <w:tc>
          <w:tcPr>
            <w:tcW w:type="dxa" w:w="1224"/>
            <w:shd w:fill="F7FAFC"/>
          </w:tcPr>
          <w:p>
            <w:r>
              <w:rPr>
                <w:sz w:val="16"/>
              </w:rPr>
              <w:t>10.05% (Favorable)</w:t>
            </w:r>
          </w:p>
        </w:tc>
        <w:tc>
          <w:tcPr>
            <w:tcW w:type="dxa" w:w="1224"/>
            <w:shd w:fill="F7FAFC"/>
          </w:tcPr>
          <w:p>
            <w:r>
              <w:rPr>
                <w:sz w:val="16"/>
              </w:rPr>
              <w:t>-1.6%</w:t>
            </w:r>
          </w:p>
        </w:tc>
        <w:tc>
          <w:tcPr>
            <w:tcW w:type="dxa" w:w="1224"/>
            <w:shd w:fill="F7FAFC"/>
          </w:tcPr>
          <w:p>
            <w:r>
              <w:rPr>
                <w:sz w:val="16"/>
              </w:rPr>
              <w:t>-2.0%</w:t>
            </w:r>
          </w:p>
        </w:tc>
        <w:tc>
          <w:tcPr>
            <w:tcW w:type="dxa" w:w="1224"/>
            <w:shd w:fill="F7FAFC"/>
          </w:tcPr>
          <w:p>
            <w:r>
              <w:rPr>
                <w:sz w:val="16"/>
              </w:rPr>
              <w:t>-2.4%</w:t>
            </w:r>
          </w:p>
        </w:tc>
        <w:tc>
          <w:tcPr>
            <w:tcW w:type="dxa" w:w="1224"/>
            <w:shd w:fill="F7FAFC"/>
          </w:tcPr>
          <w:p>
            <w:r>
              <w:rPr>
                <w:b/>
                <w:sz w:val="16"/>
              </w:rPr>
              <w:t>-2.8%</w:t>
            </w:r>
          </w:p>
        </w:tc>
        <w:tc>
          <w:tcPr>
            <w:tcW w:type="dxa" w:w="1224"/>
            <w:shd w:fill="F7FAFC"/>
          </w:tcPr>
          <w:p>
            <w:r>
              <w:rPr>
                <w:sz w:val="16"/>
              </w:rPr>
              <w:t>-3.2%</w:t>
            </w:r>
          </w:p>
        </w:tc>
        <w:tc>
          <w:tcPr>
            <w:tcW w:type="dxa" w:w="1224"/>
            <w:shd w:fill="F7FAFC"/>
          </w:tcPr>
          <w:p>
            <w:r>
              <w:rPr>
                <w:sz w:val="16"/>
              </w:rPr>
              <w:t>-3.7%</w:t>
            </w:r>
          </w:p>
        </w:tc>
        <w:tc>
          <w:tcPr>
            <w:tcW w:type="dxa" w:w="1224"/>
            <w:shd w:fill="F7FAFC"/>
          </w:tcPr>
          <w:p>
            <w:r>
              <w:rPr>
                <w:sz w:val="16"/>
              </w:rPr>
              <w:t>Escenario de sensibilidad operativa.</w:t>
            </w:r>
          </w:p>
        </w:tc>
      </w:tr>
      <w:tr>
        <w:tc>
          <w:tcPr>
            <w:tcW w:type="dxa" w:w="1224"/>
            <w:shd w:fill="F7FAFC"/>
          </w:tcPr>
          <w:p>
            <w:r>
              <w:rPr>
                <w:sz w:val="16"/>
              </w:rPr>
              <w:t>10.55% (WACC Auditado Base)</w:t>
            </w:r>
          </w:p>
        </w:tc>
        <w:tc>
          <w:tcPr>
            <w:tcW w:type="dxa" w:w="1224"/>
            <w:shd w:fill="F7FAFC"/>
          </w:tcPr>
          <w:p>
            <w:r>
              <w:rPr>
                <w:b/>
                <w:sz w:val="16"/>
              </w:rPr>
              <w:t>-0.9%</w:t>
            </w:r>
          </w:p>
        </w:tc>
        <w:tc>
          <w:tcPr>
            <w:tcW w:type="dxa" w:w="1224"/>
            <w:shd w:fill="F7FAFC"/>
          </w:tcPr>
          <w:p>
            <w:r>
              <w:rPr>
                <w:b/>
                <w:sz w:val="16"/>
              </w:rPr>
              <w:t>-1.2%</w:t>
            </w:r>
          </w:p>
        </w:tc>
        <w:tc>
          <w:tcPr>
            <w:tcW w:type="dxa" w:w="1224"/>
            <w:shd w:fill="F7FAFC"/>
          </w:tcPr>
          <w:p>
            <w:r>
              <w:rPr>
                <w:b/>
                <w:sz w:val="16"/>
              </w:rPr>
              <w:t>-1.6%</w:t>
            </w:r>
          </w:p>
        </w:tc>
        <w:tc>
          <w:tcPr>
            <w:tcW w:type="dxa" w:w="1224"/>
            <w:shd w:fill="FFF2CC"/>
          </w:tcPr>
          <w:p>
            <w:r>
              <w:rPr>
                <w:b/>
                <w:sz w:val="16"/>
              </w:rPr>
              <w:t>-2.0%</w:t>
            </w:r>
          </w:p>
        </w:tc>
        <w:tc>
          <w:tcPr>
            <w:tcW w:type="dxa" w:w="1224"/>
            <w:shd w:fill="F7FAFC"/>
          </w:tcPr>
          <w:p>
            <w:r>
              <w:rPr>
                <w:b/>
                <w:sz w:val="16"/>
              </w:rPr>
              <w:t>-2.4%</w:t>
            </w:r>
          </w:p>
        </w:tc>
        <w:tc>
          <w:tcPr>
            <w:tcW w:type="dxa" w:w="1224"/>
            <w:shd w:fill="F7FAFC"/>
          </w:tcPr>
          <w:p>
            <w:r>
              <w:rPr>
                <w:b/>
                <w:sz w:val="16"/>
              </w:rPr>
              <w:t>-2.8%</w:t>
            </w:r>
          </w:p>
        </w:tc>
        <w:tc>
          <w:tcPr>
            <w:tcW w:type="dxa" w:w="1224"/>
            <w:shd w:fill="F7FAFC"/>
          </w:tcPr>
          <w:p>
            <w:r>
              <w:rPr>
                <w:sz w:val="16"/>
              </w:rPr>
              <w:t>ESCENARIO CENTRAL: Crecimiento implícito real de mercado.</w:t>
            </w:r>
          </w:p>
        </w:tc>
      </w:tr>
      <w:tr>
        <w:tc>
          <w:tcPr>
            <w:tcW w:type="dxa" w:w="1224"/>
            <w:shd w:fill="F7FAFC"/>
          </w:tcPr>
          <w:p>
            <w:r>
              <w:rPr>
                <w:sz w:val="16"/>
              </w:rPr>
              <w:t>11.05% (Exigente)</w:t>
            </w:r>
          </w:p>
        </w:tc>
        <w:tc>
          <w:tcPr>
            <w:tcW w:type="dxa" w:w="1224"/>
            <w:shd w:fill="F7FAFC"/>
          </w:tcPr>
          <w:p>
            <w:r>
              <w:rPr>
                <w:sz w:val="16"/>
              </w:rPr>
              <w:t>-0.1%</w:t>
            </w:r>
          </w:p>
        </w:tc>
        <w:tc>
          <w:tcPr>
            <w:tcW w:type="dxa" w:w="1224"/>
            <w:shd w:fill="F7FAFC"/>
          </w:tcPr>
          <w:p>
            <w:r>
              <w:rPr>
                <w:sz w:val="16"/>
              </w:rPr>
              <w:t>-0.5%</w:t>
            </w:r>
          </w:p>
        </w:tc>
        <w:tc>
          <w:tcPr>
            <w:tcW w:type="dxa" w:w="1224"/>
            <w:shd w:fill="F7FAFC"/>
          </w:tcPr>
          <w:p>
            <w:r>
              <w:rPr>
                <w:sz w:val="16"/>
              </w:rPr>
              <w:t>-0.8%</w:t>
            </w:r>
          </w:p>
        </w:tc>
        <w:tc>
          <w:tcPr>
            <w:tcW w:type="dxa" w:w="1224"/>
            <w:shd w:fill="F7FAFC"/>
          </w:tcPr>
          <w:p>
            <w:r>
              <w:rPr>
                <w:b/>
                <w:sz w:val="16"/>
              </w:rPr>
              <w:t>-1.2%</w:t>
            </w:r>
          </w:p>
        </w:tc>
        <w:tc>
          <w:tcPr>
            <w:tcW w:type="dxa" w:w="1224"/>
            <w:shd w:fill="F7FAFC"/>
          </w:tcPr>
          <w:p>
            <w:r>
              <w:rPr>
                <w:sz w:val="16"/>
              </w:rPr>
              <w:t>-1.5%</w:t>
            </w:r>
          </w:p>
        </w:tc>
        <w:tc>
          <w:tcPr>
            <w:tcW w:type="dxa" w:w="1224"/>
            <w:shd w:fill="F7FAFC"/>
          </w:tcPr>
          <w:p>
            <w:r>
              <w:rPr>
                <w:sz w:val="16"/>
              </w:rPr>
              <w:t>-2.0%</w:t>
            </w:r>
          </w:p>
        </w:tc>
        <w:tc>
          <w:tcPr>
            <w:tcW w:type="dxa" w:w="1224"/>
            <w:shd w:fill="F7FAFC"/>
          </w:tcPr>
          <w:p>
            <w:r>
              <w:rPr>
                <w:sz w:val="16"/>
              </w:rPr>
              <w:t>Escenario de sensibilidad operativa.</w:t>
            </w:r>
          </w:p>
        </w:tc>
      </w:tr>
      <w:tr>
        <w:tc>
          <w:tcPr>
            <w:tcW w:type="dxa" w:w="1224"/>
          </w:tcPr>
          <w:p>
            <w:r>
              <w:rPr>
                <w:sz w:val="16"/>
              </w:rPr>
              <w:t>11.55% (Estrés / Tipos Altos)</w:t>
            </w:r>
          </w:p>
        </w:tc>
        <w:tc>
          <w:tcPr>
            <w:tcW w:type="dxa" w:w="1224"/>
          </w:tcPr>
          <w:p>
            <w:r>
              <w:rPr>
                <w:sz w:val="16"/>
              </w:rPr>
              <w:t>0.6%</w:t>
            </w:r>
          </w:p>
        </w:tc>
        <w:tc>
          <w:tcPr>
            <w:tcW w:type="dxa" w:w="1224"/>
          </w:tcPr>
          <w:p>
            <w:r>
              <w:rPr>
                <w:sz w:val="16"/>
              </w:rPr>
              <w:t>0.3%</w:t>
            </w:r>
          </w:p>
        </w:tc>
        <w:tc>
          <w:tcPr>
            <w:tcW w:type="dxa" w:w="1224"/>
          </w:tcPr>
          <w:p>
            <w:r>
              <w:rPr>
                <w:sz w:val="16"/>
              </w:rPr>
              <w:t>-0.0%</w:t>
            </w:r>
          </w:p>
        </w:tc>
        <w:tc>
          <w:tcPr>
            <w:tcW w:type="dxa" w:w="1224"/>
          </w:tcPr>
          <w:p>
            <w:r>
              <w:rPr>
                <w:b/>
                <w:sz w:val="16"/>
              </w:rPr>
              <w:t>-0.4%</w:t>
            </w:r>
          </w:p>
        </w:tc>
        <w:tc>
          <w:tcPr>
            <w:tcW w:type="dxa" w:w="1224"/>
          </w:tcPr>
          <w:p>
            <w:r>
              <w:rPr>
                <w:sz w:val="16"/>
              </w:rPr>
              <w:t>-0.7%</w:t>
            </w:r>
          </w:p>
        </w:tc>
        <w:tc>
          <w:tcPr>
            <w:tcW w:type="dxa" w:w="1224"/>
          </w:tcPr>
          <w:p>
            <w:r>
              <w:rPr>
                <w:sz w:val="16"/>
              </w:rPr>
              <w:t>-1.1%</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100%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53.6%</w:t>
            </w:r>
          </w:p>
        </w:tc>
        <w:tc>
          <w:tcPr>
            <w:tcW w:type="dxa" w:w="2448"/>
            <w:shd w:fill="F7FAFC"/>
          </w:tcPr>
          <w:p>
            <w:r>
              <w:rPr>
                <w:b/>
                <w:sz w:val="17"/>
              </w:rPr>
              <w:t>COMPOUNDING MACHINE</w:t>
            </w:r>
          </w:p>
        </w:tc>
        <w:tc>
          <w:tcPr>
            <w:tcW w:type="dxa" w:w="2448"/>
            <w:shd w:fill="F7FAFC"/>
          </w:tcPr>
          <w:p>
            <w:r>
              <w:rPr>
                <w:sz w:val="17"/>
              </w:rPr>
              <w:t>Spread económico de +43.0 pp sobre WACC (Creación de valor de élite).</w:t>
            </w:r>
          </w:p>
        </w:tc>
      </w:tr>
      <w:tr>
        <w:tc>
          <w:tcPr>
            <w:tcW w:type="dxa" w:w="2448"/>
          </w:tcPr>
          <w:p>
            <w:r>
              <w:rPr>
                <w:b/>
                <w:sz w:val="17"/>
              </w:rPr>
              <w:t>Valoración de Mercado</w:t>
            </w:r>
          </w:p>
        </w:tc>
        <w:tc>
          <w:tcPr>
            <w:tcW w:type="dxa" w:w="2448"/>
          </w:tcPr>
          <w:p>
            <w:r>
              <w:rPr>
                <w:sz w:val="17"/>
              </w:rPr>
              <w:t>Crecimiento Implícito: -2.0% - -4.2%</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