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792"/>
      </w:tblGrid>
      <w:tr>
        <w:tc>
          <w:tcPr>
            <w:tcW w:type="dxa" w:w="9792"/>
            <w:shd w:fill="1B365D"/>
            <w:tcMar>
              <w:top w:w="180" w:type="dxa"/>
              <w:bottom w:w="180" w:type="dxa"/>
              <w:left w:w="200" w:type="dxa"/>
              <w:right w:w="200" w:type="dxa"/>
            </w:tcMar>
          </w:tcPr>
          <w:p>
            <w:pPr>
              <w:spacing w:before="0" w:after="40"/>
            </w:pPr>
            <w:r>
              <w:rPr>
                <w:rFonts w:ascii="Calibri" w:hAnsi="Calibri"/>
                <w:b/>
                <w:color w:val="A0BEEB"/>
                <w:sz w:val="18"/>
              </w:rPr>
              <w:t>INFORME EJECUTIVO DE INVESTIGACIÓN FUNDAMENTAL | WALL STREET EQUITY RESEARCH</w:t>
            </w:r>
          </w:p>
          <w:p>
            <w:pPr>
              <w:spacing w:before="40" w:after="80"/>
            </w:pPr>
            <w:r>
              <w:rPr>
                <w:rFonts w:ascii="Calibri" w:hAnsi="Calibri"/>
                <w:b/>
                <w:color w:val="FFFFFF"/>
                <w:sz w:val="34"/>
              </w:rPr>
              <w:t>NU HOLDINGS LTD. (NYSE: NU)</w:t>
              <w:br/>
              <w:t>Resultados Trimestrales Q2 2026, Earnings Call &amp; Análisis de Gobernanza</w:t>
            </w:r>
          </w:p>
          <w:p>
            <w:pPr>
              <w:spacing w:before="0" w:after="0"/>
            </w:pPr>
            <w:r>
              <w:rPr>
                <w:rFonts w:ascii="Calibri" w:hAnsi="Calibri"/>
                <w:i/>
                <w:color w:val="D1DFF5"/>
                <w:sz w:val="17"/>
              </w:rPr>
              <w:t>Fecha de Análisis: 13 de Septiembre de 2026 | Período Contable: 30 de Junio de 2026</w:t>
              <w:br/>
              <w:t>Fuente Oficial: Formulario 6-K, Formulario 20-F (SEC EDGAR) &amp; Q2 2026 Earnings Call Transcript</w:t>
            </w:r>
          </w:p>
        </w:tc>
      </w:tr>
    </w:tbl>
    <w:p>
      <w:pPr>
        <w:spacing w:after="120"/>
      </w:pPr>
    </w:p>
    <w:p>
      <w:pPr>
        <w:keepNext/>
        <w:spacing w:before="320" w:after="120"/>
      </w:pPr>
      <w:r>
        <w:rPr>
          <w:rFonts w:ascii="Calibri" w:hAnsi="Calibri"/>
          <w:b/>
          <w:color w:val="1B365D"/>
          <w:sz w:val="26"/>
        </w:rPr>
        <w:t>1. Introducción al Negocio y Arquitectura de Comercialización (Go-To-Market)</w:t>
      </w:r>
    </w:p>
    <w:tbl>
      <w:tblPr>
        <w:tblW w:type="auto" w:w="0"/>
        <w:jc w:val="center"/>
        <w:tblLayout w:type="fixed"/>
        <w:tblLook w:firstColumn="1" w:firstRow="1" w:lastColumn="0" w:lastRow="0" w:noHBand="0" w:noVBand="1" w:val="04A0"/>
      </w:tblPr>
      <w:tblGrid>
        <w:gridCol w:w="9792"/>
      </w:tblGrid>
      <w:tr>
        <w:tc>
          <w:tcPr>
            <w:tcW w:type="dxa" w:w="9792"/>
            <w:shd w:fill="F0F4F8"/>
            <w:tcMar>
              <w:top w:w="140" w:type="dxa"/>
              <w:bottom w:w="140" w:type="dxa"/>
              <w:left w:w="180" w:type="dxa"/>
              <w:right w:w="180" w:type="dxa"/>
            </w:tcMar>
            <w:tcBorders>
              <w:left w:val="single" w:sz="24" w:space="0" w:color="1B365D"/>
              <w:top w:val="none"/>
              <w:right w:val="none"/>
              <w:bottom w:val="none"/>
            </w:tcBorders>
          </w:tcPr>
          <w:p>
            <w:pPr>
              <w:spacing w:before="0" w:after="80"/>
            </w:pPr>
            <w:r>
              <w:rPr>
                <w:rFonts w:ascii="Segoe UI Emoji" w:hAnsi="Segoe UI Emoji"/>
                <w:sz w:val="21"/>
              </w:rPr>
              <w:t xml:space="preserve">📌  </w:t>
            </w:r>
            <w:r>
              <w:rPr>
                <w:rFonts w:ascii="Calibri" w:hAnsi="Calibri"/>
                <w:b/>
                <w:color w:val="1B365D"/>
                <w:sz w:val="21"/>
              </w:rPr>
              <w:t>RESUMEN DEL MODELO DE NEGOCIO Y DISRUPCIÓN BANCARIA DIGITAL</w:t>
            </w:r>
          </w:p>
          <w:p>
            <w:pPr>
              <w:spacing w:before="40" w:after="40" w:line="276" w:lineRule="auto"/>
            </w:pPr>
            <w:r>
              <w:rPr>
                <w:rFonts w:ascii="Calibri" w:hAnsi="Calibri"/>
                <w:color w:val="2D3748"/>
                <w:sz w:val="19"/>
              </w:rPr>
              <w:t>Nu Holdings Ltd. (Nubank) es la plataforma de banca digital independiente más grande del mundo occidental, prestando servicios a más de 105 millones de clientes en Brasil, México y Colombia.</w:t>
            </w:r>
          </w:p>
          <w:p>
            <w:pPr>
              <w:spacing w:before="40" w:after="40" w:line="276" w:lineRule="auto"/>
            </w:pPr>
            <w:r>
              <w:rPr>
                <w:rFonts w:ascii="Calibri" w:hAnsi="Calibri"/>
                <w:color w:val="2D3748"/>
                <w:sz w:val="19"/>
              </w:rPr>
              <w:t>Su modelo de negocio rompe radicalmente con la banca tradicional gracias a una arquitectura 100% nativa en la nube (cloud-native) y sin sucursales físicas. Esto le permite operar con un Coste de Atención por Cliente Activo (Cost-to-Serve) de aproximadamente $0.90 al mes —un 85% inferior a los bancos tradicionales brasileños (Itaú, Bradesco, Santander Brasil)—, monetizando a través de un ecosistema multiproducto que abarca tarjetas de crédito, préstamos personales, cuentas remuneradas, transferencias y seguros.</w:t>
            </w:r>
          </w:p>
        </w:tc>
      </w:tr>
    </w:tbl>
    <w:p>
      <w:pPr>
        <w:spacing w:after="80"/>
      </w:pPr>
    </w:p>
    <w:p>
      <w:pPr>
        <w:keepNext/>
        <w:spacing w:before="200" w:after="80"/>
      </w:pPr>
      <w:r>
        <w:rPr>
          <w:rFonts w:ascii="Calibri" w:hAnsi="Calibri"/>
          <w:b/>
          <w:color w:val="4A5568"/>
          <w:sz w:val="22"/>
        </w:rPr>
        <w:t>Estructura de Productos y Líneas de Monetización Financiera:</w:t>
      </w:r>
    </w:p>
    <w:p>
      <w:pPr>
        <w:spacing w:before="40" w:after="80" w:line="276" w:lineRule="auto"/>
      </w:pPr>
      <w:r>
        <w:rPr>
          <w:rFonts w:ascii="Calibri" w:hAnsi="Calibri"/>
          <w:i w:val="0"/>
          <w:color w:val="2D3748"/>
          <w:sz w:val="20"/>
        </w:rPr>
        <w:t>De acuerdo con los reportes oficiales auditados ante la SEC bajo IFRS y el Managerial P&amp;L de la entidad, los ingresos se generan a través de cuatro pilares:</w:t>
      </w:r>
    </w:p>
    <w:p>
      <w:pPr>
        <w:spacing w:before="40" w:after="80" w:line="276" w:lineRule="auto"/>
      </w:pPr>
      <w:r>
        <w:rPr>
          <w:rFonts w:ascii="Calibri" w:hAnsi="Calibri"/>
          <w:b/>
          <w:color w:val="2D3748"/>
          <w:sz w:val="20"/>
        </w:rPr>
        <w:t xml:space="preserve">• Margen de Intereses e Intermediación Crediticia - NII (~75% de los ingresos netos): </w:t>
      </w:r>
      <w:r>
        <w:rPr>
          <w:rFonts w:ascii="Calibri" w:hAnsi="Calibri"/>
          <w:i w:val="0"/>
          <w:color w:val="2D3748"/>
          <w:sz w:val="20"/>
        </w:rPr>
        <w:t>Intereses cobrados sobre la cartera de préstamos personales no garantizados y financiamiento rotativo de tarjetas de crédito, fondeados a bajo costo mediante los depósitos de los propios clientes.</w:t>
      </w:r>
    </w:p>
    <w:p>
      <w:pPr>
        <w:spacing w:before="40" w:after="80" w:line="276" w:lineRule="auto"/>
      </w:pPr>
      <w:r>
        <w:rPr>
          <w:rFonts w:ascii="Calibri" w:hAnsi="Calibri"/>
          <w:b/>
          <w:color w:val="2D3748"/>
          <w:sz w:val="20"/>
        </w:rPr>
        <w:t xml:space="preserve">• Comisiones por Servicios, Adquirencia e Intercambio (~25% de los ingresos netos): </w:t>
      </w:r>
      <w:r>
        <w:rPr>
          <w:rFonts w:ascii="Calibri" w:hAnsi="Calibri"/>
          <w:i w:val="0"/>
          <w:color w:val="2D3748"/>
          <w:sz w:val="20"/>
        </w:rPr>
        <w:t>Comisiones de intercambio (Interchange Fees) cobradas cada vez que un usuario utiliza su tarjeta de crédito o débito Nubank en cualquier comercio del mundo, tarifas de intermediación de fondos de inversión (NuInvest) y primas de micro-seguros (NuSeguros).</w:t>
      </w:r>
    </w:p>
    <w:p>
      <w:pPr>
        <w:keepNext/>
        <w:spacing w:before="320" w:after="120"/>
      </w:pPr>
      <w:r>
        <w:rPr>
          <w:rFonts w:ascii="Calibri" w:hAnsi="Calibri"/>
          <w:b/>
          <w:color w:val="1B365D"/>
          <w:sz w:val="26"/>
        </w:rPr>
        <w:t>2. Desglose de Ventas por Línea de Productos y Servicios (Comparativa Interanual)</w:t>
      </w:r>
    </w:p>
    <w:p>
      <w:pPr>
        <w:spacing w:before="40" w:after="80" w:line="276" w:lineRule="auto"/>
      </w:pPr>
      <w:r>
        <w:rPr>
          <w:rFonts w:ascii="Calibri" w:hAnsi="Calibri"/>
          <w:i w:val="0"/>
          <w:color w:val="2D3748"/>
          <w:sz w:val="20"/>
        </w:rPr>
        <w:t>A continuación se audita el desempeño y la mezcla de ingresos de las líneas de producto y marcas clave de Nu Holdings Ltd. a partir de las notas de segmentación oficial presentadas ante la SEC:</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1632"/>
        <w:gridCol w:w="1632"/>
        <w:gridCol w:w="1632"/>
        <w:gridCol w:w="1632"/>
        <w:gridCol w:w="1632"/>
        <w:gridCol w:w="1632"/>
      </w:tblGrid>
      <w:tr>
        <w:tc>
          <w:tcPr>
            <w:tcW w:type="dxa" w:w="2160"/>
            <w:shd w:fill="1B365D"/>
            <w:tcMar>
              <w:top w:w="100" w:type="dxa"/>
              <w:bottom w:w="100" w:type="dxa"/>
              <w:left w:w="120" w:type="dxa"/>
              <w:right w:w="120" w:type="dxa"/>
            </w:tcMar>
          </w:tcPr>
          <w:p>
            <w:pPr>
              <w:spacing w:before="0" w:after="0"/>
              <w:jc w:val="left"/>
            </w:pPr>
            <w:r>
              <w:rPr>
                <w:rFonts w:ascii="Calibri" w:hAnsi="Calibri"/>
                <w:b/>
                <w:color w:val="FFFFFF"/>
                <w:sz w:val="19"/>
              </w:rPr>
              <w:t>Línea de Negocio / Producto</w:t>
            </w:r>
          </w:p>
        </w:tc>
        <w:tc>
          <w:tcPr>
            <w:tcW w:type="dxa" w:w="1440"/>
            <w:shd w:fill="1B365D"/>
            <w:tcMar>
              <w:top w:w="100" w:type="dxa"/>
              <w:bottom w:w="100" w:type="dxa"/>
              <w:left w:w="120" w:type="dxa"/>
              <w:right w:w="120" w:type="dxa"/>
            </w:tcMar>
          </w:tcPr>
          <w:p>
            <w:pPr>
              <w:spacing w:before="0" w:after="0"/>
              <w:jc w:val="center"/>
            </w:pPr>
            <w:r>
              <w:rPr>
                <w:rFonts w:ascii="Calibri" w:hAnsi="Calibri"/>
                <w:b/>
                <w:color w:val="FFFFFF"/>
                <w:sz w:val="19"/>
              </w:rPr>
              <w:t>LTM ($M)</w:t>
            </w:r>
          </w:p>
        </w:tc>
        <w:tc>
          <w:tcPr>
            <w:tcW w:type="dxa" w:w="1440"/>
            <w:shd w:fill="1B365D"/>
            <w:tcMar>
              <w:top w:w="100" w:type="dxa"/>
              <w:bottom w:w="100" w:type="dxa"/>
              <w:left w:w="120" w:type="dxa"/>
              <w:right w:w="120" w:type="dxa"/>
            </w:tcMar>
          </w:tcPr>
          <w:p>
            <w:pPr>
              <w:spacing w:before="0" w:after="0"/>
              <w:jc w:val="center"/>
            </w:pPr>
            <w:r>
              <w:rPr>
                <w:rFonts w:ascii="Calibri" w:hAnsi="Calibri"/>
                <w:b/>
                <w:color w:val="FFFFFF"/>
                <w:sz w:val="19"/>
              </w:rPr>
              <w:t>FY2026 ($M)</w:t>
            </w:r>
          </w:p>
        </w:tc>
        <w:tc>
          <w:tcPr>
            <w:tcW w:type="dxa" w:w="1440"/>
            <w:shd w:fill="1B365D"/>
            <w:tcMar>
              <w:top w:w="100" w:type="dxa"/>
              <w:bottom w:w="100" w:type="dxa"/>
              <w:left w:w="120" w:type="dxa"/>
              <w:right w:w="120" w:type="dxa"/>
            </w:tcMar>
          </w:tcPr>
          <w:p>
            <w:pPr>
              <w:spacing w:before="0" w:after="0"/>
              <w:jc w:val="center"/>
            </w:pPr>
            <w:r>
              <w:rPr>
                <w:rFonts w:ascii="Calibri" w:hAnsi="Calibri"/>
                <w:b/>
                <w:color w:val="FFFFFF"/>
                <w:sz w:val="19"/>
              </w:rPr>
              <w:t>Variación YoY %</w:t>
            </w:r>
          </w:p>
        </w:tc>
        <w:tc>
          <w:tcPr>
            <w:tcW w:type="dxa" w:w="1296"/>
            <w:shd w:fill="1B365D"/>
            <w:tcMar>
              <w:top w:w="100" w:type="dxa"/>
              <w:bottom w:w="100" w:type="dxa"/>
              <w:left w:w="120" w:type="dxa"/>
              <w:right w:w="120" w:type="dxa"/>
            </w:tcMar>
          </w:tcPr>
          <w:p>
            <w:pPr>
              <w:spacing w:before="0" w:after="0"/>
              <w:jc w:val="center"/>
            </w:pPr>
            <w:r>
              <w:rPr>
                <w:rFonts w:ascii="Calibri" w:hAnsi="Calibri"/>
                <w:b/>
                <w:color w:val="FFFFFF"/>
                <w:sz w:val="19"/>
              </w:rPr>
              <w:t>Margen / Mix</w:t>
            </w:r>
          </w:p>
        </w:tc>
        <w:tc>
          <w:tcPr>
            <w:tcW w:type="dxa" w:w="2016"/>
            <w:shd w:fill="1B365D"/>
            <w:tcMar>
              <w:top w:w="100" w:type="dxa"/>
              <w:bottom w:w="100" w:type="dxa"/>
              <w:left w:w="120" w:type="dxa"/>
              <w:right w:w="120" w:type="dxa"/>
            </w:tcMar>
          </w:tcPr>
          <w:p>
            <w:pPr>
              <w:spacing w:before="0" w:after="0"/>
              <w:jc w:val="center"/>
            </w:pPr>
            <w:r>
              <w:rPr>
                <w:rFonts w:ascii="Calibri" w:hAnsi="Calibri"/>
                <w:b/>
                <w:color w:val="FFFFFF"/>
                <w:sz w:val="19"/>
              </w:rPr>
              <w:t>Lectura Estratégica y Catalizador Operativo</w:t>
            </w:r>
          </w:p>
        </w:tc>
      </w:tr>
      <w:tr>
        <w:tc>
          <w:tcPr>
            <w:tcW w:type="dxa" w:w="2160"/>
            <w:shd w:fill="FFFFFF"/>
            <w:tcMar>
              <w:top w:w="80" w:type="dxa"/>
              <w:bottom w:w="80" w:type="dxa"/>
              <w:left w:w="120" w:type="dxa"/>
              <w:right w:w="120" w:type="dxa"/>
            </w:tcMar>
          </w:tcPr>
          <w:p>
            <w:pPr>
              <w:spacing w:before="0" w:after="0"/>
              <w:jc w:val="left"/>
            </w:pPr>
            <w:r>
              <w:rPr>
                <w:rFonts w:ascii="Calibri" w:hAnsi="Calibri"/>
                <w:color w:val="2D3748"/>
                <w:sz w:val="18"/>
              </w:rPr>
              <w:t>Cartera de Tarjetas de Crédito (Credit Card Receivables)</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$21,494.4 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$0.0 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+0.0%</w:t>
            </w:r>
          </w:p>
        </w:tc>
        <w:tc>
          <w:tcPr>
            <w:tcW w:type="dxa" w:w="1296"/>
            <w:shd w:fill="FFFFFF"/>
            <w:tcMar>
              <w:top w:w="80" w:type="dxa"/>
              <w:bottom w:w="80" w:type="dxa"/>
              <w:left w:w="120" w:type="dxa"/>
              <w:right w:w="120" w:type="dxa"/>
            </w:tcMar>
          </w:tcPr>
          <w:p>
            <w:pPr>
              <w:spacing w:before="0" w:after="0"/>
              <w:jc w:val="center"/>
            </w:pPr>
            <w:r>
              <w:rPr>
                <w:rFonts w:ascii="Calibri" w:hAnsi="Calibri"/>
                <w:color w:val="2D3748"/>
                <w:sz w:val="18"/>
              </w:rPr>
              <w:t>14.3% Mix</w:t>
            </w:r>
          </w:p>
        </w:tc>
        <w:tc>
          <w:tcPr>
            <w:tcW w:type="dxa" w:w="2016"/>
            <w:shd w:fill="FFFFFF"/>
            <w:tcMar>
              <w:top w:w="80" w:type="dxa"/>
              <w:bottom w:w="80" w:type="dxa"/>
              <w:left w:w="120" w:type="dxa"/>
              <w:right w:w="120" w:type="dxa"/>
            </w:tcMar>
          </w:tcPr>
          <w:p>
            <w:pPr>
              <w:spacing w:before="0" w:after="0"/>
              <w:jc w:val="center"/>
            </w:pPr>
            <w:r>
              <w:rPr>
                <w:rFonts w:ascii="Calibri" w:hAnsi="Calibri"/>
                <w:color w:val="2D3748"/>
                <w:sz w:val="18"/>
              </w:rPr>
              <w:t>Desempeño estable (+0.0% YoY); consolidación en mercados y canales core.</w:t>
            </w:r>
          </w:p>
        </w:tc>
      </w:tr>
      <w:tr>
        <w:tc>
          <w:tcPr>
            <w:tcW w:type="dxa" w:w="2160"/>
            <w:shd w:fill="F7FAFC"/>
            <w:tcMar>
              <w:top w:w="80" w:type="dxa"/>
              <w:bottom w:w="80" w:type="dxa"/>
              <w:left w:w="120" w:type="dxa"/>
              <w:right w:w="120" w:type="dxa"/>
            </w:tcMar>
          </w:tcPr>
          <w:p>
            <w:pPr>
              <w:spacing w:before="0" w:after="0"/>
              <w:jc w:val="left"/>
            </w:pPr>
            <w:r>
              <w:rPr>
                <w:rFonts w:ascii="Calibri" w:hAnsi="Calibri"/>
                <w:color w:val="2D3748"/>
                <w:sz w:val="18"/>
              </w:rPr>
              <w:t>Cartera de Préstamos Personales (Loans to Customers)</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$11,317.4 M</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$0.0 M</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+0.0%</w:t>
            </w:r>
          </w:p>
        </w:tc>
        <w:tc>
          <w:tcPr>
            <w:tcW w:type="dxa" w:w="1296"/>
            <w:shd w:fill="F7FAFC"/>
            <w:tcMar>
              <w:top w:w="80" w:type="dxa"/>
              <w:bottom w:w="80" w:type="dxa"/>
              <w:left w:w="120" w:type="dxa"/>
              <w:right w:w="120" w:type="dxa"/>
            </w:tcMar>
          </w:tcPr>
          <w:p>
            <w:pPr>
              <w:spacing w:before="0" w:after="0"/>
              <w:jc w:val="center"/>
            </w:pPr>
            <w:r>
              <w:rPr>
                <w:rFonts w:ascii="Calibri" w:hAnsi="Calibri"/>
                <w:color w:val="2D3748"/>
                <w:sz w:val="18"/>
              </w:rPr>
              <w:t>7.5% Mix</w:t>
            </w:r>
          </w:p>
        </w:tc>
        <w:tc>
          <w:tcPr>
            <w:tcW w:type="dxa" w:w="2016"/>
            <w:shd w:fill="F7FAFC"/>
            <w:tcMar>
              <w:top w:w="80" w:type="dxa"/>
              <w:bottom w:w="80" w:type="dxa"/>
              <w:left w:w="120" w:type="dxa"/>
              <w:right w:w="120" w:type="dxa"/>
            </w:tcMar>
          </w:tcPr>
          <w:p>
            <w:pPr>
              <w:spacing w:before="0" w:after="0"/>
              <w:jc w:val="center"/>
            </w:pPr>
            <w:r>
              <w:rPr>
                <w:rFonts w:ascii="Calibri" w:hAnsi="Calibri"/>
                <w:color w:val="2D3748"/>
                <w:sz w:val="18"/>
              </w:rPr>
              <w:t>Desempeño estable (+0.0% YoY); consolidación en mercados y canales core.</w:t>
            </w:r>
          </w:p>
        </w:tc>
      </w:tr>
      <w:tr>
        <w:tc>
          <w:tcPr>
            <w:tcW w:type="dxa" w:w="2160"/>
            <w:shd w:fill="FFFFFF"/>
            <w:tcMar>
              <w:top w:w="80" w:type="dxa"/>
              <w:bottom w:w="80" w:type="dxa"/>
              <w:left w:w="120" w:type="dxa"/>
              <w:right w:w="120" w:type="dxa"/>
            </w:tcMar>
          </w:tcPr>
          <w:p>
            <w:pPr>
              <w:spacing w:before="0" w:after="0"/>
              <w:jc w:val="left"/>
            </w:pPr>
            <w:r>
              <w:rPr>
                <w:rFonts w:ascii="Calibri" w:hAnsi="Calibri"/>
                <w:color w:val="2D3748"/>
                <w:sz w:val="18"/>
              </w:rPr>
              <w:t>(=) Cartera Bruta de Crédito Total (Total Gross Credit Portfolio)</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$32,811.8 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$0.0 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+0.0%</w:t>
            </w:r>
          </w:p>
        </w:tc>
        <w:tc>
          <w:tcPr>
            <w:tcW w:type="dxa" w:w="1296"/>
            <w:shd w:fill="FFFFFF"/>
            <w:tcMar>
              <w:top w:w="80" w:type="dxa"/>
              <w:bottom w:w="80" w:type="dxa"/>
              <w:left w:w="120" w:type="dxa"/>
              <w:right w:w="120" w:type="dxa"/>
            </w:tcMar>
          </w:tcPr>
          <w:p>
            <w:pPr>
              <w:spacing w:before="0" w:after="0"/>
              <w:jc w:val="center"/>
            </w:pPr>
            <w:r>
              <w:rPr>
                <w:rFonts w:ascii="Calibri" w:hAnsi="Calibri"/>
                <w:color w:val="2D3748"/>
                <w:sz w:val="18"/>
              </w:rPr>
              <w:t>Subtotal</w:t>
            </w:r>
          </w:p>
        </w:tc>
        <w:tc>
          <w:tcPr>
            <w:tcW w:type="dxa" w:w="2016"/>
            <w:shd w:fill="FFFFFF"/>
            <w:tcMar>
              <w:top w:w="80" w:type="dxa"/>
              <w:bottom w:w="80" w:type="dxa"/>
              <w:left w:w="120" w:type="dxa"/>
              <w:right w:w="120" w:type="dxa"/>
            </w:tcMar>
          </w:tcPr>
          <w:p>
            <w:pPr>
              <w:spacing w:before="0" w:after="0"/>
              <w:jc w:val="center"/>
            </w:pPr>
            <w:r>
              <w:rPr>
                <w:rFonts w:ascii="Calibri" w:hAnsi="Calibri"/>
                <w:color w:val="2D3748"/>
                <w:sz w:val="18"/>
              </w:rPr>
              <w:t>Subtotal consolidado de canal/categoría (+0.0% YoY).</w:t>
            </w:r>
          </w:p>
        </w:tc>
      </w:tr>
      <w:tr>
        <w:tc>
          <w:tcPr>
            <w:tcW w:type="dxa" w:w="2160"/>
            <w:shd w:fill="F7FAFC"/>
            <w:tcMar>
              <w:top w:w="80" w:type="dxa"/>
              <w:bottom w:w="80" w:type="dxa"/>
              <w:left w:w="120" w:type="dxa"/>
              <w:right w:w="120" w:type="dxa"/>
            </w:tcMar>
          </w:tcPr>
          <w:p>
            <w:pPr>
              <w:spacing w:before="0" w:after="0"/>
              <w:jc w:val="left"/>
            </w:pPr>
            <w:r>
              <w:rPr>
                <w:rFonts w:ascii="Calibri" w:hAnsi="Calibri"/>
                <w:color w:val="2D3748"/>
                <w:sz w:val="18"/>
              </w:rPr>
              <w:t>Volumen de Compras con Tarjetas (Purchase Volume - PV)</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$72,500.0 M</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$0.0 M</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+0.0%</w:t>
            </w:r>
          </w:p>
        </w:tc>
        <w:tc>
          <w:tcPr>
            <w:tcW w:type="dxa" w:w="1296"/>
            <w:shd w:fill="F7FAFC"/>
            <w:tcMar>
              <w:top w:w="80" w:type="dxa"/>
              <w:bottom w:w="80" w:type="dxa"/>
              <w:left w:w="120" w:type="dxa"/>
              <w:right w:w="120" w:type="dxa"/>
            </w:tcMar>
          </w:tcPr>
          <w:p>
            <w:pPr>
              <w:spacing w:before="0" w:after="0"/>
              <w:jc w:val="center"/>
            </w:pPr>
            <w:r>
              <w:rPr>
                <w:rFonts w:ascii="Calibri" w:hAnsi="Calibri"/>
                <w:color w:val="2D3748"/>
                <w:sz w:val="18"/>
              </w:rPr>
              <w:t>48.1% Mix</w:t>
            </w:r>
          </w:p>
        </w:tc>
        <w:tc>
          <w:tcPr>
            <w:tcW w:type="dxa" w:w="2016"/>
            <w:shd w:fill="F7FAFC"/>
            <w:tcMar>
              <w:top w:w="80" w:type="dxa"/>
              <w:bottom w:w="80" w:type="dxa"/>
              <w:left w:w="120" w:type="dxa"/>
              <w:right w:w="120" w:type="dxa"/>
            </w:tcMar>
          </w:tcPr>
          <w:p>
            <w:pPr>
              <w:spacing w:before="0" w:after="0"/>
              <w:jc w:val="center"/>
            </w:pPr>
            <w:r>
              <w:rPr>
                <w:rFonts w:ascii="Calibri" w:hAnsi="Calibri"/>
                <w:color w:val="2D3748"/>
                <w:sz w:val="18"/>
              </w:rPr>
              <w:t>Desempeño estable (+0.0% YoY); consolidación en mercados y canales core.</w:t>
            </w:r>
          </w:p>
        </w:tc>
      </w:tr>
      <w:tr>
        <w:tc>
          <w:tcPr>
            <w:tcW w:type="dxa" w:w="2160"/>
            <w:shd w:fill="E2E8F0"/>
            <w:tcMar>
              <w:top w:w="80" w:type="dxa"/>
              <w:bottom w:w="80" w:type="dxa"/>
              <w:left w:w="120" w:type="dxa"/>
              <w:right w:w="120" w:type="dxa"/>
            </w:tcMar>
          </w:tcPr>
          <w:p>
            <w:pPr>
              <w:spacing w:before="0" w:after="0"/>
              <w:jc w:val="left"/>
            </w:pPr>
            <w:r>
              <w:rPr>
                <w:rFonts w:ascii="Calibri" w:hAnsi="Calibri"/>
                <w:b/>
                <w:color w:val="2D3748"/>
                <w:sz w:val="18"/>
              </w:rPr>
              <w:t>Depósitos Totales de Clientes (Customer Deposits)</w:t>
            </w:r>
          </w:p>
        </w:tc>
        <w:tc>
          <w:tcPr>
            <w:tcW w:type="dxa" w:w="1440"/>
            <w:shd w:fill="E2E8F0"/>
            <w:tcMar>
              <w:top w:w="80" w:type="dxa"/>
              <w:bottom w:w="80" w:type="dxa"/>
              <w:left w:w="120" w:type="dxa"/>
              <w:right w:w="120" w:type="dxa"/>
            </w:tcMar>
          </w:tcPr>
          <w:p>
            <w:pPr>
              <w:spacing w:before="0" w:after="0"/>
              <w:jc w:val="center"/>
            </w:pPr>
            <w:r>
              <w:rPr>
                <w:rFonts w:ascii="Calibri" w:hAnsi="Calibri"/>
                <w:b/>
                <w:color w:val="2D3748"/>
                <w:sz w:val="18"/>
              </w:rPr>
              <w:t>$45,328.4 M</w:t>
            </w:r>
          </w:p>
        </w:tc>
        <w:tc>
          <w:tcPr>
            <w:tcW w:type="dxa" w:w="1440"/>
            <w:shd w:fill="E2E8F0"/>
            <w:tcMar>
              <w:top w:w="80" w:type="dxa"/>
              <w:bottom w:w="80" w:type="dxa"/>
              <w:left w:w="120" w:type="dxa"/>
              <w:right w:w="120" w:type="dxa"/>
            </w:tcMar>
          </w:tcPr>
          <w:p>
            <w:pPr>
              <w:spacing w:before="0" w:after="0"/>
              <w:jc w:val="center"/>
            </w:pPr>
            <w:r>
              <w:rPr>
                <w:rFonts w:ascii="Calibri" w:hAnsi="Calibri"/>
                <w:b/>
                <w:color w:val="2D3748"/>
                <w:sz w:val="18"/>
              </w:rPr>
              <w:t>$0.0 M</w:t>
            </w:r>
          </w:p>
        </w:tc>
        <w:tc>
          <w:tcPr>
            <w:tcW w:type="dxa" w:w="1440"/>
            <w:shd w:fill="E2E8F0"/>
            <w:tcMar>
              <w:top w:w="80" w:type="dxa"/>
              <w:bottom w:w="80" w:type="dxa"/>
              <w:left w:w="120" w:type="dxa"/>
              <w:right w:w="120" w:type="dxa"/>
            </w:tcMar>
          </w:tcPr>
          <w:p>
            <w:pPr>
              <w:spacing w:before="0" w:after="0"/>
              <w:jc w:val="center"/>
            </w:pPr>
            <w:r>
              <w:rPr>
                <w:rFonts w:ascii="Calibri" w:hAnsi="Calibri"/>
                <w:b/>
                <w:color w:val="2D3748"/>
                <w:sz w:val="18"/>
              </w:rPr>
              <w:t>+0.0%</w:t>
            </w:r>
          </w:p>
        </w:tc>
        <w:tc>
          <w:tcPr>
            <w:tcW w:type="dxa" w:w="1296"/>
            <w:shd w:fill="E2E8F0"/>
            <w:tcMar>
              <w:top w:w="80" w:type="dxa"/>
              <w:bottom w:w="80" w:type="dxa"/>
              <w:left w:w="120" w:type="dxa"/>
              <w:right w:w="120" w:type="dxa"/>
            </w:tcMar>
          </w:tcPr>
          <w:p>
            <w:pPr>
              <w:spacing w:before="0" w:after="0"/>
              <w:jc w:val="center"/>
            </w:pPr>
            <w:r>
              <w:rPr>
                <w:rFonts w:ascii="Calibri" w:hAnsi="Calibri"/>
                <w:b/>
                <w:color w:val="2D3748"/>
                <w:sz w:val="18"/>
              </w:rPr>
              <w:t>30.1% Mix</w:t>
            </w:r>
          </w:p>
        </w:tc>
        <w:tc>
          <w:tcPr>
            <w:tcW w:type="dxa" w:w="2016"/>
            <w:shd w:fill="E2E8F0"/>
            <w:tcMar>
              <w:top w:w="80" w:type="dxa"/>
              <w:bottom w:w="80" w:type="dxa"/>
              <w:left w:w="120" w:type="dxa"/>
              <w:right w:w="120" w:type="dxa"/>
            </w:tcMar>
          </w:tcPr>
          <w:p>
            <w:pPr>
              <w:spacing w:before="0" w:after="0"/>
              <w:jc w:val="center"/>
            </w:pPr>
            <w:r>
              <w:rPr>
                <w:rFonts w:ascii="Calibri" w:hAnsi="Calibri"/>
                <w:b/>
                <w:color w:val="2D3748"/>
                <w:sz w:val="18"/>
              </w:rPr>
              <w:t>Desempeño estable (+0.0% YoY); consolidación en mercados y canales core.</w:t>
            </w:r>
          </w:p>
        </w:tc>
      </w:tr>
    </w:tbl>
    <w:p>
      <w:pPr>
        <w:spacing w:after="120"/>
      </w:pPr>
    </w:p>
    <w:p>
      <w:pPr>
        <w:keepNext/>
        <w:spacing w:before="200" w:after="80"/>
      </w:pPr>
      <w:r>
        <w:rPr>
          <w:rFonts w:ascii="Calibri" w:hAnsi="Calibri"/>
          <w:b/>
          <w:color w:val="4A5568"/>
          <w:sz w:val="22"/>
        </w:rPr>
        <w:t>Análisis Cualitativo de las Líneas de Negocio:</w:t>
      </w:r>
    </w:p>
    <w:p>
      <w:pPr>
        <w:spacing w:before="40" w:after="80" w:line="276" w:lineRule="auto"/>
      </w:pPr>
      <w:r>
        <w:rPr>
          <w:rFonts w:ascii="Calibri" w:hAnsi="Calibri"/>
          <w:b/>
          <w:color w:val="2D3748"/>
          <w:sz w:val="20"/>
        </w:rPr>
        <w:t xml:space="preserve">• Cartera de Tarjetas de Crédito (Credit Card Receivables) (14.3% de facturación): </w:t>
      </w:r>
      <w:r>
        <w:rPr>
          <w:rFonts w:ascii="Calibri" w:hAnsi="Calibri"/>
          <w:i w:val="0"/>
          <w:color w:val="2D3748"/>
          <w:sz w:val="20"/>
        </w:rPr>
        <w:t>Genera $21,494.4 M (+0.0% YoY), consolidándose como pilar operativo clave de Nu Holdings Ltd..</w:t>
      </w:r>
    </w:p>
    <w:p>
      <w:pPr>
        <w:spacing w:before="40" w:after="80" w:line="276" w:lineRule="auto"/>
      </w:pPr>
      <w:r>
        <w:rPr>
          <w:rFonts w:ascii="Calibri" w:hAnsi="Calibri"/>
          <w:b/>
          <w:color w:val="2D3748"/>
          <w:sz w:val="20"/>
        </w:rPr>
        <w:t xml:space="preserve">• Cartera de Préstamos Personales (Loans to Customers) (7.5% de facturación): </w:t>
      </w:r>
      <w:r>
        <w:rPr>
          <w:rFonts w:ascii="Calibri" w:hAnsi="Calibri"/>
          <w:i w:val="0"/>
          <w:color w:val="2D3748"/>
          <w:sz w:val="20"/>
        </w:rPr>
        <w:t>Genera $11,317.4 M (+0.0% YoY), consolidándose como pilar operativo clave de Nu Holdings Ltd..</w:t>
      </w:r>
    </w:p>
    <w:p>
      <w:pPr>
        <w:spacing w:before="40" w:after="80" w:line="276" w:lineRule="auto"/>
      </w:pPr>
      <w:r>
        <w:rPr>
          <w:rFonts w:ascii="Calibri" w:hAnsi="Calibri"/>
          <w:b/>
          <w:color w:val="2D3748"/>
          <w:sz w:val="20"/>
        </w:rPr>
        <w:t xml:space="preserve">• Volumen de Compras con Tarjetas (Purchase Volume - PV) (48.1% de facturación): </w:t>
      </w:r>
      <w:r>
        <w:rPr>
          <w:rFonts w:ascii="Calibri" w:hAnsi="Calibri"/>
          <w:i w:val="0"/>
          <w:color w:val="2D3748"/>
          <w:sz w:val="20"/>
        </w:rPr>
        <w:t>Genera $72,500.0 M (+0.0% YoY), consolidándose como pilar operativo clave de Nu Holdings Ltd..</w:t>
      </w:r>
    </w:p>
    <w:p>
      <w:pPr>
        <w:spacing w:before="40" w:after="80" w:line="276" w:lineRule="auto"/>
      </w:pPr>
      <w:r>
        <w:rPr>
          <w:rFonts w:ascii="Calibri" w:hAnsi="Calibri"/>
          <w:b/>
          <w:color w:val="2D3748"/>
          <w:sz w:val="20"/>
        </w:rPr>
        <w:t xml:space="preserve">• Depósitos Totales de Clientes (Customer Deposits) (30.1% de facturación): </w:t>
      </w:r>
      <w:r>
        <w:rPr>
          <w:rFonts w:ascii="Calibri" w:hAnsi="Calibri"/>
          <w:i w:val="0"/>
          <w:color w:val="2D3748"/>
          <w:sz w:val="20"/>
        </w:rPr>
        <w:t>Genera $45,328.4 M (+0.0% YoY), consolidándose como pilar operativo clave de Nu Holdings Ltd..</w:t>
      </w:r>
    </w:p>
    <w:p>
      <w:pPr>
        <w:keepNext/>
        <w:spacing w:before="320" w:after="120"/>
      </w:pPr>
      <w:r>
        <w:rPr>
          <w:rFonts w:ascii="Calibri" w:hAnsi="Calibri"/>
          <w:b/>
          <w:color w:val="1B365D"/>
          <w:sz w:val="26"/>
        </w:rPr>
        <w:t>3. Desglose Geográfico: Mercados y Países de Comercialización (Comparativa Interanual)</w:t>
      </w:r>
    </w:p>
    <w:p>
      <w:pPr>
        <w:spacing w:before="40" w:after="80" w:line="276" w:lineRule="auto"/>
      </w:pPr>
      <w:r>
        <w:rPr>
          <w:rFonts w:ascii="Calibri" w:hAnsi="Calibri"/>
          <w:i w:val="0"/>
          <w:color w:val="2D3748"/>
          <w:sz w:val="20"/>
        </w:rPr>
        <w:t>Nu Holdings Ltd. reporta sus ingresos desglosados en macro-regiones mundiales, reflejando una diversificación balanceada y expansión global:</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1632"/>
        <w:gridCol w:w="1632"/>
        <w:gridCol w:w="1632"/>
        <w:gridCol w:w="1632"/>
        <w:gridCol w:w="1632"/>
        <w:gridCol w:w="1632"/>
      </w:tblGrid>
      <w:tr>
        <w:tc>
          <w:tcPr>
            <w:tcW w:type="dxa" w:w="2160"/>
            <w:shd w:fill="1B365D"/>
            <w:tcMar>
              <w:top w:w="100" w:type="dxa"/>
              <w:bottom w:w="100" w:type="dxa"/>
              <w:left w:w="120" w:type="dxa"/>
              <w:right w:w="120" w:type="dxa"/>
            </w:tcMar>
          </w:tcPr>
          <w:p>
            <w:pPr>
              <w:spacing w:before="0" w:after="0"/>
              <w:jc w:val="left"/>
            </w:pPr>
            <w:r>
              <w:rPr>
                <w:rFonts w:ascii="Calibri" w:hAnsi="Calibri"/>
                <w:b/>
                <w:color w:val="FFFFFF"/>
                <w:sz w:val="19"/>
              </w:rPr>
              <w:t>Región Geográfica</w:t>
            </w:r>
          </w:p>
        </w:tc>
        <w:tc>
          <w:tcPr>
            <w:tcW w:type="dxa" w:w="1440"/>
            <w:shd w:fill="1B365D"/>
            <w:tcMar>
              <w:top w:w="100" w:type="dxa"/>
              <w:bottom w:w="100" w:type="dxa"/>
              <w:left w:w="120" w:type="dxa"/>
              <w:right w:w="120" w:type="dxa"/>
            </w:tcMar>
          </w:tcPr>
          <w:p>
            <w:pPr>
              <w:spacing w:before="0" w:after="0"/>
              <w:jc w:val="center"/>
            </w:pPr>
            <w:r>
              <w:rPr>
                <w:rFonts w:ascii="Calibri" w:hAnsi="Calibri"/>
                <w:b/>
                <w:color w:val="FFFFFF"/>
                <w:sz w:val="19"/>
              </w:rPr>
              <w:t>LTM ($M)</w:t>
            </w:r>
          </w:p>
        </w:tc>
        <w:tc>
          <w:tcPr>
            <w:tcW w:type="dxa" w:w="1440"/>
            <w:shd w:fill="1B365D"/>
            <w:tcMar>
              <w:top w:w="100" w:type="dxa"/>
              <w:bottom w:w="100" w:type="dxa"/>
              <w:left w:w="120" w:type="dxa"/>
              <w:right w:w="120" w:type="dxa"/>
            </w:tcMar>
          </w:tcPr>
          <w:p>
            <w:pPr>
              <w:spacing w:before="0" w:after="0"/>
              <w:jc w:val="center"/>
            </w:pPr>
            <w:r>
              <w:rPr>
                <w:rFonts w:ascii="Calibri" w:hAnsi="Calibri"/>
                <w:b/>
                <w:color w:val="FFFFFF"/>
                <w:sz w:val="19"/>
              </w:rPr>
              <w:t>FY2026 ($M)</w:t>
            </w:r>
          </w:p>
        </w:tc>
        <w:tc>
          <w:tcPr>
            <w:tcW w:type="dxa" w:w="1440"/>
            <w:shd w:fill="1B365D"/>
            <w:tcMar>
              <w:top w:w="100" w:type="dxa"/>
              <w:bottom w:w="100" w:type="dxa"/>
              <w:left w:w="120" w:type="dxa"/>
              <w:right w:w="120" w:type="dxa"/>
            </w:tcMar>
          </w:tcPr>
          <w:p>
            <w:pPr>
              <w:spacing w:before="0" w:after="0"/>
              <w:jc w:val="center"/>
            </w:pPr>
            <w:r>
              <w:rPr>
                <w:rFonts w:ascii="Calibri" w:hAnsi="Calibri"/>
                <w:b/>
                <w:color w:val="FFFFFF"/>
                <w:sz w:val="19"/>
              </w:rPr>
              <w:t>Variación YoY %</w:t>
            </w:r>
          </w:p>
        </w:tc>
        <w:tc>
          <w:tcPr>
            <w:tcW w:type="dxa" w:w="1296"/>
            <w:shd w:fill="1B365D"/>
            <w:tcMar>
              <w:top w:w="100" w:type="dxa"/>
              <w:bottom w:w="100" w:type="dxa"/>
              <w:left w:w="120" w:type="dxa"/>
              <w:right w:w="120" w:type="dxa"/>
            </w:tcMar>
          </w:tcPr>
          <w:p>
            <w:pPr>
              <w:spacing w:before="0" w:after="0"/>
              <w:jc w:val="center"/>
            </w:pPr>
            <w:r>
              <w:rPr>
                <w:rFonts w:ascii="Calibri" w:hAnsi="Calibri"/>
                <w:b/>
                <w:color w:val="FFFFFF"/>
                <w:sz w:val="19"/>
              </w:rPr>
              <w:t>Peso en Ventas %</w:t>
            </w:r>
          </w:p>
        </w:tc>
        <w:tc>
          <w:tcPr>
            <w:tcW w:type="dxa" w:w="2016"/>
            <w:shd w:fill="1B365D"/>
            <w:tcMar>
              <w:top w:w="100" w:type="dxa"/>
              <w:bottom w:w="100" w:type="dxa"/>
              <w:left w:w="120" w:type="dxa"/>
              <w:right w:w="120" w:type="dxa"/>
            </w:tcMar>
          </w:tcPr>
          <w:p>
            <w:pPr>
              <w:spacing w:before="0" w:after="0"/>
              <w:jc w:val="center"/>
            </w:pPr>
            <w:r>
              <w:rPr>
                <w:rFonts w:ascii="Calibri" w:hAnsi="Calibri"/>
                <w:b/>
                <w:color w:val="FFFFFF"/>
                <w:sz w:val="19"/>
              </w:rPr>
              <w:t>Dinámica del Mercado y Países Clave</w:t>
            </w:r>
          </w:p>
        </w:tc>
      </w:tr>
      <w:tr>
        <w:tc>
          <w:tcPr>
            <w:tcW w:type="dxa" w:w="2160"/>
            <w:shd w:fill="FFFFFF"/>
            <w:tcMar>
              <w:top w:w="80" w:type="dxa"/>
              <w:bottom w:w="80" w:type="dxa"/>
              <w:left w:w="120" w:type="dxa"/>
              <w:right w:w="120" w:type="dxa"/>
            </w:tcMar>
          </w:tcPr>
          <w:p>
            <w:pPr>
              <w:spacing w:before="0" w:after="0"/>
              <w:jc w:val="left"/>
            </w:pPr>
            <w:r>
              <w:rPr>
                <w:rFonts w:ascii="Calibri" w:hAnsi="Calibri"/>
                <w:color w:val="2D3748"/>
                <w:sz w:val="18"/>
              </w:rPr>
              <w:t>Brasil (Nu Pagamentos - Depósitos Totales)</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$36,128.4 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$0.0 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+0.0%</w:t>
            </w:r>
          </w:p>
        </w:tc>
        <w:tc>
          <w:tcPr>
            <w:tcW w:type="dxa" w:w="1296"/>
            <w:shd w:fill="FFFFFF"/>
            <w:tcMar>
              <w:top w:w="80" w:type="dxa"/>
              <w:bottom w:w="80" w:type="dxa"/>
              <w:left w:w="120" w:type="dxa"/>
              <w:right w:w="120" w:type="dxa"/>
            </w:tcMar>
          </w:tcPr>
          <w:p>
            <w:pPr>
              <w:spacing w:before="0" w:after="0"/>
              <w:jc w:val="center"/>
            </w:pPr>
            <w:r>
              <w:rPr>
                <w:rFonts w:ascii="Calibri" w:hAnsi="Calibri"/>
                <w:color w:val="2D3748"/>
                <w:sz w:val="18"/>
              </w:rPr>
              <w:t>79.7%</w:t>
            </w:r>
          </w:p>
        </w:tc>
        <w:tc>
          <w:tcPr>
            <w:tcW w:type="dxa" w:w="2016"/>
            <w:shd w:fill="FFFFFF"/>
            <w:tcMar>
              <w:top w:w="80" w:type="dxa"/>
              <w:bottom w:w="80" w:type="dxa"/>
              <w:left w:w="120" w:type="dxa"/>
              <w:right w:w="120" w:type="dxa"/>
            </w:tcMar>
          </w:tcPr>
          <w:p>
            <w:pPr>
              <w:spacing w:before="0" w:after="0"/>
              <w:jc w:val="center"/>
            </w:pPr>
            <w:r>
              <w:rPr>
                <w:rFonts w:ascii="Calibri" w:hAnsi="Calibri"/>
                <w:color w:val="2D3748"/>
                <w:sz w:val="18"/>
              </w:rPr>
              <w:t>Mercado en ajuste (+0.0% YoY); presión macroeconómica o vientos cambiarios (FX).</w:t>
            </w:r>
          </w:p>
        </w:tc>
      </w:tr>
      <w:tr>
        <w:tc>
          <w:tcPr>
            <w:tcW w:type="dxa" w:w="2160"/>
            <w:shd w:fill="F7FAFC"/>
            <w:tcMar>
              <w:top w:w="80" w:type="dxa"/>
              <w:bottom w:w="80" w:type="dxa"/>
              <w:left w:w="120" w:type="dxa"/>
              <w:right w:w="120" w:type="dxa"/>
            </w:tcMar>
          </w:tcPr>
          <w:p>
            <w:pPr>
              <w:spacing w:before="0" w:after="0"/>
              <w:jc w:val="left"/>
            </w:pPr>
            <w:r>
              <w:rPr>
                <w:rFonts w:ascii="Calibri" w:hAnsi="Calibri"/>
                <w:color w:val="2D3748"/>
                <w:sz w:val="18"/>
              </w:rPr>
              <w:t>México (Nu México - Depósitos Totales)</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$6,400.0 M</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$0.0 M</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+0.0%</w:t>
            </w:r>
          </w:p>
        </w:tc>
        <w:tc>
          <w:tcPr>
            <w:tcW w:type="dxa" w:w="1296"/>
            <w:shd w:fill="F7FAFC"/>
            <w:tcMar>
              <w:top w:w="80" w:type="dxa"/>
              <w:bottom w:w="80" w:type="dxa"/>
              <w:left w:w="120" w:type="dxa"/>
              <w:right w:w="120" w:type="dxa"/>
            </w:tcMar>
          </w:tcPr>
          <w:p>
            <w:pPr>
              <w:spacing w:before="0" w:after="0"/>
              <w:jc w:val="center"/>
            </w:pPr>
            <w:r>
              <w:rPr>
                <w:rFonts w:ascii="Calibri" w:hAnsi="Calibri"/>
                <w:color w:val="2D3748"/>
                <w:sz w:val="18"/>
              </w:rPr>
              <w:t>14.1%</w:t>
            </w:r>
          </w:p>
        </w:tc>
        <w:tc>
          <w:tcPr>
            <w:tcW w:type="dxa" w:w="2016"/>
            <w:shd w:fill="F7FAFC"/>
            <w:tcMar>
              <w:top w:w="80" w:type="dxa"/>
              <w:bottom w:w="80" w:type="dxa"/>
              <w:left w:w="120" w:type="dxa"/>
              <w:right w:w="120" w:type="dxa"/>
            </w:tcMar>
          </w:tcPr>
          <w:p>
            <w:pPr>
              <w:spacing w:before="0" w:after="0"/>
              <w:jc w:val="center"/>
            </w:pPr>
            <w:r>
              <w:rPr>
                <w:rFonts w:ascii="Calibri" w:hAnsi="Calibri"/>
                <w:color w:val="2D3748"/>
                <w:sz w:val="18"/>
              </w:rPr>
              <w:t>Mercado en ajuste (+0.0% YoY); presión macroeconómica o vientos cambiarios (FX).</w:t>
            </w:r>
          </w:p>
        </w:tc>
      </w:tr>
      <w:tr>
        <w:tc>
          <w:tcPr>
            <w:tcW w:type="dxa" w:w="2160"/>
            <w:shd w:fill="FFFFFF"/>
            <w:tcMar>
              <w:top w:w="80" w:type="dxa"/>
              <w:bottom w:w="80" w:type="dxa"/>
              <w:left w:w="120" w:type="dxa"/>
              <w:right w:w="120" w:type="dxa"/>
            </w:tcMar>
          </w:tcPr>
          <w:p>
            <w:pPr>
              <w:spacing w:before="0" w:after="0"/>
              <w:jc w:val="left"/>
            </w:pPr>
            <w:r>
              <w:rPr>
                <w:rFonts w:ascii="Calibri" w:hAnsi="Calibri"/>
                <w:color w:val="2D3748"/>
                <w:sz w:val="18"/>
              </w:rPr>
              <w:t>Colombia (Nu Colombia - Depósitos Totales)</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$2,800.0 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$0.0 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+0.0%</w:t>
            </w:r>
          </w:p>
        </w:tc>
        <w:tc>
          <w:tcPr>
            <w:tcW w:type="dxa" w:w="1296"/>
            <w:shd w:fill="FFFFFF"/>
            <w:tcMar>
              <w:top w:w="80" w:type="dxa"/>
              <w:bottom w:w="80" w:type="dxa"/>
              <w:left w:w="120" w:type="dxa"/>
              <w:right w:w="120" w:type="dxa"/>
            </w:tcMar>
          </w:tcPr>
          <w:p>
            <w:pPr>
              <w:spacing w:before="0" w:after="0"/>
              <w:jc w:val="center"/>
            </w:pPr>
            <w:r>
              <w:rPr>
                <w:rFonts w:ascii="Calibri" w:hAnsi="Calibri"/>
                <w:color w:val="2D3748"/>
                <w:sz w:val="18"/>
              </w:rPr>
              <w:t>6.2%</w:t>
            </w:r>
          </w:p>
        </w:tc>
        <w:tc>
          <w:tcPr>
            <w:tcW w:type="dxa" w:w="2016"/>
            <w:shd w:fill="FFFFFF"/>
            <w:tcMar>
              <w:top w:w="80" w:type="dxa"/>
              <w:bottom w:w="80" w:type="dxa"/>
              <w:left w:w="120" w:type="dxa"/>
              <w:right w:w="120" w:type="dxa"/>
            </w:tcMar>
          </w:tcPr>
          <w:p>
            <w:pPr>
              <w:spacing w:before="0" w:after="0"/>
              <w:jc w:val="center"/>
            </w:pPr>
            <w:r>
              <w:rPr>
                <w:rFonts w:ascii="Calibri" w:hAnsi="Calibri"/>
                <w:color w:val="2D3748"/>
                <w:sz w:val="18"/>
              </w:rPr>
              <w:t>Mercado en ajuste (+0.0% YoY); presión macroeconómica o vientos cambiarios (FX).</w:t>
            </w:r>
          </w:p>
        </w:tc>
      </w:tr>
      <w:tr>
        <w:tc>
          <w:tcPr>
            <w:tcW w:type="dxa" w:w="2160"/>
            <w:shd w:fill="E2E8F0"/>
            <w:tcMar>
              <w:top w:w="80" w:type="dxa"/>
              <w:bottom w:w="80" w:type="dxa"/>
              <w:left w:w="120" w:type="dxa"/>
              <w:right w:w="120" w:type="dxa"/>
            </w:tcMar>
          </w:tcPr>
          <w:p>
            <w:pPr>
              <w:spacing w:before="0" w:after="0"/>
              <w:jc w:val="left"/>
            </w:pPr>
            <w:r>
              <w:rPr>
                <w:rFonts w:ascii="Calibri" w:hAnsi="Calibri"/>
                <w:b/>
                <w:color w:val="2D3748"/>
                <w:sz w:val="18"/>
              </w:rPr>
              <w:t>(=) Total Depósitos Internacionales LatAm</w:t>
            </w:r>
          </w:p>
        </w:tc>
        <w:tc>
          <w:tcPr>
            <w:tcW w:type="dxa" w:w="1440"/>
            <w:shd w:fill="E2E8F0"/>
            <w:tcMar>
              <w:top w:w="80" w:type="dxa"/>
              <w:bottom w:w="80" w:type="dxa"/>
              <w:left w:w="120" w:type="dxa"/>
              <w:right w:w="120" w:type="dxa"/>
            </w:tcMar>
          </w:tcPr>
          <w:p>
            <w:pPr>
              <w:spacing w:before="0" w:after="0"/>
              <w:jc w:val="center"/>
            </w:pPr>
            <w:r>
              <w:rPr>
                <w:rFonts w:ascii="Calibri" w:hAnsi="Calibri"/>
                <w:b/>
                <w:color w:val="2D3748"/>
                <w:sz w:val="18"/>
              </w:rPr>
              <w:t>$45,328.4 M</w:t>
            </w:r>
          </w:p>
        </w:tc>
        <w:tc>
          <w:tcPr>
            <w:tcW w:type="dxa" w:w="1440"/>
            <w:shd w:fill="E2E8F0"/>
            <w:tcMar>
              <w:top w:w="80" w:type="dxa"/>
              <w:bottom w:w="80" w:type="dxa"/>
              <w:left w:w="120" w:type="dxa"/>
              <w:right w:w="120" w:type="dxa"/>
            </w:tcMar>
          </w:tcPr>
          <w:p>
            <w:pPr>
              <w:spacing w:before="0" w:after="0"/>
              <w:jc w:val="center"/>
            </w:pPr>
            <w:r>
              <w:rPr>
                <w:rFonts w:ascii="Calibri" w:hAnsi="Calibri"/>
                <w:b/>
                <w:color w:val="2D3748"/>
                <w:sz w:val="18"/>
              </w:rPr>
              <w:t>$0.0 M</w:t>
            </w:r>
          </w:p>
        </w:tc>
        <w:tc>
          <w:tcPr>
            <w:tcW w:type="dxa" w:w="1440"/>
            <w:shd w:fill="E2E8F0"/>
            <w:tcMar>
              <w:top w:w="80" w:type="dxa"/>
              <w:bottom w:w="80" w:type="dxa"/>
              <w:left w:w="120" w:type="dxa"/>
              <w:right w:w="120" w:type="dxa"/>
            </w:tcMar>
          </w:tcPr>
          <w:p>
            <w:pPr>
              <w:spacing w:before="0" w:after="0"/>
              <w:jc w:val="center"/>
            </w:pPr>
            <w:r>
              <w:rPr>
                <w:rFonts w:ascii="Calibri" w:hAnsi="Calibri"/>
                <w:b/>
                <w:color w:val="2D3748"/>
                <w:sz w:val="18"/>
              </w:rPr>
              <w:t>+0.0%</w:t>
            </w:r>
          </w:p>
        </w:tc>
        <w:tc>
          <w:tcPr>
            <w:tcW w:type="dxa" w:w="1296"/>
            <w:shd w:fill="E2E8F0"/>
            <w:tcMar>
              <w:top w:w="80" w:type="dxa"/>
              <w:bottom w:w="80" w:type="dxa"/>
              <w:left w:w="120" w:type="dxa"/>
              <w:right w:w="120" w:type="dxa"/>
            </w:tcMar>
          </w:tcPr>
          <w:p>
            <w:pPr>
              <w:spacing w:before="0" w:after="0"/>
              <w:jc w:val="center"/>
            </w:pPr>
            <w:r>
              <w:rPr>
                <w:rFonts w:ascii="Calibri" w:hAnsi="Calibri"/>
                <w:b/>
                <w:color w:val="2D3748"/>
                <w:sz w:val="18"/>
              </w:rPr>
              <w:t>Subtotal</w:t>
            </w:r>
          </w:p>
        </w:tc>
        <w:tc>
          <w:tcPr>
            <w:tcW w:type="dxa" w:w="2016"/>
            <w:shd w:fill="E2E8F0"/>
            <w:tcMar>
              <w:top w:w="80" w:type="dxa"/>
              <w:bottom w:w="80" w:type="dxa"/>
              <w:left w:w="120" w:type="dxa"/>
              <w:right w:w="120" w:type="dxa"/>
            </w:tcMar>
          </w:tcPr>
          <w:p>
            <w:pPr>
              <w:spacing w:before="0" w:after="0"/>
              <w:jc w:val="center"/>
            </w:pPr>
            <w:r>
              <w:rPr>
                <w:rFonts w:ascii="Calibri" w:hAnsi="Calibri"/>
                <w:b/>
                <w:color w:val="2D3748"/>
                <w:sz w:val="18"/>
              </w:rPr>
              <w:t>Subtotal consolidado de región (+0.0% YoY).</w:t>
            </w:r>
          </w:p>
        </w:tc>
      </w:tr>
    </w:tbl>
    <w:p>
      <w:pPr>
        <w:spacing w:after="120"/>
      </w:pPr>
    </w:p>
    <w:p>
      <w:pPr>
        <w:keepNext/>
        <w:spacing w:before="200" w:after="80"/>
      </w:pPr>
      <w:r>
        <w:rPr>
          <w:rFonts w:ascii="Calibri" w:hAnsi="Calibri"/>
          <w:b/>
          <w:color w:val="4A5568"/>
          <w:sz w:val="22"/>
        </w:rPr>
        <w:t>Conclusión sobre Exposición Geográfica y Riesgo Cambiario (FX):</w:t>
      </w:r>
    </w:p>
    <w:p>
      <w:pPr>
        <w:spacing w:before="40" w:after="80" w:line="276" w:lineRule="auto"/>
      </w:pPr>
      <w:r>
        <w:rPr>
          <w:rFonts w:ascii="Calibri" w:hAnsi="Calibri"/>
          <w:b/>
          <w:color w:val="2D3748"/>
          <w:sz w:val="20"/>
        </w:rPr>
        <w:t xml:space="preserve">• Brasil como Bastión Altamente Rentable (82.5% de los ingresos): </w:t>
      </w:r>
      <w:r>
        <w:rPr>
          <w:rFonts w:ascii="Calibri" w:hAnsi="Calibri"/>
          <w:i w:val="0"/>
          <w:color w:val="2D3748"/>
          <w:sz w:val="20"/>
        </w:rPr>
        <w:t>Base madura con más de 95 millones de clientes, donde Nubank genera retornos superiores al 30% sobre el capital y ya capta a más del 55% de la población adulta del país.</w:t>
      </w:r>
    </w:p>
    <w:p>
      <w:pPr>
        <w:spacing w:before="40" w:after="80" w:line="276" w:lineRule="auto"/>
      </w:pPr>
      <w:r>
        <w:rPr>
          <w:rFonts w:ascii="Calibri" w:hAnsi="Calibri"/>
          <w:b/>
          <w:color w:val="2D3748"/>
          <w:sz w:val="20"/>
        </w:rPr>
        <w:t xml:space="preserve">• México como Vector de Hipercrecimiento (14.2% de los ingresos): </w:t>
      </w:r>
      <w:r>
        <w:rPr>
          <w:rFonts w:ascii="Calibri" w:hAnsi="Calibri"/>
          <w:i w:val="0"/>
          <w:color w:val="2D3748"/>
          <w:sz w:val="20"/>
        </w:rPr>
        <w:t>Superó los 8 millones de clientes tras el éxito rotundo de Cuenta Nu, acelerando la captación de depósitos para financiar una cartera de crédito en explosión.</w:t>
      </w:r>
    </w:p>
    <w:p>
      <w:pPr>
        <w:spacing w:before="40" w:after="80" w:line="276" w:lineRule="auto"/>
      </w:pPr>
      <w:r>
        <w:rPr>
          <w:rFonts w:ascii="Calibri" w:hAnsi="Calibri"/>
          <w:b/>
          <w:color w:val="2D3748"/>
          <w:sz w:val="20"/>
        </w:rPr>
        <w:t xml:space="preserve">• Colombia en Fase de Expansión Inicial (3.3% de los ingresos): </w:t>
      </w:r>
      <w:r>
        <w:rPr>
          <w:rFonts w:ascii="Calibri" w:hAnsi="Calibri"/>
          <w:i w:val="0"/>
          <w:color w:val="2D3748"/>
          <w:sz w:val="20"/>
        </w:rPr>
        <w:t>Lanzamiento de cuentas de ahorro con rápida tracción de depósitos, sentando las bases para replicar el modelo de escala de Brasil.</w:t>
      </w:r>
    </w:p>
    <w:p>
      <w:pPr>
        <w:keepNext/>
        <w:spacing w:before="320" w:after="120"/>
      </w:pPr>
      <w:r>
        <w:rPr>
          <w:rFonts w:ascii="Calibri" w:hAnsi="Calibri"/>
          <w:b/>
          <w:color w:val="1B365D"/>
          <w:sz w:val="26"/>
        </w:rPr>
        <w:t>4. Resumen Ejecutivo y Cuadro de Mando Financiero (Scorecard)</w:t>
      </w:r>
    </w:p>
    <w:p>
      <w:pPr>
        <w:spacing w:before="40" w:after="80" w:line="276" w:lineRule="auto"/>
      </w:pPr>
      <w:r>
        <w:rPr>
          <w:rFonts w:ascii="Calibri" w:hAnsi="Calibri"/>
          <w:i w:val="0"/>
          <w:color w:val="2D3748"/>
          <w:sz w:val="20"/>
        </w:rPr>
        <w:t>Nu Holdings Ltd. ha presentado resultados financieros históricos en el segundo trimestre de 2026 (Q2 2026, cerrado el 30 de junio de 2026) y en los últimos 12 meses móviles (LTM), marcando ingresos trimestrales superiores a los $3,700M en NII y un beneficio neto récord, respaldados por una base de más de 105 millones de clientes activos:</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1958"/>
        <w:gridCol w:w="1958"/>
        <w:gridCol w:w="1958"/>
        <w:gridCol w:w="1958"/>
        <w:gridCol w:w="1958"/>
      </w:tblGrid>
      <w:tr>
        <w:tc>
          <w:tcPr>
            <w:tcW w:type="dxa" w:w="2304"/>
            <w:shd w:fill="1B365D"/>
            <w:tcMar>
              <w:top w:w="100" w:type="dxa"/>
              <w:bottom w:w="100" w:type="dxa"/>
              <w:left w:w="120" w:type="dxa"/>
              <w:right w:w="120" w:type="dxa"/>
            </w:tcMar>
          </w:tcPr>
          <w:p>
            <w:pPr>
              <w:spacing w:before="0" w:after="0"/>
              <w:jc w:val="left"/>
            </w:pPr>
            <w:r>
              <w:rPr>
                <w:rFonts w:ascii="Calibri" w:hAnsi="Calibri"/>
                <w:b/>
                <w:color w:val="FFFFFF"/>
                <w:sz w:val="19"/>
              </w:rPr>
              <w:t>Métrica Financiera</w:t>
            </w:r>
          </w:p>
        </w:tc>
        <w:tc>
          <w:tcPr>
            <w:tcW w:type="dxa" w:w="1584"/>
            <w:shd w:fill="1B365D"/>
            <w:tcMar>
              <w:top w:w="100" w:type="dxa"/>
              <w:bottom w:w="100" w:type="dxa"/>
              <w:left w:w="120" w:type="dxa"/>
              <w:right w:w="120" w:type="dxa"/>
            </w:tcMar>
          </w:tcPr>
          <w:p>
            <w:pPr>
              <w:spacing w:before="0" w:after="0"/>
              <w:jc w:val="center"/>
            </w:pPr>
            <w:r>
              <w:rPr>
                <w:rFonts w:ascii="Calibri" w:hAnsi="Calibri"/>
                <w:b/>
                <w:color w:val="FFFFFF"/>
                <w:sz w:val="19"/>
              </w:rPr>
              <w:t>LTM (Móvil)</w:t>
            </w:r>
          </w:p>
        </w:tc>
        <w:tc>
          <w:tcPr>
            <w:tcW w:type="dxa" w:w="1440"/>
            <w:shd w:fill="1B365D"/>
            <w:tcMar>
              <w:top w:w="100" w:type="dxa"/>
              <w:bottom w:w="100" w:type="dxa"/>
              <w:left w:w="120" w:type="dxa"/>
              <w:right w:w="120" w:type="dxa"/>
            </w:tcMar>
          </w:tcPr>
          <w:p>
            <w:pPr>
              <w:spacing w:before="0" w:after="0"/>
              <w:jc w:val="center"/>
            </w:pPr>
            <w:r>
              <w:rPr>
                <w:rFonts w:ascii="Calibri" w:hAnsi="Calibri"/>
                <w:b/>
                <w:color w:val="FFFFFF"/>
                <w:sz w:val="19"/>
              </w:rPr>
              <w:t>FY2024 (Cierre)</w:t>
            </w:r>
          </w:p>
        </w:tc>
        <w:tc>
          <w:tcPr>
            <w:tcW w:type="dxa" w:w="1440"/>
            <w:shd w:fill="1B365D"/>
            <w:tcMar>
              <w:top w:w="100" w:type="dxa"/>
              <w:bottom w:w="100" w:type="dxa"/>
              <w:left w:w="120" w:type="dxa"/>
              <w:right w:w="120" w:type="dxa"/>
            </w:tcMar>
          </w:tcPr>
          <w:p>
            <w:pPr>
              <w:spacing w:before="0" w:after="0"/>
              <w:jc w:val="center"/>
            </w:pPr>
            <w:r>
              <w:rPr>
                <w:rFonts w:ascii="Calibri" w:hAnsi="Calibri"/>
                <w:b/>
                <w:color w:val="FFFFFF"/>
                <w:sz w:val="19"/>
              </w:rPr>
              <w:t>FY2023 (Previo)</w:t>
            </w:r>
          </w:p>
        </w:tc>
        <w:tc>
          <w:tcPr>
            <w:tcW w:type="dxa" w:w="3024"/>
            <w:shd w:fill="1B365D"/>
            <w:tcMar>
              <w:top w:w="100" w:type="dxa"/>
              <w:bottom w:w="100" w:type="dxa"/>
              <w:left w:w="120" w:type="dxa"/>
              <w:right w:w="120" w:type="dxa"/>
            </w:tcMar>
          </w:tcPr>
          <w:p>
            <w:pPr>
              <w:spacing w:before="0" w:after="0"/>
              <w:jc w:val="center"/>
            </w:pPr>
            <w:r>
              <w:rPr>
                <w:rFonts w:ascii="Calibri" w:hAnsi="Calibri"/>
                <w:b/>
                <w:color w:val="FFFFFF"/>
                <w:sz w:val="19"/>
              </w:rPr>
              <w:t>Diagnóstico Fundamental y Salud Bancaria</w:t>
            </w:r>
          </w:p>
        </w:tc>
      </w:tr>
      <w:tr>
        <w:tc>
          <w:tcPr>
            <w:tcW w:type="dxa" w:w="2304"/>
            <w:shd w:fill="FFFFFF"/>
            <w:tcMar>
              <w:top w:w="80" w:type="dxa"/>
              <w:bottom w:w="80" w:type="dxa"/>
              <w:left w:w="120" w:type="dxa"/>
              <w:right w:w="120" w:type="dxa"/>
            </w:tcMar>
          </w:tcPr>
          <w:p>
            <w:pPr>
              <w:spacing w:before="0" w:after="0"/>
              <w:jc w:val="left"/>
            </w:pPr>
            <w:r>
              <w:rPr>
                <w:rFonts w:ascii="Calibri" w:hAnsi="Calibri"/>
                <w:color w:val="2D3748"/>
                <w:sz w:val="18"/>
              </w:rPr>
              <w:t>Ingresos Totales (Revenues)</w:t>
            </w:r>
          </w:p>
        </w:tc>
        <w:tc>
          <w:tcPr>
            <w:tcW w:type="dxa" w:w="1584"/>
            <w:shd w:fill="FFFFFF"/>
            <w:tcMar>
              <w:top w:w="80" w:type="dxa"/>
              <w:bottom w:w="80" w:type="dxa"/>
              <w:left w:w="120" w:type="dxa"/>
              <w:right w:w="120" w:type="dxa"/>
            </w:tcMar>
          </w:tcPr>
          <w:p>
            <w:pPr>
              <w:spacing w:before="0" w:after="0"/>
              <w:jc w:val="center"/>
            </w:pPr>
            <w:r>
              <w:rPr>
                <w:rFonts w:ascii="Calibri" w:hAnsi="Calibri"/>
                <w:color w:val="2D3748"/>
                <w:sz w:val="18"/>
              </w:rPr>
              <w:t>$11,517.1 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$11,517.1 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$8,029.0 M</w:t>
            </w:r>
          </w:p>
        </w:tc>
        <w:tc>
          <w:tcPr>
            <w:tcW w:type="dxa" w:w="3024"/>
            <w:shd w:fill="FFFFFF"/>
            <w:tcMar>
              <w:top w:w="80" w:type="dxa"/>
              <w:bottom w:w="80" w:type="dxa"/>
              <w:left w:w="120" w:type="dxa"/>
              <w:right w:w="120" w:type="dxa"/>
            </w:tcMar>
          </w:tcPr>
          <w:p>
            <w:pPr>
              <w:spacing w:before="0" w:after="0"/>
              <w:jc w:val="center"/>
            </w:pPr>
            <w:r>
              <w:rPr>
                <w:rFonts w:ascii="Calibri" w:hAnsi="Calibri"/>
                <w:color w:val="2D3748"/>
                <w:sz w:val="18"/>
              </w:rPr>
              <w:t>Crecimiento interanual del +43.4% impulsado por expansión de crédito y depósitos.</w:t>
            </w:r>
          </w:p>
        </w:tc>
      </w:tr>
      <w:tr>
        <w:tc>
          <w:tcPr>
            <w:tcW w:type="dxa" w:w="2304"/>
            <w:shd w:fill="F7FAFC"/>
            <w:tcMar>
              <w:top w:w="80" w:type="dxa"/>
              <w:bottom w:w="80" w:type="dxa"/>
              <w:left w:w="120" w:type="dxa"/>
              <w:right w:w="120" w:type="dxa"/>
            </w:tcMar>
          </w:tcPr>
          <w:p>
            <w:pPr>
              <w:spacing w:before="0" w:after="0"/>
              <w:jc w:val="left"/>
            </w:pPr>
            <w:r>
              <w:rPr>
                <w:rFonts w:ascii="Calibri" w:hAnsi="Calibri"/>
                <w:color w:val="2D3748"/>
                <w:sz w:val="18"/>
              </w:rPr>
              <w:t>Margen de Interés Neto (NII)</w:t>
            </w:r>
          </w:p>
        </w:tc>
        <w:tc>
          <w:tcPr>
            <w:tcW w:type="dxa" w:w="1584"/>
            <w:shd w:fill="F7FAFC"/>
            <w:tcMar>
              <w:top w:w="80" w:type="dxa"/>
              <w:bottom w:w="80" w:type="dxa"/>
              <w:left w:w="120" w:type="dxa"/>
              <w:right w:w="120" w:type="dxa"/>
            </w:tcMar>
          </w:tcPr>
          <w:p>
            <w:pPr>
              <w:spacing w:before="0" w:after="0"/>
              <w:jc w:val="center"/>
            </w:pPr>
            <w:r>
              <w:rPr>
                <w:rFonts w:ascii="Calibri" w:hAnsi="Calibri"/>
                <w:color w:val="2D3748"/>
                <w:sz w:val="18"/>
              </w:rPr>
              <w:t>$5,252.9 M</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$5,252.9 M</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$3,490.9 M</w:t>
            </w:r>
          </w:p>
        </w:tc>
        <w:tc>
          <w:tcPr>
            <w:tcW w:type="dxa" w:w="3024"/>
            <w:shd w:fill="F7FAFC"/>
            <w:tcMar>
              <w:top w:w="80" w:type="dxa"/>
              <w:bottom w:w="80" w:type="dxa"/>
              <w:left w:w="120" w:type="dxa"/>
              <w:right w:w="120" w:type="dxa"/>
            </w:tcMar>
          </w:tcPr>
          <w:p>
            <w:pPr>
              <w:spacing w:before="0" w:after="0"/>
              <w:jc w:val="center"/>
            </w:pPr>
            <w:r>
              <w:rPr>
                <w:rFonts w:ascii="Calibri" w:hAnsi="Calibri"/>
                <w:color w:val="2D3748"/>
                <w:sz w:val="18"/>
              </w:rPr>
              <w:t>Margen bruto de intermediación en expansión récord hasta el 18.2%.</w:t>
            </w:r>
          </w:p>
        </w:tc>
      </w:tr>
      <w:tr>
        <w:tc>
          <w:tcPr>
            <w:tcW w:type="dxa" w:w="2304"/>
            <w:shd w:fill="FFFFFF"/>
            <w:tcMar>
              <w:top w:w="80" w:type="dxa"/>
              <w:bottom w:w="80" w:type="dxa"/>
              <w:left w:w="120" w:type="dxa"/>
              <w:right w:w="120" w:type="dxa"/>
            </w:tcMar>
          </w:tcPr>
          <w:p>
            <w:pPr>
              <w:spacing w:before="0" w:after="0"/>
              <w:jc w:val="left"/>
            </w:pPr>
            <w:r>
              <w:rPr>
                <w:rFonts w:ascii="Calibri" w:hAnsi="Calibri"/>
                <w:color w:val="2D3748"/>
                <w:sz w:val="18"/>
              </w:rPr>
              <w:t>Beneficio Neto ($M)</w:t>
            </w:r>
          </w:p>
        </w:tc>
        <w:tc>
          <w:tcPr>
            <w:tcW w:type="dxa" w:w="1584"/>
            <w:shd w:fill="FFFFFF"/>
            <w:tcMar>
              <w:top w:w="80" w:type="dxa"/>
              <w:bottom w:w="80" w:type="dxa"/>
              <w:left w:w="120" w:type="dxa"/>
              <w:right w:w="120" w:type="dxa"/>
            </w:tcMar>
          </w:tcPr>
          <w:p>
            <w:pPr>
              <w:spacing w:before="0" w:after="0"/>
              <w:jc w:val="center"/>
            </w:pPr>
            <w:r>
              <w:rPr>
                <w:rFonts w:ascii="Calibri" w:hAnsi="Calibri"/>
                <w:color w:val="2D3748"/>
                <w:sz w:val="18"/>
              </w:rPr>
              <w:t>$1,972.1 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$1,972.1 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$1,030.5 M</w:t>
            </w:r>
          </w:p>
        </w:tc>
        <w:tc>
          <w:tcPr>
            <w:tcW w:type="dxa" w:w="3024"/>
            <w:shd w:fill="FFFFFF"/>
            <w:tcMar>
              <w:top w:w="80" w:type="dxa"/>
              <w:bottom w:w="80" w:type="dxa"/>
              <w:left w:w="120" w:type="dxa"/>
              <w:right w:w="120" w:type="dxa"/>
            </w:tcMar>
          </w:tcPr>
          <w:p>
            <w:pPr>
              <w:spacing w:before="0" w:after="0"/>
              <w:jc w:val="center"/>
            </w:pPr>
            <w:r>
              <w:rPr>
                <w:rFonts w:ascii="Calibri" w:hAnsi="Calibri"/>
                <w:color w:val="2D3748"/>
                <w:sz w:val="18"/>
              </w:rPr>
              <w:t>Casi duplicó sus utilidades netas (+91.4% YoY) con retornos de élite.</w:t>
            </w:r>
          </w:p>
        </w:tc>
      </w:tr>
      <w:tr>
        <w:tc>
          <w:tcPr>
            <w:tcW w:type="dxa" w:w="2304"/>
            <w:shd w:fill="F7FAFC"/>
            <w:tcMar>
              <w:top w:w="80" w:type="dxa"/>
              <w:bottom w:w="80" w:type="dxa"/>
              <w:left w:w="120" w:type="dxa"/>
              <w:right w:w="120" w:type="dxa"/>
            </w:tcMar>
          </w:tcPr>
          <w:p>
            <w:pPr>
              <w:spacing w:before="0" w:after="0"/>
              <w:jc w:val="left"/>
            </w:pPr>
            <w:r>
              <w:rPr>
                <w:rFonts w:ascii="Calibri" w:hAnsi="Calibri"/>
                <w:color w:val="2D3748"/>
                <w:sz w:val="18"/>
              </w:rPr>
              <w:t>Flujo de Caja Operativo (CFO)</w:t>
            </w:r>
          </w:p>
        </w:tc>
        <w:tc>
          <w:tcPr>
            <w:tcW w:type="dxa" w:w="1584"/>
            <w:shd w:fill="F7FAFC"/>
            <w:tcMar>
              <w:top w:w="80" w:type="dxa"/>
              <w:bottom w:w="80" w:type="dxa"/>
              <w:left w:w="120" w:type="dxa"/>
              <w:right w:w="120" w:type="dxa"/>
            </w:tcMar>
          </w:tcPr>
          <w:p>
            <w:pPr>
              <w:spacing w:before="0" w:after="0"/>
              <w:jc w:val="center"/>
            </w:pPr>
            <w:r>
              <w:rPr>
                <w:rFonts w:ascii="Calibri" w:hAnsi="Calibri"/>
                <w:color w:val="2D3748"/>
                <w:sz w:val="18"/>
              </w:rPr>
              <w:t>$755.6 M</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$755.6 M</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-$2,924.3 M</w:t>
            </w:r>
          </w:p>
        </w:tc>
        <w:tc>
          <w:tcPr>
            <w:tcW w:type="dxa" w:w="3024"/>
            <w:shd w:fill="F7FAFC"/>
            <w:tcMar>
              <w:top w:w="80" w:type="dxa"/>
              <w:bottom w:w="80" w:type="dxa"/>
              <w:left w:w="120" w:type="dxa"/>
              <w:right w:w="120" w:type="dxa"/>
            </w:tcMar>
          </w:tcPr>
          <w:p>
            <w:pPr>
              <w:spacing w:before="0" w:after="0"/>
              <w:jc w:val="center"/>
            </w:pPr>
            <w:r>
              <w:rPr>
                <w:rFonts w:ascii="Calibri" w:hAnsi="Calibri"/>
                <w:color w:val="2D3748"/>
                <w:sz w:val="18"/>
              </w:rPr>
              <w:t>Retorno a generación operativa positiva tras la estabilización de depósitos.</w:t>
            </w:r>
          </w:p>
        </w:tc>
      </w:tr>
      <w:tr>
        <w:tc>
          <w:tcPr>
            <w:tcW w:type="dxa" w:w="2304"/>
            <w:shd w:fill="FFFFFF"/>
            <w:tcMar>
              <w:top w:w="80" w:type="dxa"/>
              <w:bottom w:w="80" w:type="dxa"/>
              <w:left w:w="120" w:type="dxa"/>
              <w:right w:w="120" w:type="dxa"/>
            </w:tcMar>
          </w:tcPr>
          <w:p>
            <w:pPr>
              <w:spacing w:before="0" w:after="0"/>
              <w:jc w:val="left"/>
            </w:pPr>
            <w:r>
              <w:rPr>
                <w:rFonts w:ascii="Calibri" w:hAnsi="Calibri"/>
                <w:color w:val="2D3748"/>
                <w:sz w:val="18"/>
              </w:rPr>
              <w:t>Cartera Total de Crédito (Gross Loans)</w:t>
            </w:r>
          </w:p>
        </w:tc>
        <w:tc>
          <w:tcPr>
            <w:tcW w:type="dxa" w:w="1584"/>
            <w:shd w:fill="FFFFFF"/>
            <w:tcMar>
              <w:top w:w="80" w:type="dxa"/>
              <w:bottom w:w="80" w:type="dxa"/>
              <w:left w:w="120" w:type="dxa"/>
              <w:right w:w="120" w:type="dxa"/>
            </w:tcMar>
          </w:tcPr>
          <w:p>
            <w:pPr>
              <w:spacing w:before="0" w:after="0"/>
              <w:jc w:val="center"/>
            </w:pPr>
            <w:r>
              <w:rPr>
                <w:rFonts w:ascii="Calibri" w:hAnsi="Calibri"/>
                <w:color w:val="2D3748"/>
                <w:sz w:val="18"/>
              </w:rPr>
              <w:t>$30,400.0 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$21,500.0 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$15,400.0 M</w:t>
            </w:r>
          </w:p>
        </w:tc>
        <w:tc>
          <w:tcPr>
            <w:tcW w:type="dxa" w:w="3024"/>
            <w:shd w:fill="FFFFFF"/>
            <w:tcMar>
              <w:top w:w="80" w:type="dxa"/>
              <w:bottom w:w="80" w:type="dxa"/>
              <w:left w:w="120" w:type="dxa"/>
              <w:right w:w="120" w:type="dxa"/>
            </w:tcMar>
          </w:tcPr>
          <w:p>
            <w:pPr>
              <w:spacing w:before="0" w:after="0"/>
              <w:jc w:val="center"/>
            </w:pPr>
            <w:r>
              <w:rPr>
                <w:rFonts w:ascii="Calibri" w:hAnsi="Calibri"/>
                <w:color w:val="2D3748"/>
                <w:sz w:val="18"/>
              </w:rPr>
              <w:t>Crecimiento de +42% YoY manteniendo disciplina de riesgo en tarjetas.</w:t>
            </w:r>
          </w:p>
        </w:tc>
      </w:tr>
      <w:tr>
        <w:tc>
          <w:tcPr>
            <w:tcW w:type="dxa" w:w="2304"/>
            <w:shd w:fill="F7FAFC"/>
            <w:tcMar>
              <w:top w:w="80" w:type="dxa"/>
              <w:bottom w:w="80" w:type="dxa"/>
              <w:left w:w="120" w:type="dxa"/>
              <w:right w:w="120" w:type="dxa"/>
            </w:tcMar>
          </w:tcPr>
          <w:p>
            <w:pPr>
              <w:spacing w:before="0" w:after="0"/>
              <w:jc w:val="left"/>
            </w:pPr>
            <w:r>
              <w:rPr>
                <w:rFonts w:ascii="Calibri" w:hAnsi="Calibri"/>
                <w:color w:val="2D3748"/>
                <w:sz w:val="18"/>
              </w:rPr>
              <w:t>Total Depósitos de Clientes</w:t>
            </w:r>
          </w:p>
        </w:tc>
        <w:tc>
          <w:tcPr>
            <w:tcW w:type="dxa" w:w="1584"/>
            <w:shd w:fill="F7FAFC"/>
            <w:tcMar>
              <w:top w:w="80" w:type="dxa"/>
              <w:bottom w:w="80" w:type="dxa"/>
              <w:left w:w="120" w:type="dxa"/>
              <w:right w:w="120" w:type="dxa"/>
            </w:tcMar>
          </w:tcPr>
          <w:p>
            <w:pPr>
              <w:spacing w:before="0" w:after="0"/>
              <w:jc w:val="center"/>
            </w:pPr>
            <w:r>
              <w:rPr>
                <w:rFonts w:ascii="Calibri" w:hAnsi="Calibri"/>
                <w:color w:val="2D3748"/>
                <w:sz w:val="18"/>
              </w:rPr>
              <w:t>$36,600.0 M</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$26,000.0 M</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$18,400.0 M</w:t>
            </w:r>
          </w:p>
        </w:tc>
        <w:tc>
          <w:tcPr>
            <w:tcW w:type="dxa" w:w="3024"/>
            <w:shd w:fill="F7FAFC"/>
            <w:tcMar>
              <w:top w:w="80" w:type="dxa"/>
              <w:bottom w:w="80" w:type="dxa"/>
              <w:left w:w="120" w:type="dxa"/>
              <w:right w:w="120" w:type="dxa"/>
            </w:tcMar>
          </w:tcPr>
          <w:p>
            <w:pPr>
              <w:spacing w:before="0" w:after="0"/>
              <w:jc w:val="center"/>
            </w:pPr>
            <w:r>
              <w:rPr>
                <w:rFonts w:ascii="Calibri" w:hAnsi="Calibri"/>
                <w:color w:val="2D3748"/>
                <w:sz w:val="18"/>
              </w:rPr>
              <w:t>Fondeo minorista abundante (+41% YoY) que reduce el coste de capital.</w:t>
            </w:r>
          </w:p>
        </w:tc>
      </w:tr>
      <w:tr>
        <w:tc>
          <w:tcPr>
            <w:tcW w:type="dxa" w:w="2304"/>
            <w:shd w:fill="FFFFFF"/>
            <w:tcMar>
              <w:top w:w="80" w:type="dxa"/>
              <w:bottom w:w="80" w:type="dxa"/>
              <w:left w:w="120" w:type="dxa"/>
              <w:right w:w="120" w:type="dxa"/>
            </w:tcMar>
          </w:tcPr>
          <w:p>
            <w:pPr>
              <w:spacing w:before="0" w:after="0"/>
              <w:jc w:val="left"/>
            </w:pPr>
            <w:r>
              <w:rPr>
                <w:rFonts w:ascii="Calibri" w:hAnsi="Calibri"/>
                <w:color w:val="2D3748"/>
                <w:sz w:val="18"/>
              </w:rPr>
              <w:t>Ratio de Morosidad 15-90 días</w:t>
            </w:r>
          </w:p>
        </w:tc>
        <w:tc>
          <w:tcPr>
            <w:tcW w:type="dxa" w:w="1584"/>
            <w:shd w:fill="FFFFFF"/>
            <w:tcMar>
              <w:top w:w="80" w:type="dxa"/>
              <w:bottom w:w="80" w:type="dxa"/>
              <w:left w:w="120" w:type="dxa"/>
              <w:right w:w="120" w:type="dxa"/>
            </w:tcMar>
          </w:tcPr>
          <w:p>
            <w:pPr>
              <w:spacing w:before="0" w:after="0"/>
              <w:jc w:val="center"/>
            </w:pPr>
            <w:r>
              <w:rPr>
                <w:rFonts w:ascii="Calibri" w:hAnsi="Calibri"/>
                <w:color w:val="2D3748"/>
                <w:sz w:val="18"/>
              </w:rPr>
              <w:t>4.20%</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4.40%</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4.50%</w:t>
            </w:r>
          </w:p>
        </w:tc>
        <w:tc>
          <w:tcPr>
            <w:tcW w:type="dxa" w:w="3024"/>
            <w:shd w:fill="FFFFFF"/>
            <w:tcMar>
              <w:top w:w="80" w:type="dxa"/>
              <w:bottom w:w="80" w:type="dxa"/>
              <w:left w:w="120" w:type="dxa"/>
              <w:right w:w="120" w:type="dxa"/>
            </w:tcMar>
          </w:tcPr>
          <w:p>
            <w:pPr>
              <w:spacing w:before="0" w:after="0"/>
              <w:jc w:val="center"/>
            </w:pPr>
            <w:r>
              <w:rPr>
                <w:rFonts w:ascii="Calibri" w:hAnsi="Calibri"/>
                <w:color w:val="2D3748"/>
                <w:sz w:val="18"/>
              </w:rPr>
              <w:t>Mora temprana en descenso y alineada con la estacionalidad normal.</w:t>
            </w:r>
          </w:p>
        </w:tc>
      </w:tr>
      <w:tr>
        <w:tc>
          <w:tcPr>
            <w:tcW w:type="dxa" w:w="2304"/>
            <w:shd w:fill="F7FAFC"/>
            <w:tcMar>
              <w:top w:w="80" w:type="dxa"/>
              <w:bottom w:w="80" w:type="dxa"/>
              <w:left w:w="120" w:type="dxa"/>
              <w:right w:w="120" w:type="dxa"/>
            </w:tcMar>
          </w:tcPr>
          <w:p>
            <w:pPr>
              <w:spacing w:before="0" w:after="0"/>
              <w:jc w:val="left"/>
            </w:pPr>
            <w:r>
              <w:rPr>
                <w:rFonts w:ascii="Calibri" w:hAnsi="Calibri"/>
                <w:color w:val="2D3748"/>
                <w:sz w:val="18"/>
              </w:rPr>
              <w:t>Ratio de Morosidad &gt;90 días (NPL)</w:t>
            </w:r>
          </w:p>
        </w:tc>
        <w:tc>
          <w:tcPr>
            <w:tcW w:type="dxa" w:w="1584"/>
            <w:shd w:fill="F7FAFC"/>
            <w:tcMar>
              <w:top w:w="80" w:type="dxa"/>
              <w:bottom w:w="80" w:type="dxa"/>
              <w:left w:w="120" w:type="dxa"/>
              <w:right w:w="120" w:type="dxa"/>
            </w:tcMar>
          </w:tcPr>
          <w:p>
            <w:pPr>
              <w:spacing w:before="0" w:after="0"/>
              <w:jc w:val="center"/>
            </w:pPr>
            <w:r>
              <w:rPr>
                <w:rFonts w:ascii="Calibri" w:hAnsi="Calibri"/>
                <w:color w:val="2D3748"/>
                <w:sz w:val="18"/>
              </w:rPr>
              <w:t>6.80%</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6.70%</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6.10%</w:t>
            </w:r>
          </w:p>
        </w:tc>
        <w:tc>
          <w:tcPr>
            <w:tcW w:type="dxa" w:w="3024"/>
            <w:shd w:fill="F7FAFC"/>
            <w:tcMar>
              <w:top w:w="80" w:type="dxa"/>
              <w:bottom w:w="80" w:type="dxa"/>
              <w:left w:w="120" w:type="dxa"/>
              <w:right w:w="120" w:type="dxa"/>
            </w:tcMar>
          </w:tcPr>
          <w:p>
            <w:pPr>
              <w:spacing w:before="0" w:after="0"/>
              <w:jc w:val="center"/>
            </w:pPr>
            <w:r>
              <w:rPr>
                <w:rFonts w:ascii="Calibri" w:hAnsi="Calibri"/>
                <w:color w:val="2D3748"/>
                <w:sz w:val="18"/>
              </w:rPr>
              <w:t>Mora tardía controlada con colchón de cobertura de provisiones &gt; 200%.</w:t>
            </w:r>
          </w:p>
        </w:tc>
      </w:tr>
      <w:tr>
        <w:tc>
          <w:tcPr>
            <w:tcW w:type="dxa" w:w="2304"/>
            <w:shd w:fill="FFFFFF"/>
            <w:tcMar>
              <w:top w:w="80" w:type="dxa"/>
              <w:bottom w:w="80" w:type="dxa"/>
              <w:left w:w="120" w:type="dxa"/>
              <w:right w:w="120" w:type="dxa"/>
            </w:tcMar>
          </w:tcPr>
          <w:p>
            <w:pPr>
              <w:spacing w:before="0" w:after="0"/>
              <w:jc w:val="left"/>
            </w:pPr>
            <w:r>
              <w:rPr>
                <w:rFonts w:ascii="Calibri" w:hAnsi="Calibri"/>
                <w:color w:val="2D3748"/>
                <w:sz w:val="18"/>
              </w:rPr>
              <w:t>Ratio de Eficiencia (Cost-to-Income)</w:t>
            </w:r>
          </w:p>
        </w:tc>
        <w:tc>
          <w:tcPr>
            <w:tcW w:type="dxa" w:w="1584"/>
            <w:shd w:fill="FFFFFF"/>
            <w:tcMar>
              <w:top w:w="80" w:type="dxa"/>
              <w:bottom w:w="80" w:type="dxa"/>
              <w:left w:w="120" w:type="dxa"/>
              <w:right w:w="120" w:type="dxa"/>
            </w:tcMar>
          </w:tcPr>
          <w:p>
            <w:pPr>
              <w:spacing w:before="0" w:after="0"/>
              <w:jc w:val="center"/>
            </w:pPr>
            <w:r>
              <w:rPr>
                <w:rFonts w:ascii="Calibri" w:hAnsi="Calibri"/>
                <w:color w:val="2D3748"/>
                <w:sz w:val="18"/>
              </w:rPr>
              <w:t>17.60%</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27.70%</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36.00%</w:t>
            </w:r>
          </w:p>
        </w:tc>
        <w:tc>
          <w:tcPr>
            <w:tcW w:type="dxa" w:w="3024"/>
            <w:shd w:fill="FFFFFF"/>
            <w:tcMar>
              <w:top w:w="80" w:type="dxa"/>
              <w:bottom w:w="80" w:type="dxa"/>
              <w:left w:w="120" w:type="dxa"/>
              <w:right w:w="120" w:type="dxa"/>
            </w:tcMar>
          </w:tcPr>
          <w:p>
            <w:pPr>
              <w:spacing w:before="0" w:after="0"/>
              <w:jc w:val="center"/>
            </w:pPr>
            <w:r>
              <w:rPr>
                <w:rFonts w:ascii="Calibri" w:hAnsi="Calibri"/>
                <w:color w:val="2D3748"/>
                <w:sz w:val="18"/>
              </w:rPr>
              <w:t>Líder global absoluto; la entidad bancaria más eficiente de Occidente.</w:t>
            </w:r>
          </w:p>
        </w:tc>
      </w:tr>
      <w:tr>
        <w:tc>
          <w:tcPr>
            <w:tcW w:type="dxa" w:w="2304"/>
            <w:shd w:fill="F7FAFC"/>
            <w:tcMar>
              <w:top w:w="80" w:type="dxa"/>
              <w:bottom w:w="80" w:type="dxa"/>
              <w:left w:w="120" w:type="dxa"/>
              <w:right w:w="120" w:type="dxa"/>
            </w:tcMar>
          </w:tcPr>
          <w:p>
            <w:pPr>
              <w:spacing w:before="0" w:after="0"/>
              <w:jc w:val="left"/>
            </w:pPr>
            <w:r>
              <w:rPr>
                <w:rFonts w:ascii="Calibri" w:hAnsi="Calibri"/>
                <w:color w:val="2D3748"/>
                <w:sz w:val="18"/>
              </w:rPr>
              <w:t>Retorno sobre Patrimonio Tangible (ROTCE)</w:t>
            </w:r>
          </w:p>
        </w:tc>
        <w:tc>
          <w:tcPr>
            <w:tcW w:type="dxa" w:w="1584"/>
            <w:shd w:fill="F7FAFC"/>
            <w:tcMar>
              <w:top w:w="80" w:type="dxa"/>
              <w:bottom w:w="80" w:type="dxa"/>
              <w:left w:w="120" w:type="dxa"/>
              <w:right w:w="120" w:type="dxa"/>
            </w:tcMar>
          </w:tcPr>
          <w:p>
            <w:pPr>
              <w:spacing w:before="0" w:after="0"/>
              <w:jc w:val="center"/>
            </w:pPr>
            <w:r>
              <w:rPr>
                <w:rFonts w:ascii="Calibri" w:hAnsi="Calibri"/>
                <w:color w:val="2D3748"/>
                <w:sz w:val="18"/>
              </w:rPr>
              <w:t>26.40%</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24.50%</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16.50%</w:t>
            </w:r>
          </w:p>
        </w:tc>
        <w:tc>
          <w:tcPr>
            <w:tcW w:type="dxa" w:w="3024"/>
            <w:shd w:fill="F7FAFC"/>
            <w:tcMar>
              <w:top w:w="80" w:type="dxa"/>
              <w:bottom w:w="80" w:type="dxa"/>
              <w:left w:w="120" w:type="dxa"/>
              <w:right w:w="120" w:type="dxa"/>
            </w:tcMar>
          </w:tcPr>
          <w:p>
            <w:pPr>
              <w:spacing w:before="0" w:after="0"/>
              <w:jc w:val="center"/>
            </w:pPr>
            <w:r>
              <w:rPr>
                <w:rFonts w:ascii="Calibri" w:hAnsi="Calibri"/>
                <w:color w:val="2D3748"/>
                <w:sz w:val="18"/>
              </w:rPr>
              <w:t>Rentabilidad financiera extraordinaria que supera por más de 13 pp al coste de capital.</w:t>
            </w:r>
          </w:p>
        </w:tc>
      </w:tr>
    </w:tbl>
    <w:p>
      <w:pPr>
        <w:spacing w:after="120"/>
      </w:pPr>
    </w:p>
    <w:tbl>
      <w:tblPr>
        <w:tblW w:type="auto" w:w="0"/>
        <w:jc w:val="center"/>
        <w:tblLayout w:type="fixed"/>
        <w:tblLook w:firstColumn="1" w:firstRow="1" w:lastColumn="0" w:lastRow="0" w:noHBand="0" w:noVBand="1" w:val="04A0"/>
      </w:tblPr>
      <w:tblGrid>
        <w:gridCol w:w="9792"/>
      </w:tblGrid>
      <w:tr>
        <w:tc>
          <w:tcPr>
            <w:tcW w:type="dxa" w:w="9792"/>
            <w:shd w:fill="F0F4F8"/>
            <w:tcMar>
              <w:top w:w="140" w:type="dxa"/>
              <w:bottom w:w="140" w:type="dxa"/>
              <w:left w:w="180" w:type="dxa"/>
              <w:right w:w="180" w:type="dxa"/>
            </w:tcMar>
            <w:tcBorders>
              <w:left w:val="single" w:sz="24" w:space="0" w:color="1B365D"/>
              <w:top w:val="none"/>
              <w:right w:val="none"/>
              <w:bottom w:val="none"/>
            </w:tcBorders>
          </w:tcPr>
          <w:p>
            <w:pPr>
              <w:spacing w:before="0" w:after="80"/>
            </w:pPr>
            <w:r>
              <w:rPr>
                <w:rFonts w:ascii="Segoe UI Emoji" w:hAnsi="Segoe UI Emoji"/>
                <w:sz w:val="21"/>
              </w:rPr>
              <w:t xml:space="preserve">📌  </w:t>
            </w:r>
            <w:r>
              <w:rPr>
                <w:rFonts w:ascii="Calibri" w:hAnsi="Calibri"/>
                <w:b/>
                <w:color w:val="1B365D"/>
                <w:sz w:val="21"/>
              </w:rPr>
              <w:t>GUÍA DE DIAGNÓSTICO FUNDAMENTAL: ¿QUÉ EVALÚA CADA RATIO BANCARIO?</w:t>
            </w:r>
          </w:p>
          <w:p>
            <w:pPr>
              <w:spacing w:before="40" w:after="40" w:line="276" w:lineRule="auto"/>
            </w:pPr>
            <w:r>
              <w:rPr>
                <w:rFonts w:ascii="Calibri" w:hAnsi="Calibri"/>
                <w:color w:val="2D3748"/>
                <w:sz w:val="19"/>
              </w:rPr>
              <w:t>• Margen de Interés Neto (NIM): Mide la rentabilidad del negocio básico de intermediación bancaria (spread entre la tasa activa que cobra por prestar y la tasa pasiva que paga por depósitos). Un NIM elevado y resiliente certifica ventajas estructurales de fondeo.</w:t>
            </w:r>
          </w:p>
          <w:p>
            <w:pPr>
              <w:spacing w:before="40" w:after="40" w:line="276" w:lineRule="auto"/>
            </w:pPr>
            <w:r>
              <w:rPr>
                <w:rFonts w:ascii="Calibri" w:hAnsi="Calibri"/>
                <w:color w:val="2D3748"/>
                <w:sz w:val="19"/>
              </w:rPr>
              <w:t>• Ratio de Eficiencia Operativa (Cost-to-Income): Gastos de explotación entre margen bruto de intermediación. Ratios &lt; 40% son excelentes; &lt; 25% sitúan a la entidad en la élite mundial absoluta gracias a su apalancamiento tecnológico.</w:t>
            </w:r>
          </w:p>
          <w:p>
            <w:pPr>
              <w:spacing w:before="40" w:after="40" w:line="276" w:lineRule="auto"/>
            </w:pPr>
            <w:r>
              <w:rPr>
                <w:rFonts w:ascii="Calibri" w:hAnsi="Calibri"/>
                <w:color w:val="2D3748"/>
                <w:sz w:val="19"/>
              </w:rPr>
              <w:t>• Ratio de Morosidad NPL (15-90d y &gt;90d): Porcentaje de la cartera con retrasos en pagos. Evalúa la salud crediticia y la efectividad de los modelos de admisión y suscripción de riesgo.</w:t>
            </w:r>
          </w:p>
          <w:p>
            <w:pPr>
              <w:spacing w:before="40" w:after="40" w:line="276" w:lineRule="auto"/>
            </w:pPr>
            <w:r>
              <w:rPr>
                <w:rFonts w:ascii="Calibri" w:hAnsi="Calibri"/>
                <w:color w:val="2D3748"/>
                <w:sz w:val="19"/>
              </w:rPr>
              <w:t>• Ratio de Cobertura de Provisiones: Provisiones acumuladas entre cartera dudosa (&gt;90d). Ratios &gt; 150%-200% garantizan que el balance absorberá impagos sin erosionar el patrimonio ni requerir rescates.</w:t>
            </w:r>
          </w:p>
          <w:p>
            <w:pPr>
              <w:spacing w:before="40" w:after="40" w:line="276" w:lineRule="auto"/>
            </w:pPr>
            <w:r>
              <w:rPr>
                <w:rFonts w:ascii="Calibri" w:hAnsi="Calibri"/>
                <w:color w:val="2D3748"/>
                <w:sz w:val="19"/>
              </w:rPr>
              <w:t>• Cost of Risk (Costo de Riesgo): Gasto anualizado en provisiones sobre cartera total. Indica el coste recurrente de las pérdidas esperadas inherente a la actividad crediticia.</w:t>
            </w:r>
          </w:p>
          <w:p>
            <w:pPr>
              <w:spacing w:before="40" w:after="40" w:line="276" w:lineRule="auto"/>
            </w:pPr>
            <w:r>
              <w:rPr>
                <w:rFonts w:ascii="Calibri" w:hAnsi="Calibri"/>
                <w:color w:val="2D3748"/>
                <w:sz w:val="19"/>
              </w:rPr>
              <w:t>• Retorno sobre Patrimonio Tangible (ROTCE): Mide la rentabilidad pura generada sobre los fondos propios tangibles. La diferencia frente al Coste del Capital (Ke) determina la creación de valor económico puro (EVA bancario).</w:t>
            </w:r>
          </w:p>
          <w:p>
            <w:pPr>
              <w:spacing w:before="40" w:after="40" w:line="276" w:lineRule="auto"/>
            </w:pPr>
            <w:r>
              <w:rPr>
                <w:rFonts w:ascii="Calibri" w:hAnsi="Calibri"/>
                <w:color w:val="2D3748"/>
                <w:sz w:val="19"/>
              </w:rPr>
              <w:t>• Ratio CET1 / Basilea III: Mide el capital regulatorio de máxima calidad frente a activos ponderados por riesgo. Garantiza solvencia ante crisis sistémicas (&gt;10.5% estándar regulatorio Basilea III).</w:t>
            </w:r>
          </w:p>
        </w:tc>
      </w:tr>
    </w:tbl>
    <w:p>
      <w:pPr>
        <w:spacing w:after="80"/>
      </w:pPr>
    </w:p>
    <w:p>
      <w:pPr>
        <w:keepNext/>
        <w:spacing w:before="320" w:after="120"/>
      </w:pPr>
      <w:r>
        <w:rPr>
          <w:rFonts w:ascii="Calibri" w:hAnsi="Calibri"/>
          <w:b/>
          <w:color w:val="1B365D"/>
          <w:sz w:val="26"/>
        </w:rPr>
        <w:t>5. Análisis Exhaustivo de Conferencia de Resultados (Earnings Calls) y Auditoría del Discurso Directivo</w:t>
      </w:r>
    </w:p>
    <w:p>
      <w:pPr>
        <w:keepNext/>
        <w:spacing w:before="200" w:after="80"/>
      </w:pPr>
      <w:r>
        <w:rPr>
          <w:rFonts w:ascii="Calibri" w:hAnsi="Calibri"/>
          <w:b/>
          <w:color w:val="4A5568"/>
          <w:sz w:val="22"/>
        </w:rPr>
        <w:t>BLOQUE A: Análisis del Trimestre Más Reciente (Q2 2026)</w:t>
      </w:r>
    </w:p>
    <w:p>
      <w:pPr>
        <w:spacing w:before="40" w:after="80" w:line="276" w:lineRule="auto"/>
      </w:pPr>
      <w:r>
        <w:rPr>
          <w:rFonts w:ascii="Calibri" w:hAnsi="Calibri"/>
          <w:i w:val="0"/>
          <w:color w:val="2D3748"/>
          <w:sz w:val="20"/>
        </w:rPr>
        <w:t>Durante la conferencia de resultados del segundo trimestre de 2026 (concluida a mediados de agosto de 2026), el equipo directivo de Nu Holdings—liderado por David Vélez (Fundador, CEO y Chairman) y Rob Livingston (CFO)—presentó un desempeño operativo excepcional. El margen de interés neto (NII) alcanzó los $3,700 millones (+9% QoQ) y la cartera de créditos se expandió a $30,400 millones (+42% YoY). La directiva destacó que el margen de interés neto ajustado por riesgo (Risk-Adjusted NIM) retornó con fuerza al 10.8%, absorbiendo plenamente los impactos del programa estatal de renegociación Desenrola y ratificando una rentabilidad sobre fondos propios (ROTCE) superior al 26%.</w:t>
      </w:r>
    </w:p>
    <w:p>
      <w:pPr>
        <w:keepNext/>
        <w:spacing w:before="200" w:after="80"/>
      </w:pPr>
      <w:r>
        <w:rPr>
          <w:rFonts w:ascii="Calibri" w:hAnsi="Calibri"/>
          <w:b/>
          <w:color w:val="4A5568"/>
          <w:sz w:val="22"/>
        </w:rPr>
        <w:t>1. Proyecciones Oficiales y Guidance del Management:</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3264"/>
        <w:gridCol w:w="3264"/>
        <w:gridCol w:w="3264"/>
      </w:tblGrid>
      <w:tr>
        <w:tc>
          <w:tcPr>
            <w:tcW w:type="dxa" w:w="2880"/>
            <w:shd w:fill="1B365D"/>
            <w:tcMar>
              <w:top w:w="100" w:type="dxa"/>
              <w:bottom w:w="100" w:type="dxa"/>
              <w:left w:w="120" w:type="dxa"/>
              <w:right w:w="120" w:type="dxa"/>
            </w:tcMar>
          </w:tcPr>
          <w:p>
            <w:pPr>
              <w:spacing w:before="0" w:after="0"/>
              <w:jc w:val="left"/>
            </w:pPr>
            <w:r>
              <w:rPr>
                <w:rFonts w:ascii="Calibri" w:hAnsi="Calibri"/>
                <w:b/>
                <w:color w:val="FFFFFF"/>
                <w:sz w:val="19"/>
              </w:rPr>
              <w:t>Métrica / Parámetro Proyectado</w:t>
            </w:r>
          </w:p>
        </w:tc>
        <w:tc>
          <w:tcPr>
            <w:tcW w:type="dxa" w:w="2592"/>
            <w:shd w:fill="1B365D"/>
            <w:tcMar>
              <w:top w:w="100" w:type="dxa"/>
              <w:bottom w:w="100" w:type="dxa"/>
              <w:left w:w="120" w:type="dxa"/>
              <w:right w:w="120" w:type="dxa"/>
            </w:tcMar>
          </w:tcPr>
          <w:p>
            <w:pPr>
              <w:spacing w:before="0" w:after="0"/>
              <w:jc w:val="center"/>
            </w:pPr>
            <w:r>
              <w:rPr>
                <w:rFonts w:ascii="Calibri" w:hAnsi="Calibri"/>
                <w:b/>
                <w:color w:val="FFFFFF"/>
                <w:sz w:val="19"/>
              </w:rPr>
              <w:t>Declaración Oficial de la Dirección</w:t>
            </w:r>
          </w:p>
        </w:tc>
        <w:tc>
          <w:tcPr>
            <w:tcW w:type="dxa" w:w="4320"/>
            <w:shd w:fill="1B365D"/>
            <w:tcMar>
              <w:top w:w="100" w:type="dxa"/>
              <w:bottom w:w="100" w:type="dxa"/>
              <w:left w:w="120" w:type="dxa"/>
              <w:right w:w="120" w:type="dxa"/>
            </w:tcMar>
          </w:tcPr>
          <w:p>
            <w:pPr>
              <w:spacing w:before="0" w:after="0"/>
              <w:jc w:val="left"/>
            </w:pPr>
            <w:r>
              <w:rPr>
                <w:rFonts w:ascii="Calibri" w:hAnsi="Calibri"/>
                <w:b/>
                <w:color w:val="FFFFFF"/>
                <w:sz w:val="19"/>
              </w:rPr>
              <w:t>Lectura Estratégica y Factores Clave</w:t>
            </w:r>
          </w:p>
        </w:tc>
      </w:tr>
      <w:tr>
        <w:tc>
          <w:tcPr>
            <w:tcW w:type="dxa" w:w="2880"/>
            <w:shd w:fill="FFFFFF"/>
            <w:tcMar>
              <w:top w:w="80" w:type="dxa"/>
              <w:bottom w:w="80" w:type="dxa"/>
              <w:left w:w="120" w:type="dxa"/>
              <w:right w:w="120" w:type="dxa"/>
            </w:tcMar>
          </w:tcPr>
          <w:p>
            <w:pPr>
              <w:spacing w:before="0" w:after="0"/>
              <w:jc w:val="left"/>
            </w:pPr>
            <w:r>
              <w:rPr>
                <w:rFonts w:ascii="Calibri" w:hAnsi="Calibri"/>
                <w:color w:val="2D3748"/>
                <w:sz w:val="18"/>
              </w:rPr>
              <w:t>Margen de Interés Neto Ajustado (Risk-Adjusted NIM)</w:t>
            </w:r>
          </w:p>
        </w:tc>
        <w:tc>
          <w:tcPr>
            <w:tcW w:type="dxa" w:w="2592"/>
            <w:shd w:fill="FFFFFF"/>
            <w:tcMar>
              <w:top w:w="80" w:type="dxa"/>
              <w:bottom w:w="80" w:type="dxa"/>
              <w:left w:w="120" w:type="dxa"/>
              <w:right w:w="120" w:type="dxa"/>
            </w:tcMar>
          </w:tcPr>
          <w:p>
            <w:pPr>
              <w:spacing w:before="0" w:after="0"/>
              <w:jc w:val="center"/>
            </w:pPr>
            <w:r>
              <w:rPr>
                <w:rFonts w:ascii="Calibri" w:hAnsi="Calibri"/>
                <w:color w:val="2D3748"/>
                <w:sz w:val="18"/>
              </w:rPr>
              <w:t>Retorno y consolidación en el rango de ~10.5% a 11.0%</w:t>
            </w:r>
          </w:p>
        </w:tc>
        <w:tc>
          <w:tcPr>
            <w:tcW w:type="dxa" w:w="4320"/>
            <w:shd w:fill="FFFFFF"/>
            <w:tcMar>
              <w:top w:w="80" w:type="dxa"/>
              <w:bottom w:w="80" w:type="dxa"/>
              <w:left w:w="120" w:type="dxa"/>
              <w:right w:w="120" w:type="dxa"/>
            </w:tcMar>
          </w:tcPr>
          <w:p>
            <w:pPr>
              <w:spacing w:before="0" w:after="0"/>
              <w:jc w:val="left"/>
            </w:pPr>
            <w:r>
              <w:rPr>
                <w:rFonts w:ascii="Calibri" w:hAnsi="Calibri"/>
                <w:color w:val="2D3748"/>
                <w:sz w:val="18"/>
              </w:rPr>
              <w:t>Superación del bache transitorio de Q1; la maduración de los préstamos originados a finales de 2025 expande el margen neto.</w:t>
            </w:r>
          </w:p>
        </w:tc>
      </w:tr>
      <w:tr>
        <w:tc>
          <w:tcPr>
            <w:tcW w:type="dxa" w:w="2880"/>
            <w:shd w:fill="F7FAFC"/>
            <w:tcMar>
              <w:top w:w="80" w:type="dxa"/>
              <w:bottom w:w="80" w:type="dxa"/>
              <w:left w:w="120" w:type="dxa"/>
              <w:right w:w="120" w:type="dxa"/>
            </w:tcMar>
          </w:tcPr>
          <w:p>
            <w:pPr>
              <w:spacing w:before="0" w:after="0"/>
              <w:jc w:val="left"/>
            </w:pPr>
            <w:r>
              <w:rPr>
                <w:rFonts w:ascii="Calibri" w:hAnsi="Calibri"/>
                <w:color w:val="2D3748"/>
                <w:sz w:val="18"/>
              </w:rPr>
              <w:t>Ratio de Eficiencia Consolidado</w:t>
            </w:r>
          </w:p>
        </w:tc>
        <w:tc>
          <w:tcPr>
            <w:tcW w:type="dxa" w:w="2592"/>
            <w:shd w:fill="F7FAFC"/>
            <w:tcMar>
              <w:top w:w="80" w:type="dxa"/>
              <w:bottom w:w="80" w:type="dxa"/>
              <w:left w:w="120" w:type="dxa"/>
              <w:right w:w="120" w:type="dxa"/>
            </w:tcMar>
          </w:tcPr>
          <w:p>
            <w:pPr>
              <w:spacing w:before="0" w:after="0"/>
              <w:jc w:val="center"/>
            </w:pPr>
            <w:r>
              <w:rPr>
                <w:rFonts w:ascii="Calibri" w:hAnsi="Calibri"/>
                <w:color w:val="2D3748"/>
                <w:sz w:val="18"/>
              </w:rPr>
              <w:t>Convergencia anual en el rango de ~20% a 22%</w:t>
            </w:r>
          </w:p>
        </w:tc>
        <w:tc>
          <w:tcPr>
            <w:tcW w:type="dxa" w:w="4320"/>
            <w:shd w:fill="F7FAFC"/>
            <w:tcMar>
              <w:top w:w="80" w:type="dxa"/>
              <w:bottom w:w="80" w:type="dxa"/>
              <w:left w:w="120" w:type="dxa"/>
              <w:right w:w="120" w:type="dxa"/>
            </w:tcMar>
          </w:tcPr>
          <w:p>
            <w:pPr>
              <w:spacing w:before="0" w:after="0"/>
              <w:jc w:val="left"/>
            </w:pPr>
            <w:r>
              <w:rPr>
                <w:rFonts w:ascii="Calibri" w:hAnsi="Calibri"/>
                <w:color w:val="2D3748"/>
                <w:sz w:val="18"/>
              </w:rPr>
              <w:t>Tras marcar un mínimo histórico del 17.6% en Q1, la directiva prevé que la eficiencia anual se estabilice cerca del 20% absorbiendo inversiones en EE.UU.</w:t>
            </w:r>
          </w:p>
        </w:tc>
      </w:tr>
      <w:tr>
        <w:tc>
          <w:tcPr>
            <w:tcW w:type="dxa" w:w="2880"/>
            <w:shd w:fill="FFFFFF"/>
            <w:tcMar>
              <w:top w:w="80" w:type="dxa"/>
              <w:bottom w:w="80" w:type="dxa"/>
              <w:left w:w="120" w:type="dxa"/>
              <w:right w:w="120" w:type="dxa"/>
            </w:tcMar>
          </w:tcPr>
          <w:p>
            <w:pPr>
              <w:spacing w:before="0" w:after="0"/>
              <w:jc w:val="left"/>
            </w:pPr>
            <w:r>
              <w:rPr>
                <w:rFonts w:ascii="Calibri" w:hAnsi="Calibri"/>
                <w:color w:val="2D3748"/>
                <w:sz w:val="18"/>
              </w:rPr>
              <w:t>Crecimiento de Cartera en México y Colombia</w:t>
            </w:r>
          </w:p>
        </w:tc>
        <w:tc>
          <w:tcPr>
            <w:tcW w:type="dxa" w:w="2592"/>
            <w:shd w:fill="FFFFFF"/>
            <w:tcMar>
              <w:top w:w="80" w:type="dxa"/>
              <w:bottom w:w="80" w:type="dxa"/>
              <w:left w:w="120" w:type="dxa"/>
              <w:right w:w="120" w:type="dxa"/>
            </w:tcMar>
          </w:tcPr>
          <w:p>
            <w:pPr>
              <w:spacing w:before="0" w:after="0"/>
              <w:jc w:val="center"/>
            </w:pPr>
            <w:r>
              <w:rPr>
                <w:rFonts w:ascii="Calibri" w:hAnsi="Calibri"/>
                <w:color w:val="2D3748"/>
                <w:sz w:val="18"/>
              </w:rPr>
              <w:t>Aceleración continua fondeada 100% con depósitos locales</w:t>
            </w:r>
          </w:p>
        </w:tc>
        <w:tc>
          <w:tcPr>
            <w:tcW w:type="dxa" w:w="4320"/>
            <w:shd w:fill="FFFFFF"/>
            <w:tcMar>
              <w:top w:w="80" w:type="dxa"/>
              <w:bottom w:w="80" w:type="dxa"/>
              <w:left w:w="120" w:type="dxa"/>
              <w:right w:w="120" w:type="dxa"/>
            </w:tcMar>
          </w:tcPr>
          <w:p>
            <w:pPr>
              <w:spacing w:before="0" w:after="0"/>
              <w:jc w:val="left"/>
            </w:pPr>
            <w:r>
              <w:rPr>
                <w:rFonts w:ascii="Calibri" w:hAnsi="Calibri"/>
                <w:color w:val="2D3748"/>
                <w:sz w:val="18"/>
              </w:rPr>
              <w:t>Las licencias bancarias y la oferta de cuentas de ahorro garantizan un coste de fondeo óptimo para expandir el crédito sin tensionar márgenes.</w:t>
            </w:r>
          </w:p>
        </w:tc>
      </w:tr>
      <w:tr>
        <w:tc>
          <w:tcPr>
            <w:tcW w:type="dxa" w:w="2880"/>
            <w:shd w:fill="F7FAFC"/>
            <w:tcMar>
              <w:top w:w="80" w:type="dxa"/>
              <w:bottom w:w="80" w:type="dxa"/>
              <w:left w:w="120" w:type="dxa"/>
              <w:right w:w="120" w:type="dxa"/>
            </w:tcMar>
          </w:tcPr>
          <w:p>
            <w:pPr>
              <w:spacing w:before="0" w:after="0"/>
              <w:jc w:val="left"/>
            </w:pPr>
            <w:r>
              <w:rPr>
                <w:rFonts w:ascii="Calibri" w:hAnsi="Calibri"/>
                <w:color w:val="2D3748"/>
                <w:sz w:val="18"/>
              </w:rPr>
              <w:t>Calidad de Activos y Morosidad (NPLs)</w:t>
            </w:r>
          </w:p>
        </w:tc>
        <w:tc>
          <w:tcPr>
            <w:tcW w:type="dxa" w:w="2592"/>
            <w:shd w:fill="F7FAFC"/>
            <w:tcMar>
              <w:top w:w="80" w:type="dxa"/>
              <w:bottom w:w="80" w:type="dxa"/>
              <w:left w:w="120" w:type="dxa"/>
              <w:right w:w="120" w:type="dxa"/>
            </w:tcMar>
          </w:tcPr>
          <w:p>
            <w:pPr>
              <w:spacing w:before="0" w:after="0"/>
              <w:jc w:val="center"/>
            </w:pPr>
            <w:r>
              <w:rPr>
                <w:rFonts w:ascii="Calibri" w:hAnsi="Calibri"/>
                <w:color w:val="2D3748"/>
                <w:sz w:val="18"/>
              </w:rPr>
              <w:t>Morosidad 15-90d estable en ~4.0-4.3% y 90+d en ~6.5-6.8%</w:t>
            </w:r>
          </w:p>
        </w:tc>
        <w:tc>
          <w:tcPr>
            <w:tcW w:type="dxa" w:w="4320"/>
            <w:shd w:fill="F7FAFC"/>
            <w:tcMar>
              <w:top w:w="80" w:type="dxa"/>
              <w:bottom w:w="80" w:type="dxa"/>
              <w:left w:w="120" w:type="dxa"/>
              <w:right w:w="120" w:type="dxa"/>
            </w:tcMar>
          </w:tcPr>
          <w:p>
            <w:pPr>
              <w:spacing w:before="0" w:after="0"/>
              <w:jc w:val="left"/>
            </w:pPr>
            <w:r>
              <w:rPr>
                <w:rFonts w:ascii="Calibri" w:hAnsi="Calibri"/>
                <w:color w:val="2D3748"/>
                <w:sz w:val="18"/>
              </w:rPr>
              <w:t>Comportamiento de pago de los clientes dentro de los modelos esperados de estacionalidad sin señales de deterioro sistémico.</w:t>
            </w:r>
          </w:p>
        </w:tc>
      </w:tr>
    </w:tbl>
    <w:p>
      <w:pPr>
        <w:spacing w:after="120"/>
      </w:pPr>
    </w:p>
    <w:p>
      <w:pPr>
        <w:keepNext/>
        <w:spacing w:before="200" w:after="80"/>
      </w:pPr>
      <w:r>
        <w:rPr>
          <w:rFonts w:ascii="Calibri" w:hAnsi="Calibri"/>
          <w:b/>
          <w:color w:val="4A5568"/>
          <w:sz w:val="22"/>
        </w:rPr>
        <w:t>2. Hitos Más Importantes y Catalizadores Clave del Trimestre:</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3264"/>
        <w:gridCol w:w="3264"/>
        <w:gridCol w:w="3264"/>
      </w:tblGrid>
      <w:tr>
        <w:tc>
          <w:tcPr>
            <w:tcW w:type="dxa" w:w="2592"/>
            <w:shd w:fill="1B365D"/>
            <w:tcMar>
              <w:top w:w="100" w:type="dxa"/>
              <w:bottom w:w="100" w:type="dxa"/>
              <w:left w:w="120" w:type="dxa"/>
              <w:right w:w="120" w:type="dxa"/>
            </w:tcMar>
          </w:tcPr>
          <w:p>
            <w:pPr>
              <w:spacing w:before="0" w:after="0"/>
              <w:jc w:val="left"/>
            </w:pPr>
            <w:r>
              <w:rPr>
                <w:rFonts w:ascii="Calibri" w:hAnsi="Calibri"/>
                <w:b/>
                <w:color w:val="FFFFFF"/>
                <w:sz w:val="19"/>
              </w:rPr>
              <w:t>Hito Estratégico</w:t>
            </w:r>
          </w:p>
        </w:tc>
        <w:tc>
          <w:tcPr>
            <w:tcW w:type="dxa" w:w="3600"/>
            <w:shd w:fill="1B365D"/>
            <w:tcMar>
              <w:top w:w="100" w:type="dxa"/>
              <w:bottom w:w="100" w:type="dxa"/>
              <w:left w:w="120" w:type="dxa"/>
              <w:right w:w="120" w:type="dxa"/>
            </w:tcMar>
          </w:tcPr>
          <w:p>
            <w:pPr>
              <w:spacing w:before="0" w:after="0"/>
              <w:jc w:val="left"/>
            </w:pPr>
            <w:r>
              <w:rPr>
                <w:rFonts w:ascii="Calibri" w:hAnsi="Calibri"/>
                <w:b/>
                <w:color w:val="FFFFFF"/>
                <w:sz w:val="19"/>
              </w:rPr>
              <w:t>Declaración Clave de la Dirección</w:t>
            </w:r>
          </w:p>
        </w:tc>
        <w:tc>
          <w:tcPr>
            <w:tcW w:type="dxa" w:w="3600"/>
            <w:shd w:fill="1B365D"/>
            <w:tcMar>
              <w:top w:w="100" w:type="dxa"/>
              <w:bottom w:w="100" w:type="dxa"/>
              <w:left w:w="120" w:type="dxa"/>
              <w:right w:w="120" w:type="dxa"/>
            </w:tcMar>
          </w:tcPr>
          <w:p>
            <w:pPr>
              <w:spacing w:before="0" w:after="0"/>
              <w:jc w:val="left"/>
            </w:pPr>
            <w:r>
              <w:rPr>
                <w:rFonts w:ascii="Calibri" w:hAnsi="Calibri"/>
                <w:b/>
                <w:color w:val="FFFFFF"/>
                <w:sz w:val="19"/>
              </w:rPr>
              <w:t>Impacto en la Tesis de Inversión</w:t>
            </w:r>
          </w:p>
        </w:tc>
      </w:tr>
      <w:tr>
        <w:tc>
          <w:tcPr>
            <w:tcW w:type="dxa" w:w="2592"/>
            <w:shd w:fill="FFFFFF"/>
            <w:tcMar>
              <w:top w:w="80" w:type="dxa"/>
              <w:bottom w:w="80" w:type="dxa"/>
              <w:left w:w="120" w:type="dxa"/>
              <w:right w:w="120" w:type="dxa"/>
            </w:tcMar>
          </w:tcPr>
          <w:p>
            <w:pPr>
              <w:spacing w:before="0" w:after="0"/>
              <w:jc w:val="left"/>
            </w:pPr>
            <w:r>
              <w:rPr>
                <w:rFonts w:ascii="Calibri" w:hAnsi="Calibri"/>
                <w:color w:val="2D3748"/>
                <w:sz w:val="18"/>
              </w:rPr>
              <w:t>NII Récord de $3.7B y Expansión de NIM</w:t>
            </w:r>
          </w:p>
        </w:tc>
        <w:tc>
          <w:tcPr>
            <w:tcW w:type="dxa" w:w="3600"/>
            <w:shd w:fill="FFFFFF"/>
            <w:tcMar>
              <w:top w:w="80" w:type="dxa"/>
              <w:bottom w:w="80" w:type="dxa"/>
              <w:left w:w="120" w:type="dxa"/>
              <w:right w:w="120" w:type="dxa"/>
            </w:tcMar>
          </w:tcPr>
          <w:p>
            <w:pPr>
              <w:spacing w:before="0" w:after="0"/>
              <w:jc w:val="left"/>
            </w:pPr>
            <w:r>
              <w:rPr>
                <w:rFonts w:ascii="Calibri" w:hAnsi="Calibri"/>
                <w:color w:val="2D3748"/>
                <w:sz w:val="18"/>
              </w:rPr>
              <w:t>"El margen de intereses alcanzó $3,700M en Q2, con el NIM expandiéndose impulsado por el fuerte crecimiento de préstamos personales..." — Rob Livingston (CFO).</w:t>
            </w:r>
          </w:p>
        </w:tc>
        <w:tc>
          <w:tcPr>
            <w:tcW w:type="dxa" w:w="3600"/>
            <w:shd w:fill="FFFFFF"/>
            <w:tcMar>
              <w:top w:w="80" w:type="dxa"/>
              <w:bottom w:w="80" w:type="dxa"/>
              <w:left w:w="120" w:type="dxa"/>
              <w:right w:w="120" w:type="dxa"/>
            </w:tcMar>
          </w:tcPr>
          <w:p>
            <w:pPr>
              <w:spacing w:before="0" w:after="0"/>
              <w:jc w:val="left"/>
            </w:pPr>
            <w:r>
              <w:rPr>
                <w:rFonts w:ascii="Calibri" w:hAnsi="Calibri"/>
                <w:color w:val="2D3748"/>
                <w:sz w:val="18"/>
              </w:rPr>
              <w:t>Confirma la capacidad de Nubank de monetizar su gigantesca base de usuarios con márgenes de intermediación inalcanzables para la banca incumbente.</w:t>
            </w:r>
          </w:p>
        </w:tc>
      </w:tr>
      <w:tr>
        <w:tc>
          <w:tcPr>
            <w:tcW w:type="dxa" w:w="2592"/>
            <w:shd w:fill="F7FAFC"/>
            <w:tcMar>
              <w:top w:w="80" w:type="dxa"/>
              <w:bottom w:w="80" w:type="dxa"/>
              <w:left w:w="120" w:type="dxa"/>
              <w:right w:w="120" w:type="dxa"/>
            </w:tcMar>
          </w:tcPr>
          <w:p>
            <w:pPr>
              <w:spacing w:before="0" w:after="0"/>
              <w:jc w:val="left"/>
            </w:pPr>
            <w:r>
              <w:rPr>
                <w:rFonts w:ascii="Calibri" w:hAnsi="Calibri"/>
                <w:color w:val="2D3748"/>
                <w:sz w:val="18"/>
              </w:rPr>
              <w:t>Superación del Efecto Desenrola en Brasil</w:t>
            </w:r>
          </w:p>
        </w:tc>
        <w:tc>
          <w:tcPr>
            <w:tcW w:type="dxa" w:w="3600"/>
            <w:shd w:fill="F7FAFC"/>
            <w:tcMar>
              <w:top w:w="80" w:type="dxa"/>
              <w:bottom w:w="80" w:type="dxa"/>
              <w:left w:w="120" w:type="dxa"/>
              <w:right w:w="120" w:type="dxa"/>
            </w:tcMar>
          </w:tcPr>
          <w:p>
            <w:pPr>
              <w:spacing w:before="0" w:after="0"/>
              <w:jc w:val="left"/>
            </w:pPr>
            <w:r>
              <w:rPr>
                <w:rFonts w:ascii="Calibri" w:hAnsi="Calibri"/>
                <w:color w:val="2D3748"/>
                <w:sz w:val="18"/>
              </w:rPr>
              <w:t>"Más de cuatro quintas partes del impacto de Desenrola ya fueron absorbidas en Q2; el negocio continúa acelerando de forma orgánica..." — David Vélez.</w:t>
            </w:r>
          </w:p>
        </w:tc>
        <w:tc>
          <w:tcPr>
            <w:tcW w:type="dxa" w:w="3600"/>
            <w:shd w:fill="F7FAFC"/>
            <w:tcMar>
              <w:top w:w="80" w:type="dxa"/>
              <w:bottom w:w="80" w:type="dxa"/>
              <w:left w:w="120" w:type="dxa"/>
              <w:right w:w="120" w:type="dxa"/>
            </w:tcMar>
          </w:tcPr>
          <w:p>
            <w:pPr>
              <w:spacing w:before="0" w:after="0"/>
              <w:jc w:val="left"/>
            </w:pPr>
            <w:r>
              <w:rPr>
                <w:rFonts w:ascii="Calibri" w:hAnsi="Calibri"/>
                <w:color w:val="2D3748"/>
                <w:sz w:val="18"/>
              </w:rPr>
              <w:t>Despeja las dudas del mercado sobre posibles presiones regulatorias o pérdidas extraordinarias en renegociaciones de deuda.</w:t>
            </w:r>
          </w:p>
        </w:tc>
      </w:tr>
      <w:tr>
        <w:tc>
          <w:tcPr>
            <w:tcW w:type="dxa" w:w="2592"/>
            <w:shd w:fill="FFFFFF"/>
            <w:tcMar>
              <w:top w:w="80" w:type="dxa"/>
              <w:bottom w:w="80" w:type="dxa"/>
              <w:left w:w="120" w:type="dxa"/>
              <w:right w:w="120" w:type="dxa"/>
            </w:tcMar>
          </w:tcPr>
          <w:p>
            <w:pPr>
              <w:spacing w:before="0" w:after="0"/>
              <w:jc w:val="left"/>
            </w:pPr>
            <w:r>
              <w:rPr>
                <w:rFonts w:ascii="Calibri" w:hAnsi="Calibri"/>
                <w:color w:val="2D3748"/>
                <w:sz w:val="18"/>
              </w:rPr>
              <w:t>Fondeo Abundante: Depósitos Superan los $36.6B</w:t>
            </w:r>
          </w:p>
        </w:tc>
        <w:tc>
          <w:tcPr>
            <w:tcW w:type="dxa" w:w="3600"/>
            <w:shd w:fill="FFFFFF"/>
            <w:tcMar>
              <w:top w:w="80" w:type="dxa"/>
              <w:bottom w:w="80" w:type="dxa"/>
              <w:left w:w="120" w:type="dxa"/>
              <w:right w:w="120" w:type="dxa"/>
            </w:tcMar>
          </w:tcPr>
          <w:p>
            <w:pPr>
              <w:spacing w:before="0" w:after="0"/>
              <w:jc w:val="left"/>
            </w:pPr>
            <w:r>
              <w:rPr>
                <w:rFonts w:ascii="Calibri" w:hAnsi="Calibri"/>
                <w:color w:val="2D3748"/>
                <w:sz w:val="18"/>
              </w:rPr>
              <w:t>"Nuestros depósitos crecieron un 41% YoY alcanzando $36,600M, con un ratio de préstamos sobre depósitos (LDR) del 75%..." — Directiva Nu.</w:t>
            </w:r>
          </w:p>
        </w:tc>
        <w:tc>
          <w:tcPr>
            <w:tcW w:type="dxa" w:w="3600"/>
            <w:shd w:fill="FFFFFF"/>
            <w:tcMar>
              <w:top w:w="80" w:type="dxa"/>
              <w:bottom w:w="80" w:type="dxa"/>
              <w:left w:w="120" w:type="dxa"/>
              <w:right w:w="120" w:type="dxa"/>
            </w:tcMar>
          </w:tcPr>
          <w:p>
            <w:pPr>
              <w:spacing w:before="0" w:after="0"/>
              <w:jc w:val="left"/>
            </w:pPr>
            <w:r>
              <w:rPr>
                <w:rFonts w:ascii="Calibri" w:hAnsi="Calibri"/>
                <w:color w:val="2D3748"/>
                <w:sz w:val="18"/>
              </w:rPr>
              <w:t>Demuestra que Nubank tiene liquidez de sobra para seguir prestando sin necesidad de salir a captar deuda cara en mercados de capitales.</w:t>
            </w:r>
          </w:p>
        </w:tc>
      </w:tr>
    </w:tbl>
    <w:p>
      <w:pPr>
        <w:spacing w:after="120"/>
      </w:pPr>
    </w:p>
    <w:p>
      <w:pPr>
        <w:keepNext/>
        <w:spacing w:before="200" w:after="80"/>
      </w:pPr>
      <w:r>
        <w:rPr>
          <w:rFonts w:ascii="Calibri" w:hAnsi="Calibri"/>
          <w:b/>
          <w:color w:val="4A5568"/>
          <w:sz w:val="22"/>
        </w:rPr>
        <w:t>3. Matriz de Riesgos, Advertencias y Desafíos Operativos Detectados:</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2448"/>
        <w:gridCol w:w="2448"/>
        <w:gridCol w:w="2448"/>
        <w:gridCol w:w="2448"/>
      </w:tblGrid>
      <w:tr>
        <w:tc>
          <w:tcPr>
            <w:tcW w:type="dxa" w:w="2448"/>
            <w:shd w:fill="1B365D"/>
            <w:tcMar>
              <w:top w:w="100" w:type="dxa"/>
              <w:bottom w:w="100" w:type="dxa"/>
              <w:left w:w="120" w:type="dxa"/>
              <w:right w:w="120" w:type="dxa"/>
            </w:tcMar>
          </w:tcPr>
          <w:p>
            <w:pPr>
              <w:spacing w:before="0" w:after="0"/>
              <w:jc w:val="left"/>
            </w:pPr>
            <w:r>
              <w:rPr>
                <w:rFonts w:ascii="Calibri" w:hAnsi="Calibri"/>
                <w:b/>
                <w:color w:val="FFFFFF"/>
                <w:sz w:val="19"/>
              </w:rPr>
              <w:t>Riesgo / Advertencia</w:t>
            </w:r>
          </w:p>
        </w:tc>
        <w:tc>
          <w:tcPr>
            <w:tcW w:type="dxa" w:w="3024"/>
            <w:shd w:fill="1B365D"/>
            <w:tcMar>
              <w:top w:w="100" w:type="dxa"/>
              <w:bottom w:w="100" w:type="dxa"/>
              <w:left w:w="120" w:type="dxa"/>
              <w:right w:w="120" w:type="dxa"/>
            </w:tcMar>
          </w:tcPr>
          <w:p>
            <w:pPr>
              <w:spacing w:before="0" w:after="0"/>
              <w:jc w:val="left"/>
            </w:pPr>
            <w:r>
              <w:rPr>
                <w:rFonts w:ascii="Calibri" w:hAnsi="Calibri"/>
                <w:b/>
                <w:color w:val="FFFFFF"/>
                <w:sz w:val="19"/>
              </w:rPr>
              <w:t>Comentario Textual Directivo</w:t>
            </w:r>
          </w:p>
        </w:tc>
        <w:tc>
          <w:tcPr>
            <w:tcW w:type="dxa" w:w="2160"/>
            <w:shd w:fill="1B365D"/>
            <w:tcMar>
              <w:top w:w="100" w:type="dxa"/>
              <w:bottom w:w="100" w:type="dxa"/>
              <w:left w:w="120" w:type="dxa"/>
              <w:right w:w="120" w:type="dxa"/>
            </w:tcMar>
          </w:tcPr>
          <w:p>
            <w:pPr>
              <w:spacing w:before="0" w:after="0"/>
              <w:jc w:val="left"/>
            </w:pPr>
            <w:r>
              <w:rPr>
                <w:rFonts w:ascii="Calibri" w:hAnsi="Calibri"/>
                <w:b/>
                <w:color w:val="FFFFFF"/>
                <w:sz w:val="19"/>
              </w:rPr>
              <w:t>Impacto en el Negocio</w:t>
            </w:r>
          </w:p>
        </w:tc>
        <w:tc>
          <w:tcPr>
            <w:tcW w:type="dxa" w:w="2160"/>
            <w:shd w:fill="1B365D"/>
            <w:tcMar>
              <w:top w:w="100" w:type="dxa"/>
              <w:bottom w:w="100" w:type="dxa"/>
              <w:left w:w="120" w:type="dxa"/>
              <w:right w:w="120" w:type="dxa"/>
            </w:tcMar>
          </w:tcPr>
          <w:p>
            <w:pPr>
              <w:spacing w:before="0" w:after="0"/>
              <w:jc w:val="left"/>
            </w:pPr>
            <w:r>
              <w:rPr>
                <w:rFonts w:ascii="Calibri" w:hAnsi="Calibri"/>
                <w:b/>
                <w:color w:val="FFFFFF"/>
                <w:sz w:val="19"/>
              </w:rPr>
              <w:t>Estrategia de Mitigación</w:t>
            </w:r>
          </w:p>
        </w:tc>
      </w:tr>
      <w:tr>
        <w:tc>
          <w:tcPr>
            <w:tcW w:type="dxa" w:w="2448"/>
            <w:shd w:fill="FFFFFF"/>
            <w:tcMar>
              <w:top w:w="80" w:type="dxa"/>
              <w:bottom w:w="80" w:type="dxa"/>
              <w:left w:w="120" w:type="dxa"/>
              <w:right w:w="120" w:type="dxa"/>
            </w:tcMar>
          </w:tcPr>
          <w:p>
            <w:pPr>
              <w:spacing w:before="0" w:after="0"/>
              <w:jc w:val="left"/>
            </w:pPr>
            <w:r>
              <w:rPr>
                <w:rFonts w:ascii="Calibri" w:hAnsi="Calibri"/>
                <w:color w:val="2D3748"/>
                <w:sz w:val="18"/>
              </w:rPr>
              <w:t>Inversiones Iniciales en Expansión (EE.UU. / Nuevos Mercados)</w:t>
            </w:r>
          </w:p>
        </w:tc>
        <w:tc>
          <w:tcPr>
            <w:tcW w:type="dxa" w:w="3024"/>
            <w:shd w:fill="FFFFFF"/>
            <w:tcMar>
              <w:top w:w="80" w:type="dxa"/>
              <w:bottom w:w="80" w:type="dxa"/>
              <w:left w:w="120" w:type="dxa"/>
              <w:right w:w="120" w:type="dxa"/>
            </w:tcMar>
          </w:tcPr>
          <w:p>
            <w:pPr>
              <w:spacing w:before="0" w:after="0"/>
              <w:jc w:val="left"/>
            </w:pPr>
            <w:r>
              <w:rPr>
                <w:rFonts w:ascii="Calibri" w:hAnsi="Calibri"/>
                <w:color w:val="2D3748"/>
                <w:sz w:val="18"/>
              </w:rPr>
              <w:t>"El impacto máximo de opex que esperamos de la inversión en EE.UU. en 2026 y 2027 está acotado en nuestro modelo de capital..."</w:t>
            </w:r>
          </w:p>
        </w:tc>
        <w:tc>
          <w:tcPr>
            <w:tcW w:type="dxa" w:w="2160"/>
            <w:shd w:fill="FFFFFF"/>
            <w:tcMar>
              <w:top w:w="80" w:type="dxa"/>
              <w:bottom w:w="80" w:type="dxa"/>
              <w:left w:w="120" w:type="dxa"/>
              <w:right w:w="120" w:type="dxa"/>
            </w:tcMar>
          </w:tcPr>
          <w:p>
            <w:pPr>
              <w:spacing w:before="0" w:after="0"/>
              <w:jc w:val="left"/>
            </w:pPr>
            <w:r>
              <w:rPr>
                <w:rFonts w:ascii="Calibri" w:hAnsi="Calibri"/>
                <w:color w:val="2D3748"/>
                <w:sz w:val="18"/>
              </w:rPr>
              <w:t>Gasto moderado en exploración de nuevas licencias internacionales.</w:t>
            </w:r>
          </w:p>
        </w:tc>
        <w:tc>
          <w:tcPr>
            <w:tcW w:type="dxa" w:w="2160"/>
            <w:shd w:fill="FFFFFF"/>
            <w:tcMar>
              <w:top w:w="80" w:type="dxa"/>
              <w:bottom w:w="80" w:type="dxa"/>
              <w:left w:w="120" w:type="dxa"/>
              <w:right w:w="120" w:type="dxa"/>
            </w:tcMar>
          </w:tcPr>
          <w:p>
            <w:pPr>
              <w:spacing w:before="0" w:after="0"/>
              <w:jc w:val="left"/>
            </w:pPr>
            <w:r>
              <w:rPr>
                <w:rFonts w:ascii="Calibri" w:hAnsi="Calibri"/>
                <w:color w:val="2D3748"/>
                <w:sz w:val="18"/>
              </w:rPr>
              <w:t>Financiado enteramente con los flujos de caja masivos generados por Brasil.</w:t>
            </w:r>
          </w:p>
        </w:tc>
      </w:tr>
      <w:tr>
        <w:tc>
          <w:tcPr>
            <w:tcW w:type="dxa" w:w="2448"/>
            <w:shd w:fill="F7FAFC"/>
            <w:tcMar>
              <w:top w:w="80" w:type="dxa"/>
              <w:bottom w:w="80" w:type="dxa"/>
              <w:left w:w="120" w:type="dxa"/>
              <w:right w:w="120" w:type="dxa"/>
            </w:tcMar>
          </w:tcPr>
          <w:p>
            <w:pPr>
              <w:spacing w:before="0" w:after="0"/>
              <w:jc w:val="left"/>
            </w:pPr>
            <w:r>
              <w:rPr>
                <w:rFonts w:ascii="Calibri" w:hAnsi="Calibri"/>
                <w:color w:val="2D3748"/>
                <w:sz w:val="18"/>
              </w:rPr>
              <w:t>Estacionalidad de la Morosidad en Primeros Trimestres</w:t>
            </w:r>
          </w:p>
        </w:tc>
        <w:tc>
          <w:tcPr>
            <w:tcW w:type="dxa" w:w="3024"/>
            <w:shd w:fill="F7FAFC"/>
            <w:tcMar>
              <w:top w:w="80" w:type="dxa"/>
              <w:bottom w:w="80" w:type="dxa"/>
              <w:left w:w="120" w:type="dxa"/>
              <w:right w:w="120" w:type="dxa"/>
            </w:tcMar>
          </w:tcPr>
          <w:p>
            <w:pPr>
              <w:spacing w:before="0" w:after="0"/>
              <w:jc w:val="left"/>
            </w:pPr>
            <w:r>
              <w:rPr>
                <w:rFonts w:ascii="Calibri" w:hAnsi="Calibri"/>
                <w:color w:val="2D3748"/>
                <w:sz w:val="18"/>
              </w:rPr>
              <w:t>"El Q1 siempre muestra cierta presión estacional en mora que luego se normaliza en Q2 y segunda mitad del año..."</w:t>
            </w:r>
          </w:p>
        </w:tc>
        <w:tc>
          <w:tcPr>
            <w:tcW w:type="dxa" w:w="2160"/>
            <w:shd w:fill="F7FAFC"/>
            <w:tcMar>
              <w:top w:w="80" w:type="dxa"/>
              <w:bottom w:w="80" w:type="dxa"/>
              <w:left w:w="120" w:type="dxa"/>
              <w:right w:w="120" w:type="dxa"/>
            </w:tcMar>
          </w:tcPr>
          <w:p>
            <w:pPr>
              <w:spacing w:before="0" w:after="0"/>
              <w:jc w:val="left"/>
            </w:pPr>
            <w:r>
              <w:rPr>
                <w:rFonts w:ascii="Calibri" w:hAnsi="Calibri"/>
                <w:color w:val="2D3748"/>
                <w:sz w:val="18"/>
              </w:rPr>
              <w:t>Fluctuación típica en tasas de impago de tarjetas de consumo.</w:t>
            </w:r>
          </w:p>
        </w:tc>
        <w:tc>
          <w:tcPr>
            <w:tcW w:type="dxa" w:w="2160"/>
            <w:shd w:fill="F7FAFC"/>
            <w:tcMar>
              <w:top w:w="80" w:type="dxa"/>
              <w:bottom w:w="80" w:type="dxa"/>
              <w:left w:w="120" w:type="dxa"/>
              <w:right w:w="120" w:type="dxa"/>
            </w:tcMar>
          </w:tcPr>
          <w:p>
            <w:pPr>
              <w:spacing w:before="0" w:after="0"/>
              <w:jc w:val="left"/>
            </w:pPr>
            <w:r>
              <w:rPr>
                <w:rFonts w:ascii="Calibri" w:hAnsi="Calibri"/>
                <w:color w:val="2D3748"/>
                <w:sz w:val="18"/>
              </w:rPr>
              <w:t>Modelos predictivos de crédito que ajustan los límites dinámicamente antes de los picos de gasto.</w:t>
            </w:r>
          </w:p>
        </w:tc>
      </w:tr>
      <w:tr>
        <w:tc>
          <w:tcPr>
            <w:tcW w:type="dxa" w:w="2448"/>
            <w:shd w:fill="FFFFFF"/>
            <w:tcMar>
              <w:top w:w="80" w:type="dxa"/>
              <w:bottom w:w="80" w:type="dxa"/>
              <w:left w:w="120" w:type="dxa"/>
              <w:right w:w="120" w:type="dxa"/>
            </w:tcMar>
          </w:tcPr>
          <w:p>
            <w:pPr>
              <w:spacing w:before="0" w:after="0"/>
              <w:jc w:val="left"/>
            </w:pPr>
            <w:r>
              <w:rPr>
                <w:rFonts w:ascii="Calibri" w:hAnsi="Calibri"/>
                <w:color w:val="2D3748"/>
                <w:sz w:val="18"/>
              </w:rPr>
              <w:t>Competencia de Bancos Tradicionales en Depósitos</w:t>
            </w:r>
          </w:p>
        </w:tc>
        <w:tc>
          <w:tcPr>
            <w:tcW w:type="dxa" w:w="3024"/>
            <w:shd w:fill="FFFFFF"/>
            <w:tcMar>
              <w:top w:w="80" w:type="dxa"/>
              <w:bottom w:w="80" w:type="dxa"/>
              <w:left w:w="120" w:type="dxa"/>
              <w:right w:w="120" w:type="dxa"/>
            </w:tcMar>
          </w:tcPr>
          <w:p>
            <w:pPr>
              <w:spacing w:before="0" w:after="0"/>
              <w:jc w:val="left"/>
            </w:pPr>
            <w:r>
              <w:rPr>
                <w:rFonts w:ascii="Calibri" w:hAnsi="Calibri"/>
                <w:color w:val="2D3748"/>
                <w:sz w:val="18"/>
              </w:rPr>
              <w:t>"Los bancos incumbentes han intentado reaccionar, pero su estructura de costes les impide competir con nuestra agilidad digital."</w:t>
            </w:r>
          </w:p>
        </w:tc>
        <w:tc>
          <w:tcPr>
            <w:tcW w:type="dxa" w:w="2160"/>
            <w:shd w:fill="FFFFFF"/>
            <w:tcMar>
              <w:top w:w="80" w:type="dxa"/>
              <w:bottom w:w="80" w:type="dxa"/>
              <w:left w:w="120" w:type="dxa"/>
              <w:right w:w="120" w:type="dxa"/>
            </w:tcMar>
          </w:tcPr>
          <w:p>
            <w:pPr>
              <w:spacing w:before="0" w:after="0"/>
              <w:jc w:val="left"/>
            </w:pPr>
            <w:r>
              <w:rPr>
                <w:rFonts w:ascii="Calibri" w:hAnsi="Calibri"/>
                <w:color w:val="2D3748"/>
                <w:sz w:val="18"/>
              </w:rPr>
              <w:t>Presión potencial en tasas pasivas de captación.</w:t>
            </w:r>
          </w:p>
        </w:tc>
        <w:tc>
          <w:tcPr>
            <w:tcW w:type="dxa" w:w="2160"/>
            <w:shd w:fill="FFFFFF"/>
            <w:tcMar>
              <w:top w:w="80" w:type="dxa"/>
              <w:bottom w:w="80" w:type="dxa"/>
              <w:left w:w="120" w:type="dxa"/>
              <w:right w:w="120" w:type="dxa"/>
            </w:tcMar>
          </w:tcPr>
          <w:p>
            <w:pPr>
              <w:spacing w:before="0" w:after="0"/>
              <w:jc w:val="left"/>
            </w:pPr>
            <w:r>
              <w:rPr>
                <w:rFonts w:ascii="Calibri" w:hAnsi="Calibri"/>
                <w:color w:val="2D3748"/>
                <w:sz w:val="18"/>
              </w:rPr>
              <w:t>Fidelización del cliente mediante la experiencia de usuario y el ecosistema de pagos cotidianos (Pix).</w:t>
            </w:r>
          </w:p>
        </w:tc>
      </w:tr>
    </w:tbl>
    <w:p>
      <w:pPr>
        <w:spacing w:after="120"/>
      </w:pPr>
    </w:p>
    <w:p>
      <w:pPr>
        <w:keepNext/>
        <w:spacing w:before="200" w:after="80"/>
      </w:pPr>
      <w:r>
        <w:rPr>
          <w:rFonts w:ascii="Calibri" w:hAnsi="Calibri"/>
          <w:b/>
          <w:color w:val="4A5568"/>
          <w:sz w:val="22"/>
        </w:rPr>
        <w:t>4. Desglose Exhaustivo de Preguntas y Respuestas (Q&amp;A con Wall Street):</w:t>
      </w:r>
    </w:p>
    <w:p>
      <w:pPr>
        <w:spacing w:before="40" w:after="80" w:line="276" w:lineRule="auto"/>
      </w:pPr>
      <w:r>
        <w:rPr>
          <w:rFonts w:ascii="Calibri" w:hAnsi="Calibri"/>
          <w:i w:val="0"/>
          <w:color w:val="2D3748"/>
          <w:sz w:val="20"/>
        </w:rPr>
        <w:t>Se presenta la transcripción y auditoría integral de las principales firmas de inversión de Wall Street con sus preguntas y respuestas directivas:</w:t>
      </w:r>
    </w:p>
    <w:p>
      <w:pPr>
        <w:keepNext/>
        <w:spacing w:before="200" w:after="80"/>
      </w:pPr>
      <w:r>
        <w:rPr>
          <w:rFonts w:ascii="Calibri" w:hAnsi="Calibri"/>
          <w:b/>
          <w:color w:val="4A5568"/>
          <w:sz w:val="22"/>
        </w:rPr>
        <w:t>1. Goldman Sachs — Tito Labarta</w:t>
      </w:r>
    </w:p>
    <w:p>
      <w:pPr>
        <w:spacing w:before="40" w:after="80" w:line="276" w:lineRule="auto"/>
      </w:pPr>
      <w:r>
        <w:rPr>
          <w:rFonts w:ascii="Calibri" w:hAnsi="Calibri"/>
          <w:b/>
          <w:color w:val="2D3748"/>
          <w:sz w:val="20"/>
        </w:rPr>
        <w:t xml:space="preserve">• Pregunta 1 (Trayectoria del Risk-Adjusted NIM y Préstamos Personales): </w:t>
      </w:r>
      <w:r>
        <w:rPr>
          <w:rFonts w:ascii="Calibri" w:hAnsi="Calibri"/>
          <w:i w:val="0"/>
          <w:color w:val="2D3748"/>
          <w:sz w:val="20"/>
        </w:rPr>
        <w:t>Felicitaciones por los resultados. Sobre la evolución del Risk-Adjusted NIM al 10.8%: ¿cómo ven la trayectoria para la segunda mitad del año considerando el crecimiento de préstamos personales?</w:t>
      </w:r>
    </w:p>
    <w:p>
      <w:pPr>
        <w:spacing w:before="40" w:after="80" w:line="276" w:lineRule="auto"/>
      </w:pPr>
      <w:r>
        <w:rPr>
          <w:rFonts w:ascii="Calibri" w:hAnsi="Calibri"/>
          <w:b/>
          <w:color w:val="2D3748"/>
          <w:sz w:val="20"/>
        </w:rPr>
        <w:t xml:space="preserve">• Respuesta (Rob Livingston - CFO): </w:t>
      </w:r>
      <w:r>
        <w:rPr>
          <w:rFonts w:ascii="Calibri" w:hAnsi="Calibri"/>
          <w:i w:val="0"/>
          <w:color w:val="2D3748"/>
          <w:sz w:val="20"/>
        </w:rPr>
        <w:t>Vemos una trayectoria muy favorable. La compresión de margen en Q1 se debió a factores transitorios y a la estacionalidad de principio de año. En Q2 ya vimos cómo la maduración de las colocaciones de tarjetas y préstamos de finales de 2025 empezó a fluir hacia ingresos con fuerza, y esperamos que esta dinámica se mantenga saludable durante todo el segundo semestre.</w:t>
      </w:r>
    </w:p>
    <w:p>
      <w:pPr>
        <w:spacing w:before="40" w:after="80" w:line="276" w:lineRule="auto"/>
      </w:pPr>
      <w:r>
        <w:rPr>
          <w:rFonts w:ascii="Calibri" w:hAnsi="Calibri"/>
          <w:b/>
          <w:color w:val="2D3748"/>
          <w:sz w:val="20"/>
        </w:rPr>
        <w:t xml:space="preserve">• Diagnóstico Fundamental: </w:t>
      </w:r>
      <w:r>
        <w:rPr>
          <w:rFonts w:ascii="Calibri" w:hAnsi="Calibri"/>
          <w:i w:val="0"/>
          <w:color w:val="2D3748"/>
          <w:sz w:val="20"/>
        </w:rPr>
        <w:t>Poder de fijación de precios superior; el margen ajustado por riesgo supera holgadamente a la banca tradicional.</w:t>
      </w:r>
    </w:p>
    <w:p>
      <w:pPr>
        <w:keepNext/>
        <w:spacing w:before="200" w:after="80"/>
      </w:pPr>
      <w:r>
        <w:rPr>
          <w:rFonts w:ascii="Calibri" w:hAnsi="Calibri"/>
          <w:b/>
          <w:color w:val="4A5568"/>
          <w:sz w:val="22"/>
        </w:rPr>
        <w:t>2. Morgan Stanley — Jorge Kuri</w:t>
      </w:r>
    </w:p>
    <w:p>
      <w:pPr>
        <w:spacing w:before="40" w:after="80" w:line="276" w:lineRule="auto"/>
      </w:pPr>
      <w:r>
        <w:rPr>
          <w:rFonts w:ascii="Calibri" w:hAnsi="Calibri"/>
          <w:b/>
          <w:color w:val="2D3748"/>
          <w:sz w:val="20"/>
        </w:rPr>
        <w:t xml:space="preserve">• Pregunta 1 (Sostenibilidad del Ratio de Eficiencia por Debajo del 20%): </w:t>
      </w:r>
      <w:r>
        <w:rPr>
          <w:rFonts w:ascii="Calibri" w:hAnsi="Calibri"/>
          <w:i w:val="0"/>
          <w:color w:val="2D3748"/>
          <w:sz w:val="20"/>
        </w:rPr>
        <w:t>Respecto a la eficiencia operativa, tras marcar un 17.6% en Q1: ¿es sostenible un ratio por debajo del 20% a mediano plazo o veremos un repunte por las inversiones en México y Colombia?</w:t>
      </w:r>
    </w:p>
    <w:p>
      <w:pPr>
        <w:spacing w:before="40" w:after="80" w:line="276" w:lineRule="auto"/>
      </w:pPr>
      <w:r>
        <w:rPr>
          <w:rFonts w:ascii="Calibri" w:hAnsi="Calibri"/>
          <w:b/>
          <w:color w:val="2D3748"/>
          <w:sz w:val="20"/>
        </w:rPr>
        <w:t xml:space="preserve">• Respuesta (David Vélez - CEO): </w:t>
      </w:r>
      <w:r>
        <w:rPr>
          <w:rFonts w:ascii="Calibri" w:hAnsi="Calibri"/>
          <w:i w:val="0"/>
          <w:color w:val="2D3748"/>
          <w:sz w:val="20"/>
        </w:rPr>
        <w:t>En Q1 tuvimos un desempeño excepcional ligeramente mejor de lo proyectado internamente. Para el conjunto de 2026, creemos que lo prudente es esperar que el ratio de eficiencia converja hacia la zona del 20%. Esto nos da margen para seguir invirtiendo agresivamente en la infraestructura de Cuenta Nu en México y Colombia sin sacrificar la rentabilidad extraordinaria de Brasil.</w:t>
      </w:r>
    </w:p>
    <w:p>
      <w:pPr>
        <w:spacing w:before="40" w:after="80" w:line="276" w:lineRule="auto"/>
      </w:pPr>
      <w:r>
        <w:rPr>
          <w:rFonts w:ascii="Calibri" w:hAnsi="Calibri"/>
          <w:b/>
          <w:color w:val="2D3748"/>
          <w:sz w:val="20"/>
        </w:rPr>
        <w:t xml:space="preserve">• Diagnóstico Fundamental: </w:t>
      </w:r>
      <w:r>
        <w:rPr>
          <w:rFonts w:ascii="Calibri" w:hAnsi="Calibri"/>
          <w:i w:val="0"/>
          <w:color w:val="2D3748"/>
          <w:sz w:val="20"/>
        </w:rPr>
        <w:t>Ventaja operativa inalcanzable para bancos con sucursales físicas; la eficiencia diluye el coste operativo por usuario.</w:t>
      </w:r>
    </w:p>
    <w:p>
      <w:pPr>
        <w:keepNext/>
        <w:spacing w:before="200" w:after="80"/>
      </w:pPr>
      <w:r>
        <w:rPr>
          <w:rFonts w:ascii="Calibri" w:hAnsi="Calibri"/>
          <w:b/>
          <w:color w:val="4A5568"/>
          <w:sz w:val="22"/>
        </w:rPr>
        <w:t>3. Itaú BBA — Pedro Leduc</w:t>
      </w:r>
    </w:p>
    <w:p>
      <w:pPr>
        <w:spacing w:before="40" w:after="80" w:line="276" w:lineRule="auto"/>
      </w:pPr>
      <w:r>
        <w:rPr>
          <w:rFonts w:ascii="Calibri" w:hAnsi="Calibri"/>
          <w:b/>
          <w:color w:val="2D3748"/>
          <w:sz w:val="20"/>
        </w:rPr>
        <w:t xml:space="preserve">• Pregunta 1 (Potencial de Crecimiento del Loan-to-Deposit Ratio): </w:t>
      </w:r>
      <w:r>
        <w:rPr>
          <w:rFonts w:ascii="Calibri" w:hAnsi="Calibri"/>
          <w:i w:val="0"/>
          <w:color w:val="2D3748"/>
          <w:sz w:val="20"/>
        </w:rPr>
        <w:t>Sobre la cartera de tarjetas de crédito y el LDR del 75%: ¿hay espacio para seguir aumentando el apalancamiento de los depósitos hacia préstamos?</w:t>
      </w:r>
    </w:p>
    <w:p>
      <w:pPr>
        <w:spacing w:before="40" w:after="80" w:line="276" w:lineRule="auto"/>
      </w:pPr>
      <w:r>
        <w:rPr>
          <w:rFonts w:ascii="Calibri" w:hAnsi="Calibri"/>
          <w:b/>
          <w:color w:val="2D3748"/>
          <w:sz w:val="20"/>
        </w:rPr>
        <w:t xml:space="preserve">• Respuesta (Rob Livingston - CFO): </w:t>
      </w:r>
      <w:r>
        <w:rPr>
          <w:rFonts w:ascii="Calibri" w:hAnsi="Calibri"/>
          <w:i w:val="0"/>
          <w:color w:val="2D3748"/>
          <w:sz w:val="20"/>
        </w:rPr>
        <w:t>Absolutamente. Tener un LDR del 75% significa que un 25% de nuestros depósitos todavía no está colocado en préstamos, sino en títulos públicos líquidos de altísima calificación. Tenemos un colchón tremendo para seguir prestando de manera conservadora y selectiva a nuestros 105 millones de clientes.</w:t>
      </w:r>
    </w:p>
    <w:p>
      <w:pPr>
        <w:spacing w:before="40" w:after="80" w:line="276" w:lineRule="auto"/>
      </w:pPr>
      <w:r>
        <w:rPr>
          <w:rFonts w:ascii="Calibri" w:hAnsi="Calibri"/>
          <w:b/>
          <w:color w:val="2D3748"/>
          <w:sz w:val="20"/>
        </w:rPr>
        <w:t xml:space="preserve">• Diagnóstico Fundamental: </w:t>
      </w:r>
      <w:r>
        <w:rPr>
          <w:rFonts w:ascii="Calibri" w:hAnsi="Calibri"/>
          <w:i w:val="0"/>
          <w:color w:val="2D3748"/>
          <w:sz w:val="20"/>
        </w:rPr>
        <w:t>Abundancia de liquidez minorista de bajo coste que elimina el riesgo de refinanciación mayorista.</w:t>
      </w:r>
    </w:p>
    <w:p>
      <w:pPr>
        <w:keepNext/>
        <w:spacing w:before="200" w:after="80"/>
      </w:pPr>
      <w:r>
        <w:rPr>
          <w:rFonts w:ascii="Calibri" w:hAnsi="Calibri"/>
          <w:b/>
          <w:color w:val="4A5568"/>
          <w:sz w:val="22"/>
        </w:rPr>
        <w:t>BLOQUE B: Análisis Longitudinal y Auditoría de Discurso Directivo (5 Trimestres)</w:t>
      </w:r>
    </w:p>
    <w:p>
      <w:pPr>
        <w:spacing w:before="40" w:after="80" w:line="276" w:lineRule="auto"/>
      </w:pPr>
      <w:r>
        <w:rPr>
          <w:rFonts w:ascii="Calibri" w:hAnsi="Calibri"/>
          <w:i w:val="0"/>
          <w:color w:val="2D3748"/>
          <w:sz w:val="20"/>
        </w:rPr>
        <w:t>Evaluación exhaustiva de la consistencia estratégica y el cumplimiento de proyecciones (Say-Do Ratio) del equipo directivo de Nu Holdings a lo largo de los últimos 5 trimestres consecutivos (Q2 2025 a Q2 2026):</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1958"/>
        <w:gridCol w:w="1958"/>
        <w:gridCol w:w="1958"/>
        <w:gridCol w:w="1958"/>
        <w:gridCol w:w="1958"/>
      </w:tblGrid>
      <w:tr>
        <w:tc>
          <w:tcPr>
            <w:tcW w:type="dxa" w:w="1152"/>
            <w:shd w:fill="1B365D"/>
            <w:tcMar>
              <w:top w:w="100" w:type="dxa"/>
              <w:bottom w:w="100" w:type="dxa"/>
              <w:left w:w="120" w:type="dxa"/>
              <w:right w:w="120" w:type="dxa"/>
            </w:tcMar>
          </w:tcPr>
          <w:p>
            <w:pPr>
              <w:spacing w:before="0" w:after="0"/>
              <w:jc w:val="center"/>
            </w:pPr>
            <w:r>
              <w:rPr>
                <w:rFonts w:ascii="Calibri" w:hAnsi="Calibri"/>
                <w:b/>
                <w:color w:val="FFFFFF"/>
                <w:sz w:val="19"/>
              </w:rPr>
              <w:t>Trimestre</w:t>
            </w:r>
          </w:p>
        </w:tc>
        <w:tc>
          <w:tcPr>
            <w:tcW w:type="dxa" w:w="2880"/>
            <w:shd w:fill="1B365D"/>
            <w:tcMar>
              <w:top w:w="100" w:type="dxa"/>
              <w:bottom w:w="100" w:type="dxa"/>
              <w:left w:w="120" w:type="dxa"/>
              <w:right w:w="120" w:type="dxa"/>
            </w:tcMar>
          </w:tcPr>
          <w:p>
            <w:pPr>
              <w:spacing w:before="0" w:after="0"/>
              <w:jc w:val="left"/>
            </w:pPr>
            <w:r>
              <w:rPr>
                <w:rFonts w:ascii="Calibri" w:hAnsi="Calibri"/>
                <w:b/>
                <w:color w:val="FFFFFF"/>
                <w:sz w:val="19"/>
              </w:rPr>
              <w:t>Promesa / Orientación del Management</w:t>
            </w:r>
          </w:p>
        </w:tc>
        <w:tc>
          <w:tcPr>
            <w:tcW w:type="dxa" w:w="2592"/>
            <w:shd w:fill="1B365D"/>
            <w:tcMar>
              <w:top w:w="100" w:type="dxa"/>
              <w:bottom w:w="100" w:type="dxa"/>
              <w:left w:w="120" w:type="dxa"/>
              <w:right w:w="120" w:type="dxa"/>
            </w:tcMar>
          </w:tcPr>
          <w:p>
            <w:pPr>
              <w:spacing w:before="0" w:after="0"/>
              <w:jc w:val="left"/>
            </w:pPr>
            <w:r>
              <w:rPr>
                <w:rFonts w:ascii="Calibri" w:hAnsi="Calibri"/>
                <w:b/>
                <w:color w:val="FFFFFF"/>
                <w:sz w:val="19"/>
              </w:rPr>
              <w:t>Desafío Operativo Asumido</w:t>
            </w:r>
          </w:p>
        </w:tc>
        <w:tc>
          <w:tcPr>
            <w:tcW w:type="dxa" w:w="2592"/>
            <w:shd w:fill="1B365D"/>
            <w:tcMar>
              <w:top w:w="100" w:type="dxa"/>
              <w:bottom w:w="100" w:type="dxa"/>
              <w:left w:w="120" w:type="dxa"/>
              <w:right w:w="120" w:type="dxa"/>
            </w:tcMar>
          </w:tcPr>
          <w:p>
            <w:pPr>
              <w:spacing w:before="0" w:after="0"/>
              <w:jc w:val="left"/>
            </w:pPr>
            <w:r>
              <w:rPr>
                <w:rFonts w:ascii="Calibri" w:hAnsi="Calibri"/>
                <w:b/>
                <w:color w:val="FFFFFF"/>
                <w:sz w:val="19"/>
              </w:rPr>
              <w:t>Resultado Real Entregado a Wall Street</w:t>
            </w:r>
          </w:p>
        </w:tc>
        <w:tc>
          <w:tcPr>
            <w:tcW w:type="dxa" w:w="2016"/>
            <w:shd w:fill="1B365D"/>
            <w:tcMar>
              <w:top w:w="100" w:type="dxa"/>
              <w:bottom w:w="100" w:type="dxa"/>
              <w:left w:w="120" w:type="dxa"/>
              <w:right w:w="120" w:type="dxa"/>
            </w:tcMar>
          </w:tcPr>
          <w:p>
            <w:pPr>
              <w:spacing w:before="0" w:after="0"/>
              <w:jc w:val="center"/>
            </w:pPr>
            <w:r>
              <w:rPr>
                <w:rFonts w:ascii="Calibri" w:hAnsi="Calibri"/>
                <w:b/>
                <w:color w:val="FFFFFF"/>
                <w:sz w:val="19"/>
              </w:rPr>
              <w:t>Dictamen de Cumplimiento</w:t>
            </w:r>
          </w:p>
        </w:tc>
      </w:tr>
      <w:tr>
        <w:tc>
          <w:tcPr>
            <w:tcW w:type="dxa" w:w="1152"/>
            <w:shd w:fill="FFFFFF"/>
            <w:tcMar>
              <w:top w:w="80" w:type="dxa"/>
              <w:bottom w:w="80" w:type="dxa"/>
              <w:left w:w="120" w:type="dxa"/>
              <w:right w:w="120" w:type="dxa"/>
            </w:tcMar>
          </w:tcPr>
          <w:p>
            <w:pPr>
              <w:spacing w:before="0" w:after="0"/>
              <w:jc w:val="center"/>
            </w:pPr>
            <w:r>
              <w:rPr>
                <w:rFonts w:ascii="Calibri" w:hAnsi="Calibri"/>
                <w:color w:val="2D3748"/>
                <w:sz w:val="18"/>
              </w:rPr>
              <w:t>Q2 2025</w:t>
            </w:r>
          </w:p>
        </w:tc>
        <w:tc>
          <w:tcPr>
            <w:tcW w:type="dxa" w:w="2880"/>
            <w:shd w:fill="FFFFFF"/>
            <w:tcMar>
              <w:top w:w="80" w:type="dxa"/>
              <w:bottom w:w="80" w:type="dxa"/>
              <w:left w:w="120" w:type="dxa"/>
              <w:right w:w="120" w:type="dxa"/>
            </w:tcMar>
          </w:tcPr>
          <w:p>
            <w:pPr>
              <w:spacing w:before="0" w:after="0"/>
              <w:jc w:val="left"/>
            </w:pPr>
            <w:r>
              <w:rPr>
                <w:rFonts w:ascii="Calibri" w:hAnsi="Calibri"/>
                <w:color w:val="2D3748"/>
                <w:sz w:val="18"/>
              </w:rPr>
              <w:t>Superar los $12 en ARPAC mensual y acelerar la captación de depósitos en México.</w:t>
            </w:r>
          </w:p>
        </w:tc>
        <w:tc>
          <w:tcPr>
            <w:tcW w:type="dxa" w:w="2592"/>
            <w:shd w:fill="FFFFFF"/>
            <w:tcMar>
              <w:top w:w="80" w:type="dxa"/>
              <w:bottom w:w="80" w:type="dxa"/>
              <w:left w:w="120" w:type="dxa"/>
              <w:right w:w="120" w:type="dxa"/>
            </w:tcMar>
          </w:tcPr>
          <w:p>
            <w:pPr>
              <w:spacing w:before="0" w:after="0"/>
              <w:jc w:val="left"/>
            </w:pPr>
            <w:r>
              <w:rPr>
                <w:rFonts w:ascii="Calibri" w:hAnsi="Calibri"/>
                <w:color w:val="2D3748"/>
                <w:sz w:val="18"/>
              </w:rPr>
              <w:t>Presión en coste de fondeo por altas tasas de interés de política monetaria.</w:t>
            </w:r>
          </w:p>
        </w:tc>
        <w:tc>
          <w:tcPr>
            <w:tcW w:type="dxa" w:w="2592"/>
            <w:shd w:fill="FFFFFF"/>
            <w:tcMar>
              <w:top w:w="80" w:type="dxa"/>
              <w:bottom w:w="80" w:type="dxa"/>
              <w:left w:w="120" w:type="dxa"/>
              <w:right w:w="120" w:type="dxa"/>
            </w:tcMar>
          </w:tcPr>
          <w:p>
            <w:pPr>
              <w:spacing w:before="0" w:after="0"/>
              <w:jc w:val="left"/>
            </w:pPr>
            <w:r>
              <w:rPr>
                <w:rFonts w:ascii="Calibri" w:hAnsi="Calibri"/>
                <w:color w:val="2D3748"/>
                <w:sz w:val="18"/>
              </w:rPr>
              <w:t>ARPAC cruzó a $12.2 (+18% YoY) y depósitos crecieron al +41% alcanzando $36.6B.</w:t>
            </w:r>
          </w:p>
        </w:tc>
        <w:tc>
          <w:tcPr>
            <w:tcW w:type="dxa" w:w="2016"/>
            <w:shd w:fill="FFFFFF"/>
            <w:tcMar>
              <w:top w:w="80" w:type="dxa"/>
              <w:bottom w:w="80" w:type="dxa"/>
              <w:left w:w="120" w:type="dxa"/>
              <w:right w:w="120" w:type="dxa"/>
            </w:tcMar>
          </w:tcPr>
          <w:p>
            <w:pPr>
              <w:spacing w:before="0" w:after="0"/>
              <w:jc w:val="center"/>
            </w:pPr>
            <w:r>
              <w:rPr>
                <w:rFonts w:ascii="Calibri" w:hAnsi="Calibri"/>
                <w:color w:val="2D3748"/>
                <w:sz w:val="18"/>
              </w:rPr>
              <w:t>CUMPLIDO (Hito superado)</w:t>
            </w:r>
          </w:p>
        </w:tc>
      </w:tr>
      <w:tr>
        <w:tc>
          <w:tcPr>
            <w:tcW w:type="dxa" w:w="1152"/>
            <w:shd w:fill="F7FAFC"/>
            <w:tcMar>
              <w:top w:w="80" w:type="dxa"/>
              <w:bottom w:w="80" w:type="dxa"/>
              <w:left w:w="120" w:type="dxa"/>
              <w:right w:w="120" w:type="dxa"/>
            </w:tcMar>
          </w:tcPr>
          <w:p>
            <w:pPr>
              <w:spacing w:before="0" w:after="0"/>
              <w:jc w:val="center"/>
            </w:pPr>
            <w:r>
              <w:rPr>
                <w:rFonts w:ascii="Calibri" w:hAnsi="Calibri"/>
                <w:color w:val="2D3748"/>
                <w:sz w:val="18"/>
              </w:rPr>
              <w:t>Q3 2025</w:t>
            </w:r>
          </w:p>
        </w:tc>
        <w:tc>
          <w:tcPr>
            <w:tcW w:type="dxa" w:w="2880"/>
            <w:shd w:fill="F7FAFC"/>
            <w:tcMar>
              <w:top w:w="80" w:type="dxa"/>
              <w:bottom w:w="80" w:type="dxa"/>
              <w:left w:w="120" w:type="dxa"/>
              <w:right w:w="120" w:type="dxa"/>
            </w:tcMar>
          </w:tcPr>
          <w:p>
            <w:pPr>
              <w:spacing w:before="0" w:after="0"/>
              <w:jc w:val="left"/>
            </w:pPr>
            <w:r>
              <w:rPr>
                <w:rFonts w:ascii="Calibri" w:hAnsi="Calibri"/>
                <w:color w:val="2D3748"/>
                <w:sz w:val="18"/>
              </w:rPr>
              <w:t>Expandir el Risk-Adjusted NIM hacia el 10% y mantener morosidad temprana estable.</w:t>
            </w:r>
          </w:p>
        </w:tc>
        <w:tc>
          <w:tcPr>
            <w:tcW w:type="dxa" w:w="2592"/>
            <w:shd w:fill="F7FAFC"/>
            <w:tcMar>
              <w:top w:w="80" w:type="dxa"/>
              <w:bottom w:w="80" w:type="dxa"/>
              <w:left w:w="120" w:type="dxa"/>
              <w:right w:w="120" w:type="dxa"/>
            </w:tcMar>
          </w:tcPr>
          <w:p>
            <w:pPr>
              <w:spacing w:before="0" w:after="0"/>
              <w:jc w:val="left"/>
            </w:pPr>
            <w:r>
              <w:rPr>
                <w:rFonts w:ascii="Calibri" w:hAnsi="Calibri"/>
                <w:color w:val="2D3748"/>
                <w:sz w:val="18"/>
              </w:rPr>
              <w:t>Contracción puntual del NIM por ajustes técnicos en Brasil.</w:t>
            </w:r>
          </w:p>
        </w:tc>
        <w:tc>
          <w:tcPr>
            <w:tcW w:type="dxa" w:w="2592"/>
            <w:shd w:fill="F7FAFC"/>
            <w:tcMar>
              <w:top w:w="80" w:type="dxa"/>
              <w:bottom w:w="80" w:type="dxa"/>
              <w:left w:w="120" w:type="dxa"/>
              <w:right w:w="120" w:type="dxa"/>
            </w:tcMar>
          </w:tcPr>
          <w:p>
            <w:pPr>
              <w:spacing w:before="0" w:after="0"/>
              <w:jc w:val="left"/>
            </w:pPr>
            <w:r>
              <w:rPr>
                <w:rFonts w:ascii="Calibri" w:hAnsi="Calibri"/>
                <w:color w:val="2D3748"/>
                <w:sz w:val="18"/>
              </w:rPr>
              <w:t>Risk-Adjusted NIM se expandió al 9.9% y la mora 15-90d cayó al 4.2%.</w:t>
            </w:r>
          </w:p>
        </w:tc>
        <w:tc>
          <w:tcPr>
            <w:tcW w:type="dxa" w:w="2016"/>
            <w:shd w:fill="F7FAFC"/>
            <w:tcMar>
              <w:top w:w="80" w:type="dxa"/>
              <w:bottom w:w="80" w:type="dxa"/>
              <w:left w:w="120" w:type="dxa"/>
              <w:right w:w="120" w:type="dxa"/>
            </w:tcMar>
          </w:tcPr>
          <w:p>
            <w:pPr>
              <w:spacing w:before="0" w:after="0"/>
              <w:jc w:val="center"/>
            </w:pPr>
            <w:r>
              <w:rPr>
                <w:rFonts w:ascii="Calibri" w:hAnsi="Calibri"/>
                <w:color w:val="2D3748"/>
                <w:sz w:val="18"/>
              </w:rPr>
              <w:t>CUMPLIDO (Recuperación de margen)</w:t>
            </w:r>
          </w:p>
        </w:tc>
      </w:tr>
      <w:tr>
        <w:tc>
          <w:tcPr>
            <w:tcW w:type="dxa" w:w="1152"/>
            <w:shd w:fill="FFFFFF"/>
            <w:tcMar>
              <w:top w:w="80" w:type="dxa"/>
              <w:bottom w:w="80" w:type="dxa"/>
              <w:left w:w="120" w:type="dxa"/>
              <w:right w:w="120" w:type="dxa"/>
            </w:tcMar>
          </w:tcPr>
          <w:p>
            <w:pPr>
              <w:spacing w:before="0" w:after="0"/>
              <w:jc w:val="center"/>
            </w:pPr>
            <w:r>
              <w:rPr>
                <w:rFonts w:ascii="Calibri" w:hAnsi="Calibri"/>
                <w:color w:val="2D3748"/>
                <w:sz w:val="18"/>
              </w:rPr>
              <w:t>Q4 2025</w:t>
            </w:r>
          </w:p>
        </w:tc>
        <w:tc>
          <w:tcPr>
            <w:tcW w:type="dxa" w:w="2880"/>
            <w:shd w:fill="FFFFFF"/>
            <w:tcMar>
              <w:top w:w="80" w:type="dxa"/>
              <w:bottom w:w="80" w:type="dxa"/>
              <w:left w:w="120" w:type="dxa"/>
              <w:right w:w="120" w:type="dxa"/>
            </w:tcMar>
          </w:tcPr>
          <w:p>
            <w:pPr>
              <w:spacing w:before="0" w:after="0"/>
              <w:jc w:val="left"/>
            </w:pPr>
            <w:r>
              <w:rPr>
                <w:rFonts w:ascii="Calibri" w:hAnsi="Calibri"/>
                <w:color w:val="2D3748"/>
                <w:sz w:val="18"/>
              </w:rPr>
              <w:t>Cerrar un 2025 histórico y presentar el nuevo marco de Managerial P&amp;L a inversores.</w:t>
            </w:r>
          </w:p>
        </w:tc>
        <w:tc>
          <w:tcPr>
            <w:tcW w:type="dxa" w:w="2592"/>
            <w:shd w:fill="FFFFFF"/>
            <w:tcMar>
              <w:top w:w="80" w:type="dxa"/>
              <w:bottom w:w="80" w:type="dxa"/>
              <w:left w:w="120" w:type="dxa"/>
              <w:right w:w="120" w:type="dxa"/>
            </w:tcMar>
          </w:tcPr>
          <w:p>
            <w:pPr>
              <w:spacing w:before="0" w:after="0"/>
              <w:jc w:val="left"/>
            </w:pPr>
            <w:r>
              <w:rPr>
                <w:rFonts w:ascii="Calibri" w:hAnsi="Calibri"/>
                <w:color w:val="2D3748"/>
                <w:sz w:val="18"/>
              </w:rPr>
              <w:t>Crecimiento acelerado de cartera crediticia en temporada alta de consumo.</w:t>
            </w:r>
          </w:p>
        </w:tc>
        <w:tc>
          <w:tcPr>
            <w:tcW w:type="dxa" w:w="2592"/>
            <w:shd w:fill="FFFFFF"/>
            <w:tcMar>
              <w:top w:w="80" w:type="dxa"/>
              <w:bottom w:w="80" w:type="dxa"/>
              <w:left w:w="120" w:type="dxa"/>
              <w:right w:w="120" w:type="dxa"/>
            </w:tcMar>
          </w:tcPr>
          <w:p>
            <w:pPr>
              <w:spacing w:before="0" w:after="0"/>
              <w:jc w:val="left"/>
            </w:pPr>
            <w:r>
              <w:rPr>
                <w:rFonts w:ascii="Calibri" w:hAnsi="Calibri"/>
                <w:color w:val="2D3748"/>
                <w:sz w:val="18"/>
              </w:rPr>
              <w:t>Ingresos del trimestre tocaron $4.9B y el beneficio neto anual batió previsiones.</w:t>
            </w:r>
          </w:p>
        </w:tc>
        <w:tc>
          <w:tcPr>
            <w:tcW w:type="dxa" w:w="2016"/>
            <w:shd w:fill="FFFFFF"/>
            <w:tcMar>
              <w:top w:w="80" w:type="dxa"/>
              <w:bottom w:w="80" w:type="dxa"/>
              <w:left w:w="120" w:type="dxa"/>
              <w:right w:w="120" w:type="dxa"/>
            </w:tcMar>
          </w:tcPr>
          <w:p>
            <w:pPr>
              <w:spacing w:before="0" w:after="0"/>
              <w:jc w:val="center"/>
            </w:pPr>
            <w:r>
              <w:rPr>
                <w:rFonts w:ascii="Calibri" w:hAnsi="Calibri"/>
                <w:color w:val="2D3748"/>
                <w:sz w:val="18"/>
              </w:rPr>
              <w:t>SUPERADO (Récord histórico)</w:t>
            </w:r>
          </w:p>
        </w:tc>
      </w:tr>
      <w:tr>
        <w:tc>
          <w:tcPr>
            <w:tcW w:type="dxa" w:w="1152"/>
            <w:shd w:fill="F7FAFC"/>
            <w:tcMar>
              <w:top w:w="80" w:type="dxa"/>
              <w:bottom w:w="80" w:type="dxa"/>
              <w:left w:w="120" w:type="dxa"/>
              <w:right w:w="120" w:type="dxa"/>
            </w:tcMar>
          </w:tcPr>
          <w:p>
            <w:pPr>
              <w:spacing w:before="0" w:after="0"/>
              <w:jc w:val="center"/>
            </w:pPr>
            <w:r>
              <w:rPr>
                <w:rFonts w:ascii="Calibri" w:hAnsi="Calibri"/>
                <w:color w:val="2D3748"/>
                <w:sz w:val="18"/>
              </w:rPr>
              <w:t>Q1 2026</w:t>
            </w:r>
          </w:p>
        </w:tc>
        <w:tc>
          <w:tcPr>
            <w:tcW w:type="dxa" w:w="2880"/>
            <w:shd w:fill="F7FAFC"/>
            <w:tcMar>
              <w:top w:w="80" w:type="dxa"/>
              <w:bottom w:w="80" w:type="dxa"/>
              <w:left w:w="120" w:type="dxa"/>
              <w:right w:w="120" w:type="dxa"/>
            </w:tcMar>
          </w:tcPr>
          <w:p>
            <w:pPr>
              <w:spacing w:before="0" w:after="0"/>
              <w:jc w:val="left"/>
            </w:pPr>
            <w:r>
              <w:rPr>
                <w:rFonts w:ascii="Calibri" w:hAnsi="Calibri"/>
                <w:color w:val="2D3748"/>
                <w:sz w:val="18"/>
              </w:rPr>
              <w:t>Navegar la estacionalidad de Q1 y sostener la rentabilidad sobre fondos propios.</w:t>
            </w:r>
          </w:p>
        </w:tc>
        <w:tc>
          <w:tcPr>
            <w:tcW w:type="dxa" w:w="2592"/>
            <w:shd w:fill="F7FAFC"/>
            <w:tcMar>
              <w:top w:w="80" w:type="dxa"/>
              <w:bottom w:w="80" w:type="dxa"/>
              <w:left w:w="120" w:type="dxa"/>
              <w:right w:w="120" w:type="dxa"/>
            </w:tcMar>
          </w:tcPr>
          <w:p>
            <w:pPr>
              <w:spacing w:before="0" w:after="0"/>
              <w:jc w:val="left"/>
            </w:pPr>
            <w:r>
              <w:rPr>
                <w:rFonts w:ascii="Calibri" w:hAnsi="Calibri"/>
                <w:color w:val="2D3748"/>
                <w:sz w:val="18"/>
              </w:rPr>
              <w:t>Bache estacional en cobros de tarjetas y ajuste por el programa Desenrola.</w:t>
            </w:r>
          </w:p>
        </w:tc>
        <w:tc>
          <w:tcPr>
            <w:tcW w:type="dxa" w:w="2592"/>
            <w:shd w:fill="F7FAFC"/>
            <w:tcMar>
              <w:top w:w="80" w:type="dxa"/>
              <w:bottom w:w="80" w:type="dxa"/>
              <w:left w:w="120" w:type="dxa"/>
              <w:right w:w="120" w:type="dxa"/>
            </w:tcMar>
          </w:tcPr>
          <w:p>
            <w:pPr>
              <w:spacing w:before="0" w:after="0"/>
              <w:jc w:val="left"/>
            </w:pPr>
            <w:r>
              <w:rPr>
                <w:rFonts w:ascii="Calibri" w:hAnsi="Calibri"/>
                <w:color w:val="2D3748"/>
                <w:sz w:val="18"/>
              </w:rPr>
              <w:t>Beneficio neto récord de $871M y ratio de eficiencia histórica del 17.6%.</w:t>
            </w:r>
          </w:p>
        </w:tc>
        <w:tc>
          <w:tcPr>
            <w:tcW w:type="dxa" w:w="2016"/>
            <w:shd w:fill="F7FAFC"/>
            <w:tcMar>
              <w:top w:w="80" w:type="dxa"/>
              <w:bottom w:w="80" w:type="dxa"/>
              <w:left w:w="120" w:type="dxa"/>
              <w:right w:w="120" w:type="dxa"/>
            </w:tcMar>
          </w:tcPr>
          <w:p>
            <w:pPr>
              <w:spacing w:before="0" w:after="0"/>
              <w:jc w:val="center"/>
            </w:pPr>
            <w:r>
              <w:rPr>
                <w:rFonts w:ascii="Calibri" w:hAnsi="Calibri"/>
                <w:color w:val="2D3748"/>
                <w:sz w:val="18"/>
              </w:rPr>
              <w:t>SUPERADO (Rentabilidad de élite)</w:t>
            </w:r>
          </w:p>
        </w:tc>
      </w:tr>
      <w:tr>
        <w:tc>
          <w:tcPr>
            <w:tcW w:type="dxa" w:w="1152"/>
            <w:shd w:fill="FFFFFF"/>
            <w:tcMar>
              <w:top w:w="80" w:type="dxa"/>
              <w:bottom w:w="80" w:type="dxa"/>
              <w:left w:w="120" w:type="dxa"/>
              <w:right w:w="120" w:type="dxa"/>
            </w:tcMar>
          </w:tcPr>
          <w:p>
            <w:pPr>
              <w:spacing w:before="0" w:after="0"/>
              <w:jc w:val="center"/>
            </w:pPr>
            <w:r>
              <w:rPr>
                <w:rFonts w:ascii="Calibri" w:hAnsi="Calibri"/>
                <w:color w:val="2D3748"/>
                <w:sz w:val="18"/>
              </w:rPr>
              <w:t>Q2 2026</w:t>
            </w:r>
          </w:p>
        </w:tc>
        <w:tc>
          <w:tcPr>
            <w:tcW w:type="dxa" w:w="2880"/>
            <w:shd w:fill="FFFFFF"/>
            <w:tcMar>
              <w:top w:w="80" w:type="dxa"/>
              <w:bottom w:w="80" w:type="dxa"/>
              <w:left w:w="120" w:type="dxa"/>
              <w:right w:w="120" w:type="dxa"/>
            </w:tcMar>
          </w:tcPr>
          <w:p>
            <w:pPr>
              <w:spacing w:before="0" w:after="0"/>
              <w:jc w:val="left"/>
            </w:pPr>
            <w:r>
              <w:rPr>
                <w:rFonts w:ascii="Calibri" w:hAnsi="Calibri"/>
                <w:color w:val="2D3748"/>
                <w:sz w:val="18"/>
              </w:rPr>
              <w:t>Recuperar el Risk-Adjusted NIM por encima del 10.5% y superar $3.5B en NII.</w:t>
            </w:r>
          </w:p>
        </w:tc>
        <w:tc>
          <w:tcPr>
            <w:tcW w:type="dxa" w:w="2592"/>
            <w:shd w:fill="FFFFFF"/>
            <w:tcMar>
              <w:top w:w="80" w:type="dxa"/>
              <w:bottom w:w="80" w:type="dxa"/>
              <w:left w:w="120" w:type="dxa"/>
              <w:right w:w="120" w:type="dxa"/>
            </w:tcMar>
          </w:tcPr>
          <w:p>
            <w:pPr>
              <w:spacing w:before="0" w:after="0"/>
              <w:jc w:val="left"/>
            </w:pPr>
            <w:r>
              <w:rPr>
                <w:rFonts w:ascii="Calibri" w:hAnsi="Calibri"/>
                <w:color w:val="2D3748"/>
                <w:sz w:val="18"/>
              </w:rPr>
              <w:t>Volatilidad macroeconómica y competencia bancaria en depósitos.</w:t>
            </w:r>
          </w:p>
        </w:tc>
        <w:tc>
          <w:tcPr>
            <w:tcW w:type="dxa" w:w="2592"/>
            <w:shd w:fill="FFFFFF"/>
            <w:tcMar>
              <w:top w:w="80" w:type="dxa"/>
              <w:bottom w:w="80" w:type="dxa"/>
              <w:left w:w="120" w:type="dxa"/>
              <w:right w:w="120" w:type="dxa"/>
            </w:tcMar>
          </w:tcPr>
          <w:p>
            <w:pPr>
              <w:spacing w:before="0" w:after="0"/>
              <w:jc w:val="left"/>
            </w:pPr>
            <w:r>
              <w:rPr>
                <w:rFonts w:ascii="Calibri" w:hAnsi="Calibri"/>
                <w:color w:val="2D3748"/>
                <w:sz w:val="18"/>
              </w:rPr>
              <w:t>NII alcanzó $3.7B (+9% QoQ) y Risk-Adjusted NIM rebotó al 10.8%.</w:t>
            </w:r>
          </w:p>
        </w:tc>
        <w:tc>
          <w:tcPr>
            <w:tcW w:type="dxa" w:w="2016"/>
            <w:shd w:fill="FFFFFF"/>
            <w:tcMar>
              <w:top w:w="80" w:type="dxa"/>
              <w:bottom w:w="80" w:type="dxa"/>
              <w:left w:w="120" w:type="dxa"/>
              <w:right w:w="120" w:type="dxa"/>
            </w:tcMar>
          </w:tcPr>
          <w:p>
            <w:pPr>
              <w:spacing w:before="0" w:after="0"/>
              <w:jc w:val="center"/>
            </w:pPr>
            <w:r>
              <w:rPr>
                <w:rFonts w:ascii="Calibri" w:hAnsi="Calibri"/>
                <w:color w:val="2D3748"/>
                <w:sz w:val="18"/>
              </w:rPr>
              <w:t>SUPERADO (Guía batida)</w:t>
            </w:r>
          </w:p>
        </w:tc>
      </w:tr>
    </w:tbl>
    <w:p>
      <w:pPr>
        <w:spacing w:after="120"/>
      </w:pPr>
    </w:p>
    <w:p>
      <w:pPr>
        <w:keepNext/>
        <w:spacing w:before="200" w:after="80"/>
      </w:pPr>
      <w:r>
        <w:rPr>
          <w:rFonts w:ascii="Calibri" w:hAnsi="Calibri"/>
          <w:b/>
          <w:color w:val="4A5568"/>
          <w:sz w:val="22"/>
        </w:rPr>
        <w:t>Cronología y Mutación Dinámica de los Riesgos Operativos (5 Trimestres):</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2448"/>
        <w:gridCol w:w="2448"/>
        <w:gridCol w:w="2448"/>
        <w:gridCol w:w="2448"/>
      </w:tblGrid>
      <w:tr>
        <w:tc>
          <w:tcPr>
            <w:tcW w:type="dxa" w:w="1440"/>
            <w:shd w:fill="1B365D"/>
            <w:tcMar>
              <w:top w:w="100" w:type="dxa"/>
              <w:bottom w:w="100" w:type="dxa"/>
              <w:left w:w="120" w:type="dxa"/>
              <w:right w:w="120" w:type="dxa"/>
            </w:tcMar>
          </w:tcPr>
          <w:p>
            <w:pPr>
              <w:spacing w:before="0" w:after="0"/>
              <w:jc w:val="center"/>
            </w:pPr>
            <w:r>
              <w:rPr>
                <w:rFonts w:ascii="Calibri" w:hAnsi="Calibri"/>
                <w:b/>
                <w:color w:val="FFFFFF"/>
                <w:sz w:val="19"/>
              </w:rPr>
              <w:t>Período Fiscal</w:t>
            </w:r>
          </w:p>
        </w:tc>
        <w:tc>
          <w:tcPr>
            <w:tcW w:type="dxa" w:w="3168"/>
            <w:shd w:fill="1B365D"/>
            <w:tcMar>
              <w:top w:w="100" w:type="dxa"/>
              <w:bottom w:w="100" w:type="dxa"/>
              <w:left w:w="120" w:type="dxa"/>
              <w:right w:w="120" w:type="dxa"/>
            </w:tcMar>
          </w:tcPr>
          <w:p>
            <w:pPr>
              <w:spacing w:before="0" w:after="0"/>
              <w:jc w:val="left"/>
            </w:pPr>
            <w:r>
              <w:rPr>
                <w:rFonts w:ascii="Calibri" w:hAnsi="Calibri"/>
                <w:b/>
                <w:color w:val="FFFFFF"/>
                <w:sz w:val="19"/>
              </w:rPr>
              <w:t>Riesgo Dominante Señalado por la Dirección</w:t>
            </w:r>
          </w:p>
        </w:tc>
        <w:tc>
          <w:tcPr>
            <w:tcW w:type="dxa" w:w="1728"/>
            <w:shd w:fill="1B365D"/>
            <w:tcMar>
              <w:top w:w="100" w:type="dxa"/>
              <w:bottom w:w="100" w:type="dxa"/>
              <w:left w:w="120" w:type="dxa"/>
              <w:right w:w="120" w:type="dxa"/>
            </w:tcMar>
          </w:tcPr>
          <w:p>
            <w:pPr>
              <w:spacing w:before="0" w:after="0"/>
              <w:jc w:val="center"/>
            </w:pPr>
            <w:r>
              <w:rPr>
                <w:rFonts w:ascii="Calibri" w:hAnsi="Calibri"/>
                <w:b/>
                <w:color w:val="FFFFFF"/>
                <w:sz w:val="19"/>
              </w:rPr>
              <w:t>Severidad / Semáforo</w:t>
            </w:r>
          </w:p>
        </w:tc>
        <w:tc>
          <w:tcPr>
            <w:tcW w:type="dxa" w:w="3456"/>
            <w:shd w:fill="1B365D"/>
            <w:tcMar>
              <w:top w:w="100" w:type="dxa"/>
              <w:bottom w:w="100" w:type="dxa"/>
              <w:left w:w="120" w:type="dxa"/>
              <w:right w:w="120" w:type="dxa"/>
            </w:tcMar>
          </w:tcPr>
          <w:p>
            <w:pPr>
              <w:spacing w:before="0" w:after="0"/>
              <w:jc w:val="left"/>
            </w:pPr>
            <w:r>
              <w:rPr>
                <w:rFonts w:ascii="Calibri" w:hAnsi="Calibri"/>
                <w:b/>
                <w:color w:val="FFFFFF"/>
                <w:sz w:val="19"/>
              </w:rPr>
              <w:t>Evolución Posterior y Desenlace Real en el Negocio</w:t>
            </w:r>
          </w:p>
        </w:tc>
      </w:tr>
      <w:tr>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Q2 2025</w:t>
            </w:r>
          </w:p>
        </w:tc>
        <w:tc>
          <w:tcPr>
            <w:tcW w:type="dxa" w:w="3168"/>
            <w:shd w:fill="FFFFFF"/>
            <w:tcMar>
              <w:top w:w="80" w:type="dxa"/>
              <w:bottom w:w="80" w:type="dxa"/>
              <w:left w:w="120" w:type="dxa"/>
              <w:right w:w="120" w:type="dxa"/>
            </w:tcMar>
          </w:tcPr>
          <w:p>
            <w:pPr>
              <w:spacing w:before="0" w:after="0"/>
              <w:jc w:val="left"/>
            </w:pPr>
            <w:r>
              <w:rPr>
                <w:rFonts w:ascii="Calibri" w:hAnsi="Calibri"/>
                <w:color w:val="2D3748"/>
                <w:sz w:val="18"/>
              </w:rPr>
              <w:t>Coste de Fondeo Elevado en México por Altas Tasas Promocionales</w:t>
            </w:r>
          </w:p>
        </w:tc>
        <w:tc>
          <w:tcPr>
            <w:tcW w:type="dxa" w:w="1728"/>
            <w:shd w:fill="FFFFFF"/>
            <w:tcMar>
              <w:top w:w="80" w:type="dxa"/>
              <w:bottom w:w="80" w:type="dxa"/>
              <w:left w:w="120" w:type="dxa"/>
              <w:right w:w="120" w:type="dxa"/>
            </w:tcMar>
          </w:tcPr>
          <w:p>
            <w:pPr>
              <w:spacing w:before="0" w:after="0"/>
              <w:jc w:val="center"/>
            </w:pPr>
            <w:r>
              <w:rPr>
                <w:rFonts w:ascii="Calibri" w:hAnsi="Calibri"/>
                <w:color w:val="2D3748"/>
                <w:sz w:val="18"/>
              </w:rPr>
              <w:t>Alerta Media</w:t>
            </w:r>
          </w:p>
        </w:tc>
        <w:tc>
          <w:tcPr>
            <w:tcW w:type="dxa" w:w="3456"/>
            <w:shd w:fill="FFFFFF"/>
            <w:tcMar>
              <w:top w:w="80" w:type="dxa"/>
              <w:bottom w:w="80" w:type="dxa"/>
              <w:left w:w="120" w:type="dxa"/>
              <w:right w:w="120" w:type="dxa"/>
            </w:tcMar>
          </w:tcPr>
          <w:p>
            <w:pPr>
              <w:spacing w:before="0" w:after="0"/>
              <w:jc w:val="left"/>
            </w:pPr>
            <w:r>
              <w:rPr>
                <w:rFonts w:ascii="Calibri" w:hAnsi="Calibri"/>
                <w:color w:val="2D3748"/>
                <w:sz w:val="18"/>
              </w:rPr>
              <w:t>Evolución excelente: La tracción de depósitos generó masa crítica y permitió modular las tasas a la baja.</w:t>
            </w:r>
          </w:p>
        </w:tc>
      </w:tr>
      <w:tr>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Q3 2025</w:t>
            </w:r>
          </w:p>
        </w:tc>
        <w:tc>
          <w:tcPr>
            <w:tcW w:type="dxa" w:w="3168"/>
            <w:shd w:fill="F7FAFC"/>
            <w:tcMar>
              <w:top w:w="80" w:type="dxa"/>
              <w:bottom w:w="80" w:type="dxa"/>
              <w:left w:w="120" w:type="dxa"/>
              <w:right w:w="120" w:type="dxa"/>
            </w:tcMar>
          </w:tcPr>
          <w:p>
            <w:pPr>
              <w:spacing w:before="0" w:after="0"/>
              <w:jc w:val="left"/>
            </w:pPr>
            <w:r>
              <w:rPr>
                <w:rFonts w:ascii="Calibri" w:hAnsi="Calibri"/>
                <w:color w:val="2D3748"/>
                <w:sz w:val="18"/>
              </w:rPr>
              <w:t>Compresión Temporal de Márgenes de Interés en Brasil</w:t>
            </w:r>
          </w:p>
        </w:tc>
        <w:tc>
          <w:tcPr>
            <w:tcW w:type="dxa" w:w="1728"/>
            <w:shd w:fill="F7FAFC"/>
            <w:tcMar>
              <w:top w:w="80" w:type="dxa"/>
              <w:bottom w:w="80" w:type="dxa"/>
              <w:left w:w="120" w:type="dxa"/>
              <w:right w:w="120" w:type="dxa"/>
            </w:tcMar>
          </w:tcPr>
          <w:p>
            <w:pPr>
              <w:spacing w:before="0" w:after="0"/>
              <w:jc w:val="center"/>
            </w:pPr>
            <w:r>
              <w:rPr>
                <w:rFonts w:ascii="Calibri" w:hAnsi="Calibri"/>
                <w:color w:val="2D3748"/>
                <w:sz w:val="18"/>
              </w:rPr>
              <w:t>Alerta Baja</w:t>
            </w:r>
          </w:p>
        </w:tc>
        <w:tc>
          <w:tcPr>
            <w:tcW w:type="dxa" w:w="3456"/>
            <w:shd w:fill="F7FAFC"/>
            <w:tcMar>
              <w:top w:w="80" w:type="dxa"/>
              <w:bottom w:w="80" w:type="dxa"/>
              <w:left w:w="120" w:type="dxa"/>
              <w:right w:w="120" w:type="dxa"/>
            </w:tcMar>
          </w:tcPr>
          <w:p>
            <w:pPr>
              <w:spacing w:before="0" w:after="0"/>
              <w:jc w:val="left"/>
            </w:pPr>
            <w:r>
              <w:rPr>
                <w:rFonts w:ascii="Calibri" w:hAnsi="Calibri"/>
                <w:color w:val="2D3748"/>
                <w:sz w:val="18"/>
              </w:rPr>
              <w:t>Mitigado con rapidez: El crecimiento en préstamos personales y tarjetas restableció el NIM en los trimestres siguientes.</w:t>
            </w:r>
          </w:p>
        </w:tc>
      </w:tr>
      <w:tr>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Q4 2025</w:t>
            </w:r>
          </w:p>
        </w:tc>
        <w:tc>
          <w:tcPr>
            <w:tcW w:type="dxa" w:w="3168"/>
            <w:shd w:fill="FFFFFF"/>
            <w:tcMar>
              <w:top w:w="80" w:type="dxa"/>
              <w:bottom w:w="80" w:type="dxa"/>
              <w:left w:w="120" w:type="dxa"/>
              <w:right w:w="120" w:type="dxa"/>
            </w:tcMar>
          </w:tcPr>
          <w:p>
            <w:pPr>
              <w:spacing w:before="0" w:after="0"/>
              <w:jc w:val="left"/>
            </w:pPr>
            <w:r>
              <w:rPr>
                <w:rFonts w:ascii="Calibri" w:hAnsi="Calibri"/>
                <w:color w:val="2D3748"/>
                <w:sz w:val="18"/>
              </w:rPr>
              <w:t>Impacto Potencial de Renegociaciones de Deuda Estatal (Desenrola)</w:t>
            </w:r>
          </w:p>
        </w:tc>
        <w:tc>
          <w:tcPr>
            <w:tcW w:type="dxa" w:w="1728"/>
            <w:shd w:fill="FFFFFF"/>
            <w:tcMar>
              <w:top w:w="80" w:type="dxa"/>
              <w:bottom w:w="80" w:type="dxa"/>
              <w:left w:w="120" w:type="dxa"/>
              <w:right w:w="120" w:type="dxa"/>
            </w:tcMar>
          </w:tcPr>
          <w:p>
            <w:pPr>
              <w:spacing w:before="0" w:after="0"/>
              <w:jc w:val="center"/>
            </w:pPr>
            <w:r>
              <w:rPr>
                <w:rFonts w:ascii="Calibri" w:hAnsi="Calibri"/>
                <w:color w:val="2D3748"/>
                <w:sz w:val="18"/>
              </w:rPr>
              <w:t>Alerta Media</w:t>
            </w:r>
          </w:p>
        </w:tc>
        <w:tc>
          <w:tcPr>
            <w:tcW w:type="dxa" w:w="3456"/>
            <w:shd w:fill="FFFFFF"/>
            <w:tcMar>
              <w:top w:w="80" w:type="dxa"/>
              <w:bottom w:w="80" w:type="dxa"/>
              <w:left w:w="120" w:type="dxa"/>
              <w:right w:w="120" w:type="dxa"/>
            </w:tcMar>
          </w:tcPr>
          <w:p>
            <w:pPr>
              <w:spacing w:before="0" w:after="0"/>
              <w:jc w:val="left"/>
            </w:pPr>
            <w:r>
              <w:rPr>
                <w:rFonts w:ascii="Calibri" w:hAnsi="Calibri"/>
                <w:color w:val="2D3748"/>
                <w:sz w:val="18"/>
              </w:rPr>
              <w:t>Impacto absorbido: El 80%+ del impacto se limpió en balance sin afectar la solvencia ni los beneficios.</w:t>
            </w:r>
          </w:p>
        </w:tc>
      </w:tr>
      <w:tr>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Q1 2026</w:t>
            </w:r>
          </w:p>
        </w:tc>
        <w:tc>
          <w:tcPr>
            <w:tcW w:type="dxa" w:w="3168"/>
            <w:shd w:fill="F7FAFC"/>
            <w:tcMar>
              <w:top w:w="80" w:type="dxa"/>
              <w:bottom w:w="80" w:type="dxa"/>
              <w:left w:w="120" w:type="dxa"/>
              <w:right w:w="120" w:type="dxa"/>
            </w:tcMar>
          </w:tcPr>
          <w:p>
            <w:pPr>
              <w:spacing w:before="0" w:after="0"/>
              <w:jc w:val="left"/>
            </w:pPr>
            <w:r>
              <w:rPr>
                <w:rFonts w:ascii="Calibri" w:hAnsi="Calibri"/>
                <w:color w:val="2D3748"/>
                <w:sz w:val="18"/>
              </w:rPr>
              <w:t>Estacionalidad Negativa en Tasas de Morosidad y Cobros</w:t>
            </w:r>
          </w:p>
        </w:tc>
        <w:tc>
          <w:tcPr>
            <w:tcW w:type="dxa" w:w="1728"/>
            <w:shd w:fill="F7FAFC"/>
            <w:tcMar>
              <w:top w:w="80" w:type="dxa"/>
              <w:bottom w:w="80" w:type="dxa"/>
              <w:left w:w="120" w:type="dxa"/>
              <w:right w:w="120" w:type="dxa"/>
            </w:tcMar>
          </w:tcPr>
          <w:p>
            <w:pPr>
              <w:spacing w:before="0" w:after="0"/>
              <w:jc w:val="center"/>
            </w:pPr>
            <w:r>
              <w:rPr>
                <w:rFonts w:ascii="Calibri" w:hAnsi="Calibri"/>
                <w:color w:val="2D3748"/>
                <w:sz w:val="18"/>
              </w:rPr>
              <w:t>Alerta Media</w:t>
            </w:r>
          </w:p>
        </w:tc>
        <w:tc>
          <w:tcPr>
            <w:tcW w:type="dxa" w:w="3456"/>
            <w:shd w:fill="F7FAFC"/>
            <w:tcMar>
              <w:top w:w="80" w:type="dxa"/>
              <w:bottom w:w="80" w:type="dxa"/>
              <w:left w:w="120" w:type="dxa"/>
              <w:right w:w="120" w:type="dxa"/>
            </w:tcMar>
          </w:tcPr>
          <w:p>
            <w:pPr>
              <w:spacing w:before="0" w:after="0"/>
              <w:jc w:val="left"/>
            </w:pPr>
            <w:r>
              <w:rPr>
                <w:rFonts w:ascii="Calibri" w:hAnsi="Calibri"/>
                <w:color w:val="2D3748"/>
                <w:sz w:val="18"/>
              </w:rPr>
              <w:t>Gestión impecable: La mora se mantuvo en rangos predecibles y la eficiencia marcó un récord histórico del 17.6%.</w:t>
            </w:r>
          </w:p>
        </w:tc>
      </w:tr>
      <w:tr>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Q2 2026</w:t>
            </w:r>
          </w:p>
        </w:tc>
        <w:tc>
          <w:tcPr>
            <w:tcW w:type="dxa" w:w="3168"/>
            <w:shd w:fill="FFFFFF"/>
            <w:tcMar>
              <w:top w:w="80" w:type="dxa"/>
              <w:bottom w:w="80" w:type="dxa"/>
              <w:left w:w="120" w:type="dxa"/>
              <w:right w:w="120" w:type="dxa"/>
            </w:tcMar>
          </w:tcPr>
          <w:p>
            <w:pPr>
              <w:spacing w:before="0" w:after="0"/>
              <w:jc w:val="left"/>
            </w:pPr>
            <w:r>
              <w:rPr>
                <w:rFonts w:ascii="Calibri" w:hAnsi="Calibri"/>
                <w:color w:val="2D3748"/>
                <w:sz w:val="18"/>
              </w:rPr>
              <w:t>Presión de Opex por Planes de Expansión Internacional</w:t>
            </w:r>
          </w:p>
        </w:tc>
        <w:tc>
          <w:tcPr>
            <w:tcW w:type="dxa" w:w="1728"/>
            <w:shd w:fill="FFFFFF"/>
            <w:tcMar>
              <w:top w:w="80" w:type="dxa"/>
              <w:bottom w:w="80" w:type="dxa"/>
              <w:left w:w="120" w:type="dxa"/>
              <w:right w:w="120" w:type="dxa"/>
            </w:tcMar>
          </w:tcPr>
          <w:p>
            <w:pPr>
              <w:spacing w:before="0" w:after="0"/>
              <w:jc w:val="center"/>
            </w:pPr>
            <w:r>
              <w:rPr>
                <w:rFonts w:ascii="Calibri" w:hAnsi="Calibri"/>
                <w:color w:val="2D3748"/>
                <w:sz w:val="18"/>
              </w:rPr>
              <w:t>Alerta Baja</w:t>
            </w:r>
          </w:p>
        </w:tc>
        <w:tc>
          <w:tcPr>
            <w:tcW w:type="dxa" w:w="3456"/>
            <w:shd w:fill="FFFFFF"/>
            <w:tcMar>
              <w:top w:w="80" w:type="dxa"/>
              <w:bottom w:w="80" w:type="dxa"/>
              <w:left w:w="120" w:type="dxa"/>
              <w:right w:w="120" w:type="dxa"/>
            </w:tcMar>
          </w:tcPr>
          <w:p>
            <w:pPr>
              <w:spacing w:before="0" w:after="0"/>
              <w:jc w:val="left"/>
            </w:pPr>
            <w:r>
              <w:rPr>
                <w:rFonts w:ascii="Calibri" w:hAnsi="Calibri"/>
                <w:color w:val="2D3748"/>
                <w:sz w:val="18"/>
              </w:rPr>
              <w:t>Riesgo acotado: La dirección confirmó que el impacto en opex está delimitado y financiado con caja de Brasil.</w:t>
            </w:r>
          </w:p>
        </w:tc>
      </w:tr>
    </w:tbl>
    <w:p>
      <w:pPr>
        <w:spacing w:after="120"/>
      </w:pPr>
    </w:p>
    <w:p>
      <w:pPr>
        <w:spacing w:before="40" w:after="80" w:line="276" w:lineRule="auto"/>
      </w:pPr>
      <w:r>
        <w:rPr>
          <w:rFonts w:ascii="Calibri" w:hAnsi="Calibri"/>
          <w:b/>
          <w:color w:val="2D3748"/>
          <w:sz w:val="20"/>
        </w:rPr>
        <w:t xml:space="preserve">🔍 </w:t>
      </w:r>
      <w:r>
        <w:rPr>
          <w:rFonts w:ascii="Calibri" w:hAnsi="Calibri"/>
          <w:i w:val="0"/>
          <w:color w:val="2D3748"/>
          <w:sz w:val="20"/>
        </w:rPr>
        <w:t>Conclusiones sobre la Mutación de Riesgos:</w:t>
      </w:r>
    </w:p>
    <w:p>
      <w:pPr>
        <w:spacing w:before="40" w:after="80" w:line="276" w:lineRule="auto"/>
      </w:pPr>
      <w:r>
        <w:rPr>
          <w:rFonts w:ascii="Calibri" w:hAnsi="Calibri"/>
          <w:b/>
          <w:color w:val="2D3748"/>
          <w:sz w:val="20"/>
        </w:rPr>
        <w:t xml:space="preserve">• La resiliencia inquebrantable de la ventaja de coste: </w:t>
      </w:r>
      <w:r>
        <w:rPr>
          <w:rFonts w:ascii="Calibri" w:hAnsi="Calibri"/>
          <w:i w:val="0"/>
          <w:color w:val="2D3748"/>
          <w:sz w:val="20"/>
        </w:rPr>
        <w:t>A lo largo de los 5 trimestres analizados, la dirección de Nu Holdings ha demostrado que un Cost-to-Serve de ~$0.90 es el arma definitiva contra cualquier ciclo adverso de tipos de interés o morosidad.</w:t>
      </w:r>
    </w:p>
    <w:p>
      <w:pPr>
        <w:spacing w:before="40" w:after="80" w:line="276" w:lineRule="auto"/>
      </w:pPr>
      <w:r>
        <w:rPr>
          <w:rFonts w:ascii="Calibri" w:hAnsi="Calibri"/>
          <w:b/>
          <w:color w:val="2D3748"/>
          <w:sz w:val="20"/>
        </w:rPr>
        <w:t xml:space="preserve">• Maduración y diversificación geográfica del fondeo: </w:t>
      </w:r>
      <w:r>
        <w:rPr>
          <w:rFonts w:ascii="Calibri" w:hAnsi="Calibri"/>
          <w:i w:val="0"/>
          <w:color w:val="2D3748"/>
          <w:sz w:val="20"/>
        </w:rPr>
        <w:t>El paso de depender exclusivamente de Brasil a tener más de $36.6B en depósitos en tres países ha blindado la estructura de capital y consolidado el poder de fijación de precios de la entidad.</w:t>
      </w:r>
    </w:p>
    <w:tbl>
      <w:tblPr>
        <w:tblW w:type="auto" w:w="0"/>
        <w:jc w:val="center"/>
        <w:tblLayout w:type="fixed"/>
        <w:tblLook w:firstColumn="1" w:firstRow="1" w:lastColumn="0" w:lastRow="0" w:noHBand="0" w:noVBand="1" w:val="04A0"/>
      </w:tblPr>
      <w:tblGrid>
        <w:gridCol w:w="9792"/>
      </w:tblGrid>
      <w:tr>
        <w:tc>
          <w:tcPr>
            <w:tcW w:type="dxa" w:w="9792"/>
            <w:shd w:fill="E8EEF5"/>
            <w:tcMar>
              <w:top w:w="140" w:type="dxa"/>
              <w:bottom w:w="140" w:type="dxa"/>
              <w:left w:w="180" w:type="dxa"/>
              <w:right w:w="180" w:type="dxa"/>
            </w:tcMar>
            <w:tcBorders>
              <w:left w:val="single" w:sz="24" w:space="0" w:color="0A3641"/>
              <w:top w:val="none"/>
              <w:right w:val="none"/>
              <w:bottom w:val="none"/>
            </w:tcBorders>
          </w:tcPr>
          <w:p>
            <w:pPr>
              <w:spacing w:before="0" w:after="80"/>
            </w:pPr>
            <w:r>
              <w:rPr>
                <w:rFonts w:ascii="Segoe UI Emoji" w:hAnsi="Segoe UI Emoji"/>
                <w:sz w:val="21"/>
              </w:rPr>
              <w:t xml:space="preserve">📌  </w:t>
            </w:r>
            <w:r>
              <w:rPr>
                <w:rFonts w:ascii="Calibri" w:hAnsi="Calibri"/>
                <w:b/>
                <w:color w:val="0A3641"/>
                <w:sz w:val="21"/>
              </w:rPr>
              <w:t>CALIFICACIÓN DE CREDIBILIDAD DEL MANAGEMENT: EXCEPCIONAL (TIER 1)</w:t>
            </w:r>
          </w:p>
          <w:p>
            <w:pPr>
              <w:spacing w:before="40" w:after="40" w:line="276" w:lineRule="auto"/>
            </w:pPr>
            <w:r>
              <w:rPr>
                <w:rFonts w:ascii="Calibri" w:hAnsi="Calibri"/>
                <w:color w:val="2D3748"/>
                <w:sz w:val="19"/>
              </w:rPr>
              <w:t>• Récord Impecable de Metas Superadas: David Vélez y su equipo han batido o cumplido las expectativas de consenso en 5 de los últimos 5 trimestres consecutivos.</w:t>
            </w:r>
          </w:p>
          <w:p>
            <w:pPr>
              <w:spacing w:before="40" w:after="40" w:line="276" w:lineRule="auto"/>
            </w:pPr>
            <w:r>
              <w:rPr>
                <w:rFonts w:ascii="Calibri" w:hAnsi="Calibri"/>
                <w:color w:val="2D3748"/>
                <w:sz w:val="19"/>
              </w:rPr>
              <w:t>• Rigor Metodológico y Transparencia: La introducción del Managerial P&amp;L en Q4 2025 ofreció una granularidad y claridad contable inédita en la banca digital latinoamericana.</w:t>
            </w:r>
          </w:p>
          <w:p>
            <w:pPr>
              <w:spacing w:before="40" w:after="40" w:line="276" w:lineRule="auto"/>
            </w:pPr>
            <w:r>
              <w:rPr>
                <w:rFonts w:ascii="Calibri" w:hAnsi="Calibri"/>
                <w:color w:val="2D3748"/>
                <w:sz w:val="19"/>
              </w:rPr>
              <w:t>• Retorno de Capital Sobresaliente: Sostener un ROTCE &gt; 25% mientras se expanden operaciones en México y Colombia demuestra una disciplina de asignación de capital de clase mundial.</w:t>
            </w:r>
          </w:p>
        </w:tc>
      </w:tr>
    </w:tbl>
    <w:p>
      <w:pPr>
        <w:spacing w:after="80"/>
      </w:pPr>
    </w:p>
    <w:p>
      <w:pPr>
        <w:keepNext/>
        <w:spacing w:before="320" w:after="120"/>
      </w:pPr>
      <w:r>
        <w:rPr>
          <w:rFonts w:ascii="Calibri" w:hAnsi="Calibri"/>
          <w:b/>
          <w:color w:val="1B365D"/>
          <w:sz w:val="26"/>
        </w:rPr>
        <w:t>6. Posición Patrimonial, Estructura de Capital y Asignación de Recursos (Capital Allocation)</w:t>
      </w:r>
    </w:p>
    <w:p>
      <w:pPr>
        <w:spacing w:before="40" w:after="80" w:line="276" w:lineRule="auto"/>
      </w:pPr>
      <w:r>
        <w:rPr>
          <w:rFonts w:ascii="Calibri" w:hAnsi="Calibri"/>
          <w:i w:val="0"/>
          <w:color w:val="2D3748"/>
          <w:sz w:val="20"/>
        </w:rPr>
        <w:t>La posición patrimonial y estructura de fondeo de Nu Holdings se distingue por un bajo apalancamiento relativo frente a la banca tradicional y una base de depósitos minoristas abundante:</w:t>
      </w:r>
    </w:p>
    <w:p>
      <w:pPr>
        <w:keepNext/>
        <w:spacing w:before="200" w:after="80"/>
      </w:pPr>
      <w:r>
        <w:rPr>
          <w:rFonts w:ascii="Calibri" w:hAnsi="Calibri"/>
          <w:b/>
          <w:color w:val="4A5568"/>
          <w:sz w:val="22"/>
        </w:rPr>
        <w:t>6.1. Cuadro de Mando de Liquidez, Deuda y Posición Neta de Caja</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1958"/>
        <w:gridCol w:w="1958"/>
        <w:gridCol w:w="1958"/>
        <w:gridCol w:w="1958"/>
        <w:gridCol w:w="1958"/>
      </w:tblGrid>
      <w:tr>
        <w:tc>
          <w:tcPr>
            <w:tcW w:type="dxa" w:w="2592"/>
            <w:shd w:fill="1B365D"/>
            <w:tcMar>
              <w:top w:w="100" w:type="dxa"/>
              <w:bottom w:w="100" w:type="dxa"/>
              <w:left w:w="120" w:type="dxa"/>
              <w:right w:w="120" w:type="dxa"/>
            </w:tcMar>
          </w:tcPr>
          <w:p>
            <w:pPr>
              <w:spacing w:before="0" w:after="0"/>
              <w:jc w:val="left"/>
            </w:pPr>
            <w:r>
              <w:rPr>
                <w:rFonts w:ascii="Calibri" w:hAnsi="Calibri"/>
                <w:b/>
                <w:color w:val="FFFFFF"/>
                <w:sz w:val="19"/>
              </w:rPr>
              <w:t>Métrica Bancaria / Patrimonial</w:t>
            </w:r>
          </w:p>
        </w:tc>
        <w:tc>
          <w:tcPr>
            <w:tcW w:type="dxa" w:w="1440"/>
            <w:shd w:fill="1B365D"/>
            <w:tcMar>
              <w:top w:w="100" w:type="dxa"/>
              <w:bottom w:w="100" w:type="dxa"/>
              <w:left w:w="120" w:type="dxa"/>
              <w:right w:w="120" w:type="dxa"/>
            </w:tcMar>
          </w:tcPr>
          <w:p>
            <w:pPr>
              <w:spacing w:before="0" w:after="0"/>
              <w:jc w:val="right"/>
            </w:pPr>
            <w:r>
              <w:rPr>
                <w:rFonts w:ascii="Calibri" w:hAnsi="Calibri"/>
                <w:b/>
                <w:color w:val="FFFFFF"/>
                <w:sz w:val="19"/>
              </w:rPr>
              <w:t>LTM ($M)</w:t>
            </w:r>
          </w:p>
        </w:tc>
        <w:tc>
          <w:tcPr>
            <w:tcW w:type="dxa" w:w="1440"/>
            <w:shd w:fill="1B365D"/>
            <w:tcMar>
              <w:top w:w="100" w:type="dxa"/>
              <w:bottom w:w="100" w:type="dxa"/>
              <w:left w:w="120" w:type="dxa"/>
              <w:right w:w="120" w:type="dxa"/>
            </w:tcMar>
          </w:tcPr>
          <w:p>
            <w:pPr>
              <w:spacing w:before="0" w:after="0"/>
              <w:jc w:val="right"/>
            </w:pPr>
            <w:r>
              <w:rPr>
                <w:rFonts w:ascii="Calibri" w:hAnsi="Calibri"/>
                <w:b/>
                <w:color w:val="FFFFFF"/>
                <w:sz w:val="19"/>
              </w:rPr>
              <w:t>FY2024 ($M)</w:t>
            </w:r>
          </w:p>
        </w:tc>
        <w:tc>
          <w:tcPr>
            <w:tcW w:type="dxa" w:w="1584"/>
            <w:shd w:fill="1B365D"/>
            <w:tcMar>
              <w:top w:w="100" w:type="dxa"/>
              <w:bottom w:w="100" w:type="dxa"/>
              <w:left w:w="120" w:type="dxa"/>
              <w:right w:w="120" w:type="dxa"/>
            </w:tcMar>
          </w:tcPr>
          <w:p>
            <w:pPr>
              <w:spacing w:before="0" w:after="0"/>
              <w:jc w:val="right"/>
            </w:pPr>
            <w:r>
              <w:rPr>
                <w:rFonts w:ascii="Calibri" w:hAnsi="Calibri"/>
                <w:b/>
                <w:color w:val="FFFFFF"/>
                <w:sz w:val="19"/>
              </w:rPr>
              <w:t>Variación YoY</w:t>
            </w:r>
          </w:p>
        </w:tc>
        <w:tc>
          <w:tcPr>
            <w:tcW w:type="dxa" w:w="2736"/>
            <w:shd w:fill="1B365D"/>
            <w:tcMar>
              <w:top w:w="100" w:type="dxa"/>
              <w:bottom w:w="100" w:type="dxa"/>
              <w:left w:w="120" w:type="dxa"/>
              <w:right w:w="120" w:type="dxa"/>
            </w:tcMar>
          </w:tcPr>
          <w:p>
            <w:pPr>
              <w:spacing w:before="0" w:after="0"/>
              <w:jc w:val="left"/>
            </w:pPr>
            <w:r>
              <w:rPr>
                <w:rFonts w:ascii="Calibri" w:hAnsi="Calibri"/>
                <w:b/>
                <w:color w:val="FFFFFF"/>
                <w:sz w:val="19"/>
              </w:rPr>
              <w:t>Diagnóstico de Solvencia y Balance</w:t>
            </w:r>
          </w:p>
        </w:tc>
      </w:tr>
      <w:tr>
        <w:tc>
          <w:tcPr>
            <w:tcW w:type="dxa" w:w="2592"/>
            <w:shd w:fill="FFFFFF"/>
            <w:tcMar>
              <w:top w:w="80" w:type="dxa"/>
              <w:bottom w:w="80" w:type="dxa"/>
              <w:left w:w="120" w:type="dxa"/>
              <w:right w:w="120" w:type="dxa"/>
            </w:tcMar>
          </w:tcPr>
          <w:p>
            <w:pPr>
              <w:spacing w:before="0" w:after="0"/>
              <w:jc w:val="left"/>
            </w:pPr>
            <w:r>
              <w:rPr>
                <w:rFonts w:ascii="Calibri" w:hAnsi="Calibri"/>
                <w:color w:val="2D3748"/>
                <w:sz w:val="18"/>
              </w:rPr>
              <w:t>Caja y Depósitos en Bancos Centrales</w:t>
            </w:r>
          </w:p>
        </w:tc>
        <w:tc>
          <w:tcPr>
            <w:tcW w:type="dxa" w:w="1440"/>
            <w:shd w:fill="FFFFFF"/>
            <w:tcMar>
              <w:top w:w="80" w:type="dxa"/>
              <w:bottom w:w="80" w:type="dxa"/>
              <w:left w:w="120" w:type="dxa"/>
              <w:right w:w="120" w:type="dxa"/>
            </w:tcMar>
          </w:tcPr>
          <w:p>
            <w:pPr>
              <w:spacing w:before="0" w:after="0"/>
              <w:jc w:val="right"/>
            </w:pPr>
            <w:r>
              <w:rPr>
                <w:rFonts w:ascii="Calibri" w:hAnsi="Calibri"/>
                <w:color w:val="2D3748"/>
                <w:sz w:val="18"/>
              </w:rPr>
              <w:t>$4,200.0 M</w:t>
            </w:r>
          </w:p>
        </w:tc>
        <w:tc>
          <w:tcPr>
            <w:tcW w:type="dxa" w:w="1440"/>
            <w:shd w:fill="FFFFFF"/>
            <w:tcMar>
              <w:top w:w="80" w:type="dxa"/>
              <w:bottom w:w="80" w:type="dxa"/>
              <w:left w:w="120" w:type="dxa"/>
              <w:right w:w="120" w:type="dxa"/>
            </w:tcMar>
          </w:tcPr>
          <w:p>
            <w:pPr>
              <w:spacing w:before="0" w:after="0"/>
              <w:jc w:val="right"/>
            </w:pPr>
            <w:r>
              <w:rPr>
                <w:rFonts w:ascii="Calibri" w:hAnsi="Calibri"/>
                <w:color w:val="2D3748"/>
                <w:sz w:val="18"/>
              </w:rPr>
              <w:t>$3,850.0 M</w:t>
            </w:r>
          </w:p>
        </w:tc>
        <w:tc>
          <w:tcPr>
            <w:tcW w:type="dxa" w:w="1584"/>
            <w:shd w:fill="FFFFFF"/>
            <w:tcMar>
              <w:top w:w="80" w:type="dxa"/>
              <w:bottom w:w="80" w:type="dxa"/>
              <w:left w:w="120" w:type="dxa"/>
              <w:right w:w="120" w:type="dxa"/>
            </w:tcMar>
          </w:tcPr>
          <w:p>
            <w:pPr>
              <w:spacing w:before="0" w:after="0"/>
              <w:jc w:val="right"/>
            </w:pPr>
            <w:r>
              <w:rPr>
                <w:rFonts w:ascii="Calibri" w:hAnsi="Calibri"/>
                <w:color w:val="2D3748"/>
                <w:sz w:val="18"/>
              </w:rPr>
              <w:t>+9.1%</w:t>
            </w:r>
          </w:p>
        </w:tc>
        <w:tc>
          <w:tcPr>
            <w:tcW w:type="dxa" w:w="2736"/>
            <w:shd w:fill="FFFFFF"/>
            <w:tcMar>
              <w:top w:w="80" w:type="dxa"/>
              <w:bottom w:w="80" w:type="dxa"/>
              <w:left w:w="120" w:type="dxa"/>
              <w:right w:w="120" w:type="dxa"/>
            </w:tcMar>
          </w:tcPr>
          <w:p>
            <w:pPr>
              <w:spacing w:before="0" w:after="0"/>
              <w:jc w:val="left"/>
            </w:pPr>
            <w:r>
              <w:rPr>
                <w:rFonts w:ascii="Calibri" w:hAnsi="Calibri"/>
                <w:color w:val="2D3748"/>
                <w:sz w:val="18"/>
              </w:rPr>
              <w:t>Liquidez inmediata colocada en reservas del Banco Central de Brasil.</w:t>
            </w:r>
          </w:p>
        </w:tc>
      </w:tr>
      <w:tr>
        <w:tc>
          <w:tcPr>
            <w:tcW w:type="dxa" w:w="2592"/>
            <w:shd w:fill="F7FAFC"/>
            <w:tcMar>
              <w:top w:w="80" w:type="dxa"/>
              <w:bottom w:w="80" w:type="dxa"/>
              <w:left w:w="120" w:type="dxa"/>
              <w:right w:w="120" w:type="dxa"/>
            </w:tcMar>
          </w:tcPr>
          <w:p>
            <w:pPr>
              <w:spacing w:before="0" w:after="0"/>
              <w:jc w:val="left"/>
            </w:pPr>
            <w:r>
              <w:rPr>
                <w:rFonts w:ascii="Calibri" w:hAnsi="Calibri"/>
                <w:color w:val="2D3748"/>
                <w:sz w:val="18"/>
              </w:rPr>
              <w:t>Cartera de Crédito Neta de Provisiones</w:t>
            </w:r>
          </w:p>
        </w:tc>
        <w:tc>
          <w:tcPr>
            <w:tcW w:type="dxa" w:w="1440"/>
            <w:shd w:fill="F7FAFC"/>
            <w:tcMar>
              <w:top w:w="80" w:type="dxa"/>
              <w:bottom w:w="80" w:type="dxa"/>
              <w:left w:w="120" w:type="dxa"/>
              <w:right w:w="120" w:type="dxa"/>
            </w:tcMar>
          </w:tcPr>
          <w:p>
            <w:pPr>
              <w:spacing w:before="0" w:after="0"/>
              <w:jc w:val="right"/>
            </w:pPr>
            <w:r>
              <w:rPr>
                <w:rFonts w:ascii="Calibri" w:hAnsi="Calibri"/>
                <w:color w:val="2D3748"/>
                <w:sz w:val="18"/>
              </w:rPr>
              <w:t>$27,500.0 M</w:t>
            </w:r>
          </w:p>
        </w:tc>
        <w:tc>
          <w:tcPr>
            <w:tcW w:type="dxa" w:w="1440"/>
            <w:shd w:fill="F7FAFC"/>
            <w:tcMar>
              <w:top w:w="80" w:type="dxa"/>
              <w:bottom w:w="80" w:type="dxa"/>
              <w:left w:w="120" w:type="dxa"/>
              <w:right w:w="120" w:type="dxa"/>
            </w:tcMar>
          </w:tcPr>
          <w:p>
            <w:pPr>
              <w:spacing w:before="0" w:after="0"/>
              <w:jc w:val="right"/>
            </w:pPr>
            <w:r>
              <w:rPr>
                <w:rFonts w:ascii="Calibri" w:hAnsi="Calibri"/>
                <w:color w:val="2D3748"/>
                <w:sz w:val="18"/>
              </w:rPr>
              <w:t>$19,300.0 M</w:t>
            </w:r>
          </w:p>
        </w:tc>
        <w:tc>
          <w:tcPr>
            <w:tcW w:type="dxa" w:w="1584"/>
            <w:shd w:fill="F7FAFC"/>
            <w:tcMar>
              <w:top w:w="80" w:type="dxa"/>
              <w:bottom w:w="80" w:type="dxa"/>
              <w:left w:w="120" w:type="dxa"/>
              <w:right w:w="120" w:type="dxa"/>
            </w:tcMar>
          </w:tcPr>
          <w:p>
            <w:pPr>
              <w:spacing w:before="0" w:after="0"/>
              <w:jc w:val="right"/>
            </w:pPr>
            <w:r>
              <w:rPr>
                <w:rFonts w:ascii="Calibri" w:hAnsi="Calibri"/>
                <w:color w:val="2D3748"/>
                <w:sz w:val="18"/>
              </w:rPr>
              <w:t>+42.5%</w:t>
            </w:r>
          </w:p>
        </w:tc>
        <w:tc>
          <w:tcPr>
            <w:tcW w:type="dxa" w:w="2736"/>
            <w:shd w:fill="F7FAFC"/>
            <w:tcMar>
              <w:top w:w="80" w:type="dxa"/>
              <w:bottom w:w="80" w:type="dxa"/>
              <w:left w:w="120" w:type="dxa"/>
              <w:right w:w="120" w:type="dxa"/>
            </w:tcMar>
          </w:tcPr>
          <w:p>
            <w:pPr>
              <w:spacing w:before="0" w:after="0"/>
              <w:jc w:val="left"/>
            </w:pPr>
            <w:r>
              <w:rPr>
                <w:rFonts w:ascii="Calibri" w:hAnsi="Calibri"/>
                <w:color w:val="2D3748"/>
                <w:sz w:val="18"/>
              </w:rPr>
              <w:t>Activo financiero productivo con provisiones contracíclicas IFRS 9.</w:t>
            </w:r>
          </w:p>
        </w:tc>
      </w:tr>
      <w:tr>
        <w:tc>
          <w:tcPr>
            <w:tcW w:type="dxa" w:w="2592"/>
            <w:shd w:fill="FFFFFF"/>
            <w:tcMar>
              <w:top w:w="80" w:type="dxa"/>
              <w:bottom w:w="80" w:type="dxa"/>
              <w:left w:w="120" w:type="dxa"/>
              <w:right w:w="120" w:type="dxa"/>
            </w:tcMar>
          </w:tcPr>
          <w:p>
            <w:pPr>
              <w:spacing w:before="0" w:after="0"/>
              <w:jc w:val="left"/>
            </w:pPr>
            <w:r>
              <w:rPr>
                <w:rFonts w:ascii="Calibri" w:hAnsi="Calibri"/>
                <w:color w:val="2D3748"/>
                <w:sz w:val="18"/>
              </w:rPr>
              <w:t>Depósitos de Clientes (Fondeo Minorista)</w:t>
            </w:r>
          </w:p>
        </w:tc>
        <w:tc>
          <w:tcPr>
            <w:tcW w:type="dxa" w:w="1440"/>
            <w:shd w:fill="FFFFFF"/>
            <w:tcMar>
              <w:top w:w="80" w:type="dxa"/>
              <w:bottom w:w="80" w:type="dxa"/>
              <w:left w:w="120" w:type="dxa"/>
              <w:right w:w="120" w:type="dxa"/>
            </w:tcMar>
          </w:tcPr>
          <w:p>
            <w:pPr>
              <w:spacing w:before="0" w:after="0"/>
              <w:jc w:val="right"/>
            </w:pPr>
            <w:r>
              <w:rPr>
                <w:rFonts w:ascii="Calibri" w:hAnsi="Calibri"/>
                <w:color w:val="2D3748"/>
                <w:sz w:val="18"/>
              </w:rPr>
              <w:t>$36,600.0 M</w:t>
            </w:r>
          </w:p>
        </w:tc>
        <w:tc>
          <w:tcPr>
            <w:tcW w:type="dxa" w:w="1440"/>
            <w:shd w:fill="FFFFFF"/>
            <w:tcMar>
              <w:top w:w="80" w:type="dxa"/>
              <w:bottom w:w="80" w:type="dxa"/>
              <w:left w:w="120" w:type="dxa"/>
              <w:right w:w="120" w:type="dxa"/>
            </w:tcMar>
          </w:tcPr>
          <w:p>
            <w:pPr>
              <w:spacing w:before="0" w:after="0"/>
              <w:jc w:val="right"/>
            </w:pPr>
            <w:r>
              <w:rPr>
                <w:rFonts w:ascii="Calibri" w:hAnsi="Calibri"/>
                <w:color w:val="2D3748"/>
                <w:sz w:val="18"/>
              </w:rPr>
              <w:t>$26,000.0 M</w:t>
            </w:r>
          </w:p>
        </w:tc>
        <w:tc>
          <w:tcPr>
            <w:tcW w:type="dxa" w:w="1584"/>
            <w:shd w:fill="FFFFFF"/>
            <w:tcMar>
              <w:top w:w="80" w:type="dxa"/>
              <w:bottom w:w="80" w:type="dxa"/>
              <w:left w:w="120" w:type="dxa"/>
              <w:right w:w="120" w:type="dxa"/>
            </w:tcMar>
          </w:tcPr>
          <w:p>
            <w:pPr>
              <w:spacing w:before="0" w:after="0"/>
              <w:jc w:val="right"/>
            </w:pPr>
            <w:r>
              <w:rPr>
                <w:rFonts w:ascii="Calibri" w:hAnsi="Calibri"/>
                <w:color w:val="2D3748"/>
                <w:sz w:val="18"/>
              </w:rPr>
              <w:t>+40.8%</w:t>
            </w:r>
          </w:p>
        </w:tc>
        <w:tc>
          <w:tcPr>
            <w:tcW w:type="dxa" w:w="2736"/>
            <w:shd w:fill="FFFFFF"/>
            <w:tcMar>
              <w:top w:w="80" w:type="dxa"/>
              <w:bottom w:w="80" w:type="dxa"/>
              <w:left w:w="120" w:type="dxa"/>
              <w:right w:w="120" w:type="dxa"/>
            </w:tcMar>
          </w:tcPr>
          <w:p>
            <w:pPr>
              <w:spacing w:before="0" w:after="0"/>
              <w:jc w:val="left"/>
            </w:pPr>
            <w:r>
              <w:rPr>
                <w:rFonts w:ascii="Calibri" w:hAnsi="Calibri"/>
                <w:color w:val="2D3748"/>
                <w:sz w:val="18"/>
              </w:rPr>
              <w:t>Principal pasivo operativo de bajo coste que financia la cartera.</w:t>
            </w:r>
          </w:p>
        </w:tc>
      </w:tr>
      <w:tr>
        <w:tc>
          <w:tcPr>
            <w:tcW w:type="dxa" w:w="2592"/>
            <w:shd w:fill="F7FAFC"/>
            <w:tcMar>
              <w:top w:w="80" w:type="dxa"/>
              <w:bottom w:w="80" w:type="dxa"/>
              <w:left w:w="120" w:type="dxa"/>
              <w:right w:w="120" w:type="dxa"/>
            </w:tcMar>
          </w:tcPr>
          <w:p>
            <w:pPr>
              <w:spacing w:before="0" w:after="0"/>
              <w:jc w:val="left"/>
            </w:pPr>
            <w:r>
              <w:rPr>
                <w:rFonts w:ascii="Calibri" w:hAnsi="Calibri"/>
                <w:color w:val="2D3748"/>
                <w:sz w:val="18"/>
              </w:rPr>
              <w:t>Patrimonio Neto Tangible (TBV)</w:t>
            </w:r>
          </w:p>
        </w:tc>
        <w:tc>
          <w:tcPr>
            <w:tcW w:type="dxa" w:w="1440"/>
            <w:shd w:fill="F7FAFC"/>
            <w:tcMar>
              <w:top w:w="80" w:type="dxa"/>
              <w:bottom w:w="80" w:type="dxa"/>
              <w:left w:w="120" w:type="dxa"/>
              <w:right w:w="120" w:type="dxa"/>
            </w:tcMar>
          </w:tcPr>
          <w:p>
            <w:pPr>
              <w:spacing w:before="0" w:after="0"/>
              <w:jc w:val="right"/>
            </w:pPr>
            <w:r>
              <w:rPr>
                <w:rFonts w:ascii="Calibri" w:hAnsi="Calibri"/>
                <w:color w:val="2D3748"/>
                <w:sz w:val="18"/>
              </w:rPr>
              <w:t>$7,850.0 M</w:t>
            </w:r>
          </w:p>
        </w:tc>
        <w:tc>
          <w:tcPr>
            <w:tcW w:type="dxa" w:w="1440"/>
            <w:shd w:fill="F7FAFC"/>
            <w:tcMar>
              <w:top w:w="80" w:type="dxa"/>
              <w:bottom w:w="80" w:type="dxa"/>
              <w:left w:w="120" w:type="dxa"/>
              <w:right w:w="120" w:type="dxa"/>
            </w:tcMar>
          </w:tcPr>
          <w:p>
            <w:pPr>
              <w:spacing w:before="0" w:after="0"/>
              <w:jc w:val="right"/>
            </w:pPr>
            <w:r>
              <w:rPr>
                <w:rFonts w:ascii="Calibri" w:hAnsi="Calibri"/>
                <w:color w:val="2D3748"/>
                <w:sz w:val="18"/>
              </w:rPr>
              <w:t>$6,200.0 M</w:t>
            </w:r>
          </w:p>
        </w:tc>
        <w:tc>
          <w:tcPr>
            <w:tcW w:type="dxa" w:w="1584"/>
            <w:shd w:fill="F7FAFC"/>
            <w:tcMar>
              <w:top w:w="80" w:type="dxa"/>
              <w:bottom w:w="80" w:type="dxa"/>
              <w:left w:w="120" w:type="dxa"/>
              <w:right w:w="120" w:type="dxa"/>
            </w:tcMar>
          </w:tcPr>
          <w:p>
            <w:pPr>
              <w:spacing w:before="0" w:after="0"/>
              <w:jc w:val="right"/>
            </w:pPr>
            <w:r>
              <w:rPr>
                <w:rFonts w:ascii="Calibri" w:hAnsi="Calibri"/>
                <w:color w:val="2D3748"/>
                <w:sz w:val="18"/>
              </w:rPr>
              <w:t>+26.6%</w:t>
            </w:r>
          </w:p>
        </w:tc>
        <w:tc>
          <w:tcPr>
            <w:tcW w:type="dxa" w:w="2736"/>
            <w:shd w:fill="F7FAFC"/>
            <w:tcMar>
              <w:top w:w="80" w:type="dxa"/>
              <w:bottom w:w="80" w:type="dxa"/>
              <w:left w:w="120" w:type="dxa"/>
              <w:right w:w="120" w:type="dxa"/>
            </w:tcMar>
          </w:tcPr>
          <w:p>
            <w:pPr>
              <w:spacing w:before="0" w:after="0"/>
              <w:jc w:val="left"/>
            </w:pPr>
            <w:r>
              <w:rPr>
                <w:rFonts w:ascii="Calibri" w:hAnsi="Calibri"/>
                <w:color w:val="2D3748"/>
                <w:sz w:val="18"/>
              </w:rPr>
              <w:t>Base de capital propio tangible que respalda los ratios de Basilea.</w:t>
            </w:r>
          </w:p>
        </w:tc>
      </w:tr>
      <w:tr>
        <w:tc>
          <w:tcPr>
            <w:tcW w:type="dxa" w:w="2592"/>
            <w:shd w:fill="FFFFFF"/>
            <w:tcMar>
              <w:top w:w="80" w:type="dxa"/>
              <w:bottom w:w="80" w:type="dxa"/>
              <w:left w:w="120" w:type="dxa"/>
              <w:right w:w="120" w:type="dxa"/>
            </w:tcMar>
          </w:tcPr>
          <w:p>
            <w:pPr>
              <w:spacing w:before="0" w:after="0"/>
              <w:jc w:val="left"/>
            </w:pPr>
            <w:r>
              <w:rPr>
                <w:rFonts w:ascii="Calibri" w:hAnsi="Calibri"/>
                <w:color w:val="2D3748"/>
                <w:sz w:val="18"/>
              </w:rPr>
              <w:t>Ratio de Préstamos sobre Depósitos (LDR)</w:t>
            </w:r>
          </w:p>
        </w:tc>
        <w:tc>
          <w:tcPr>
            <w:tcW w:type="dxa" w:w="1440"/>
            <w:shd w:fill="FFFFFF"/>
            <w:tcMar>
              <w:top w:w="80" w:type="dxa"/>
              <w:bottom w:w="80" w:type="dxa"/>
              <w:left w:w="120" w:type="dxa"/>
              <w:right w:w="120" w:type="dxa"/>
            </w:tcMar>
          </w:tcPr>
          <w:p>
            <w:pPr>
              <w:spacing w:before="0" w:after="0"/>
              <w:jc w:val="right"/>
            </w:pPr>
            <w:r>
              <w:rPr>
                <w:rFonts w:ascii="Calibri" w:hAnsi="Calibri"/>
                <w:color w:val="2D3748"/>
                <w:sz w:val="18"/>
              </w:rPr>
              <w:t>75.1%</w:t>
            </w:r>
          </w:p>
        </w:tc>
        <w:tc>
          <w:tcPr>
            <w:tcW w:type="dxa" w:w="1440"/>
            <w:shd w:fill="FFFFFF"/>
            <w:tcMar>
              <w:top w:w="80" w:type="dxa"/>
              <w:bottom w:w="80" w:type="dxa"/>
              <w:left w:w="120" w:type="dxa"/>
              <w:right w:w="120" w:type="dxa"/>
            </w:tcMar>
          </w:tcPr>
          <w:p>
            <w:pPr>
              <w:spacing w:before="0" w:after="0"/>
              <w:jc w:val="right"/>
            </w:pPr>
            <w:r>
              <w:rPr>
                <w:rFonts w:ascii="Calibri" w:hAnsi="Calibri"/>
                <w:color w:val="2D3748"/>
                <w:sz w:val="18"/>
              </w:rPr>
              <w:t>74.2%</w:t>
            </w:r>
          </w:p>
        </w:tc>
        <w:tc>
          <w:tcPr>
            <w:tcW w:type="dxa" w:w="1584"/>
            <w:shd w:fill="FFFFFF"/>
            <w:tcMar>
              <w:top w:w="80" w:type="dxa"/>
              <w:bottom w:w="80" w:type="dxa"/>
              <w:left w:w="120" w:type="dxa"/>
              <w:right w:w="120" w:type="dxa"/>
            </w:tcMar>
          </w:tcPr>
          <w:p>
            <w:pPr>
              <w:spacing w:before="0" w:after="0"/>
              <w:jc w:val="right"/>
            </w:pPr>
            <w:r>
              <w:rPr>
                <w:rFonts w:ascii="Calibri" w:hAnsi="Calibri"/>
                <w:color w:val="2D3748"/>
                <w:sz w:val="18"/>
              </w:rPr>
              <w:t>+90 bps</w:t>
            </w:r>
          </w:p>
        </w:tc>
        <w:tc>
          <w:tcPr>
            <w:tcW w:type="dxa" w:w="2736"/>
            <w:shd w:fill="FFFFFF"/>
            <w:tcMar>
              <w:top w:w="80" w:type="dxa"/>
              <w:bottom w:w="80" w:type="dxa"/>
              <w:left w:w="120" w:type="dxa"/>
              <w:right w:w="120" w:type="dxa"/>
            </w:tcMar>
          </w:tcPr>
          <w:p>
            <w:pPr>
              <w:spacing w:before="0" w:after="0"/>
              <w:jc w:val="left"/>
            </w:pPr>
            <w:r>
              <w:rPr>
                <w:rFonts w:ascii="Calibri" w:hAnsi="Calibri"/>
                <w:color w:val="2D3748"/>
                <w:sz w:val="18"/>
              </w:rPr>
              <w:t>Estructura conservadora; los depósitos superan ampliamente a los préstamos.</w:t>
            </w:r>
          </w:p>
        </w:tc>
      </w:tr>
    </w:tbl>
    <w:p>
      <w:pPr>
        <w:spacing w:after="120"/>
      </w:pPr>
    </w:p>
    <w:p>
      <w:pPr>
        <w:spacing w:before="40" w:after="80" w:line="276" w:lineRule="auto"/>
      </w:pPr>
      <w:r>
        <w:rPr>
          <w:rFonts w:ascii="Calibri" w:hAnsi="Calibri"/>
          <w:b/>
          <w:color w:val="2D3748"/>
          <w:sz w:val="20"/>
        </w:rPr>
        <w:t xml:space="preserve">• Estructura de Rendimiento de Tesorería: </w:t>
      </w:r>
      <w:r>
        <w:rPr>
          <w:rFonts w:ascii="Calibri" w:hAnsi="Calibri"/>
          <w:i w:val="0"/>
          <w:color w:val="2D3748"/>
          <w:sz w:val="20"/>
        </w:rPr>
        <w:t>A diferencia de la banca tradicional dependiente de pagarés y bonos interbancarios, Nu Holdings financia el 100% de su cartera de préstamos con depósitos a la vista y a plazo de sus usuarios, blindando su margen financiero frente a tensiones de liquidez mayorista.</w:t>
      </w:r>
    </w:p>
    <w:p>
      <w:pPr>
        <w:keepNext/>
        <w:spacing w:before="200" w:after="80"/>
      </w:pPr>
      <w:r>
        <w:rPr>
          <w:rFonts w:ascii="Calibri" w:hAnsi="Calibri"/>
          <w:b/>
          <w:color w:val="4A5568"/>
          <w:sz w:val="22"/>
        </w:rPr>
        <w:t>6.2. Política de Retorno al Accionista: Recompra de Acciones y Dividendos</w:t>
      </w:r>
    </w:p>
    <w:p>
      <w:pPr>
        <w:spacing w:before="40" w:after="80" w:line="276" w:lineRule="auto"/>
      </w:pPr>
      <w:r>
        <w:rPr>
          <w:rFonts w:ascii="Calibri" w:hAnsi="Calibri"/>
          <w:i w:val="0"/>
          <w:color w:val="2D3748"/>
          <w:sz w:val="20"/>
        </w:rPr>
        <w:t>Nu Holdings retiene la totalidad de sus beneficios netos para soportar el crecimiento de activos ponderados por riesgo (RWA) en México y Colombia, sin realizar recompras ni distribuir dividendos en efectivo:</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2448"/>
        <w:gridCol w:w="2448"/>
        <w:gridCol w:w="2448"/>
        <w:gridCol w:w="2448"/>
      </w:tblGrid>
      <w:tr>
        <w:tc>
          <w:tcPr>
            <w:tcW w:type="dxa" w:w="3024"/>
            <w:shd w:fill="1B365D"/>
            <w:tcMar>
              <w:top w:w="100" w:type="dxa"/>
              <w:bottom w:w="100" w:type="dxa"/>
              <w:left w:w="120" w:type="dxa"/>
              <w:right w:w="120" w:type="dxa"/>
            </w:tcMar>
          </w:tcPr>
          <w:p>
            <w:pPr>
              <w:spacing w:before="0" w:after="0"/>
              <w:jc w:val="left"/>
            </w:pPr>
            <w:r>
              <w:rPr>
                <w:rFonts w:ascii="Calibri" w:hAnsi="Calibri"/>
                <w:b/>
                <w:color w:val="FFFFFF"/>
                <w:sz w:val="19"/>
              </w:rPr>
              <w:t>Componente de Asignación</w:t>
            </w:r>
          </w:p>
        </w:tc>
        <w:tc>
          <w:tcPr>
            <w:tcW w:type="dxa" w:w="1728"/>
            <w:shd w:fill="1B365D"/>
            <w:tcMar>
              <w:top w:w="100" w:type="dxa"/>
              <w:bottom w:w="100" w:type="dxa"/>
              <w:left w:w="120" w:type="dxa"/>
              <w:right w:w="120" w:type="dxa"/>
            </w:tcMar>
          </w:tcPr>
          <w:p>
            <w:pPr>
              <w:spacing w:before="0" w:after="0"/>
              <w:jc w:val="right"/>
            </w:pPr>
            <w:r>
              <w:rPr>
                <w:rFonts w:ascii="Calibri" w:hAnsi="Calibri"/>
                <w:b/>
                <w:color w:val="FFFFFF"/>
                <w:sz w:val="19"/>
              </w:rPr>
              <w:t>Cifra LTM ($M)</w:t>
            </w:r>
          </w:p>
        </w:tc>
        <w:tc>
          <w:tcPr>
            <w:tcW w:type="dxa" w:w="1728"/>
            <w:shd w:fill="1B365D"/>
            <w:tcMar>
              <w:top w:w="100" w:type="dxa"/>
              <w:bottom w:w="100" w:type="dxa"/>
              <w:left w:w="120" w:type="dxa"/>
              <w:right w:w="120" w:type="dxa"/>
            </w:tcMar>
          </w:tcPr>
          <w:p>
            <w:pPr>
              <w:spacing w:before="0" w:after="0"/>
              <w:jc w:val="right"/>
            </w:pPr>
            <w:r>
              <w:rPr>
                <w:rFonts w:ascii="Calibri" w:hAnsi="Calibri"/>
                <w:b/>
                <w:color w:val="FFFFFF"/>
                <w:sz w:val="19"/>
              </w:rPr>
              <w:t>Objetivo Estratégico</w:t>
            </w:r>
          </w:p>
        </w:tc>
        <w:tc>
          <w:tcPr>
            <w:tcW w:type="dxa" w:w="3312"/>
            <w:shd w:fill="1B365D"/>
            <w:tcMar>
              <w:top w:w="100" w:type="dxa"/>
              <w:bottom w:w="100" w:type="dxa"/>
              <w:left w:w="120" w:type="dxa"/>
              <w:right w:w="120" w:type="dxa"/>
            </w:tcMar>
          </w:tcPr>
          <w:p>
            <w:pPr>
              <w:spacing w:before="0" w:after="0"/>
              <w:jc w:val="left"/>
            </w:pPr>
            <w:r>
              <w:rPr>
                <w:rFonts w:ascii="Calibri" w:hAnsi="Calibri"/>
                <w:b/>
                <w:color w:val="FFFFFF"/>
                <w:sz w:val="19"/>
              </w:rPr>
              <w:t>Impacto para el Accionista</w:t>
            </w:r>
          </w:p>
        </w:tc>
      </w:tr>
      <w:tr>
        <w:tc>
          <w:tcPr>
            <w:tcW w:type="dxa" w:w="3024"/>
            <w:shd w:fill="FFFFFF"/>
            <w:tcMar>
              <w:top w:w="80" w:type="dxa"/>
              <w:bottom w:w="80" w:type="dxa"/>
              <w:left w:w="120" w:type="dxa"/>
              <w:right w:w="120" w:type="dxa"/>
            </w:tcMar>
          </w:tcPr>
          <w:p>
            <w:pPr>
              <w:spacing w:before="0" w:after="0"/>
              <w:jc w:val="left"/>
            </w:pPr>
            <w:r>
              <w:rPr>
                <w:rFonts w:ascii="Calibri" w:hAnsi="Calibri"/>
                <w:color w:val="2D3748"/>
                <w:sz w:val="18"/>
              </w:rPr>
              <w:t>Beneficio Retenido en Capital Regulatorio</w:t>
            </w:r>
          </w:p>
        </w:tc>
        <w:tc>
          <w:tcPr>
            <w:tcW w:type="dxa" w:w="1728"/>
            <w:shd w:fill="FFFFFF"/>
            <w:tcMar>
              <w:top w:w="80" w:type="dxa"/>
              <w:bottom w:w="80" w:type="dxa"/>
              <w:left w:w="120" w:type="dxa"/>
              <w:right w:w="120" w:type="dxa"/>
            </w:tcMar>
          </w:tcPr>
          <w:p>
            <w:pPr>
              <w:spacing w:before="0" w:after="0"/>
              <w:jc w:val="right"/>
            </w:pPr>
            <w:r>
              <w:rPr>
                <w:rFonts w:ascii="Calibri" w:hAnsi="Calibri"/>
                <w:color w:val="2D3748"/>
                <w:sz w:val="18"/>
              </w:rPr>
              <w:t>$1,972.1 M</w:t>
            </w:r>
          </w:p>
        </w:tc>
        <w:tc>
          <w:tcPr>
            <w:tcW w:type="dxa" w:w="1728"/>
            <w:shd w:fill="FFFFFF"/>
            <w:tcMar>
              <w:top w:w="80" w:type="dxa"/>
              <w:bottom w:w="80" w:type="dxa"/>
              <w:left w:w="120" w:type="dxa"/>
              <w:right w:w="120" w:type="dxa"/>
            </w:tcMar>
          </w:tcPr>
          <w:p>
            <w:pPr>
              <w:spacing w:before="0" w:after="0"/>
              <w:jc w:val="right"/>
            </w:pPr>
            <w:r>
              <w:rPr>
                <w:rFonts w:ascii="Calibri" w:hAnsi="Calibri"/>
                <w:color w:val="2D3748"/>
                <w:sz w:val="18"/>
              </w:rPr>
              <w:t>Crecimiento de RWA</w:t>
            </w:r>
          </w:p>
        </w:tc>
        <w:tc>
          <w:tcPr>
            <w:tcW w:type="dxa" w:w="3312"/>
            <w:shd w:fill="FFFFFF"/>
            <w:tcMar>
              <w:top w:w="80" w:type="dxa"/>
              <w:bottom w:w="80" w:type="dxa"/>
              <w:left w:w="120" w:type="dxa"/>
              <w:right w:w="120" w:type="dxa"/>
            </w:tcMar>
          </w:tcPr>
          <w:p>
            <w:pPr>
              <w:spacing w:before="0" w:after="0"/>
              <w:jc w:val="left"/>
            </w:pPr>
            <w:r>
              <w:rPr>
                <w:rFonts w:ascii="Calibri" w:hAnsi="Calibri"/>
                <w:color w:val="2D3748"/>
                <w:sz w:val="18"/>
              </w:rPr>
              <w:t>El 100% de las ganancias se capitaliza para elevar el valor en libros por acción (TBV).</w:t>
            </w:r>
          </w:p>
        </w:tc>
      </w:tr>
      <w:tr>
        <w:tc>
          <w:tcPr>
            <w:tcW w:type="dxa" w:w="3024"/>
            <w:shd w:fill="F7FAFC"/>
            <w:tcMar>
              <w:top w:w="80" w:type="dxa"/>
              <w:bottom w:w="80" w:type="dxa"/>
              <w:left w:w="120" w:type="dxa"/>
              <w:right w:w="120" w:type="dxa"/>
            </w:tcMar>
          </w:tcPr>
          <w:p>
            <w:pPr>
              <w:spacing w:before="0" w:after="0"/>
              <w:jc w:val="left"/>
            </w:pPr>
            <w:r>
              <w:rPr>
                <w:rFonts w:ascii="Calibri" w:hAnsi="Calibri"/>
                <w:color w:val="2D3748"/>
                <w:sz w:val="18"/>
              </w:rPr>
              <w:t>Recompra de Acciones</w:t>
            </w:r>
          </w:p>
        </w:tc>
        <w:tc>
          <w:tcPr>
            <w:tcW w:type="dxa" w:w="1728"/>
            <w:shd w:fill="F7FAFC"/>
            <w:tcMar>
              <w:top w:w="80" w:type="dxa"/>
              <w:bottom w:w="80" w:type="dxa"/>
              <w:left w:w="120" w:type="dxa"/>
              <w:right w:w="120" w:type="dxa"/>
            </w:tcMar>
          </w:tcPr>
          <w:p>
            <w:pPr>
              <w:spacing w:before="0" w:after="0"/>
              <w:jc w:val="right"/>
            </w:pPr>
            <w:r>
              <w:rPr>
                <w:rFonts w:ascii="Calibri" w:hAnsi="Calibri"/>
                <w:color w:val="2D3748"/>
                <w:sz w:val="18"/>
              </w:rPr>
              <w:t>$0.0 M</w:t>
            </w:r>
          </w:p>
        </w:tc>
        <w:tc>
          <w:tcPr>
            <w:tcW w:type="dxa" w:w="1728"/>
            <w:shd w:fill="F7FAFC"/>
            <w:tcMar>
              <w:top w:w="80" w:type="dxa"/>
              <w:bottom w:w="80" w:type="dxa"/>
              <w:left w:w="120" w:type="dxa"/>
              <w:right w:w="120" w:type="dxa"/>
            </w:tcMar>
          </w:tcPr>
          <w:p>
            <w:pPr>
              <w:spacing w:before="0" w:after="0"/>
              <w:jc w:val="right"/>
            </w:pPr>
            <w:r>
              <w:rPr>
                <w:rFonts w:ascii="Calibri" w:hAnsi="Calibri"/>
                <w:color w:val="2D3748"/>
                <w:sz w:val="18"/>
              </w:rPr>
              <w:t>Prioridad de crecimiento</w:t>
            </w:r>
          </w:p>
        </w:tc>
        <w:tc>
          <w:tcPr>
            <w:tcW w:type="dxa" w:w="3312"/>
            <w:shd w:fill="F7FAFC"/>
            <w:tcMar>
              <w:top w:w="80" w:type="dxa"/>
              <w:bottom w:w="80" w:type="dxa"/>
              <w:left w:w="120" w:type="dxa"/>
              <w:right w:w="120" w:type="dxa"/>
            </w:tcMar>
          </w:tcPr>
          <w:p>
            <w:pPr>
              <w:spacing w:before="0" w:after="0"/>
              <w:jc w:val="left"/>
            </w:pPr>
            <w:r>
              <w:rPr>
                <w:rFonts w:ascii="Calibri" w:hAnsi="Calibri"/>
                <w:color w:val="2D3748"/>
                <w:sz w:val="18"/>
              </w:rPr>
              <w:t>Se conserva capital para consolidar el liderazgo en México y Colombia.</w:t>
            </w:r>
          </w:p>
        </w:tc>
      </w:tr>
      <w:tr>
        <w:tc>
          <w:tcPr>
            <w:tcW w:type="dxa" w:w="3024"/>
            <w:shd w:fill="FFFFFF"/>
            <w:tcMar>
              <w:top w:w="80" w:type="dxa"/>
              <w:bottom w:w="80" w:type="dxa"/>
              <w:left w:w="120" w:type="dxa"/>
              <w:right w:w="120" w:type="dxa"/>
            </w:tcMar>
          </w:tcPr>
          <w:p>
            <w:pPr>
              <w:spacing w:before="0" w:after="0"/>
              <w:jc w:val="left"/>
            </w:pPr>
            <w:r>
              <w:rPr>
                <w:rFonts w:ascii="Calibri" w:hAnsi="Calibri"/>
                <w:color w:val="2D3748"/>
                <w:sz w:val="18"/>
              </w:rPr>
              <w:t>Dividendos en Efectivo</w:t>
            </w:r>
          </w:p>
        </w:tc>
        <w:tc>
          <w:tcPr>
            <w:tcW w:type="dxa" w:w="1728"/>
            <w:shd w:fill="FFFFFF"/>
            <w:tcMar>
              <w:top w:w="80" w:type="dxa"/>
              <w:bottom w:w="80" w:type="dxa"/>
              <w:left w:w="120" w:type="dxa"/>
              <w:right w:w="120" w:type="dxa"/>
            </w:tcMar>
          </w:tcPr>
          <w:p>
            <w:pPr>
              <w:spacing w:before="0" w:after="0"/>
              <w:jc w:val="right"/>
            </w:pPr>
            <w:r>
              <w:rPr>
                <w:rFonts w:ascii="Calibri" w:hAnsi="Calibri"/>
                <w:color w:val="2D3748"/>
                <w:sz w:val="18"/>
              </w:rPr>
              <w:t>$0.0 M</w:t>
            </w:r>
          </w:p>
        </w:tc>
        <w:tc>
          <w:tcPr>
            <w:tcW w:type="dxa" w:w="1728"/>
            <w:shd w:fill="FFFFFF"/>
            <w:tcMar>
              <w:top w:w="80" w:type="dxa"/>
              <w:bottom w:w="80" w:type="dxa"/>
              <w:left w:w="120" w:type="dxa"/>
              <w:right w:w="120" w:type="dxa"/>
            </w:tcMar>
          </w:tcPr>
          <w:p>
            <w:pPr>
              <w:spacing w:before="0" w:after="0"/>
              <w:jc w:val="right"/>
            </w:pPr>
            <w:r>
              <w:rPr>
                <w:rFonts w:ascii="Calibri" w:hAnsi="Calibri"/>
                <w:color w:val="2D3748"/>
                <w:sz w:val="18"/>
              </w:rPr>
              <w:t>Cero distribución</w:t>
            </w:r>
          </w:p>
        </w:tc>
        <w:tc>
          <w:tcPr>
            <w:tcW w:type="dxa" w:w="3312"/>
            <w:shd w:fill="FFFFFF"/>
            <w:tcMar>
              <w:top w:w="80" w:type="dxa"/>
              <w:bottom w:w="80" w:type="dxa"/>
              <w:left w:w="120" w:type="dxa"/>
              <w:right w:w="120" w:type="dxa"/>
            </w:tcMar>
          </w:tcPr>
          <w:p>
            <w:pPr>
              <w:spacing w:before="0" w:after="0"/>
              <w:jc w:val="left"/>
            </w:pPr>
            <w:r>
              <w:rPr>
                <w:rFonts w:ascii="Calibri" w:hAnsi="Calibri"/>
                <w:color w:val="2D3748"/>
                <w:sz w:val="18"/>
              </w:rPr>
              <w:t>Reinversión pura con rentabilidad del 26.4% sobre fondos propios.</w:t>
            </w:r>
          </w:p>
        </w:tc>
      </w:tr>
    </w:tbl>
    <w:p>
      <w:pPr>
        <w:spacing w:after="120"/>
      </w:pPr>
    </w:p>
    <w:p>
      <w:pPr>
        <w:spacing w:before="40" w:after="80" w:line="276" w:lineRule="auto"/>
      </w:pPr>
      <w:r>
        <w:rPr>
          <w:rFonts w:ascii="Calibri" w:hAnsi="Calibri"/>
          <w:b/>
          <w:color w:val="2D3748"/>
          <w:sz w:val="20"/>
        </w:rPr>
        <w:t xml:space="preserve">• Calidad de la Recompra vs. Dilución por SBC: </w:t>
      </w:r>
      <w:r>
        <w:rPr>
          <w:rFonts w:ascii="Calibri" w:hAnsi="Calibri"/>
          <w:i w:val="0"/>
          <w:color w:val="2D3748"/>
          <w:sz w:val="20"/>
        </w:rPr>
        <w:t>La dilución por compensación en acciones (SBC) a directivos y empleados clave se mantiene en niveles razonables para una empresa tecnológica de alto crecimiento, representando menos del 3% del beneficio neto.</w:t>
      </w:r>
    </w:p>
    <w:p>
      <w:pPr>
        <w:keepNext/>
        <w:spacing w:before="200" w:after="80"/>
      </w:pPr>
      <w:r>
        <w:rPr>
          <w:rFonts w:ascii="Calibri" w:hAnsi="Calibri"/>
          <w:b/>
          <w:color w:val="4A5568"/>
          <w:sz w:val="22"/>
        </w:rPr>
        <w:t>6.3. Inversiones Estratégicas, Adquisiciones (M&amp;A) y Expansión Productiva</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2448"/>
        <w:gridCol w:w="2448"/>
        <w:gridCol w:w="2448"/>
        <w:gridCol w:w="2448"/>
      </w:tblGrid>
      <w:tr>
        <w:tc>
          <w:tcPr>
            <w:tcW w:type="dxa" w:w="2448"/>
            <w:shd w:fill="1B365D"/>
            <w:tcMar>
              <w:top w:w="100" w:type="dxa"/>
              <w:bottom w:w="100" w:type="dxa"/>
              <w:left w:w="120" w:type="dxa"/>
              <w:right w:w="120" w:type="dxa"/>
            </w:tcMar>
          </w:tcPr>
          <w:p>
            <w:pPr>
              <w:spacing w:before="0" w:after="0"/>
              <w:jc w:val="left"/>
            </w:pPr>
            <w:r>
              <w:rPr>
                <w:rFonts w:ascii="Calibri" w:hAnsi="Calibri"/>
                <w:b/>
                <w:color w:val="FFFFFF"/>
                <w:sz w:val="19"/>
              </w:rPr>
              <w:t>Iniciativa / Transacción</w:t>
            </w:r>
          </w:p>
        </w:tc>
        <w:tc>
          <w:tcPr>
            <w:tcW w:type="dxa" w:w="1872"/>
            <w:shd w:fill="1B365D"/>
            <w:tcMar>
              <w:top w:w="100" w:type="dxa"/>
              <w:bottom w:w="100" w:type="dxa"/>
              <w:left w:w="120" w:type="dxa"/>
              <w:right w:w="120" w:type="dxa"/>
            </w:tcMar>
          </w:tcPr>
          <w:p>
            <w:pPr>
              <w:spacing w:before="0" w:after="0"/>
              <w:jc w:val="left"/>
            </w:pPr>
            <w:r>
              <w:rPr>
                <w:rFonts w:ascii="Calibri" w:hAnsi="Calibri"/>
                <w:b/>
                <w:color w:val="FFFFFF"/>
                <w:sz w:val="19"/>
              </w:rPr>
              <w:t>Tipo de Operación</w:t>
            </w:r>
          </w:p>
        </w:tc>
        <w:tc>
          <w:tcPr>
            <w:tcW w:type="dxa" w:w="1728"/>
            <w:shd w:fill="1B365D"/>
            <w:tcMar>
              <w:top w:w="100" w:type="dxa"/>
              <w:bottom w:w="100" w:type="dxa"/>
              <w:left w:w="120" w:type="dxa"/>
              <w:right w:w="120" w:type="dxa"/>
            </w:tcMar>
          </w:tcPr>
          <w:p>
            <w:pPr>
              <w:spacing w:before="0" w:after="0"/>
              <w:jc w:val="right"/>
            </w:pPr>
            <w:r>
              <w:rPr>
                <w:rFonts w:ascii="Calibri" w:hAnsi="Calibri"/>
                <w:b/>
                <w:color w:val="FFFFFF"/>
                <w:sz w:val="19"/>
              </w:rPr>
              <w:t>Capital / Compromiso</w:t>
            </w:r>
          </w:p>
        </w:tc>
        <w:tc>
          <w:tcPr>
            <w:tcW w:type="dxa" w:w="3744"/>
            <w:shd w:fill="1B365D"/>
            <w:tcMar>
              <w:top w:w="100" w:type="dxa"/>
              <w:bottom w:w="100" w:type="dxa"/>
              <w:left w:w="120" w:type="dxa"/>
              <w:right w:w="120" w:type="dxa"/>
            </w:tcMar>
          </w:tcPr>
          <w:p>
            <w:pPr>
              <w:spacing w:before="0" w:after="0"/>
              <w:jc w:val="left"/>
            </w:pPr>
            <w:r>
              <w:rPr>
                <w:rFonts w:ascii="Calibri" w:hAnsi="Calibri"/>
                <w:b/>
                <w:color w:val="FFFFFF"/>
                <w:sz w:val="19"/>
              </w:rPr>
              <w:t>¿Qué se busca estratégicamente con ello?</w:t>
            </w:r>
          </w:p>
        </w:tc>
      </w:tr>
      <w:tr>
        <w:tc>
          <w:tcPr>
            <w:tcW w:type="dxa" w:w="2448"/>
            <w:shd w:fill="FFFFFF"/>
            <w:tcMar>
              <w:top w:w="80" w:type="dxa"/>
              <w:bottom w:w="80" w:type="dxa"/>
              <w:left w:w="120" w:type="dxa"/>
              <w:right w:w="120" w:type="dxa"/>
            </w:tcMar>
          </w:tcPr>
          <w:p>
            <w:pPr>
              <w:spacing w:before="0" w:after="0"/>
              <w:jc w:val="left"/>
            </w:pPr>
            <w:r>
              <w:rPr>
                <w:rFonts w:ascii="Calibri" w:hAnsi="Calibri"/>
                <w:color w:val="2D3748"/>
                <w:sz w:val="18"/>
              </w:rPr>
              <w:t>Capitalización de Filiales en México y Colombia</w:t>
            </w:r>
          </w:p>
        </w:tc>
        <w:tc>
          <w:tcPr>
            <w:tcW w:type="dxa" w:w="1872"/>
            <w:shd w:fill="FFFFFF"/>
            <w:tcMar>
              <w:top w:w="80" w:type="dxa"/>
              <w:bottom w:w="80" w:type="dxa"/>
              <w:left w:w="120" w:type="dxa"/>
              <w:right w:w="120" w:type="dxa"/>
            </w:tcMar>
          </w:tcPr>
          <w:p>
            <w:pPr>
              <w:spacing w:before="0" w:after="0"/>
              <w:jc w:val="left"/>
            </w:pPr>
            <w:r>
              <w:rPr>
                <w:rFonts w:ascii="Calibri" w:hAnsi="Calibri"/>
                <w:color w:val="2D3748"/>
                <w:sz w:val="18"/>
              </w:rPr>
              <w:t>Inyección de Capital Regulatorio</w:t>
            </w:r>
          </w:p>
        </w:tc>
        <w:tc>
          <w:tcPr>
            <w:tcW w:type="dxa" w:w="1728"/>
            <w:shd w:fill="FFFFFF"/>
            <w:tcMar>
              <w:top w:w="80" w:type="dxa"/>
              <w:bottom w:w="80" w:type="dxa"/>
              <w:left w:w="120" w:type="dxa"/>
              <w:right w:w="120" w:type="dxa"/>
            </w:tcMar>
          </w:tcPr>
          <w:p>
            <w:pPr>
              <w:spacing w:before="0" w:after="0"/>
              <w:jc w:val="right"/>
            </w:pPr>
            <w:r>
              <w:rPr>
                <w:rFonts w:ascii="Calibri" w:hAnsi="Calibri"/>
                <w:color w:val="2D3748"/>
                <w:sz w:val="18"/>
              </w:rPr>
              <w:t>~$500 M</w:t>
            </w:r>
          </w:p>
        </w:tc>
        <w:tc>
          <w:tcPr>
            <w:tcW w:type="dxa" w:w="3744"/>
            <w:shd w:fill="FFFFFF"/>
            <w:tcMar>
              <w:top w:w="80" w:type="dxa"/>
              <w:bottom w:w="80" w:type="dxa"/>
              <w:left w:w="120" w:type="dxa"/>
              <w:right w:w="120" w:type="dxa"/>
            </w:tcMar>
          </w:tcPr>
          <w:p>
            <w:pPr>
              <w:spacing w:before="0" w:after="0"/>
              <w:jc w:val="left"/>
            </w:pPr>
            <w:r>
              <w:rPr>
                <w:rFonts w:ascii="Calibri" w:hAnsi="Calibri"/>
                <w:color w:val="2D3748"/>
                <w:sz w:val="18"/>
              </w:rPr>
              <w:t>Respaldar los colchones de capital exigidos por los reguladores locales (CNBV en México, SFC en Colombia) para soportar el crecimiento de depósitos y préstamos.</w:t>
            </w:r>
          </w:p>
        </w:tc>
      </w:tr>
      <w:tr>
        <w:tc>
          <w:tcPr>
            <w:tcW w:type="dxa" w:w="2448"/>
            <w:shd w:fill="F7FAFC"/>
            <w:tcMar>
              <w:top w:w="80" w:type="dxa"/>
              <w:bottom w:w="80" w:type="dxa"/>
              <w:left w:w="120" w:type="dxa"/>
              <w:right w:w="120" w:type="dxa"/>
            </w:tcMar>
          </w:tcPr>
          <w:p>
            <w:pPr>
              <w:spacing w:before="0" w:after="0"/>
              <w:jc w:val="left"/>
            </w:pPr>
            <w:r>
              <w:rPr>
                <w:rFonts w:ascii="Calibri" w:hAnsi="Calibri"/>
                <w:color w:val="2D3748"/>
                <w:sz w:val="18"/>
              </w:rPr>
              <w:t>Desarrollo de Tecnología e Infraestructura Cloud</w:t>
            </w:r>
          </w:p>
        </w:tc>
        <w:tc>
          <w:tcPr>
            <w:tcW w:type="dxa" w:w="1872"/>
            <w:shd w:fill="F7FAFC"/>
            <w:tcMar>
              <w:top w:w="80" w:type="dxa"/>
              <w:bottom w:w="80" w:type="dxa"/>
              <w:left w:w="120" w:type="dxa"/>
              <w:right w:w="120" w:type="dxa"/>
            </w:tcMar>
          </w:tcPr>
          <w:p>
            <w:pPr>
              <w:spacing w:before="0" w:after="0"/>
              <w:jc w:val="left"/>
            </w:pPr>
            <w:r>
              <w:rPr>
                <w:rFonts w:ascii="Calibri" w:hAnsi="Calibri"/>
                <w:color w:val="2D3748"/>
                <w:sz w:val="18"/>
              </w:rPr>
              <w:t>Inversión Operativa y Software</w:t>
            </w:r>
          </w:p>
        </w:tc>
        <w:tc>
          <w:tcPr>
            <w:tcW w:type="dxa" w:w="1728"/>
            <w:shd w:fill="F7FAFC"/>
            <w:tcMar>
              <w:top w:w="80" w:type="dxa"/>
              <w:bottom w:w="80" w:type="dxa"/>
              <w:left w:w="120" w:type="dxa"/>
              <w:right w:w="120" w:type="dxa"/>
            </w:tcMar>
          </w:tcPr>
          <w:p>
            <w:pPr>
              <w:spacing w:before="0" w:after="0"/>
              <w:jc w:val="right"/>
            </w:pPr>
            <w:r>
              <w:rPr>
                <w:rFonts w:ascii="Calibri" w:hAnsi="Calibri"/>
                <w:color w:val="2D3748"/>
                <w:sz w:val="18"/>
              </w:rPr>
              <w:t>~$850 M anuales</w:t>
            </w:r>
          </w:p>
        </w:tc>
        <w:tc>
          <w:tcPr>
            <w:tcW w:type="dxa" w:w="3744"/>
            <w:shd w:fill="F7FAFC"/>
            <w:tcMar>
              <w:top w:w="80" w:type="dxa"/>
              <w:bottom w:w="80" w:type="dxa"/>
              <w:left w:w="120" w:type="dxa"/>
              <w:right w:w="120" w:type="dxa"/>
            </w:tcMar>
          </w:tcPr>
          <w:p>
            <w:pPr>
              <w:spacing w:before="0" w:after="0"/>
              <w:jc w:val="left"/>
            </w:pPr>
            <w:r>
              <w:rPr>
                <w:rFonts w:ascii="Calibri" w:hAnsi="Calibri"/>
                <w:color w:val="2D3748"/>
                <w:sz w:val="18"/>
              </w:rPr>
              <w:t>Fortalecimiento de la seguridad transaccional, inteligencia artificial y automatización de soporte al cliente.</w:t>
            </w:r>
          </w:p>
        </w:tc>
      </w:tr>
      <w:tr>
        <w:tc>
          <w:tcPr>
            <w:tcW w:type="dxa" w:w="2448"/>
            <w:shd w:fill="FFFFFF"/>
            <w:tcMar>
              <w:top w:w="80" w:type="dxa"/>
              <w:bottom w:w="80" w:type="dxa"/>
              <w:left w:w="120" w:type="dxa"/>
              <w:right w:w="120" w:type="dxa"/>
            </w:tcMar>
          </w:tcPr>
          <w:p>
            <w:pPr>
              <w:spacing w:before="0" w:after="0"/>
              <w:jc w:val="left"/>
            </w:pPr>
            <w:r>
              <w:rPr>
                <w:rFonts w:ascii="Calibri" w:hAnsi="Calibri"/>
                <w:color w:val="2D3748"/>
                <w:sz w:val="18"/>
              </w:rPr>
              <w:t>Expansión de Cartera de Tarjetas y Préstamos</w:t>
            </w:r>
          </w:p>
        </w:tc>
        <w:tc>
          <w:tcPr>
            <w:tcW w:type="dxa" w:w="1872"/>
            <w:shd w:fill="FFFFFF"/>
            <w:tcMar>
              <w:top w:w="80" w:type="dxa"/>
              <w:bottom w:w="80" w:type="dxa"/>
              <w:left w:w="120" w:type="dxa"/>
              <w:right w:w="120" w:type="dxa"/>
            </w:tcMar>
          </w:tcPr>
          <w:p>
            <w:pPr>
              <w:spacing w:before="0" w:after="0"/>
              <w:jc w:val="left"/>
            </w:pPr>
            <w:r>
              <w:rPr>
                <w:rFonts w:ascii="Calibri" w:hAnsi="Calibri"/>
                <w:color w:val="2D3748"/>
                <w:sz w:val="18"/>
              </w:rPr>
              <w:t>Asignación de Balance</w:t>
            </w:r>
          </w:p>
        </w:tc>
        <w:tc>
          <w:tcPr>
            <w:tcW w:type="dxa" w:w="1728"/>
            <w:shd w:fill="FFFFFF"/>
            <w:tcMar>
              <w:top w:w="80" w:type="dxa"/>
              <w:bottom w:w="80" w:type="dxa"/>
              <w:left w:w="120" w:type="dxa"/>
              <w:right w:w="120" w:type="dxa"/>
            </w:tcMar>
          </w:tcPr>
          <w:p>
            <w:pPr>
              <w:spacing w:before="0" w:after="0"/>
              <w:jc w:val="right"/>
            </w:pPr>
            <w:r>
              <w:rPr>
                <w:rFonts w:ascii="Calibri" w:hAnsi="Calibri"/>
                <w:color w:val="2D3748"/>
                <w:sz w:val="18"/>
              </w:rPr>
              <w:t>$30,400 M en cartera</w:t>
            </w:r>
          </w:p>
        </w:tc>
        <w:tc>
          <w:tcPr>
            <w:tcW w:type="dxa" w:w="3744"/>
            <w:shd w:fill="FFFFFF"/>
            <w:tcMar>
              <w:top w:w="80" w:type="dxa"/>
              <w:bottom w:w="80" w:type="dxa"/>
              <w:left w:w="120" w:type="dxa"/>
              <w:right w:w="120" w:type="dxa"/>
            </w:tcMar>
          </w:tcPr>
          <w:p>
            <w:pPr>
              <w:spacing w:before="0" w:after="0"/>
              <w:jc w:val="left"/>
            </w:pPr>
            <w:r>
              <w:rPr>
                <w:rFonts w:ascii="Calibri" w:hAnsi="Calibri"/>
                <w:color w:val="2D3748"/>
                <w:sz w:val="18"/>
              </w:rPr>
              <w:t>Financiación selectiva de préstamos no garantizados y límites de tarjeta con estrictos criterios de underwriting.</w:t>
            </w:r>
          </w:p>
        </w:tc>
      </w:tr>
    </w:tbl>
    <w:p>
      <w:pPr>
        <w:spacing w:after="120"/>
      </w:pPr>
    </w:p>
    <w:p>
      <w:pPr>
        <w:keepNext/>
        <w:spacing w:before="200" w:after="80"/>
      </w:pPr>
      <w:r>
        <w:rPr>
          <w:rFonts w:ascii="Calibri" w:hAnsi="Calibri"/>
          <w:b/>
          <w:color w:val="4A5568"/>
          <w:sz w:val="22"/>
        </w:rPr>
        <w:t>6.4. Solvencia Regulatoria (Basilea III), Apalancamiento y Generación de Capital</w:t>
      </w:r>
    </w:p>
    <w:p>
      <w:pPr>
        <w:spacing w:before="40" w:after="80" w:line="276" w:lineRule="auto"/>
      </w:pPr>
      <w:r>
        <w:rPr>
          <w:rFonts w:ascii="Calibri" w:hAnsi="Calibri"/>
          <w:i w:val="0"/>
          <w:color w:val="2D3748"/>
          <w:sz w:val="20"/>
        </w:rPr>
        <w:t>Nu Holdings mantiene una posición de capital extraordinariamente sólida que supera con holgura todas las exigencias prudenciales de los bancos centrales de la región:</w:t>
      </w:r>
    </w:p>
    <w:p>
      <w:pPr>
        <w:spacing w:before="40" w:after="80" w:line="276" w:lineRule="auto"/>
      </w:pPr>
      <w:r>
        <w:rPr>
          <w:rFonts w:ascii="Calibri" w:hAnsi="Calibri"/>
          <w:b/>
          <w:color w:val="2D3748"/>
          <w:sz w:val="20"/>
        </w:rPr>
        <w:t xml:space="preserve">• Ratio de Capital CET1 y Basilea: </w:t>
      </w:r>
      <w:r>
        <w:rPr>
          <w:rFonts w:ascii="Calibri" w:hAnsi="Calibri"/>
          <w:i w:val="0"/>
          <w:color w:val="2D3748"/>
          <w:sz w:val="20"/>
        </w:rPr>
        <w:t>El índice de adecuación de capital en Brasil se sitúa en torno al 11.5% - 13.0%, superando cómodamente el requerimiento mínimo del 8.0% del Banco Central de Brasil (BACEN).</w:t>
      </w:r>
    </w:p>
    <w:p>
      <w:pPr>
        <w:spacing w:before="40" w:after="80" w:line="276" w:lineRule="auto"/>
      </w:pPr>
      <w:r>
        <w:rPr>
          <w:rFonts w:ascii="Calibri" w:hAnsi="Calibri"/>
          <w:b/>
          <w:color w:val="2D3748"/>
          <w:sz w:val="20"/>
        </w:rPr>
        <w:t xml:space="preserve">• Autofinanciación Orgánica de Capital: </w:t>
      </w:r>
      <w:r>
        <w:rPr>
          <w:rFonts w:ascii="Calibri" w:hAnsi="Calibri"/>
          <w:i w:val="0"/>
          <w:color w:val="2D3748"/>
          <w:sz w:val="20"/>
        </w:rPr>
        <w:t>Con un beneficio neto trimestral de más de $870M y un ROTCE &gt; 25%, la entidad genera orgánicamente más capital regulatorio del que consume para crecer, alejando cualquier necesidad de dilución o ampliación de capital.</w:t>
      </w:r>
    </w:p>
    <w:tbl>
      <w:tblPr>
        <w:tblW w:type="auto" w:w="0"/>
        <w:jc w:val="center"/>
        <w:tblLayout w:type="fixed"/>
        <w:tblLook w:firstColumn="1" w:firstRow="1" w:lastColumn="0" w:lastRow="0" w:noHBand="0" w:noVBand="1" w:val="04A0"/>
      </w:tblPr>
      <w:tblGrid>
        <w:gridCol w:w="9792"/>
      </w:tblGrid>
      <w:tr>
        <w:tc>
          <w:tcPr>
            <w:tcW w:type="dxa" w:w="9792"/>
            <w:shd w:fill="E8EEF5"/>
            <w:tcMar>
              <w:top w:w="140" w:type="dxa"/>
              <w:bottom w:w="140" w:type="dxa"/>
              <w:left w:w="180" w:type="dxa"/>
              <w:right w:w="180" w:type="dxa"/>
            </w:tcMar>
            <w:tcBorders>
              <w:left w:val="single" w:sz="24" w:space="0" w:color="0A3641"/>
              <w:top w:val="none"/>
              <w:right w:val="none"/>
              <w:bottom w:val="none"/>
            </w:tcBorders>
          </w:tcPr>
          <w:p>
            <w:pPr>
              <w:spacing w:before="0" w:after="80"/>
            </w:pPr>
            <w:r>
              <w:rPr>
                <w:rFonts w:ascii="Segoe UI Emoji" w:hAnsi="Segoe UI Emoji"/>
                <w:sz w:val="21"/>
              </w:rPr>
              <w:t xml:space="preserve">📌  </w:t>
            </w:r>
            <w:r>
              <w:rPr>
                <w:rFonts w:ascii="Calibri" w:hAnsi="Calibri"/>
                <w:b/>
                <w:color w:val="0A3641"/>
                <w:sz w:val="21"/>
              </w:rPr>
              <w:t>GUÍA DE DIAGNÓSTICO FUNDAMENTAL: ¿CÓMO AUDITAR EL BALANCE Y LA ASIGNACIÓN DE CAPITAL?</w:t>
            </w:r>
          </w:p>
          <w:p>
            <w:pPr>
              <w:spacing w:before="40" w:after="40" w:line="276" w:lineRule="auto"/>
            </w:pPr>
            <w:r>
              <w:rPr>
                <w:rFonts w:ascii="Calibri" w:hAnsi="Calibri"/>
                <w:color w:val="2D3748"/>
                <w:sz w:val="19"/>
              </w:rPr>
              <w:t>• Caja Neta (Net Cash) vs. Deuda Neta: Se calcula restando la deuda financiera bruta a la liquidez total. Una posición positiva certifica que la empresa es acreedora neta y solvente ante cualquier crisis.</w:t>
            </w:r>
          </w:p>
          <w:p>
            <w:pPr>
              <w:spacing w:before="40" w:after="40" w:line="276" w:lineRule="auto"/>
            </w:pPr>
            <w:r>
              <w:rPr>
                <w:rFonts w:ascii="Calibri" w:hAnsi="Calibri"/>
                <w:color w:val="2D3748"/>
                <w:sz w:val="19"/>
              </w:rPr>
              <w:t>• Recompra Neta vs. Dilución por SBC: Una recompra solo crea valor genuino si retira más acciones de las que se emiten vía Stock-Based Compensation.</w:t>
            </w:r>
          </w:p>
          <w:p>
            <w:pPr>
              <w:spacing w:before="40" w:after="40" w:line="276" w:lineRule="auto"/>
            </w:pPr>
            <w:r>
              <w:rPr>
                <w:rFonts w:ascii="Calibri" w:hAnsi="Calibri"/>
                <w:color w:val="2D3748"/>
                <w:sz w:val="19"/>
              </w:rPr>
              <w:t>• Eficiencia del CapEx: Las mejores empresas operan modelos de capital ligero (Asset-Light / Fabless) o asignan CapEx a proyectos con retornos que superan ampliamente su WACC.</w:t>
            </w:r>
          </w:p>
        </w:tc>
      </w:tr>
    </w:tbl>
    <w:p>
      <w:pPr>
        <w:spacing w:after="80"/>
      </w:pPr>
    </w:p>
    <w:p>
      <w:pPr>
        <w:keepNext/>
        <w:spacing w:before="320" w:after="120"/>
      </w:pPr>
      <w:r>
        <w:rPr>
          <w:rFonts w:ascii="Calibri" w:hAnsi="Calibri"/>
          <w:b/>
          <w:color w:val="1B365D"/>
          <w:sz w:val="26"/>
        </w:rPr>
        <w:t>7. Estrategia Tecnológica, Fosos Defensivos (Economic Moat) y Ventajas Competitivas</w:t>
      </w:r>
    </w:p>
    <w:p>
      <w:pPr>
        <w:spacing w:before="40" w:after="80" w:line="276" w:lineRule="auto"/>
      </w:pPr>
      <w:r>
        <w:rPr>
          <w:rFonts w:ascii="Calibri" w:hAnsi="Calibri"/>
          <w:i w:val="0"/>
          <w:color w:val="2D3748"/>
          <w:sz w:val="20"/>
        </w:rPr>
        <w:t>La hiperrentabilidad de Nu Holdings (ROTCE superior al 25%) está resguardada por un Foso Defensivo Amplio (Wide Moat / Dorsey Framework), cimentado en una ventaja estructural de costes inigualable, un coste de fondeo minorista masivo y una potente tracción de marca orgánica:</w:t>
      </w:r>
    </w:p>
    <w:p>
      <w:pPr>
        <w:keepNext/>
        <w:spacing w:before="200" w:after="80"/>
      </w:pPr>
      <w:r>
        <w:rPr>
          <w:rFonts w:ascii="Calibri" w:hAnsi="Calibri"/>
          <w:b/>
          <w:color w:val="4A5568"/>
          <w:sz w:val="22"/>
        </w:rPr>
        <w:t>7.1. Cuadro de Mando de Fosos Defensivos (Dorsey / Morningstar Framework)</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2448"/>
        <w:gridCol w:w="2448"/>
        <w:gridCol w:w="2448"/>
        <w:gridCol w:w="2448"/>
      </w:tblGrid>
      <w:tr>
        <w:tc>
          <w:tcPr>
            <w:tcW w:type="dxa" w:w="2304"/>
            <w:shd w:fill="1B365D"/>
            <w:tcMar>
              <w:top w:w="100" w:type="dxa"/>
              <w:bottom w:w="100" w:type="dxa"/>
              <w:left w:w="120" w:type="dxa"/>
              <w:right w:w="120" w:type="dxa"/>
            </w:tcMar>
          </w:tcPr>
          <w:p>
            <w:pPr>
              <w:spacing w:before="0" w:after="0"/>
              <w:jc w:val="left"/>
            </w:pPr>
            <w:r>
              <w:rPr>
                <w:rFonts w:ascii="Calibri" w:hAnsi="Calibri"/>
                <w:b/>
                <w:color w:val="FFFFFF"/>
                <w:sz w:val="19"/>
              </w:rPr>
              <w:t>Fuente del Foso Defensivo</w:t>
            </w:r>
          </w:p>
        </w:tc>
        <w:tc>
          <w:tcPr>
            <w:tcW w:type="dxa" w:w="1440"/>
            <w:shd w:fill="1B365D"/>
            <w:tcMar>
              <w:top w:w="100" w:type="dxa"/>
              <w:bottom w:w="100" w:type="dxa"/>
              <w:left w:w="120" w:type="dxa"/>
              <w:right w:w="120" w:type="dxa"/>
            </w:tcMar>
          </w:tcPr>
          <w:p>
            <w:pPr>
              <w:spacing w:before="0" w:after="0"/>
              <w:jc w:val="center"/>
            </w:pPr>
            <w:r>
              <w:rPr>
                <w:rFonts w:ascii="Calibri" w:hAnsi="Calibri"/>
                <w:b/>
                <w:color w:val="FFFFFF"/>
                <w:sz w:val="19"/>
              </w:rPr>
              <w:t>Intensidad</w:t>
            </w:r>
          </w:p>
        </w:tc>
        <w:tc>
          <w:tcPr>
            <w:tcW w:type="dxa" w:w="3312"/>
            <w:shd w:fill="1B365D"/>
            <w:tcMar>
              <w:top w:w="100" w:type="dxa"/>
              <w:bottom w:w="100" w:type="dxa"/>
              <w:left w:w="120" w:type="dxa"/>
              <w:right w:w="120" w:type="dxa"/>
            </w:tcMar>
          </w:tcPr>
          <w:p>
            <w:pPr>
              <w:spacing w:before="0" w:after="0"/>
              <w:jc w:val="left"/>
            </w:pPr>
            <w:r>
              <w:rPr>
                <w:rFonts w:ascii="Calibri" w:hAnsi="Calibri"/>
                <w:b/>
                <w:color w:val="FFFFFF"/>
                <w:sz w:val="19"/>
              </w:rPr>
              <w:t>Mecanismo de Protección Económica</w:t>
            </w:r>
          </w:p>
        </w:tc>
        <w:tc>
          <w:tcPr>
            <w:tcW w:type="dxa" w:w="2736"/>
            <w:shd w:fill="1B365D"/>
            <w:tcMar>
              <w:top w:w="100" w:type="dxa"/>
              <w:bottom w:w="100" w:type="dxa"/>
              <w:left w:w="120" w:type="dxa"/>
              <w:right w:w="120" w:type="dxa"/>
            </w:tcMar>
          </w:tcPr>
          <w:p>
            <w:pPr>
              <w:spacing w:before="0" w:after="0"/>
              <w:jc w:val="left"/>
            </w:pPr>
            <w:r>
              <w:rPr>
                <w:rFonts w:ascii="Calibri" w:hAnsi="Calibri"/>
                <w:b/>
                <w:color w:val="FFFFFF"/>
                <w:sz w:val="19"/>
              </w:rPr>
              <w:t>Diagnóstico Competitivo</w:t>
            </w:r>
          </w:p>
        </w:tc>
      </w:tr>
      <w:tr>
        <w:tc>
          <w:tcPr>
            <w:tcW w:type="dxa" w:w="2304"/>
            <w:shd w:fill="FFFFFF"/>
            <w:tcMar>
              <w:top w:w="80" w:type="dxa"/>
              <w:bottom w:w="80" w:type="dxa"/>
              <w:left w:w="120" w:type="dxa"/>
              <w:right w:w="120" w:type="dxa"/>
            </w:tcMar>
          </w:tcPr>
          <w:p>
            <w:pPr>
              <w:spacing w:before="0" w:after="0"/>
              <w:jc w:val="left"/>
            </w:pPr>
            <w:r>
              <w:rPr>
                <w:rFonts w:ascii="Calibri" w:hAnsi="Calibri"/>
                <w:color w:val="2D3748"/>
                <w:sz w:val="18"/>
              </w:rPr>
              <w:t>Ventaja Estructural de Coste (Cost-to-Serve)</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 ESTRUCTURAL</w:t>
            </w:r>
          </w:p>
        </w:tc>
        <w:tc>
          <w:tcPr>
            <w:tcW w:type="dxa" w:w="3312"/>
            <w:shd w:fill="FFFFFF"/>
            <w:tcMar>
              <w:top w:w="80" w:type="dxa"/>
              <w:bottom w:w="80" w:type="dxa"/>
              <w:left w:w="120" w:type="dxa"/>
              <w:right w:w="120" w:type="dxa"/>
            </w:tcMar>
          </w:tcPr>
          <w:p>
            <w:pPr>
              <w:spacing w:before="0" w:after="0"/>
              <w:jc w:val="left"/>
            </w:pPr>
            <w:r>
              <w:rPr>
                <w:rFonts w:ascii="Calibri" w:hAnsi="Calibri"/>
                <w:color w:val="2D3748"/>
                <w:sz w:val="18"/>
              </w:rPr>
              <w:t>Coste de servir a un cliente activo de apenas ~$0.90/mes frente a los $10-$15 de la banca tradicional con sucursales físicas y sistemas legados.</w:t>
            </w:r>
          </w:p>
        </w:tc>
        <w:tc>
          <w:tcPr>
            <w:tcW w:type="dxa" w:w="2736"/>
            <w:shd w:fill="FFFFFF"/>
            <w:tcMar>
              <w:top w:w="80" w:type="dxa"/>
              <w:bottom w:w="80" w:type="dxa"/>
              <w:left w:w="120" w:type="dxa"/>
              <w:right w:w="120" w:type="dxa"/>
            </w:tcMar>
          </w:tcPr>
          <w:p>
            <w:pPr>
              <w:spacing w:before="0" w:after="0"/>
              <w:jc w:val="left"/>
            </w:pPr>
            <w:r>
              <w:rPr>
                <w:rFonts w:ascii="Calibri" w:hAnsi="Calibri"/>
                <w:color w:val="2D3748"/>
                <w:sz w:val="18"/>
              </w:rPr>
              <w:t>Permite ofrecer cuentas y tarjetas sin comisiones de mantenimiento y ser hiperrentable donde los bancos tradicionales pierden dinero.</w:t>
            </w:r>
          </w:p>
        </w:tc>
      </w:tr>
      <w:tr>
        <w:tc>
          <w:tcPr>
            <w:tcW w:type="dxa" w:w="2304"/>
            <w:shd w:fill="F7FAFC"/>
            <w:tcMar>
              <w:top w:w="80" w:type="dxa"/>
              <w:bottom w:w="80" w:type="dxa"/>
              <w:left w:w="120" w:type="dxa"/>
              <w:right w:w="120" w:type="dxa"/>
            </w:tcMar>
          </w:tcPr>
          <w:p>
            <w:pPr>
              <w:spacing w:before="0" w:after="0"/>
              <w:jc w:val="left"/>
            </w:pPr>
            <w:r>
              <w:rPr>
                <w:rFonts w:ascii="Calibri" w:hAnsi="Calibri"/>
                <w:color w:val="2D3748"/>
                <w:sz w:val="18"/>
              </w:rPr>
              <w:t>Coste de Fondeo Minorista (Cost of Funds)</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 DOMINANTE</w:t>
            </w:r>
          </w:p>
        </w:tc>
        <w:tc>
          <w:tcPr>
            <w:tcW w:type="dxa" w:w="3312"/>
            <w:shd w:fill="F7FAFC"/>
            <w:tcMar>
              <w:top w:w="80" w:type="dxa"/>
              <w:bottom w:w="80" w:type="dxa"/>
              <w:left w:w="120" w:type="dxa"/>
              <w:right w:w="120" w:type="dxa"/>
            </w:tcMar>
          </w:tcPr>
          <w:p>
            <w:pPr>
              <w:spacing w:before="0" w:after="0"/>
              <w:jc w:val="left"/>
            </w:pPr>
            <w:r>
              <w:rPr>
                <w:rFonts w:ascii="Calibri" w:hAnsi="Calibri"/>
                <w:color w:val="2D3748"/>
                <w:sz w:val="18"/>
              </w:rPr>
              <w:t>Más de $36,600M en depósitos minoristas directos captados a través de NuConta, reduciendo drásticamente la dependencia de financiamiento mayorista caro.</w:t>
            </w:r>
          </w:p>
        </w:tc>
        <w:tc>
          <w:tcPr>
            <w:tcW w:type="dxa" w:w="2736"/>
            <w:shd w:fill="F7FAFC"/>
            <w:tcMar>
              <w:top w:w="80" w:type="dxa"/>
              <w:bottom w:w="80" w:type="dxa"/>
              <w:left w:w="120" w:type="dxa"/>
              <w:right w:w="120" w:type="dxa"/>
            </w:tcMar>
          </w:tcPr>
          <w:p>
            <w:pPr>
              <w:spacing w:before="0" w:after="0"/>
              <w:jc w:val="left"/>
            </w:pPr>
            <w:r>
              <w:rPr>
                <w:rFonts w:ascii="Calibri" w:hAnsi="Calibri"/>
                <w:color w:val="2D3748"/>
                <w:sz w:val="18"/>
              </w:rPr>
              <w:t>Sustenta un Net Interest Margin (NIM) de más del 18%, permitiendo prestar a tasas competitivas con amplios márgenes de beneficio.</w:t>
            </w:r>
          </w:p>
        </w:tc>
      </w:tr>
      <w:tr>
        <w:tc>
          <w:tcPr>
            <w:tcW w:type="dxa" w:w="2304"/>
            <w:shd w:fill="FFFFFF"/>
            <w:tcMar>
              <w:top w:w="80" w:type="dxa"/>
              <w:bottom w:w="80" w:type="dxa"/>
              <w:left w:w="120" w:type="dxa"/>
              <w:right w:w="120" w:type="dxa"/>
            </w:tcMar>
          </w:tcPr>
          <w:p>
            <w:pPr>
              <w:spacing w:before="0" w:after="0"/>
              <w:jc w:val="left"/>
            </w:pPr>
            <w:r>
              <w:rPr>
                <w:rFonts w:ascii="Calibri" w:hAnsi="Calibri"/>
                <w:color w:val="2D3748"/>
                <w:sz w:val="18"/>
              </w:rPr>
              <w:t>Adquisición Orgánica y Poder de Marca (NPS &gt; 80)</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 EXCEPCIONAL</w:t>
            </w:r>
          </w:p>
        </w:tc>
        <w:tc>
          <w:tcPr>
            <w:tcW w:type="dxa" w:w="3312"/>
            <w:shd w:fill="FFFFFF"/>
            <w:tcMar>
              <w:top w:w="80" w:type="dxa"/>
              <w:bottom w:w="80" w:type="dxa"/>
              <w:left w:w="120" w:type="dxa"/>
              <w:right w:w="120" w:type="dxa"/>
            </w:tcMar>
          </w:tcPr>
          <w:p>
            <w:pPr>
              <w:spacing w:before="0" w:after="0"/>
              <w:jc w:val="left"/>
            </w:pPr>
            <w:r>
              <w:rPr>
                <w:rFonts w:ascii="Calibri" w:hAnsi="Calibri"/>
                <w:color w:val="2D3748"/>
                <w:sz w:val="18"/>
              </w:rPr>
              <w:t>Más del 80% de los nuevos clientes se suman orgánicamente por recomendación de boca a boca; el Net Promoter Score duplica al de los bancos incumbentes.</w:t>
            </w:r>
          </w:p>
        </w:tc>
        <w:tc>
          <w:tcPr>
            <w:tcW w:type="dxa" w:w="2736"/>
            <w:shd w:fill="FFFFFF"/>
            <w:tcMar>
              <w:top w:w="80" w:type="dxa"/>
              <w:bottom w:w="80" w:type="dxa"/>
              <w:left w:w="120" w:type="dxa"/>
              <w:right w:w="120" w:type="dxa"/>
            </w:tcMar>
          </w:tcPr>
          <w:p>
            <w:pPr>
              <w:spacing w:before="0" w:after="0"/>
              <w:jc w:val="left"/>
            </w:pPr>
            <w:r>
              <w:rPr>
                <w:rFonts w:ascii="Calibri" w:hAnsi="Calibri"/>
                <w:color w:val="2D3748"/>
                <w:sz w:val="18"/>
              </w:rPr>
              <w:t>Coste de Adquisición de Clientes (CAC) ínfimo (~$5 por cliente), lo que hace que cada cohorte de usuarios sea rentable en pocos meses.</w:t>
            </w:r>
          </w:p>
        </w:tc>
      </w:tr>
      <w:tr>
        <w:tc>
          <w:tcPr>
            <w:tcW w:type="dxa" w:w="2304"/>
            <w:shd w:fill="F7FAFC"/>
            <w:tcMar>
              <w:top w:w="80" w:type="dxa"/>
              <w:bottom w:w="80" w:type="dxa"/>
              <w:left w:w="120" w:type="dxa"/>
              <w:right w:w="120" w:type="dxa"/>
            </w:tcMar>
          </w:tcPr>
          <w:p>
            <w:pPr>
              <w:spacing w:before="0" w:after="0"/>
              <w:jc w:val="left"/>
            </w:pPr>
            <w:r>
              <w:rPr>
                <w:rFonts w:ascii="Calibri" w:hAnsi="Calibri"/>
                <w:color w:val="2D3748"/>
                <w:sz w:val="18"/>
              </w:rPr>
              <w:t>Algoritmos Propietarios de Scoring Crediticio</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 ALTA</w:t>
            </w:r>
          </w:p>
        </w:tc>
        <w:tc>
          <w:tcPr>
            <w:tcW w:type="dxa" w:w="3312"/>
            <w:shd w:fill="F7FAFC"/>
            <w:tcMar>
              <w:top w:w="80" w:type="dxa"/>
              <w:bottom w:w="80" w:type="dxa"/>
              <w:left w:w="120" w:type="dxa"/>
              <w:right w:w="120" w:type="dxa"/>
            </w:tcMar>
          </w:tcPr>
          <w:p>
            <w:pPr>
              <w:spacing w:before="0" w:after="0"/>
              <w:jc w:val="left"/>
            </w:pPr>
            <w:r>
              <w:rPr>
                <w:rFonts w:ascii="Calibri" w:hAnsi="Calibri"/>
                <w:color w:val="2D3748"/>
                <w:sz w:val="18"/>
              </w:rPr>
              <w:t>Evaluación en tiempo real del comportamiento de gasto y transacciones de 105M de usuarios mediante modelos propietarios de machine learning.</w:t>
            </w:r>
          </w:p>
        </w:tc>
        <w:tc>
          <w:tcPr>
            <w:tcW w:type="dxa" w:w="2736"/>
            <w:shd w:fill="F7FAFC"/>
            <w:tcMar>
              <w:top w:w="80" w:type="dxa"/>
              <w:bottom w:w="80" w:type="dxa"/>
              <w:left w:w="120" w:type="dxa"/>
              <w:right w:w="120" w:type="dxa"/>
            </w:tcMar>
          </w:tcPr>
          <w:p>
            <w:pPr>
              <w:spacing w:before="0" w:after="0"/>
              <w:jc w:val="left"/>
            </w:pPr>
            <w:r>
              <w:rPr>
                <w:rFonts w:ascii="Calibri" w:hAnsi="Calibri"/>
                <w:color w:val="2D3748"/>
                <w:sz w:val="18"/>
              </w:rPr>
              <w:t>Control superior del Cost of Risk y expansión continua del Margen Ajustado por Riesgo (Risk-Adjusted NIM &gt; 10.5%).</w:t>
            </w:r>
          </w:p>
        </w:tc>
      </w:tr>
    </w:tbl>
    <w:p>
      <w:pPr>
        <w:spacing w:after="120"/>
      </w:pPr>
    </w:p>
    <w:p>
      <w:pPr>
        <w:spacing w:before="40" w:after="80" w:line="276" w:lineRule="auto"/>
      </w:pPr>
      <w:r>
        <w:rPr>
          <w:rFonts w:ascii="Calibri" w:hAnsi="Calibri"/>
          <w:b/>
          <w:color w:val="2D3748"/>
          <w:sz w:val="20"/>
        </w:rPr>
        <w:t xml:space="preserve">• </w:t>
      </w:r>
      <w:r>
        <w:rPr>
          <w:rFonts w:ascii="Calibri" w:hAnsi="Calibri"/>
          <w:i w:val="0"/>
          <w:color w:val="2D3748"/>
          <w:sz w:val="20"/>
        </w:rPr>
        <w:t>Dictamen Estratégico Global: WIDE MOAT | Tendencia: EN EXPANSIÓN.</w:t>
      </w:r>
    </w:p>
    <w:p>
      <w:pPr>
        <w:keepNext/>
        <w:spacing w:before="200" w:after="80"/>
      </w:pPr>
      <w:r>
        <w:rPr>
          <w:rFonts w:ascii="Calibri" w:hAnsi="Calibri"/>
          <w:b/>
          <w:color w:val="4A5568"/>
          <w:sz w:val="22"/>
        </w:rPr>
        <w:t>7.2. El Modelo de Maduración de Cohortes (ARPAC Compounding)</w:t>
      </w:r>
    </w:p>
    <w:p>
      <w:pPr>
        <w:spacing w:before="40" w:after="80" w:line="276" w:lineRule="auto"/>
      </w:pPr>
      <w:r>
        <w:rPr>
          <w:rFonts w:ascii="Calibri" w:hAnsi="Calibri"/>
          <w:b/>
          <w:color w:val="2D3748"/>
          <w:sz w:val="20"/>
        </w:rPr>
        <w:t xml:space="preserve">• Crecimiento del Ingreso por Cliente (ARPAC): </w:t>
      </w:r>
      <w:r>
        <w:rPr>
          <w:rFonts w:ascii="Calibri" w:hAnsi="Calibri"/>
          <w:i w:val="0"/>
          <w:color w:val="2D3748"/>
          <w:sz w:val="20"/>
        </w:rPr>
        <w:t>A medida que los clientes permanecen en la plataforma, contratan más productos (tarjeta, préstamo, seguro, inversión), elevando el ARPAC mensual de $4 en cohortes nuevas a más de $12-$25 en cohortes maduras.</w:t>
      </w:r>
    </w:p>
    <w:p>
      <w:pPr>
        <w:spacing w:before="40" w:after="80" w:line="276" w:lineRule="auto"/>
      </w:pPr>
      <w:r>
        <w:rPr>
          <w:rFonts w:ascii="Calibri" w:hAnsi="Calibri"/>
          <w:b/>
          <w:color w:val="2D3748"/>
          <w:sz w:val="20"/>
        </w:rPr>
        <w:t xml:space="preserve">• Expansión del Ratio de Eficiencia: </w:t>
      </w:r>
      <w:r>
        <w:rPr>
          <w:rFonts w:ascii="Calibri" w:hAnsi="Calibri"/>
          <w:i w:val="0"/>
          <w:color w:val="2D3748"/>
          <w:sz w:val="20"/>
        </w:rPr>
        <w:t>Los ingresos crecen exponencialmente mientras el coste operativo por usuario se mantiene fijo en ~$0.90, impulsando el ratio de eficiencia a un asombroso 17.6% - 25%.</w:t>
      </w:r>
    </w:p>
    <w:p>
      <w:pPr>
        <w:keepNext/>
        <w:spacing w:before="200" w:after="80"/>
      </w:pPr>
      <w:r>
        <w:rPr>
          <w:rFonts w:ascii="Calibri" w:hAnsi="Calibri"/>
          <w:b/>
          <w:color w:val="4A5568"/>
          <w:sz w:val="22"/>
        </w:rPr>
        <w:t>7.3. La Oportunidad de Replicar Brasil en México y Colombia</w:t>
      </w:r>
    </w:p>
    <w:p>
      <w:pPr>
        <w:spacing w:before="40" w:after="80" w:line="276" w:lineRule="auto"/>
      </w:pPr>
      <w:r>
        <w:rPr>
          <w:rFonts w:ascii="Calibri" w:hAnsi="Calibri"/>
          <w:b/>
          <w:color w:val="2D3748"/>
          <w:sz w:val="20"/>
        </w:rPr>
        <w:t xml:space="preserve">• México como Segundo Motor: </w:t>
      </w:r>
      <w:r>
        <w:rPr>
          <w:rFonts w:ascii="Calibri" w:hAnsi="Calibri"/>
          <w:i w:val="0"/>
          <w:color w:val="2D3748"/>
          <w:sz w:val="20"/>
        </w:rPr>
        <w:t>Captación masiva de depósitos a través de Cuenta Nu México, logrando una cuota de mercado en nuevas tarjetas superior al 20% con una base que ya supera los 8 millones de clientes.</w:t>
      </w:r>
    </w:p>
    <w:p>
      <w:pPr>
        <w:spacing w:before="40" w:after="80" w:line="276" w:lineRule="auto"/>
      </w:pPr>
      <w:r>
        <w:rPr>
          <w:rFonts w:ascii="Calibri" w:hAnsi="Calibri"/>
          <w:b/>
          <w:color w:val="2D3748"/>
          <w:sz w:val="20"/>
        </w:rPr>
        <w:t xml:space="preserve">• Colombia y la Expansión Andina: </w:t>
      </w:r>
      <w:r>
        <w:rPr>
          <w:rFonts w:ascii="Calibri" w:hAnsi="Calibri"/>
          <w:i w:val="0"/>
          <w:color w:val="2D3748"/>
          <w:sz w:val="20"/>
        </w:rPr>
        <w:t>Lanzamiento exitoso de cuentas de ahorro en Colombia, consolidando la presencia panregional de Nubank.</w:t>
      </w:r>
    </w:p>
    <w:tbl>
      <w:tblPr>
        <w:tblW w:type="auto" w:w="0"/>
        <w:jc w:val="center"/>
        <w:tblLayout w:type="fixed"/>
        <w:tblLook w:firstColumn="1" w:firstRow="1" w:lastColumn="0" w:lastRow="0" w:noHBand="0" w:noVBand="1" w:val="04A0"/>
      </w:tblPr>
      <w:tblGrid>
        <w:gridCol w:w="9792"/>
      </w:tblGrid>
      <w:tr>
        <w:tc>
          <w:tcPr>
            <w:tcW w:type="dxa" w:w="9792"/>
            <w:shd w:fill="E8EEF5"/>
            <w:tcMar>
              <w:top w:w="140" w:type="dxa"/>
              <w:bottom w:w="140" w:type="dxa"/>
              <w:left w:w="180" w:type="dxa"/>
              <w:right w:w="180" w:type="dxa"/>
            </w:tcMar>
            <w:tcBorders>
              <w:left w:val="single" w:sz="24" w:space="0" w:color="0A3641"/>
              <w:top w:val="none"/>
              <w:right w:val="none"/>
              <w:bottom w:val="none"/>
            </w:tcBorders>
          </w:tcPr>
          <w:p>
            <w:pPr>
              <w:spacing w:before="0" w:after="80"/>
            </w:pPr>
            <w:r>
              <w:rPr>
                <w:rFonts w:ascii="Segoe UI Emoji" w:hAnsi="Segoe UI Emoji"/>
                <w:sz w:val="21"/>
              </w:rPr>
              <w:t xml:space="preserve">📌  </w:t>
            </w:r>
            <w:r>
              <w:rPr>
                <w:rFonts w:ascii="Calibri" w:hAnsi="Calibri"/>
                <w:b/>
                <w:color w:val="0A3641"/>
                <w:sz w:val="21"/>
              </w:rPr>
              <w:t>GUÍA DE DIAGNÓSTICO FUNDAMENTAL: ¿CÓMO AUDITAR EL FOSO DEFENSIVO (ECONOMIC MOAT)?</w:t>
            </w:r>
          </w:p>
          <w:p>
            <w:pPr>
              <w:spacing w:before="40" w:after="40" w:line="276" w:lineRule="auto"/>
            </w:pPr>
            <w:r>
              <w:rPr>
                <w:rFonts w:ascii="Calibri" w:hAnsi="Calibri"/>
                <w:color w:val="2D3748"/>
                <w:sz w:val="19"/>
              </w:rPr>
              <w:t>• Identificación de un Wide Moat: Una empresa posee un foso amplio cuando puede generar sistemáticamente un ROIC superior a su WACC durante más de 10 o 15 años.</w:t>
            </w:r>
          </w:p>
          <w:p>
            <w:pPr>
              <w:spacing w:before="40" w:after="40" w:line="276" w:lineRule="auto"/>
            </w:pPr>
            <w:r>
              <w:rPr>
                <w:rFonts w:ascii="Calibri" w:hAnsi="Calibri"/>
                <w:color w:val="2D3748"/>
                <w:sz w:val="19"/>
              </w:rPr>
              <w:t>• Costes de Cambio y Pricing Power: Si un cliente no puede sustituir el producto sin fricción, la empresa puede subir precios sin perder demanda.</w:t>
            </w:r>
          </w:p>
          <w:p>
            <w:pPr>
              <w:spacing w:before="40" w:after="40" w:line="276" w:lineRule="auto"/>
            </w:pPr>
            <w:r>
              <w:rPr>
                <w:rFonts w:ascii="Calibri" w:hAnsi="Calibri"/>
                <w:color w:val="2D3748"/>
                <w:sz w:val="19"/>
              </w:rPr>
              <w:t>• Vigilancia de Erosión: La caída continua de margen bruto o la necesidad de rebajas agresivas son las primeras señales de debilitamiento de un foso.</w:t>
            </w:r>
          </w:p>
        </w:tc>
      </w:tr>
    </w:tbl>
    <w:p>
      <w:pPr>
        <w:spacing w:after="80"/>
      </w:pPr>
    </w:p>
    <w:p>
      <w:pPr>
        <w:keepNext/>
        <w:spacing w:before="320" w:after="120"/>
      </w:pPr>
      <w:r>
        <w:rPr>
          <w:rFonts w:ascii="Calibri" w:hAnsi="Calibri"/>
          <w:b/>
          <w:color w:val="1B365D"/>
          <w:sz w:val="26"/>
        </w:rPr>
        <w:t>8. Gobernanza Corporativa, Sentimiento Insider (Form 4 y 144) y Alertas 8-K</w:t>
      </w:r>
    </w:p>
    <w:tbl>
      <w:tblPr>
        <w:tblW w:type="auto" w:w="0"/>
        <w:jc w:val="center"/>
        <w:tblLayout w:type="fixed"/>
        <w:tblLook w:firstColumn="1" w:firstRow="1" w:lastColumn="0" w:lastRow="0" w:noHBand="0" w:noVBand="1" w:val="04A0"/>
      </w:tblPr>
      <w:tblGrid>
        <w:gridCol w:w="9792"/>
      </w:tblGrid>
      <w:tr>
        <w:tc>
          <w:tcPr>
            <w:tcW w:type="dxa" w:w="9792"/>
            <w:shd w:fill="E8EEF5"/>
            <w:tcMar>
              <w:top w:w="140" w:type="dxa"/>
              <w:bottom w:w="140" w:type="dxa"/>
              <w:left w:w="180" w:type="dxa"/>
              <w:right w:w="180" w:type="dxa"/>
            </w:tcMar>
            <w:tcBorders>
              <w:left w:val="single" w:sz="24" w:space="0" w:color="0A3641"/>
              <w:top w:val="none"/>
              <w:right w:val="none"/>
              <w:bottom w:val="none"/>
            </w:tcBorders>
          </w:tcPr>
          <w:p>
            <w:pPr>
              <w:spacing w:before="0" w:after="80"/>
            </w:pPr>
            <w:r>
              <w:rPr>
                <w:rFonts w:ascii="Segoe UI Emoji" w:hAnsi="Segoe UI Emoji"/>
                <w:sz w:val="21"/>
              </w:rPr>
              <w:t xml:space="preserve">📌  </w:t>
            </w:r>
            <w:r>
              <w:rPr>
                <w:rFonts w:ascii="Calibri" w:hAnsi="Calibri"/>
                <w:b/>
                <w:color w:val="0A3641"/>
                <w:sz w:val="21"/>
              </w:rPr>
              <w:t>GUÍA PEDAGÓGICA PARA EL INVERSOR: LA CADENA DE TRAZABILIDAD DE LA SEC</w:t>
            </w:r>
          </w:p>
          <w:p>
            <w:pPr>
              <w:spacing w:before="40" w:after="40" w:line="276" w:lineRule="auto"/>
            </w:pPr>
            <w:r>
              <w:rPr>
                <w:rFonts w:ascii="Calibri" w:hAnsi="Calibri"/>
                <w:color w:val="2D3748"/>
                <w:sz w:val="19"/>
              </w:rPr>
              <w:t>• Formulario 8-K (La Empresa Habla): Notifica eventos materiales corporativos en tiempo real (relevo del CEO, cambios de auditor o acuerdos clave).</w:t>
            </w:r>
          </w:p>
          <w:p>
            <w:pPr>
              <w:spacing w:before="40" w:after="40" w:line="276" w:lineRule="auto"/>
            </w:pPr>
            <w:r>
              <w:rPr>
                <w:rFonts w:ascii="Calibri" w:hAnsi="Calibri"/>
                <w:color w:val="2D3748"/>
                <w:sz w:val="19"/>
              </w:rPr>
              <w:t>• Formulario 144 (El Aviso Previo): Notificación previa y obligatoria de un directivo antes de vender acciones restringidas.</w:t>
            </w:r>
          </w:p>
          <w:p>
            <w:pPr>
              <w:spacing w:before="40" w:after="40" w:line="276" w:lineRule="auto"/>
            </w:pPr>
            <w:r>
              <w:rPr>
                <w:rFonts w:ascii="Calibri" w:hAnsi="Calibri"/>
                <w:color w:val="2D3748"/>
                <w:sz w:val="19"/>
              </w:rPr>
              <w:t>• Formulario 4 (La Ejecución Real): Registro en 48 horas de la transacción ya liquidada en bolsa.</w:t>
            </w:r>
          </w:p>
          <w:p>
            <w:pPr>
              <w:spacing w:before="40" w:after="40" w:line="276" w:lineRule="auto"/>
            </w:pPr>
            <w:r>
              <w:rPr>
                <w:rFonts w:ascii="Calibri" w:hAnsi="Calibri"/>
                <w:color w:val="2D3748"/>
                <w:sz w:val="19"/>
              </w:rPr>
              <w:t>• Regla de Oro: Las ventas bajo Planes Rule 10b5-1 son automáticas y preprogramadas sin información privilegiada. Las ventas discrecionales reflejan decisiones activas.</w:t>
            </w:r>
          </w:p>
        </w:tc>
      </w:tr>
    </w:tbl>
    <w:p>
      <w:pPr>
        <w:spacing w:after="80"/>
      </w:pPr>
    </w:p>
    <w:p>
      <w:pPr>
        <w:keepNext/>
        <w:spacing w:before="200" w:after="80"/>
      </w:pPr>
      <w:r>
        <w:rPr>
          <w:rFonts w:ascii="Calibri" w:hAnsi="Calibri"/>
          <w:b/>
          <w:color w:val="4A5568"/>
          <w:sz w:val="22"/>
        </w:rPr>
        <w:t>8.1. Hechos Relevantes y Alertas Tempranas de la Corporación (Formulario 8-K)</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1958"/>
        <w:gridCol w:w="1958"/>
        <w:gridCol w:w="1958"/>
        <w:gridCol w:w="1958"/>
        <w:gridCol w:w="1958"/>
      </w:tblGrid>
      <w:tr>
        <w:tc>
          <w:tcPr>
            <w:tcW w:type="dxa" w:w="1440"/>
            <w:shd w:fill="1B365D"/>
            <w:tcMar>
              <w:top w:w="100" w:type="dxa"/>
              <w:bottom w:w="100" w:type="dxa"/>
              <w:left w:w="120" w:type="dxa"/>
              <w:right w:w="120" w:type="dxa"/>
            </w:tcMar>
          </w:tcPr>
          <w:p>
            <w:pPr>
              <w:spacing w:before="0" w:after="0"/>
              <w:jc w:val="center"/>
            </w:pPr>
            <w:r>
              <w:rPr>
                <w:rFonts w:ascii="Calibri" w:hAnsi="Calibri"/>
                <w:b/>
                <w:color w:val="FFFFFF"/>
                <w:sz w:val="19"/>
              </w:rPr>
              <w:t>Fecha SEC</w:t>
            </w:r>
          </w:p>
        </w:tc>
        <w:tc>
          <w:tcPr>
            <w:tcW w:type="dxa" w:w="1440"/>
            <w:shd w:fill="1B365D"/>
            <w:tcMar>
              <w:top w:w="100" w:type="dxa"/>
              <w:bottom w:w="100" w:type="dxa"/>
              <w:left w:w="120" w:type="dxa"/>
              <w:right w:w="120" w:type="dxa"/>
            </w:tcMar>
          </w:tcPr>
          <w:p>
            <w:pPr>
              <w:spacing w:before="0" w:after="0"/>
              <w:jc w:val="center"/>
            </w:pPr>
            <w:r>
              <w:rPr>
                <w:rFonts w:ascii="Calibri" w:hAnsi="Calibri"/>
                <w:b/>
                <w:color w:val="FFFFFF"/>
                <w:sz w:val="19"/>
              </w:rPr>
              <w:t>Ítem Oficial / Formulario</w:t>
            </w:r>
          </w:p>
        </w:tc>
        <w:tc>
          <w:tcPr>
            <w:tcW w:type="dxa" w:w="2160"/>
            <w:shd w:fill="1B365D"/>
            <w:tcMar>
              <w:top w:w="100" w:type="dxa"/>
              <w:bottom w:w="100" w:type="dxa"/>
              <w:left w:w="120" w:type="dxa"/>
              <w:right w:w="120" w:type="dxa"/>
            </w:tcMar>
          </w:tcPr>
          <w:p>
            <w:pPr>
              <w:spacing w:before="0" w:after="0"/>
              <w:jc w:val="left"/>
            </w:pPr>
            <w:r>
              <w:rPr>
                <w:rFonts w:ascii="Calibri" w:hAnsi="Calibri"/>
                <w:b/>
                <w:color w:val="FFFFFF"/>
                <w:sz w:val="19"/>
              </w:rPr>
              <w:t>Naturaleza del Evento</w:t>
            </w:r>
          </w:p>
        </w:tc>
        <w:tc>
          <w:tcPr>
            <w:tcW w:type="dxa" w:w="2448"/>
            <w:shd w:fill="1B365D"/>
            <w:tcMar>
              <w:top w:w="100" w:type="dxa"/>
              <w:bottom w:w="100" w:type="dxa"/>
              <w:left w:w="120" w:type="dxa"/>
              <w:right w:w="120" w:type="dxa"/>
            </w:tcMar>
          </w:tcPr>
          <w:p>
            <w:pPr>
              <w:spacing w:before="0" w:after="0"/>
              <w:jc w:val="left"/>
            </w:pPr>
            <w:r>
              <w:rPr>
                <w:rFonts w:ascii="Calibri" w:hAnsi="Calibri"/>
                <w:b/>
                <w:color w:val="FFFFFF"/>
                <w:sz w:val="19"/>
              </w:rPr>
              <w:t>¿Qué significa para la Empresa?</w:t>
            </w:r>
          </w:p>
        </w:tc>
        <w:tc>
          <w:tcPr>
            <w:tcW w:type="dxa" w:w="2304"/>
            <w:shd w:fill="1B365D"/>
            <w:tcMar>
              <w:top w:w="100" w:type="dxa"/>
              <w:bottom w:w="100" w:type="dxa"/>
              <w:left w:w="120" w:type="dxa"/>
              <w:right w:w="120" w:type="dxa"/>
            </w:tcMar>
          </w:tcPr>
          <w:p>
            <w:pPr>
              <w:spacing w:before="0" w:after="0"/>
              <w:jc w:val="left"/>
            </w:pPr>
            <w:r>
              <w:rPr>
                <w:rFonts w:ascii="Calibri" w:hAnsi="Calibri"/>
                <w:b/>
                <w:color w:val="FFFFFF"/>
                <w:sz w:val="19"/>
              </w:rPr>
              <w:t>Diagnóstico para el Inversor</w:t>
            </w:r>
          </w:p>
        </w:tc>
      </w:tr>
      <w:tr>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2026-08-14</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Formulario 6-K</w:t>
            </w:r>
          </w:p>
        </w:tc>
        <w:tc>
          <w:tcPr>
            <w:tcW w:type="dxa" w:w="2160"/>
            <w:shd w:fill="FFFFFF"/>
            <w:tcMar>
              <w:top w:w="80" w:type="dxa"/>
              <w:bottom w:w="80" w:type="dxa"/>
              <w:left w:w="120" w:type="dxa"/>
              <w:right w:w="120" w:type="dxa"/>
            </w:tcMar>
          </w:tcPr>
          <w:p>
            <w:pPr>
              <w:spacing w:before="0" w:after="0"/>
              <w:jc w:val="left"/>
            </w:pPr>
            <w:r>
              <w:rPr>
                <w:rFonts w:ascii="Calibri" w:hAnsi="Calibri"/>
                <w:color w:val="2D3748"/>
                <w:sz w:val="18"/>
              </w:rPr>
              <w:t>Resultados Financieros Trimestrales Q2 2026</w:t>
            </w:r>
          </w:p>
        </w:tc>
        <w:tc>
          <w:tcPr>
            <w:tcW w:type="dxa" w:w="2448"/>
            <w:shd w:fill="FFFFFF"/>
            <w:tcMar>
              <w:top w:w="80" w:type="dxa"/>
              <w:bottom w:w="80" w:type="dxa"/>
              <w:left w:w="120" w:type="dxa"/>
              <w:right w:w="120" w:type="dxa"/>
            </w:tcMar>
          </w:tcPr>
          <w:p>
            <w:pPr>
              <w:spacing w:before="0" w:after="0"/>
              <w:jc w:val="left"/>
            </w:pPr>
            <w:r>
              <w:rPr>
                <w:rFonts w:ascii="Calibri" w:hAnsi="Calibri"/>
                <w:color w:val="2D3748"/>
                <w:sz w:val="18"/>
              </w:rPr>
              <w:t>NII alcanza $3.7B y la cartera de créditos se expande a $30.4B con mora bajo control.</w:t>
            </w:r>
          </w:p>
        </w:tc>
        <w:tc>
          <w:tcPr>
            <w:tcW w:type="dxa" w:w="2304"/>
            <w:shd w:fill="FFFFFF"/>
            <w:tcMar>
              <w:top w:w="80" w:type="dxa"/>
              <w:bottom w:w="80" w:type="dxa"/>
              <w:left w:w="120" w:type="dxa"/>
              <w:right w:w="120" w:type="dxa"/>
            </w:tcMar>
          </w:tcPr>
          <w:p>
            <w:pPr>
              <w:spacing w:before="0" w:after="0"/>
              <w:jc w:val="left"/>
            </w:pPr>
            <w:r>
              <w:rPr>
                <w:rFonts w:ascii="Calibri" w:hAnsi="Calibri"/>
                <w:color w:val="2D3748"/>
                <w:sz w:val="18"/>
              </w:rPr>
              <w:t>🟢 OPERATIVO: Resultados extraordinarios que confirman el poder de fijación de precios.</w:t>
            </w:r>
          </w:p>
        </w:tc>
      </w:tr>
      <w:tr>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2026-05-15</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Formulario 6-K</w:t>
            </w:r>
          </w:p>
        </w:tc>
        <w:tc>
          <w:tcPr>
            <w:tcW w:type="dxa" w:w="2160"/>
            <w:shd w:fill="F7FAFC"/>
            <w:tcMar>
              <w:top w:w="80" w:type="dxa"/>
              <w:bottom w:w="80" w:type="dxa"/>
              <w:left w:w="120" w:type="dxa"/>
              <w:right w:w="120" w:type="dxa"/>
            </w:tcMar>
          </w:tcPr>
          <w:p>
            <w:pPr>
              <w:spacing w:before="0" w:after="0"/>
              <w:jc w:val="left"/>
            </w:pPr>
            <w:r>
              <w:rPr>
                <w:rFonts w:ascii="Calibri" w:hAnsi="Calibri"/>
                <w:color w:val="2D3748"/>
                <w:sz w:val="18"/>
              </w:rPr>
              <w:t>Resultados Financieros Trimestrales Q1 2026</w:t>
            </w:r>
          </w:p>
        </w:tc>
        <w:tc>
          <w:tcPr>
            <w:tcW w:type="dxa" w:w="2448"/>
            <w:shd w:fill="F7FAFC"/>
            <w:tcMar>
              <w:top w:w="80" w:type="dxa"/>
              <w:bottom w:w="80" w:type="dxa"/>
              <w:left w:w="120" w:type="dxa"/>
              <w:right w:w="120" w:type="dxa"/>
            </w:tcMar>
          </w:tcPr>
          <w:p>
            <w:pPr>
              <w:spacing w:before="0" w:after="0"/>
              <w:jc w:val="left"/>
            </w:pPr>
            <w:r>
              <w:rPr>
                <w:rFonts w:ascii="Calibri" w:hAnsi="Calibri"/>
                <w:color w:val="2D3748"/>
                <w:sz w:val="18"/>
              </w:rPr>
              <w:t>Beneficio neto trimestral récord de $871M y ratio de eficiencia histórica del 17.6%.</w:t>
            </w:r>
          </w:p>
        </w:tc>
        <w:tc>
          <w:tcPr>
            <w:tcW w:type="dxa" w:w="2304"/>
            <w:shd w:fill="F7FAFC"/>
            <w:tcMar>
              <w:top w:w="80" w:type="dxa"/>
              <w:bottom w:w="80" w:type="dxa"/>
              <w:left w:w="120" w:type="dxa"/>
              <w:right w:w="120" w:type="dxa"/>
            </w:tcMar>
          </w:tcPr>
          <w:p>
            <w:pPr>
              <w:spacing w:before="0" w:after="0"/>
              <w:jc w:val="left"/>
            </w:pPr>
            <w:r>
              <w:rPr>
                <w:rFonts w:ascii="Calibri" w:hAnsi="Calibri"/>
                <w:color w:val="2D3748"/>
                <w:sz w:val="18"/>
              </w:rPr>
              <w:t>🟢 ORDINARIO: Cumplimiento de reporte periódico en calendario regular.</w:t>
            </w:r>
          </w:p>
        </w:tc>
      </w:tr>
      <w:tr>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2026-04-20</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Formulario 20-F</w:t>
            </w:r>
          </w:p>
        </w:tc>
        <w:tc>
          <w:tcPr>
            <w:tcW w:type="dxa" w:w="2160"/>
            <w:shd w:fill="FFFFFF"/>
            <w:tcMar>
              <w:top w:w="80" w:type="dxa"/>
              <w:bottom w:w="80" w:type="dxa"/>
              <w:left w:w="120" w:type="dxa"/>
              <w:right w:w="120" w:type="dxa"/>
            </w:tcMar>
          </w:tcPr>
          <w:p>
            <w:pPr>
              <w:spacing w:before="0" w:after="0"/>
              <w:jc w:val="left"/>
            </w:pPr>
            <w:r>
              <w:rPr>
                <w:rFonts w:ascii="Calibri" w:hAnsi="Calibri"/>
                <w:color w:val="2D3748"/>
                <w:sz w:val="18"/>
              </w:rPr>
              <w:t>Memoria Anual Auditada del Ejercicio FY2025</w:t>
            </w:r>
          </w:p>
        </w:tc>
        <w:tc>
          <w:tcPr>
            <w:tcW w:type="dxa" w:w="2448"/>
            <w:shd w:fill="FFFFFF"/>
            <w:tcMar>
              <w:top w:w="80" w:type="dxa"/>
              <w:bottom w:w="80" w:type="dxa"/>
              <w:left w:w="120" w:type="dxa"/>
              <w:right w:w="120" w:type="dxa"/>
            </w:tcMar>
          </w:tcPr>
          <w:p>
            <w:pPr>
              <w:spacing w:before="0" w:after="0"/>
              <w:jc w:val="left"/>
            </w:pPr>
            <w:r>
              <w:rPr>
                <w:rFonts w:ascii="Calibri" w:hAnsi="Calibri"/>
                <w:color w:val="2D3748"/>
                <w:sz w:val="18"/>
              </w:rPr>
              <w:t>Presentación de estados financieros consolidados auditados sin salvedades por PwC.</w:t>
            </w:r>
          </w:p>
        </w:tc>
        <w:tc>
          <w:tcPr>
            <w:tcW w:type="dxa" w:w="2304"/>
            <w:shd w:fill="FFFFFF"/>
            <w:tcMar>
              <w:top w:w="80" w:type="dxa"/>
              <w:bottom w:w="80" w:type="dxa"/>
              <w:left w:w="120" w:type="dxa"/>
              <w:right w:w="120" w:type="dxa"/>
            </w:tcMar>
          </w:tcPr>
          <w:p>
            <w:pPr>
              <w:spacing w:before="0" w:after="0"/>
              <w:jc w:val="left"/>
            </w:pPr>
            <w:r>
              <w:rPr>
                <w:rFonts w:ascii="Calibri" w:hAnsi="Calibri"/>
                <w:color w:val="2D3748"/>
                <w:sz w:val="18"/>
              </w:rPr>
              <w:t>🟢 AUDITORÍA: Estados contables certificados bajo normativa IFRS.</w:t>
            </w:r>
          </w:p>
        </w:tc>
      </w:tr>
    </w:tbl>
    <w:p>
      <w:pPr>
        <w:spacing w:after="120"/>
      </w:pPr>
    </w:p>
    <w:p>
      <w:pPr>
        <w:keepNext/>
        <w:spacing w:before="200" w:after="80"/>
      </w:pPr>
      <w:r>
        <w:rPr>
          <w:rFonts w:ascii="Calibri" w:hAnsi="Calibri"/>
          <w:b/>
          <w:color w:val="4A5568"/>
          <w:sz w:val="22"/>
        </w:rPr>
        <w:t>8.2. Monitor Unificado de Insiders: Del Aviso (Form 144) a la Ejecución (Form 4)</w:t>
      </w:r>
    </w:p>
    <w:p>
      <w:pPr>
        <w:spacing w:before="40" w:after="80" w:line="276" w:lineRule="auto"/>
      </w:pPr>
      <w:r>
        <w:rPr>
          <w:rFonts w:ascii="Calibri" w:hAnsi="Calibri"/>
          <w:i w:val="0"/>
          <w:color w:val="2D3748"/>
          <w:sz w:val="20"/>
        </w:rPr>
        <w:t>Consolidación de transacciones de directivos clave cruzando intención (Form 144) con ejecución efectiva (Form 4):</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1632"/>
        <w:gridCol w:w="1632"/>
        <w:gridCol w:w="1632"/>
        <w:gridCol w:w="1632"/>
        <w:gridCol w:w="1632"/>
        <w:gridCol w:w="1632"/>
      </w:tblGrid>
      <w:tr>
        <w:tc>
          <w:tcPr>
            <w:tcW w:type="dxa" w:w="2160"/>
            <w:shd w:fill="1B365D"/>
            <w:tcMar>
              <w:top w:w="100" w:type="dxa"/>
              <w:bottom w:w="100" w:type="dxa"/>
              <w:left w:w="120" w:type="dxa"/>
              <w:right w:w="120" w:type="dxa"/>
            </w:tcMar>
          </w:tcPr>
          <w:p>
            <w:pPr>
              <w:spacing w:before="0" w:after="0"/>
              <w:jc w:val="left"/>
            </w:pPr>
            <w:r>
              <w:rPr>
                <w:rFonts w:ascii="Calibri" w:hAnsi="Calibri"/>
                <w:b/>
                <w:color w:val="FFFFFF"/>
                <w:sz w:val="19"/>
              </w:rPr>
              <w:t>Directivo / Cargo Clave</w:t>
            </w:r>
          </w:p>
        </w:tc>
        <w:tc>
          <w:tcPr>
            <w:tcW w:type="dxa" w:w="2016"/>
            <w:shd w:fill="1B365D"/>
            <w:tcMar>
              <w:top w:w="100" w:type="dxa"/>
              <w:bottom w:w="100" w:type="dxa"/>
              <w:left w:w="120" w:type="dxa"/>
              <w:right w:w="120" w:type="dxa"/>
            </w:tcMar>
          </w:tcPr>
          <w:p>
            <w:pPr>
              <w:spacing w:before="0" w:after="0"/>
              <w:jc w:val="center"/>
            </w:pPr>
            <w:r>
              <w:rPr>
                <w:rFonts w:ascii="Calibri" w:hAnsi="Calibri"/>
                <w:b/>
                <w:color w:val="FFFFFF"/>
                <w:sz w:val="19"/>
              </w:rPr>
              <w:t>Tipo de Operación y Modalidad SEC</w:t>
            </w:r>
          </w:p>
        </w:tc>
        <w:tc>
          <w:tcPr>
            <w:tcW w:type="dxa" w:w="1296"/>
            <w:shd w:fill="1B365D"/>
            <w:tcMar>
              <w:top w:w="100" w:type="dxa"/>
              <w:bottom w:w="100" w:type="dxa"/>
              <w:left w:w="120" w:type="dxa"/>
              <w:right w:w="120" w:type="dxa"/>
            </w:tcMar>
          </w:tcPr>
          <w:p>
            <w:pPr>
              <w:spacing w:before="0" w:after="0"/>
              <w:jc w:val="right"/>
            </w:pPr>
            <w:r>
              <w:rPr>
                <w:rFonts w:ascii="Calibri" w:hAnsi="Calibri"/>
                <w:b/>
                <w:color w:val="FFFFFF"/>
                <w:sz w:val="19"/>
              </w:rPr>
              <w:t>Volumen de Acciones</w:t>
            </w:r>
          </w:p>
        </w:tc>
        <w:tc>
          <w:tcPr>
            <w:tcW w:type="dxa" w:w="1440"/>
            <w:shd w:fill="1B365D"/>
            <w:tcMar>
              <w:top w:w="100" w:type="dxa"/>
              <w:bottom w:w="100" w:type="dxa"/>
              <w:left w:w="120" w:type="dxa"/>
              <w:right w:w="120" w:type="dxa"/>
            </w:tcMar>
          </w:tcPr>
          <w:p>
            <w:pPr>
              <w:spacing w:before="0" w:after="0"/>
              <w:jc w:val="right"/>
            </w:pPr>
            <w:r>
              <w:rPr>
                <w:rFonts w:ascii="Calibri" w:hAnsi="Calibri"/>
                <w:b/>
                <w:color w:val="FFFFFF"/>
                <w:sz w:val="19"/>
              </w:rPr>
              <w:t>Importe Efectivo ($)</w:t>
            </w:r>
          </w:p>
        </w:tc>
        <w:tc>
          <w:tcPr>
            <w:tcW w:type="dxa" w:w="1296"/>
            <w:shd w:fill="1B365D"/>
            <w:tcMar>
              <w:top w:w="100" w:type="dxa"/>
              <w:bottom w:w="100" w:type="dxa"/>
              <w:left w:w="120" w:type="dxa"/>
              <w:right w:w="120" w:type="dxa"/>
            </w:tcMar>
          </w:tcPr>
          <w:p>
            <w:pPr>
              <w:spacing w:before="0" w:after="0"/>
              <w:jc w:val="center"/>
            </w:pPr>
            <w:r>
              <w:rPr>
                <w:rFonts w:ascii="Calibri" w:hAnsi="Calibri"/>
                <w:b/>
                <w:color w:val="FFFFFF"/>
                <w:sz w:val="19"/>
              </w:rPr>
              <w:t>Trazabilidad SEC</w:t>
            </w:r>
          </w:p>
        </w:tc>
        <w:tc>
          <w:tcPr>
            <w:tcW w:type="dxa" w:w="1584"/>
            <w:shd w:fill="1B365D"/>
            <w:tcMar>
              <w:top w:w="100" w:type="dxa"/>
              <w:bottom w:w="100" w:type="dxa"/>
              <w:left w:w="120" w:type="dxa"/>
              <w:right w:w="120" w:type="dxa"/>
            </w:tcMar>
          </w:tcPr>
          <w:p>
            <w:pPr>
              <w:spacing w:before="0" w:after="0"/>
              <w:jc w:val="left"/>
            </w:pPr>
            <w:r>
              <w:rPr>
                <w:rFonts w:ascii="Calibri" w:hAnsi="Calibri"/>
                <w:b/>
                <w:color w:val="FFFFFF"/>
                <w:sz w:val="19"/>
              </w:rPr>
              <w:t>Diagnóstico de Convicción</w:t>
            </w:r>
          </w:p>
        </w:tc>
      </w:tr>
      <w:tr>
        <w:tc>
          <w:tcPr>
            <w:tcW w:type="dxa" w:w="2160"/>
            <w:shd w:fill="FFFFFF"/>
            <w:tcMar>
              <w:top w:w="80" w:type="dxa"/>
              <w:bottom w:w="80" w:type="dxa"/>
              <w:left w:w="120" w:type="dxa"/>
              <w:right w:w="120" w:type="dxa"/>
            </w:tcMar>
          </w:tcPr>
          <w:p>
            <w:pPr>
              <w:spacing w:before="0" w:after="0"/>
              <w:jc w:val="left"/>
            </w:pPr>
            <w:r>
              <w:rPr>
                <w:rFonts w:ascii="Calibri" w:hAnsi="Calibri"/>
                <w:color w:val="2D3748"/>
                <w:sz w:val="18"/>
              </w:rPr>
              <w:t>David Vélez</w:t>
              <w:br/>
              <w:t>(Founder, CEO &amp; Chairman)</w:t>
            </w:r>
          </w:p>
        </w:tc>
        <w:tc>
          <w:tcPr>
            <w:tcW w:type="dxa" w:w="2016"/>
            <w:shd w:fill="FFFFFF"/>
            <w:tcMar>
              <w:top w:w="80" w:type="dxa"/>
              <w:bottom w:w="80" w:type="dxa"/>
              <w:left w:w="120" w:type="dxa"/>
              <w:right w:w="120" w:type="dxa"/>
            </w:tcMar>
          </w:tcPr>
          <w:p>
            <w:pPr>
              <w:spacing w:before="0" w:after="0"/>
              <w:jc w:val="center"/>
            </w:pPr>
            <w:r>
              <w:rPr>
                <w:rFonts w:ascii="Calibri" w:hAnsi="Calibri"/>
                <w:color w:val="2D3748"/>
                <w:sz w:val="18"/>
              </w:rPr>
              <w:t>🟢 Control Accionario Clase B</w:t>
            </w:r>
          </w:p>
        </w:tc>
        <w:tc>
          <w:tcPr>
            <w:tcW w:type="dxa" w:w="1296"/>
            <w:shd w:fill="FFFFFF"/>
            <w:tcMar>
              <w:top w:w="80" w:type="dxa"/>
              <w:bottom w:w="80" w:type="dxa"/>
              <w:left w:w="120" w:type="dxa"/>
              <w:right w:w="120" w:type="dxa"/>
            </w:tcMar>
          </w:tcPr>
          <w:p>
            <w:pPr>
              <w:spacing w:before="0" w:after="0"/>
              <w:jc w:val="right"/>
            </w:pPr>
            <w:r>
              <w:rPr>
                <w:rFonts w:ascii="Calibri" w:hAnsi="Calibri"/>
                <w:color w:val="2D3748"/>
                <w:sz w:val="18"/>
              </w:rPr>
              <w:t>Posición Fundador Mayoritario</w:t>
            </w:r>
          </w:p>
        </w:tc>
        <w:tc>
          <w:tcPr>
            <w:tcW w:type="dxa" w:w="1440"/>
            <w:shd w:fill="FFFFFF"/>
            <w:tcMar>
              <w:top w:w="80" w:type="dxa"/>
              <w:bottom w:w="80" w:type="dxa"/>
              <w:left w:w="120" w:type="dxa"/>
              <w:right w:w="120" w:type="dxa"/>
            </w:tcMar>
          </w:tcPr>
          <w:p>
            <w:pPr>
              <w:spacing w:before="0" w:after="0"/>
              <w:jc w:val="right"/>
            </w:pPr>
            <w:r>
              <w:rPr>
                <w:rFonts w:ascii="Calibri" w:hAnsi="Calibri"/>
                <w:color w:val="2D3748"/>
                <w:sz w:val="18"/>
              </w:rPr>
              <w:t>$0 ventas abiertas</w:t>
            </w:r>
          </w:p>
        </w:tc>
        <w:tc>
          <w:tcPr>
            <w:tcW w:type="dxa" w:w="1296"/>
            <w:shd w:fill="FFFFFF"/>
            <w:tcMar>
              <w:top w:w="80" w:type="dxa"/>
              <w:bottom w:w="80" w:type="dxa"/>
              <w:left w:w="120" w:type="dxa"/>
              <w:right w:w="120" w:type="dxa"/>
            </w:tcMar>
          </w:tcPr>
          <w:p>
            <w:pPr>
              <w:spacing w:before="0" w:after="0"/>
              <w:jc w:val="center"/>
            </w:pPr>
            <w:r>
              <w:rPr>
                <w:rFonts w:ascii="Calibri" w:hAnsi="Calibri"/>
                <w:color w:val="2D3748"/>
                <w:sz w:val="18"/>
              </w:rPr>
              <w:t>Filing 6-K / Proxy</w:t>
            </w:r>
          </w:p>
        </w:tc>
        <w:tc>
          <w:tcPr>
            <w:tcW w:type="dxa" w:w="1584"/>
            <w:shd w:fill="FFFFFF"/>
            <w:tcMar>
              <w:top w:w="80" w:type="dxa"/>
              <w:bottom w:w="80" w:type="dxa"/>
              <w:left w:w="120" w:type="dxa"/>
              <w:right w:w="120" w:type="dxa"/>
            </w:tcMar>
          </w:tcPr>
          <w:p>
            <w:pPr>
              <w:spacing w:before="0" w:after="0"/>
              <w:jc w:val="left"/>
            </w:pPr>
            <w:r>
              <w:rPr>
                <w:rFonts w:ascii="Calibri" w:hAnsi="Calibri"/>
                <w:color w:val="2D3748"/>
                <w:sz w:val="18"/>
              </w:rPr>
              <w:t>Control patrimonial férreo y compromiso vitalicio con la visión de Nubank.</w:t>
            </w:r>
          </w:p>
        </w:tc>
      </w:tr>
      <w:tr>
        <w:tc>
          <w:tcPr>
            <w:tcW w:type="dxa" w:w="2160"/>
            <w:shd w:fill="F7FAFC"/>
            <w:tcMar>
              <w:top w:w="80" w:type="dxa"/>
              <w:bottom w:w="80" w:type="dxa"/>
              <w:left w:w="120" w:type="dxa"/>
              <w:right w:w="120" w:type="dxa"/>
            </w:tcMar>
          </w:tcPr>
          <w:p>
            <w:pPr>
              <w:spacing w:before="0" w:after="0"/>
              <w:jc w:val="left"/>
            </w:pPr>
            <w:r>
              <w:rPr>
                <w:rFonts w:ascii="Calibri" w:hAnsi="Calibri"/>
                <w:color w:val="2D3748"/>
                <w:sz w:val="18"/>
              </w:rPr>
              <w:t>Cristina Junqueira</w:t>
              <w:br/>
              <w:t>(Co-Founder &amp; Chief Growth Officer)</w:t>
            </w:r>
          </w:p>
        </w:tc>
        <w:tc>
          <w:tcPr>
            <w:tcW w:type="dxa" w:w="2016"/>
            <w:shd w:fill="F7FAFC"/>
            <w:tcMar>
              <w:top w:w="80" w:type="dxa"/>
              <w:bottom w:w="80" w:type="dxa"/>
              <w:left w:w="120" w:type="dxa"/>
              <w:right w:w="120" w:type="dxa"/>
            </w:tcMar>
          </w:tcPr>
          <w:p>
            <w:pPr>
              <w:spacing w:before="0" w:after="0"/>
              <w:jc w:val="center"/>
            </w:pPr>
            <w:r>
              <w:rPr>
                <w:rFonts w:ascii="Calibri" w:hAnsi="Calibri"/>
                <w:color w:val="2D3748"/>
                <w:sz w:val="18"/>
              </w:rPr>
              <w:t>🟢 Retención Patrimonial</w:t>
            </w:r>
          </w:p>
        </w:tc>
        <w:tc>
          <w:tcPr>
            <w:tcW w:type="dxa" w:w="1296"/>
            <w:shd w:fill="F7FAFC"/>
            <w:tcMar>
              <w:top w:w="80" w:type="dxa"/>
              <w:bottom w:w="80" w:type="dxa"/>
              <w:left w:w="120" w:type="dxa"/>
              <w:right w:w="120" w:type="dxa"/>
            </w:tcMar>
          </w:tcPr>
          <w:p>
            <w:pPr>
              <w:spacing w:before="0" w:after="0"/>
              <w:jc w:val="right"/>
            </w:pPr>
            <w:r>
              <w:rPr>
                <w:rFonts w:ascii="Calibri" w:hAnsi="Calibri"/>
                <w:color w:val="2D3748"/>
                <w:sz w:val="18"/>
              </w:rPr>
              <w:t>Posición Co-Fundadora</w:t>
            </w:r>
          </w:p>
        </w:tc>
        <w:tc>
          <w:tcPr>
            <w:tcW w:type="dxa" w:w="1440"/>
            <w:shd w:fill="F7FAFC"/>
            <w:tcMar>
              <w:top w:w="80" w:type="dxa"/>
              <w:bottom w:w="80" w:type="dxa"/>
              <w:left w:w="120" w:type="dxa"/>
              <w:right w:w="120" w:type="dxa"/>
            </w:tcMar>
          </w:tcPr>
          <w:p>
            <w:pPr>
              <w:spacing w:before="0" w:after="0"/>
              <w:jc w:val="right"/>
            </w:pPr>
            <w:r>
              <w:rPr>
                <w:rFonts w:ascii="Calibri" w:hAnsi="Calibri"/>
                <w:color w:val="2D3748"/>
                <w:sz w:val="18"/>
              </w:rPr>
              <w:t>$0 ventas abiertas</w:t>
            </w:r>
          </w:p>
        </w:tc>
        <w:tc>
          <w:tcPr>
            <w:tcW w:type="dxa" w:w="1296"/>
            <w:shd w:fill="F7FAFC"/>
            <w:tcMar>
              <w:top w:w="80" w:type="dxa"/>
              <w:bottom w:w="80" w:type="dxa"/>
              <w:left w:w="120" w:type="dxa"/>
              <w:right w:w="120" w:type="dxa"/>
            </w:tcMar>
          </w:tcPr>
          <w:p>
            <w:pPr>
              <w:spacing w:before="0" w:after="0"/>
              <w:jc w:val="center"/>
            </w:pPr>
            <w:r>
              <w:rPr>
                <w:rFonts w:ascii="Calibri" w:hAnsi="Calibri"/>
                <w:color w:val="2D3748"/>
                <w:sz w:val="18"/>
              </w:rPr>
              <w:t>Filing 6-K</w:t>
            </w:r>
          </w:p>
        </w:tc>
        <w:tc>
          <w:tcPr>
            <w:tcW w:type="dxa" w:w="1584"/>
            <w:shd w:fill="F7FAFC"/>
            <w:tcMar>
              <w:top w:w="80" w:type="dxa"/>
              <w:bottom w:w="80" w:type="dxa"/>
              <w:left w:w="120" w:type="dxa"/>
              <w:right w:w="120" w:type="dxa"/>
            </w:tcMar>
          </w:tcPr>
          <w:p>
            <w:pPr>
              <w:spacing w:before="0" w:after="0"/>
              <w:jc w:val="left"/>
            </w:pPr>
            <w:r>
              <w:rPr>
                <w:rFonts w:ascii="Calibri" w:hAnsi="Calibri"/>
                <w:color w:val="2D3748"/>
                <w:sz w:val="18"/>
              </w:rPr>
              <w:t>Alineación estratégica completa y liderazgo de la expansión en México.</w:t>
            </w:r>
          </w:p>
        </w:tc>
      </w:tr>
      <w:tr>
        <w:tc>
          <w:tcPr>
            <w:tcW w:type="dxa" w:w="2160"/>
            <w:shd w:fill="FFFFFF"/>
            <w:tcMar>
              <w:top w:w="80" w:type="dxa"/>
              <w:bottom w:w="80" w:type="dxa"/>
              <w:left w:w="120" w:type="dxa"/>
              <w:right w:w="120" w:type="dxa"/>
            </w:tcMar>
          </w:tcPr>
          <w:p>
            <w:pPr>
              <w:spacing w:before="0" w:after="0"/>
              <w:jc w:val="left"/>
            </w:pPr>
            <w:r>
              <w:rPr>
                <w:rFonts w:ascii="Calibri" w:hAnsi="Calibri"/>
                <w:color w:val="2D3748"/>
                <w:sz w:val="18"/>
              </w:rPr>
              <w:t>Rob Livingston</w:t>
              <w:br/>
              <w:t>(Chief Financial Officer)</w:t>
            </w:r>
          </w:p>
        </w:tc>
        <w:tc>
          <w:tcPr>
            <w:tcW w:type="dxa" w:w="2016"/>
            <w:shd w:fill="FFFFFF"/>
            <w:tcMar>
              <w:top w:w="80" w:type="dxa"/>
              <w:bottom w:w="80" w:type="dxa"/>
              <w:left w:w="120" w:type="dxa"/>
              <w:right w:w="120" w:type="dxa"/>
            </w:tcMar>
          </w:tcPr>
          <w:p>
            <w:pPr>
              <w:spacing w:before="0" w:after="0"/>
              <w:jc w:val="center"/>
            </w:pPr>
            <w:r>
              <w:rPr>
                <w:rFonts w:ascii="Calibri" w:hAnsi="Calibri"/>
                <w:color w:val="2D3748"/>
                <w:sz w:val="18"/>
              </w:rPr>
              <w:t>🟢 Asignación de RSUs</w:t>
            </w:r>
          </w:p>
        </w:tc>
        <w:tc>
          <w:tcPr>
            <w:tcW w:type="dxa" w:w="1296"/>
            <w:shd w:fill="FFFFFF"/>
            <w:tcMar>
              <w:top w:w="80" w:type="dxa"/>
              <w:bottom w:w="80" w:type="dxa"/>
              <w:left w:w="120" w:type="dxa"/>
              <w:right w:w="120" w:type="dxa"/>
            </w:tcMar>
          </w:tcPr>
          <w:p>
            <w:pPr>
              <w:spacing w:before="0" w:after="0"/>
              <w:jc w:val="right"/>
            </w:pPr>
            <w:r>
              <w:rPr>
                <w:rFonts w:ascii="Calibri" w:hAnsi="Calibri"/>
                <w:color w:val="2D3748"/>
                <w:sz w:val="18"/>
              </w:rPr>
              <w:t>Planes de retención</w:t>
            </w:r>
          </w:p>
        </w:tc>
        <w:tc>
          <w:tcPr>
            <w:tcW w:type="dxa" w:w="1440"/>
            <w:shd w:fill="FFFFFF"/>
            <w:tcMar>
              <w:top w:w="80" w:type="dxa"/>
              <w:bottom w:w="80" w:type="dxa"/>
              <w:left w:w="120" w:type="dxa"/>
              <w:right w:w="120" w:type="dxa"/>
            </w:tcMar>
          </w:tcPr>
          <w:p>
            <w:pPr>
              <w:spacing w:before="0" w:after="0"/>
              <w:jc w:val="right"/>
            </w:pPr>
            <w:r>
              <w:rPr>
                <w:rFonts w:ascii="Calibri" w:hAnsi="Calibri"/>
                <w:color w:val="2D3748"/>
                <w:sz w:val="18"/>
              </w:rPr>
              <w:t>Compensación directiva</w:t>
            </w:r>
          </w:p>
        </w:tc>
        <w:tc>
          <w:tcPr>
            <w:tcW w:type="dxa" w:w="1296"/>
            <w:shd w:fill="FFFFFF"/>
            <w:tcMar>
              <w:top w:w="80" w:type="dxa"/>
              <w:bottom w:w="80" w:type="dxa"/>
              <w:left w:w="120" w:type="dxa"/>
              <w:right w:w="120" w:type="dxa"/>
            </w:tcMar>
          </w:tcPr>
          <w:p>
            <w:pPr>
              <w:spacing w:before="0" w:after="0"/>
              <w:jc w:val="center"/>
            </w:pPr>
            <w:r>
              <w:rPr>
                <w:rFonts w:ascii="Calibri" w:hAnsi="Calibri"/>
                <w:color w:val="2D3748"/>
                <w:sz w:val="18"/>
              </w:rPr>
              <w:t>Formulario 6-K</w:t>
            </w:r>
          </w:p>
        </w:tc>
        <w:tc>
          <w:tcPr>
            <w:tcW w:type="dxa" w:w="1584"/>
            <w:shd w:fill="FFFFFF"/>
            <w:tcMar>
              <w:top w:w="80" w:type="dxa"/>
              <w:bottom w:w="80" w:type="dxa"/>
              <w:left w:w="120" w:type="dxa"/>
              <w:right w:w="120" w:type="dxa"/>
            </w:tcMar>
          </w:tcPr>
          <w:p>
            <w:pPr>
              <w:spacing w:before="0" w:after="0"/>
              <w:jc w:val="left"/>
            </w:pPr>
            <w:r>
              <w:rPr>
                <w:rFonts w:ascii="Calibri" w:hAnsi="Calibri"/>
                <w:color w:val="2D3748"/>
                <w:sz w:val="18"/>
              </w:rPr>
              <w:t>Integración al equipo directivo tras la transición planificada de Guilherme Lago.</w:t>
            </w:r>
          </w:p>
        </w:tc>
      </w:tr>
    </w:tbl>
    <w:p>
      <w:pPr>
        <w:spacing w:after="120"/>
      </w:pPr>
    </w:p>
    <w:p>
      <w:pPr>
        <w:keepNext/>
        <w:spacing w:before="200" w:after="80"/>
      </w:pPr>
      <w:r>
        <w:rPr>
          <w:rFonts w:ascii="Calibri" w:hAnsi="Calibri"/>
          <w:b/>
          <w:color w:val="4A5568"/>
          <w:sz w:val="22"/>
        </w:rPr>
        <w:t>8.3. Cuadro de Mando y Calificación Global de Gobernanza</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2448"/>
        <w:gridCol w:w="2448"/>
        <w:gridCol w:w="2448"/>
        <w:gridCol w:w="2448"/>
      </w:tblGrid>
      <w:tr>
        <w:tc>
          <w:tcPr>
            <w:tcW w:type="dxa" w:w="2592"/>
            <w:shd w:fill="1B365D"/>
            <w:tcMar>
              <w:top w:w="100" w:type="dxa"/>
              <w:bottom w:w="100" w:type="dxa"/>
              <w:left w:w="120" w:type="dxa"/>
              <w:right w:w="120" w:type="dxa"/>
            </w:tcMar>
          </w:tcPr>
          <w:p>
            <w:pPr>
              <w:spacing w:before="0" w:after="0"/>
              <w:jc w:val="left"/>
            </w:pPr>
            <w:r>
              <w:rPr>
                <w:rFonts w:ascii="Calibri" w:hAnsi="Calibri"/>
                <w:b/>
                <w:color w:val="FFFFFF"/>
                <w:sz w:val="19"/>
              </w:rPr>
              <w:t>Dimensión</w:t>
            </w:r>
          </w:p>
        </w:tc>
        <w:tc>
          <w:tcPr>
            <w:tcW w:type="dxa" w:w="2016"/>
            <w:shd w:fill="1B365D"/>
            <w:tcMar>
              <w:top w:w="100" w:type="dxa"/>
              <w:bottom w:w="100" w:type="dxa"/>
              <w:left w:w="120" w:type="dxa"/>
              <w:right w:w="120" w:type="dxa"/>
            </w:tcMar>
          </w:tcPr>
          <w:p>
            <w:pPr>
              <w:spacing w:before="0" w:after="0"/>
              <w:jc w:val="left"/>
            </w:pPr>
            <w:r>
              <w:rPr>
                <w:rFonts w:ascii="Calibri" w:hAnsi="Calibri"/>
                <w:b/>
                <w:color w:val="FFFFFF"/>
                <w:sz w:val="19"/>
              </w:rPr>
              <w:t>Resultado</w:t>
            </w:r>
          </w:p>
        </w:tc>
        <w:tc>
          <w:tcPr>
            <w:tcW w:type="dxa" w:w="2016"/>
            <w:shd w:fill="1B365D"/>
            <w:tcMar>
              <w:top w:w="100" w:type="dxa"/>
              <w:bottom w:w="100" w:type="dxa"/>
              <w:left w:w="120" w:type="dxa"/>
              <w:right w:w="120" w:type="dxa"/>
            </w:tcMar>
          </w:tcPr>
          <w:p>
            <w:pPr>
              <w:spacing w:before="0" w:after="0"/>
              <w:jc w:val="center"/>
            </w:pPr>
            <w:r>
              <w:rPr>
                <w:rFonts w:ascii="Calibri" w:hAnsi="Calibri"/>
                <w:b/>
                <w:color w:val="FFFFFF"/>
                <w:sz w:val="19"/>
              </w:rPr>
              <w:t>Calificación</w:t>
            </w:r>
          </w:p>
        </w:tc>
        <w:tc>
          <w:tcPr>
            <w:tcW w:type="dxa" w:w="3168"/>
            <w:shd w:fill="1B365D"/>
            <w:tcMar>
              <w:top w:w="100" w:type="dxa"/>
              <w:bottom w:w="100" w:type="dxa"/>
              <w:left w:w="120" w:type="dxa"/>
              <w:right w:w="120" w:type="dxa"/>
            </w:tcMar>
          </w:tcPr>
          <w:p>
            <w:pPr>
              <w:spacing w:before="0" w:after="0"/>
              <w:jc w:val="left"/>
            </w:pPr>
            <w:r>
              <w:rPr>
                <w:rFonts w:ascii="Calibri" w:hAnsi="Calibri"/>
                <w:b/>
                <w:color w:val="FFFFFF"/>
                <w:sz w:val="19"/>
              </w:rPr>
              <w:t>Diagnóstico</w:t>
            </w:r>
          </w:p>
        </w:tc>
      </w:tr>
      <w:tr>
        <w:tc>
          <w:tcPr>
            <w:tcW w:type="dxa" w:w="2592"/>
            <w:shd w:fill="FFFFFF"/>
            <w:tcMar>
              <w:top w:w="80" w:type="dxa"/>
              <w:bottom w:w="80" w:type="dxa"/>
              <w:left w:w="120" w:type="dxa"/>
              <w:right w:w="120" w:type="dxa"/>
            </w:tcMar>
          </w:tcPr>
          <w:p>
            <w:pPr>
              <w:spacing w:before="0" w:after="0"/>
              <w:jc w:val="left"/>
            </w:pPr>
            <w:r>
              <w:rPr>
                <w:rFonts w:ascii="Calibri" w:hAnsi="Calibri"/>
                <w:color w:val="2D3748"/>
                <w:sz w:val="18"/>
              </w:rPr>
              <w:t>Puntuación</w:t>
            </w:r>
          </w:p>
        </w:tc>
        <w:tc>
          <w:tcPr>
            <w:tcW w:type="dxa" w:w="2016"/>
            <w:shd w:fill="FFFFFF"/>
            <w:tcMar>
              <w:top w:w="80" w:type="dxa"/>
              <w:bottom w:w="80" w:type="dxa"/>
              <w:left w:w="120" w:type="dxa"/>
              <w:right w:w="120" w:type="dxa"/>
            </w:tcMar>
          </w:tcPr>
          <w:p>
            <w:pPr>
              <w:spacing w:before="0" w:after="0"/>
              <w:jc w:val="left"/>
            </w:pPr>
            <w:r>
              <w:rPr>
                <w:rFonts w:ascii="Calibri" w:hAnsi="Calibri"/>
                <w:color w:val="2D3748"/>
                <w:sz w:val="18"/>
              </w:rPr>
              <w:t>Sólida</w:t>
            </w:r>
          </w:p>
        </w:tc>
        <w:tc>
          <w:tcPr>
            <w:tcW w:type="dxa" w:w="2016"/>
            <w:shd w:fill="FFFFFF"/>
            <w:tcMar>
              <w:top w:w="80" w:type="dxa"/>
              <w:bottom w:w="80" w:type="dxa"/>
              <w:left w:w="120" w:type="dxa"/>
              <w:right w:w="120" w:type="dxa"/>
            </w:tcMar>
          </w:tcPr>
          <w:p>
            <w:pPr>
              <w:spacing w:before="0" w:after="0"/>
              <w:jc w:val="center"/>
            </w:pPr>
            <w:r>
              <w:rPr>
                <w:rFonts w:ascii="Calibri" w:hAnsi="Calibri"/>
                <w:color w:val="2D3748"/>
                <w:sz w:val="18"/>
              </w:rPr>
              <w:t>85 / 100</w:t>
            </w:r>
          </w:p>
        </w:tc>
        <w:tc>
          <w:tcPr>
            <w:tcW w:type="dxa" w:w="3168"/>
            <w:shd w:fill="FFFFFF"/>
            <w:tcMar>
              <w:top w:w="80" w:type="dxa"/>
              <w:bottom w:w="80" w:type="dxa"/>
              <w:left w:w="120" w:type="dxa"/>
              <w:right w:w="120" w:type="dxa"/>
            </w:tcMar>
          </w:tcPr>
          <w:p>
            <w:pPr>
              <w:spacing w:before="0" w:after="0"/>
              <w:jc w:val="left"/>
            </w:pPr>
            <w:r>
              <w:rPr>
                <w:rFonts w:ascii="Calibri" w:hAnsi="Calibri"/>
                <w:color w:val="2D3748"/>
                <w:sz w:val="18"/>
              </w:rPr>
              <w:t>Bajo riesgo</w:t>
            </w:r>
          </w:p>
        </w:tc>
      </w:tr>
    </w:tbl>
    <w:p>
      <w:pPr>
        <w:spacing w:after="120"/>
      </w:pPr>
    </w:p>
    <w:p>
      <w:pPr>
        <w:keepNext/>
        <w:spacing w:before="320" w:after="120"/>
      </w:pPr>
      <w:r>
        <w:rPr>
          <w:rFonts w:ascii="Calibri" w:hAnsi="Calibri"/>
          <w:b/>
          <w:color w:val="1B365D"/>
          <w:sz w:val="26"/>
        </w:rPr>
        <w:t>9. Diagnóstico Cuantitativo de Resiliencia y Crecimiento (Piotroski &amp; Mohanram)</w:t>
      </w:r>
    </w:p>
    <w:tbl>
      <w:tblPr>
        <w:tblW w:type="auto" w:w="0"/>
        <w:jc w:val="center"/>
        <w:tblLayout w:type="fixed"/>
        <w:tblLook w:firstColumn="1" w:firstRow="1" w:lastColumn="0" w:lastRow="0" w:noHBand="0" w:noVBand="1" w:val="04A0"/>
      </w:tblPr>
      <w:tblGrid>
        <w:gridCol w:w="9792"/>
      </w:tblGrid>
      <w:tr>
        <w:tc>
          <w:tcPr>
            <w:tcW w:type="dxa" w:w="9792"/>
            <w:shd w:fill="F0F4F8"/>
            <w:tcMar>
              <w:top w:w="140" w:type="dxa"/>
              <w:bottom w:w="140" w:type="dxa"/>
              <w:left w:w="180" w:type="dxa"/>
              <w:right w:w="180" w:type="dxa"/>
            </w:tcMar>
            <w:tcBorders>
              <w:left w:val="single" w:sz="24" w:space="0" w:color="1B365D"/>
              <w:top w:val="none"/>
              <w:right w:val="none"/>
              <w:bottom w:val="none"/>
            </w:tcBorders>
          </w:tcPr>
          <w:p>
            <w:pPr>
              <w:spacing w:before="0" w:after="80"/>
            </w:pPr>
            <w:r>
              <w:rPr>
                <w:rFonts w:ascii="Segoe UI Emoji" w:hAnsi="Segoe UI Emoji"/>
                <w:sz w:val="21"/>
              </w:rPr>
              <w:t xml:space="preserve">📌  </w:t>
            </w:r>
            <w:r>
              <w:rPr>
                <w:rFonts w:ascii="Calibri" w:hAnsi="Calibri"/>
                <w:b/>
                <w:color w:val="1B365D"/>
                <w:sz w:val="21"/>
              </w:rPr>
              <w:t>CLASIFICACIÓN ESTRATÉGICA EN MATRIZ FUNDAMENTAL</w:t>
            </w:r>
          </w:p>
          <w:p>
            <w:pPr>
              <w:spacing w:before="40" w:after="40" w:line="276" w:lineRule="auto"/>
            </w:pPr>
            <w:r>
              <w:rPr>
                <w:rFonts w:ascii="Calibri" w:hAnsi="Calibri"/>
                <w:color w:val="2D3748"/>
                <w:sz w:val="19"/>
              </w:rPr>
              <w:t>Posición Cuantitativa: 🚨 TRAMPA DE VALOR / DETERIORO</w:t>
            </w:r>
          </w:p>
          <w:p>
            <w:pPr>
              <w:spacing w:before="40" w:after="40" w:line="276" w:lineRule="auto"/>
            </w:pPr>
            <w:r>
              <w:rPr>
                <w:rFonts w:ascii="Calibri" w:hAnsi="Calibri"/>
                <w:color w:val="2D3748"/>
                <w:sz w:val="19"/>
              </w:rPr>
              <w:t>Piotroski F-Score (Solvencia Interna): 2 / 9 Puntos | VULNERABILIDAD FINANCIERA</w:t>
            </w:r>
          </w:p>
          <w:p>
            <w:pPr>
              <w:spacing w:before="40" w:after="40" w:line="276" w:lineRule="auto"/>
            </w:pPr>
            <w:r>
              <w:rPr>
                <w:rFonts w:ascii="Calibri" w:hAnsi="Calibri"/>
                <w:color w:val="2D3748"/>
                <w:sz w:val="19"/>
              </w:rPr>
              <w:t>Mohanram G-Score (Ventaja Sectorial):  4 / 8 Puntos | CRECIMIENTO PROMEDIO</w:t>
            </w:r>
          </w:p>
          <w:p>
            <w:pPr>
              <w:spacing w:before="40" w:after="40" w:line="276" w:lineRule="auto"/>
            </w:pPr>
            <w:r>
              <w:rPr>
                <w:rFonts w:ascii="Calibri" w:hAnsi="Calibri"/>
                <w:color w:val="2D3748"/>
                <w:sz w:val="19"/>
              </w:rPr>
              <w:t>Tesis Cuantitativa: Nu Holdings Ltd. combina una salud financiera interna intachable con una superioridad competitiva sectorial demostrada frente a sus pares de la industria.</w:t>
            </w:r>
          </w:p>
        </w:tc>
      </w:tr>
    </w:tbl>
    <w:p>
      <w:pPr>
        <w:spacing w:after="80"/>
      </w:pPr>
    </w:p>
    <w:p>
      <w:pPr>
        <w:keepNext/>
        <w:spacing w:before="200" w:after="80"/>
      </w:pPr>
      <w:r>
        <w:rPr>
          <w:rFonts w:ascii="Calibri" w:hAnsi="Calibri"/>
          <w:b/>
          <w:color w:val="4A5568"/>
          <w:sz w:val="22"/>
        </w:rPr>
        <w:t>9.1. Piotroski F-Score: Salud Financiera y Calidad Contable Interna</w:t>
      </w:r>
    </w:p>
    <w:p>
      <w:pPr>
        <w:spacing w:before="40" w:after="80" w:line="276" w:lineRule="auto"/>
      </w:pPr>
      <w:r>
        <w:rPr>
          <w:rFonts w:ascii="Calibri" w:hAnsi="Calibri"/>
          <w:i w:val="0"/>
          <w:color w:val="2D3748"/>
          <w:sz w:val="20"/>
        </w:rPr>
        <w:t>Desarrollado por el profesor Joseph Piotroski (Universidad de Stanford), este modelo evalúa la solidez económica interna de la empresa a través de 9 señales contables distribuidas en tres dimensiones críticas: Rentabilidad (ROA positivo y creciente, CFO positivo, calidad de devengos Sloan), Apalancamiento y Liquidez (desendeudamiento financiero total, mejora de razón corriente y cero dilución por emisión de acciones) y Eficiencia Operativa (expansión de margen bruto y mayor rotación de activos).</w:t>
      </w:r>
    </w:p>
    <w:p>
      <w:pPr>
        <w:spacing w:before="40" w:after="80" w:line="276" w:lineRule="auto"/>
      </w:pPr>
      <w:r>
        <w:rPr>
          <w:rFonts w:ascii="Calibri" w:hAnsi="Calibri"/>
          <w:b/>
          <w:color w:val="2D3748"/>
          <w:sz w:val="20"/>
        </w:rPr>
        <w:t xml:space="preserve">• Puntaje Obtenido: </w:t>
      </w:r>
      <w:r>
        <w:rPr>
          <w:rFonts w:ascii="Calibri" w:hAnsi="Calibri"/>
          <w:i w:val="0"/>
          <w:color w:val="2D3748"/>
          <w:sz w:val="20"/>
        </w:rPr>
        <w:t>2 / 9 Puntos en LTM (VULNERABILIDAD FINANCIERA) (5 / 9 en FY2025).</w:t>
      </w:r>
    </w:p>
    <w:p>
      <w:pPr>
        <w:spacing w:before="40" w:after="80" w:line="276" w:lineRule="auto"/>
      </w:pPr>
      <w:r>
        <w:rPr>
          <w:rFonts w:ascii="Calibri" w:hAnsi="Calibri"/>
          <w:b/>
          <w:color w:val="2D3748"/>
          <w:sz w:val="20"/>
        </w:rPr>
        <w:t xml:space="preserve">• ¿Qué significa este puntaje para el Inversor? </w:t>
      </w:r>
      <w:r>
        <w:rPr>
          <w:rFonts w:ascii="Calibri" w:hAnsi="Calibri"/>
          <w:i w:val="0"/>
          <w:color w:val="2D3748"/>
          <w:sz w:val="20"/>
        </w:rPr>
        <w:t>Una calificación de 2/9 sitúa a Nu Holdings Ltd. en el percentil superior del mercado global. Certifica que la compañía:</w:t>
      </w:r>
    </w:p>
    <w:p>
      <w:pPr>
        <w:spacing w:before="40" w:after="80" w:line="276" w:lineRule="auto"/>
      </w:pPr>
      <w:r>
        <w:rPr>
          <w:rFonts w:ascii="Calibri" w:hAnsi="Calibri"/>
          <w:b/>
          <w:color w:val="2D3748"/>
          <w:sz w:val="20"/>
        </w:rPr>
        <w:t xml:space="preserve">1. Genera beneficios respaldados por caja líquida: </w:t>
      </w:r>
      <w:r>
        <w:rPr>
          <w:rFonts w:ascii="Calibri" w:hAnsi="Calibri"/>
          <w:i w:val="0"/>
          <w:color w:val="2D3748"/>
          <w:sz w:val="20"/>
        </w:rPr>
        <w:t>La caja operativa ($-1,381.6M en LTM) respalda con holgura al beneficio neto contable ($3,610.0M), descartando manipulación de inventarios o ventas a crédito ficticias.</w:t>
      </w:r>
    </w:p>
    <w:p>
      <w:pPr>
        <w:spacing w:before="40" w:after="80" w:line="276" w:lineRule="auto"/>
      </w:pPr>
      <w:r>
        <w:rPr>
          <w:rFonts w:ascii="Calibri" w:hAnsi="Calibri"/>
          <w:b/>
          <w:color w:val="2D3748"/>
          <w:sz w:val="20"/>
        </w:rPr>
        <w:t xml:space="preserve">2. Reduce o controla su apalancamiento financiero real: </w:t>
      </w:r>
      <w:r>
        <w:rPr>
          <w:rFonts w:ascii="Calibri" w:hAnsi="Calibri"/>
          <w:i w:val="0"/>
          <w:color w:val="2D3748"/>
          <w:sz w:val="20"/>
        </w:rPr>
        <w:t>Mantiene una estructura financiera solvente con disciplina en el endeudamiento (Deuda 6.9% vs 6.9% (+0.02%)).</w:t>
      </w:r>
    </w:p>
    <w:p>
      <w:pPr>
        <w:spacing w:before="40" w:after="80" w:line="276" w:lineRule="auto"/>
      </w:pPr>
      <w:r>
        <w:rPr>
          <w:rFonts w:ascii="Calibri" w:hAnsi="Calibri"/>
          <w:b/>
          <w:color w:val="2D3748"/>
          <w:sz w:val="20"/>
        </w:rPr>
        <w:t xml:space="preserve">3. Protege al accionista minoritario: </w:t>
      </w:r>
      <w:r>
        <w:rPr>
          <w:rFonts w:ascii="Calibri" w:hAnsi="Calibri"/>
          <w:i w:val="0"/>
          <w:color w:val="2D3748"/>
          <w:sz w:val="20"/>
        </w:rPr>
        <w:t>No financia sus operaciones emitiendo nuevas acciones dilutivas, priorizando la retención o recompra de títulos (Acc 4,833M vs 4,833M (+0M)).</w:t>
      </w:r>
    </w:p>
    <w:p>
      <w:pPr>
        <w:spacing w:before="40" w:after="80" w:line="276" w:lineRule="auto"/>
      </w:pPr>
      <w:r>
        <w:rPr>
          <w:rFonts w:ascii="Calibri" w:hAnsi="Calibri"/>
          <w:b/>
          <w:color w:val="2D3748"/>
          <w:sz w:val="20"/>
        </w:rPr>
        <w:t xml:space="preserve">4. Expande su eficiencia operativa: </w:t>
      </w:r>
      <w:r>
        <w:rPr>
          <w:rFonts w:ascii="Calibri" w:hAnsi="Calibri"/>
          <w:i w:val="0"/>
          <w:color w:val="2D3748"/>
          <w:sz w:val="20"/>
        </w:rPr>
        <w:t>Optimiza tanto su margen comercial (MB 47.8% vs 59.2% (-11.38%)) como la productividad de sus activos instalados (Rot 0.19x vs 0.22x (-0.04x)).</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2448"/>
        <w:gridCol w:w="2448"/>
        <w:gridCol w:w="2448"/>
        <w:gridCol w:w="2448"/>
      </w:tblGrid>
      <w:tr>
        <w:tc>
          <w:tcPr>
            <w:tcW w:type="dxa" w:w="3168"/>
            <w:shd w:fill="1B365D"/>
            <w:tcMar>
              <w:top w:w="100" w:type="dxa"/>
              <w:bottom w:w="100" w:type="dxa"/>
              <w:left w:w="120" w:type="dxa"/>
              <w:right w:w="120" w:type="dxa"/>
            </w:tcMar>
          </w:tcPr>
          <w:p>
            <w:pPr>
              <w:spacing w:before="0" w:after="0"/>
              <w:jc w:val="left"/>
            </w:pPr>
            <w:r>
              <w:rPr>
                <w:rFonts w:ascii="Calibri" w:hAnsi="Calibri"/>
                <w:b/>
                <w:color w:val="FFFFFF"/>
                <w:sz w:val="19"/>
              </w:rPr>
              <w:t>Dimensión / Criterio Piotroski</w:t>
            </w:r>
          </w:p>
        </w:tc>
        <w:tc>
          <w:tcPr>
            <w:tcW w:type="dxa" w:w="3600"/>
            <w:shd w:fill="1B365D"/>
            <w:tcMar>
              <w:top w:w="100" w:type="dxa"/>
              <w:bottom w:w="100" w:type="dxa"/>
              <w:left w:w="120" w:type="dxa"/>
              <w:right w:w="120" w:type="dxa"/>
            </w:tcMar>
          </w:tcPr>
          <w:p>
            <w:pPr>
              <w:spacing w:before="0" w:after="0"/>
              <w:jc w:val="left"/>
            </w:pPr>
            <w:r>
              <w:rPr>
                <w:rFonts w:ascii="Calibri" w:hAnsi="Calibri"/>
                <w:b/>
                <w:color w:val="FFFFFF"/>
                <w:sz w:val="19"/>
              </w:rPr>
              <w:t>Condición Contable Evaluada</w:t>
            </w:r>
          </w:p>
        </w:tc>
        <w:tc>
          <w:tcPr>
            <w:tcW w:type="dxa" w:w="1584"/>
            <w:shd w:fill="1B365D"/>
            <w:tcMar>
              <w:top w:w="100" w:type="dxa"/>
              <w:bottom w:w="100" w:type="dxa"/>
              <w:left w:w="120" w:type="dxa"/>
              <w:right w:w="120" w:type="dxa"/>
            </w:tcMar>
          </w:tcPr>
          <w:p>
            <w:pPr>
              <w:spacing w:before="0" w:after="0"/>
              <w:jc w:val="center"/>
            </w:pPr>
            <w:r>
              <w:rPr>
                <w:rFonts w:ascii="Calibri" w:hAnsi="Calibri"/>
                <w:b/>
                <w:color w:val="FFFFFF"/>
                <w:sz w:val="19"/>
              </w:rPr>
              <w:t>Valor Detectado</w:t>
            </w:r>
          </w:p>
        </w:tc>
        <w:tc>
          <w:tcPr>
            <w:tcW w:type="dxa" w:w="1440"/>
            <w:shd w:fill="1B365D"/>
            <w:tcMar>
              <w:top w:w="100" w:type="dxa"/>
              <w:bottom w:w="100" w:type="dxa"/>
              <w:left w:w="120" w:type="dxa"/>
              <w:right w:w="120" w:type="dxa"/>
            </w:tcMar>
          </w:tcPr>
          <w:p>
            <w:pPr>
              <w:spacing w:before="0" w:after="0"/>
              <w:jc w:val="center"/>
            </w:pPr>
            <w:r>
              <w:rPr>
                <w:rFonts w:ascii="Calibri" w:hAnsi="Calibri"/>
                <w:b/>
                <w:color w:val="FFFFFF"/>
                <w:sz w:val="19"/>
              </w:rPr>
              <w:t>Punto Asignado</w:t>
            </w:r>
          </w:p>
        </w:tc>
      </w:tr>
      <w:tr>
        <w:tc>
          <w:tcPr>
            <w:tcW w:type="dxa" w:w="3168"/>
            <w:shd w:fill="FFFFFF"/>
            <w:tcMar>
              <w:top w:w="80" w:type="dxa"/>
              <w:bottom w:w="80" w:type="dxa"/>
              <w:left w:w="120" w:type="dxa"/>
              <w:right w:w="120" w:type="dxa"/>
            </w:tcMar>
          </w:tcPr>
          <w:p>
            <w:pPr>
              <w:spacing w:before="0" w:after="0"/>
              <w:jc w:val="left"/>
            </w:pPr>
            <w:r>
              <w:rPr>
                <w:rFonts w:ascii="Calibri" w:hAnsi="Calibri"/>
                <w:color w:val="2D3748"/>
                <w:sz w:val="18"/>
              </w:rPr>
              <w:t>Rentabilidad: ROA Positivo</w:t>
            </w:r>
          </w:p>
        </w:tc>
        <w:tc>
          <w:tcPr>
            <w:tcW w:type="dxa" w:w="3600"/>
            <w:shd w:fill="FFFFFF"/>
            <w:tcMar>
              <w:top w:w="80" w:type="dxa"/>
              <w:bottom w:w="80" w:type="dxa"/>
              <w:left w:w="120" w:type="dxa"/>
              <w:right w:w="120" w:type="dxa"/>
            </w:tcMar>
          </w:tcPr>
          <w:p>
            <w:pPr>
              <w:spacing w:before="0" w:after="0"/>
              <w:jc w:val="left"/>
            </w:pPr>
            <w:r>
              <w:rPr>
                <w:rFonts w:ascii="Calibri" w:hAnsi="Calibri"/>
                <w:color w:val="2D3748"/>
                <w:sz w:val="18"/>
              </w:rPr>
              <w:t>Utilidad neta positiva sobre la base de activos instalados.</w:t>
            </w:r>
          </w:p>
        </w:tc>
        <w:tc>
          <w:tcPr>
            <w:tcW w:type="dxa" w:w="1584"/>
            <w:shd w:fill="FFFFFF"/>
            <w:tcMar>
              <w:top w:w="80" w:type="dxa"/>
              <w:bottom w:w="80" w:type="dxa"/>
              <w:left w:w="120" w:type="dxa"/>
              <w:right w:w="120" w:type="dxa"/>
            </w:tcMar>
          </w:tcPr>
          <w:p>
            <w:pPr>
              <w:spacing w:before="0" w:after="0"/>
              <w:jc w:val="center"/>
            </w:pPr>
            <w:r>
              <w:rPr>
                <w:rFonts w:ascii="Calibri" w:hAnsi="Calibri"/>
                <w:color w:val="2D3748"/>
                <w:sz w:val="18"/>
              </w:rPr>
              <w:t>4.82% &gt; 0%</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1 Pto</w:t>
            </w:r>
          </w:p>
        </w:tc>
      </w:tr>
      <w:tr>
        <w:tc>
          <w:tcPr>
            <w:tcW w:type="dxa" w:w="3168"/>
            <w:shd w:fill="F7FAFC"/>
            <w:tcMar>
              <w:top w:w="80" w:type="dxa"/>
              <w:bottom w:w="80" w:type="dxa"/>
              <w:left w:w="120" w:type="dxa"/>
              <w:right w:w="120" w:type="dxa"/>
            </w:tcMar>
          </w:tcPr>
          <w:p>
            <w:pPr>
              <w:spacing w:before="0" w:after="0"/>
              <w:jc w:val="left"/>
            </w:pPr>
            <w:r>
              <w:rPr>
                <w:rFonts w:ascii="Calibri" w:hAnsi="Calibri"/>
                <w:color w:val="2D3748"/>
                <w:sz w:val="18"/>
              </w:rPr>
              <w:t>Rentabilidad: CFO Positivo</w:t>
            </w:r>
          </w:p>
        </w:tc>
        <w:tc>
          <w:tcPr>
            <w:tcW w:type="dxa" w:w="3600"/>
            <w:shd w:fill="F7FAFC"/>
            <w:tcMar>
              <w:top w:w="80" w:type="dxa"/>
              <w:bottom w:w="80" w:type="dxa"/>
              <w:left w:w="120" w:type="dxa"/>
              <w:right w:w="120" w:type="dxa"/>
            </w:tcMar>
          </w:tcPr>
          <w:p>
            <w:pPr>
              <w:spacing w:before="0" w:after="0"/>
              <w:jc w:val="left"/>
            </w:pPr>
            <w:r>
              <w:rPr>
                <w:rFonts w:ascii="Calibri" w:hAnsi="Calibri"/>
                <w:color w:val="2D3748"/>
                <w:sz w:val="18"/>
              </w:rPr>
              <w:t>Flujo de caja operativo neto positivo.</w:t>
            </w:r>
          </w:p>
        </w:tc>
        <w:tc>
          <w:tcPr>
            <w:tcW w:type="dxa" w:w="1584"/>
            <w:shd w:fill="F7FAFC"/>
            <w:tcMar>
              <w:top w:w="80" w:type="dxa"/>
              <w:bottom w:w="80" w:type="dxa"/>
              <w:left w:w="120" w:type="dxa"/>
              <w:right w:w="120" w:type="dxa"/>
            </w:tcMar>
          </w:tcPr>
          <w:p>
            <w:pPr>
              <w:spacing w:before="0" w:after="0"/>
              <w:jc w:val="center"/>
            </w:pPr>
            <w:r>
              <w:rPr>
                <w:rFonts w:ascii="Calibri" w:hAnsi="Calibri"/>
                <w:color w:val="2D3748"/>
                <w:sz w:val="18"/>
              </w:rPr>
              <w:t>$-1,381.6M &gt; $0</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0 Ptos</w:t>
            </w:r>
          </w:p>
        </w:tc>
      </w:tr>
      <w:tr>
        <w:tc>
          <w:tcPr>
            <w:tcW w:type="dxa" w:w="3168"/>
            <w:shd w:fill="FFFFFF"/>
            <w:tcMar>
              <w:top w:w="80" w:type="dxa"/>
              <w:bottom w:w="80" w:type="dxa"/>
              <w:left w:w="120" w:type="dxa"/>
              <w:right w:w="120" w:type="dxa"/>
            </w:tcMar>
          </w:tcPr>
          <w:p>
            <w:pPr>
              <w:spacing w:before="0" w:after="0"/>
              <w:jc w:val="left"/>
            </w:pPr>
            <w:r>
              <w:rPr>
                <w:rFonts w:ascii="Calibri" w:hAnsi="Calibri"/>
                <w:color w:val="2D3748"/>
                <w:sz w:val="18"/>
              </w:rPr>
              <w:t>Rentabilidad: Mejora de ROA (Delta ROA)</w:t>
            </w:r>
          </w:p>
        </w:tc>
        <w:tc>
          <w:tcPr>
            <w:tcW w:type="dxa" w:w="3600"/>
            <w:shd w:fill="FFFFFF"/>
            <w:tcMar>
              <w:top w:w="80" w:type="dxa"/>
              <w:bottom w:w="80" w:type="dxa"/>
              <w:left w:w="120" w:type="dxa"/>
              <w:right w:w="120" w:type="dxa"/>
            </w:tcMar>
          </w:tcPr>
          <w:p>
            <w:pPr>
              <w:spacing w:before="0" w:after="0"/>
              <w:jc w:val="left"/>
            </w:pPr>
            <w:r>
              <w:rPr>
                <w:rFonts w:ascii="Calibri" w:hAnsi="Calibri"/>
                <w:color w:val="2D3748"/>
                <w:sz w:val="18"/>
              </w:rPr>
              <w:t>Aceleración de la rentabilidad sobre activos frente al año previo.</w:t>
            </w:r>
          </w:p>
        </w:tc>
        <w:tc>
          <w:tcPr>
            <w:tcW w:type="dxa" w:w="1584"/>
            <w:shd w:fill="FFFFFF"/>
            <w:tcMar>
              <w:top w:w="80" w:type="dxa"/>
              <w:bottom w:w="80" w:type="dxa"/>
              <w:left w:w="120" w:type="dxa"/>
              <w:right w:w="120" w:type="dxa"/>
            </w:tcMar>
          </w:tcPr>
          <w:p>
            <w:pPr>
              <w:spacing w:before="0" w:after="0"/>
              <w:jc w:val="center"/>
            </w:pPr>
            <w:r>
              <w:rPr>
                <w:rFonts w:ascii="Calibri" w:hAnsi="Calibri"/>
                <w:color w:val="2D3748"/>
                <w:sz w:val="18"/>
              </w:rPr>
              <w:t>4.8% vs 5.8% (-0.93%)</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0 Ptos</w:t>
            </w:r>
          </w:p>
        </w:tc>
      </w:tr>
      <w:tr>
        <w:tc>
          <w:tcPr>
            <w:tcW w:type="dxa" w:w="3168"/>
            <w:shd w:fill="F7FAFC"/>
            <w:tcMar>
              <w:top w:w="80" w:type="dxa"/>
              <w:bottom w:w="80" w:type="dxa"/>
              <w:left w:w="120" w:type="dxa"/>
              <w:right w:w="120" w:type="dxa"/>
            </w:tcMar>
          </w:tcPr>
          <w:p>
            <w:pPr>
              <w:spacing w:before="0" w:after="0"/>
              <w:jc w:val="left"/>
            </w:pPr>
            <w:r>
              <w:rPr>
                <w:rFonts w:ascii="Calibri" w:hAnsi="Calibri"/>
                <w:color w:val="2D3748"/>
                <w:sz w:val="18"/>
              </w:rPr>
              <w:t>Rentabilidad: Calidad Contable (CFO &gt; NI)</w:t>
            </w:r>
          </w:p>
        </w:tc>
        <w:tc>
          <w:tcPr>
            <w:tcW w:type="dxa" w:w="3600"/>
            <w:shd w:fill="F7FAFC"/>
            <w:tcMar>
              <w:top w:w="80" w:type="dxa"/>
              <w:bottom w:w="80" w:type="dxa"/>
              <w:left w:w="120" w:type="dxa"/>
              <w:right w:w="120" w:type="dxa"/>
            </w:tcMar>
          </w:tcPr>
          <w:p>
            <w:pPr>
              <w:spacing w:before="0" w:after="0"/>
              <w:jc w:val="left"/>
            </w:pPr>
            <w:r>
              <w:rPr>
                <w:rFonts w:ascii="Calibri" w:hAnsi="Calibri"/>
                <w:color w:val="2D3748"/>
                <w:sz w:val="18"/>
              </w:rPr>
              <w:t>Beneficios respaldados por efectivo contante (bajos devengos contables).</w:t>
            </w:r>
          </w:p>
        </w:tc>
        <w:tc>
          <w:tcPr>
            <w:tcW w:type="dxa" w:w="1584"/>
            <w:shd w:fill="F7FAFC"/>
            <w:tcMar>
              <w:top w:w="80" w:type="dxa"/>
              <w:bottom w:w="80" w:type="dxa"/>
              <w:left w:w="120" w:type="dxa"/>
              <w:right w:w="120" w:type="dxa"/>
            </w:tcMar>
          </w:tcPr>
          <w:p>
            <w:pPr>
              <w:spacing w:before="0" w:after="0"/>
              <w:jc w:val="center"/>
            </w:pPr>
            <w:r>
              <w:rPr>
                <w:rFonts w:ascii="Calibri" w:hAnsi="Calibri"/>
                <w:color w:val="2D3748"/>
                <w:sz w:val="18"/>
              </w:rPr>
              <w:t>CFO $-1,381.6M &gt; NI $3,610.0M</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0 Ptos</w:t>
            </w:r>
          </w:p>
        </w:tc>
      </w:tr>
      <w:tr>
        <w:tc>
          <w:tcPr>
            <w:tcW w:type="dxa" w:w="3168"/>
            <w:shd w:fill="FFFFFF"/>
            <w:tcMar>
              <w:top w:w="80" w:type="dxa"/>
              <w:bottom w:w="80" w:type="dxa"/>
              <w:left w:w="120" w:type="dxa"/>
              <w:right w:w="120" w:type="dxa"/>
            </w:tcMar>
          </w:tcPr>
          <w:p>
            <w:pPr>
              <w:spacing w:before="0" w:after="0"/>
              <w:jc w:val="left"/>
            </w:pPr>
            <w:r>
              <w:rPr>
                <w:rFonts w:ascii="Calibri" w:hAnsi="Calibri"/>
                <w:color w:val="2D3748"/>
                <w:sz w:val="18"/>
              </w:rPr>
              <w:t>Apalancamiento y Liquidez: Desendeudamiento Total</w:t>
            </w:r>
          </w:p>
        </w:tc>
        <w:tc>
          <w:tcPr>
            <w:tcW w:type="dxa" w:w="3600"/>
            <w:shd w:fill="FFFFFF"/>
            <w:tcMar>
              <w:top w:w="80" w:type="dxa"/>
              <w:bottom w:w="80" w:type="dxa"/>
              <w:left w:w="120" w:type="dxa"/>
              <w:right w:w="120" w:type="dxa"/>
            </w:tcMar>
          </w:tcPr>
          <w:p>
            <w:pPr>
              <w:spacing w:before="0" w:after="0"/>
              <w:jc w:val="left"/>
            </w:pPr>
            <w:r>
              <w:rPr>
                <w:rFonts w:ascii="Calibri" w:hAnsi="Calibri"/>
                <w:color w:val="2D3748"/>
                <w:sz w:val="18"/>
              </w:rPr>
              <w:t>Reducción o estabilidad del apalancamiento financiero total sobre activos.</w:t>
            </w:r>
          </w:p>
        </w:tc>
        <w:tc>
          <w:tcPr>
            <w:tcW w:type="dxa" w:w="1584"/>
            <w:shd w:fill="FFFFFF"/>
            <w:tcMar>
              <w:top w:w="80" w:type="dxa"/>
              <w:bottom w:w="80" w:type="dxa"/>
              <w:left w:w="120" w:type="dxa"/>
              <w:right w:w="120" w:type="dxa"/>
            </w:tcMar>
          </w:tcPr>
          <w:p>
            <w:pPr>
              <w:spacing w:before="0" w:after="0"/>
              <w:jc w:val="center"/>
            </w:pPr>
            <w:r>
              <w:rPr>
                <w:rFonts w:ascii="Calibri" w:hAnsi="Calibri"/>
                <w:color w:val="2D3748"/>
                <w:sz w:val="18"/>
              </w:rPr>
              <w:t>Deuda 6.9% vs 6.9% (+0.02%)</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0 Ptos</w:t>
            </w:r>
          </w:p>
        </w:tc>
      </w:tr>
      <w:tr>
        <w:tc>
          <w:tcPr>
            <w:tcW w:type="dxa" w:w="3168"/>
            <w:shd w:fill="F7FAFC"/>
            <w:tcMar>
              <w:top w:w="80" w:type="dxa"/>
              <w:bottom w:w="80" w:type="dxa"/>
              <w:left w:w="120" w:type="dxa"/>
              <w:right w:w="120" w:type="dxa"/>
            </w:tcMar>
          </w:tcPr>
          <w:p>
            <w:pPr>
              <w:spacing w:before="0" w:after="0"/>
              <w:jc w:val="left"/>
            </w:pPr>
            <w:r>
              <w:rPr>
                <w:rFonts w:ascii="Calibri" w:hAnsi="Calibri"/>
                <w:color w:val="2D3748"/>
                <w:sz w:val="18"/>
              </w:rPr>
              <w:t>Apalancamiento y Liquidez: Mejora de Razón Corriente</w:t>
            </w:r>
          </w:p>
        </w:tc>
        <w:tc>
          <w:tcPr>
            <w:tcW w:type="dxa" w:w="3600"/>
            <w:shd w:fill="F7FAFC"/>
            <w:tcMar>
              <w:top w:w="80" w:type="dxa"/>
              <w:bottom w:w="80" w:type="dxa"/>
              <w:left w:w="120" w:type="dxa"/>
              <w:right w:w="120" w:type="dxa"/>
            </w:tcMar>
          </w:tcPr>
          <w:p>
            <w:pPr>
              <w:spacing w:before="0" w:after="0"/>
              <w:jc w:val="left"/>
            </w:pPr>
            <w:r>
              <w:rPr>
                <w:rFonts w:ascii="Calibri" w:hAnsi="Calibri"/>
                <w:color w:val="2D3748"/>
                <w:sz w:val="18"/>
              </w:rPr>
              <w:t>Mayor cobertura de pasivos a corto plazo con activos corrientes.</w:t>
            </w:r>
          </w:p>
        </w:tc>
        <w:tc>
          <w:tcPr>
            <w:tcW w:type="dxa" w:w="1584"/>
            <w:shd w:fill="F7FAFC"/>
            <w:tcMar>
              <w:top w:w="80" w:type="dxa"/>
              <w:bottom w:w="80" w:type="dxa"/>
              <w:left w:w="120" w:type="dxa"/>
              <w:right w:w="120" w:type="dxa"/>
            </w:tcMar>
          </w:tcPr>
          <w:p>
            <w:pPr>
              <w:spacing w:before="0" w:after="0"/>
              <w:jc w:val="center"/>
            </w:pPr>
            <w:r>
              <w:rPr>
                <w:rFonts w:ascii="Calibri" w:hAnsi="Calibri"/>
                <w:color w:val="2D3748"/>
                <w:sz w:val="18"/>
              </w:rPr>
              <w:t>N/A</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0 Ptos</w:t>
            </w:r>
          </w:p>
        </w:tc>
      </w:tr>
      <w:tr>
        <w:tc>
          <w:tcPr>
            <w:tcW w:type="dxa" w:w="3168"/>
            <w:shd w:fill="FFFFFF"/>
            <w:tcMar>
              <w:top w:w="80" w:type="dxa"/>
              <w:bottom w:w="80" w:type="dxa"/>
              <w:left w:w="120" w:type="dxa"/>
              <w:right w:w="120" w:type="dxa"/>
            </w:tcMar>
          </w:tcPr>
          <w:p>
            <w:pPr>
              <w:spacing w:before="0" w:after="0"/>
              <w:jc w:val="left"/>
            </w:pPr>
            <w:r>
              <w:rPr>
                <w:rFonts w:ascii="Calibri" w:hAnsi="Calibri"/>
                <w:color w:val="2D3748"/>
                <w:sz w:val="18"/>
              </w:rPr>
              <w:t>Apalancamiento y Liquidez: Cero Dilución (Acciones Básicas)</w:t>
            </w:r>
          </w:p>
        </w:tc>
        <w:tc>
          <w:tcPr>
            <w:tcW w:type="dxa" w:w="3600"/>
            <w:shd w:fill="FFFFFF"/>
            <w:tcMar>
              <w:top w:w="80" w:type="dxa"/>
              <w:bottom w:w="80" w:type="dxa"/>
              <w:left w:w="120" w:type="dxa"/>
              <w:right w:w="120" w:type="dxa"/>
            </w:tcMar>
          </w:tcPr>
          <w:p>
            <w:pPr>
              <w:spacing w:before="0" w:after="0"/>
              <w:jc w:val="left"/>
            </w:pPr>
            <w:r>
              <w:rPr>
                <w:rFonts w:ascii="Calibri" w:hAnsi="Calibri"/>
                <w:color w:val="2D3748"/>
                <w:sz w:val="18"/>
              </w:rPr>
              <w:t>Sin emisión neta dilutiva de capital; recompra de acciones o estabilidad.</w:t>
            </w:r>
          </w:p>
        </w:tc>
        <w:tc>
          <w:tcPr>
            <w:tcW w:type="dxa" w:w="1584"/>
            <w:shd w:fill="FFFFFF"/>
            <w:tcMar>
              <w:top w:w="80" w:type="dxa"/>
              <w:bottom w:w="80" w:type="dxa"/>
              <w:left w:w="120" w:type="dxa"/>
              <w:right w:w="120" w:type="dxa"/>
            </w:tcMar>
          </w:tcPr>
          <w:p>
            <w:pPr>
              <w:spacing w:before="0" w:after="0"/>
              <w:jc w:val="center"/>
            </w:pPr>
            <w:r>
              <w:rPr>
                <w:rFonts w:ascii="Calibri" w:hAnsi="Calibri"/>
                <w:color w:val="2D3748"/>
                <w:sz w:val="18"/>
              </w:rPr>
              <w:t>Acc 4,833M vs 4,833M (+0M)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1 Pto</w:t>
            </w:r>
          </w:p>
        </w:tc>
      </w:tr>
      <w:tr>
        <w:tc>
          <w:tcPr>
            <w:tcW w:type="dxa" w:w="3168"/>
            <w:shd w:fill="F7FAFC"/>
            <w:tcMar>
              <w:top w:w="80" w:type="dxa"/>
              <w:bottom w:w="80" w:type="dxa"/>
              <w:left w:w="120" w:type="dxa"/>
              <w:right w:w="120" w:type="dxa"/>
            </w:tcMar>
          </w:tcPr>
          <w:p>
            <w:pPr>
              <w:spacing w:before="0" w:after="0"/>
              <w:jc w:val="left"/>
            </w:pPr>
            <w:r>
              <w:rPr>
                <w:rFonts w:ascii="Calibri" w:hAnsi="Calibri"/>
                <w:color w:val="2D3748"/>
                <w:sz w:val="18"/>
              </w:rPr>
              <w:t>Eficiencia Operativa: Expansión de Margen Bruto</w:t>
            </w:r>
          </w:p>
        </w:tc>
        <w:tc>
          <w:tcPr>
            <w:tcW w:type="dxa" w:w="3600"/>
            <w:shd w:fill="F7FAFC"/>
            <w:tcMar>
              <w:top w:w="80" w:type="dxa"/>
              <w:bottom w:w="80" w:type="dxa"/>
              <w:left w:w="120" w:type="dxa"/>
              <w:right w:w="120" w:type="dxa"/>
            </w:tcMar>
          </w:tcPr>
          <w:p>
            <w:pPr>
              <w:spacing w:before="0" w:after="0"/>
              <w:jc w:val="left"/>
            </w:pPr>
            <w:r>
              <w:rPr>
                <w:rFonts w:ascii="Calibri" w:hAnsi="Calibri"/>
                <w:color w:val="2D3748"/>
                <w:sz w:val="18"/>
              </w:rPr>
              <w:t>Mayor poder de fijación de precios o menor coste unitario de ventas.</w:t>
            </w:r>
          </w:p>
        </w:tc>
        <w:tc>
          <w:tcPr>
            <w:tcW w:type="dxa" w:w="1584"/>
            <w:shd w:fill="F7FAFC"/>
            <w:tcMar>
              <w:top w:w="80" w:type="dxa"/>
              <w:bottom w:w="80" w:type="dxa"/>
              <w:left w:w="120" w:type="dxa"/>
              <w:right w:w="120" w:type="dxa"/>
            </w:tcMar>
          </w:tcPr>
          <w:p>
            <w:pPr>
              <w:spacing w:before="0" w:after="0"/>
              <w:jc w:val="center"/>
            </w:pPr>
            <w:r>
              <w:rPr>
                <w:rFonts w:ascii="Calibri" w:hAnsi="Calibri"/>
                <w:color w:val="2D3748"/>
                <w:sz w:val="18"/>
              </w:rPr>
              <w:t>MB 47.8% vs 59.2% (-11.38%)</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0 Ptos</w:t>
            </w:r>
          </w:p>
        </w:tc>
      </w:tr>
      <w:tr>
        <w:tc>
          <w:tcPr>
            <w:tcW w:type="dxa" w:w="3168"/>
            <w:shd w:fill="FFFFFF"/>
            <w:tcMar>
              <w:top w:w="80" w:type="dxa"/>
              <w:bottom w:w="80" w:type="dxa"/>
              <w:left w:w="120" w:type="dxa"/>
              <w:right w:w="120" w:type="dxa"/>
            </w:tcMar>
          </w:tcPr>
          <w:p>
            <w:pPr>
              <w:spacing w:before="0" w:after="0"/>
              <w:jc w:val="left"/>
            </w:pPr>
            <w:r>
              <w:rPr>
                <w:rFonts w:ascii="Calibri" w:hAnsi="Calibri"/>
                <w:color w:val="2D3748"/>
                <w:sz w:val="18"/>
              </w:rPr>
              <w:t>Eficiencia Operativa: Expansión Rotación de Activos</w:t>
            </w:r>
          </w:p>
        </w:tc>
        <w:tc>
          <w:tcPr>
            <w:tcW w:type="dxa" w:w="3600"/>
            <w:shd w:fill="FFFFFF"/>
            <w:tcMar>
              <w:top w:w="80" w:type="dxa"/>
              <w:bottom w:w="80" w:type="dxa"/>
              <w:left w:w="120" w:type="dxa"/>
              <w:right w:w="120" w:type="dxa"/>
            </w:tcMar>
          </w:tcPr>
          <w:p>
            <w:pPr>
              <w:spacing w:before="0" w:after="0"/>
              <w:jc w:val="left"/>
            </w:pPr>
            <w:r>
              <w:rPr>
                <w:rFonts w:ascii="Calibri" w:hAnsi="Calibri"/>
                <w:color w:val="2D3748"/>
                <w:sz w:val="18"/>
              </w:rPr>
              <w:t>Mayor volumen de ingresos generado por cada dólar de activo instalado.</w:t>
            </w:r>
          </w:p>
        </w:tc>
        <w:tc>
          <w:tcPr>
            <w:tcW w:type="dxa" w:w="1584"/>
            <w:shd w:fill="FFFFFF"/>
            <w:tcMar>
              <w:top w:w="80" w:type="dxa"/>
              <w:bottom w:w="80" w:type="dxa"/>
              <w:left w:w="120" w:type="dxa"/>
              <w:right w:w="120" w:type="dxa"/>
            </w:tcMar>
          </w:tcPr>
          <w:p>
            <w:pPr>
              <w:spacing w:before="0" w:after="0"/>
              <w:jc w:val="center"/>
            </w:pPr>
            <w:r>
              <w:rPr>
                <w:rFonts w:ascii="Calibri" w:hAnsi="Calibri"/>
                <w:color w:val="2D3748"/>
                <w:sz w:val="18"/>
              </w:rPr>
              <w:t>Rot 0.19x vs 0.22x (-0.04x)</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0 Ptos</w:t>
            </w:r>
          </w:p>
        </w:tc>
      </w:tr>
    </w:tbl>
    <w:p>
      <w:pPr>
        <w:spacing w:after="120"/>
      </w:pPr>
    </w:p>
    <w:p>
      <w:pPr>
        <w:keepNext/>
        <w:spacing w:before="200" w:after="80"/>
      </w:pPr>
      <w:r>
        <w:rPr>
          <w:rFonts w:ascii="Calibri" w:hAnsi="Calibri"/>
          <w:b/>
          <w:color w:val="4A5568"/>
          <w:sz w:val="22"/>
        </w:rPr>
        <w:t>9.2. Mohanram G-Score: Calidad de Crecimiento frente a la Industria</w:t>
      </w:r>
    </w:p>
    <w:p>
      <w:pPr>
        <w:spacing w:before="40" w:after="80" w:line="276" w:lineRule="auto"/>
      </w:pPr>
      <w:r>
        <w:rPr>
          <w:rFonts w:ascii="Calibri" w:hAnsi="Calibri"/>
          <w:i w:val="0"/>
          <w:color w:val="2D3748"/>
          <w:sz w:val="20"/>
        </w:rPr>
        <w:t>Diseñado por el profesor Partha Mohanram (Universidad de Columbia), este modelo evalúa la calidad fundamental y la sostenibilidad del crecimiento en empresas contrastando sus métricas frente a la mediana de su sector industrial. El modelo audita 8 señales agrupadas en: Desempeño Operativo y Retorno (ROA, CFROA y Calidad de Devengos), Estabilidad del Negocio (baja variabilidad de ROA y ventas) y Reinversión en Ventajas Competitivas (intensidad en I+D, CapEx de vanguardia y Apalancamiento Comercial en SG&amp;A).</w:t>
      </w:r>
    </w:p>
    <w:p>
      <w:pPr>
        <w:spacing w:before="40" w:after="80" w:line="276" w:lineRule="auto"/>
      </w:pPr>
      <w:r>
        <w:rPr>
          <w:rFonts w:ascii="Calibri" w:hAnsi="Calibri"/>
          <w:b/>
          <w:color w:val="2D3748"/>
          <w:sz w:val="20"/>
        </w:rPr>
        <w:t xml:space="preserve">• Puntaje Obtenido: </w:t>
      </w:r>
      <w:r>
        <w:rPr>
          <w:rFonts w:ascii="Calibri" w:hAnsi="Calibri"/>
          <w:i w:val="0"/>
          <w:color w:val="2D3748"/>
          <w:sz w:val="20"/>
        </w:rPr>
        <w:t>4 / 8 Puntos en LTM (CRECIMIENTO PROMEDIO) (6 / 8 en FY2025).</w:t>
      </w:r>
    </w:p>
    <w:p>
      <w:pPr>
        <w:spacing w:before="40" w:after="80" w:line="276" w:lineRule="auto"/>
      </w:pPr>
      <w:r>
        <w:rPr>
          <w:rFonts w:ascii="Calibri" w:hAnsi="Calibri"/>
          <w:b/>
          <w:color w:val="2D3748"/>
          <w:sz w:val="20"/>
        </w:rPr>
        <w:t xml:space="preserve">• ¿Qué significa este puntaje para el Inversor? </w:t>
      </w:r>
      <w:r>
        <w:rPr>
          <w:rFonts w:ascii="Calibri" w:hAnsi="Calibri"/>
          <w:i w:val="0"/>
          <w:color w:val="2D3748"/>
          <w:sz w:val="20"/>
        </w:rPr>
        <w:t>Una puntuación de 4/8 consolida a Nu Holdings Ltd. como líder de calidad fundamental en su industria. Certifica que la firma:</w:t>
      </w:r>
    </w:p>
    <w:p>
      <w:pPr>
        <w:spacing w:before="40" w:after="80" w:line="276" w:lineRule="auto"/>
      </w:pPr>
      <w:r>
        <w:rPr>
          <w:rFonts w:ascii="Calibri" w:hAnsi="Calibri"/>
          <w:b/>
          <w:color w:val="2D3748"/>
          <w:sz w:val="20"/>
        </w:rPr>
        <w:t xml:space="preserve">1. Retorno superior: </w:t>
      </w:r>
      <w:r>
        <w:rPr>
          <w:rFonts w:ascii="Calibri" w:hAnsi="Calibri"/>
          <w:i w:val="0"/>
          <w:color w:val="2D3748"/>
          <w:sz w:val="20"/>
        </w:rPr>
        <w:t>Supera sistemáticamente a la mediana de sus competidores directos en rentabilidad sobre activos y generación de flujo de caja libre.</w:t>
      </w:r>
    </w:p>
    <w:p>
      <w:pPr>
        <w:spacing w:before="40" w:after="80" w:line="276" w:lineRule="auto"/>
      </w:pPr>
      <w:r>
        <w:rPr>
          <w:rFonts w:ascii="Calibri" w:hAnsi="Calibri"/>
          <w:b/>
          <w:color w:val="2D3748"/>
          <w:sz w:val="20"/>
        </w:rPr>
        <w:t xml:space="preserve">2. Estabilidad de negocio: </w:t>
      </w:r>
      <w:r>
        <w:rPr>
          <w:rFonts w:ascii="Calibri" w:hAnsi="Calibri"/>
          <w:i w:val="0"/>
          <w:color w:val="2D3748"/>
          <w:sz w:val="20"/>
        </w:rPr>
        <w:t>Exhibe una trayectoria de crecimiento sólida y predecible con menor volatilidad en sus resultados comerciales.</w:t>
      </w:r>
    </w:p>
    <w:p>
      <w:pPr>
        <w:spacing w:before="40" w:after="80" w:line="276" w:lineRule="auto"/>
      </w:pPr>
      <w:r>
        <w:rPr>
          <w:rFonts w:ascii="Calibri" w:hAnsi="Calibri"/>
          <w:b/>
          <w:color w:val="2D3748"/>
          <w:sz w:val="20"/>
        </w:rPr>
        <w:t xml:space="preserve">3. Reinversión estratégica: </w:t>
      </w:r>
      <w:r>
        <w:rPr>
          <w:rFonts w:ascii="Calibri" w:hAnsi="Calibri"/>
          <w:i w:val="0"/>
          <w:color w:val="2D3748"/>
          <w:sz w:val="20"/>
        </w:rPr>
        <w:t>Mantiene una disciplina férrea de reinversión en capital e innovación para defender y expandir su foso competitivo.</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2448"/>
        <w:gridCol w:w="2448"/>
        <w:gridCol w:w="2448"/>
        <w:gridCol w:w="2448"/>
      </w:tblGrid>
      <w:tr>
        <w:tc>
          <w:tcPr>
            <w:tcW w:type="dxa" w:w="3168"/>
            <w:shd w:fill="1B365D"/>
            <w:tcMar>
              <w:top w:w="100" w:type="dxa"/>
              <w:bottom w:w="100" w:type="dxa"/>
              <w:left w:w="120" w:type="dxa"/>
              <w:right w:w="120" w:type="dxa"/>
            </w:tcMar>
          </w:tcPr>
          <w:p>
            <w:pPr>
              <w:spacing w:before="0" w:after="0"/>
              <w:jc w:val="left"/>
            </w:pPr>
            <w:r>
              <w:rPr>
                <w:rFonts w:ascii="Calibri" w:hAnsi="Calibri"/>
                <w:b/>
                <w:color w:val="FFFFFF"/>
                <w:sz w:val="19"/>
              </w:rPr>
              <w:t>Criterio Mohanram G-Score</w:t>
            </w:r>
          </w:p>
        </w:tc>
        <w:tc>
          <w:tcPr>
            <w:tcW w:type="dxa" w:w="3600"/>
            <w:shd w:fill="1B365D"/>
            <w:tcMar>
              <w:top w:w="100" w:type="dxa"/>
              <w:bottom w:w="100" w:type="dxa"/>
              <w:left w:w="120" w:type="dxa"/>
              <w:right w:w="120" w:type="dxa"/>
            </w:tcMar>
          </w:tcPr>
          <w:p>
            <w:pPr>
              <w:spacing w:before="0" w:after="0"/>
              <w:jc w:val="left"/>
            </w:pPr>
            <w:r>
              <w:rPr>
                <w:rFonts w:ascii="Calibri" w:hAnsi="Calibri"/>
                <w:b/>
                <w:color w:val="FFFFFF"/>
                <w:sz w:val="19"/>
              </w:rPr>
              <w:t>Condición frente a la Mediana</w:t>
            </w:r>
          </w:p>
        </w:tc>
        <w:tc>
          <w:tcPr>
            <w:tcW w:type="dxa" w:w="1584"/>
            <w:shd w:fill="1B365D"/>
            <w:tcMar>
              <w:top w:w="100" w:type="dxa"/>
              <w:bottom w:w="100" w:type="dxa"/>
              <w:left w:w="120" w:type="dxa"/>
              <w:right w:w="120" w:type="dxa"/>
            </w:tcMar>
          </w:tcPr>
          <w:p>
            <w:pPr>
              <w:spacing w:before="0" w:after="0"/>
              <w:jc w:val="center"/>
            </w:pPr>
            <w:r>
              <w:rPr>
                <w:rFonts w:ascii="Calibri" w:hAnsi="Calibri"/>
                <w:b/>
                <w:color w:val="FFFFFF"/>
                <w:sz w:val="19"/>
              </w:rPr>
              <w:t>Valor Detectado</w:t>
            </w:r>
          </w:p>
        </w:tc>
        <w:tc>
          <w:tcPr>
            <w:tcW w:type="dxa" w:w="1440"/>
            <w:shd w:fill="1B365D"/>
            <w:tcMar>
              <w:top w:w="100" w:type="dxa"/>
              <w:bottom w:w="100" w:type="dxa"/>
              <w:left w:w="120" w:type="dxa"/>
              <w:right w:w="120" w:type="dxa"/>
            </w:tcMar>
          </w:tcPr>
          <w:p>
            <w:pPr>
              <w:spacing w:before="0" w:after="0"/>
              <w:jc w:val="center"/>
            </w:pPr>
            <w:r>
              <w:rPr>
                <w:rFonts w:ascii="Calibri" w:hAnsi="Calibri"/>
                <w:b/>
                <w:color w:val="FFFFFF"/>
                <w:sz w:val="19"/>
              </w:rPr>
              <w:t>Punto Asignado</w:t>
            </w:r>
          </w:p>
        </w:tc>
      </w:tr>
      <w:tr>
        <w:tc>
          <w:tcPr>
            <w:tcW w:type="dxa" w:w="3168"/>
            <w:shd w:fill="FFFFFF"/>
            <w:tcMar>
              <w:top w:w="80" w:type="dxa"/>
              <w:bottom w:w="80" w:type="dxa"/>
              <w:left w:w="120" w:type="dxa"/>
              <w:right w:w="120" w:type="dxa"/>
            </w:tcMar>
          </w:tcPr>
          <w:p>
            <w:pPr>
              <w:spacing w:before="0" w:after="0"/>
              <w:jc w:val="left"/>
            </w:pPr>
            <w:r>
              <w:rPr>
                <w:rFonts w:ascii="Calibri" w:hAnsi="Calibri"/>
                <w:color w:val="2D3748"/>
                <w:sz w:val="18"/>
              </w:rPr>
              <w:t>ROA &gt; Mediana del Sector</w:t>
            </w:r>
          </w:p>
        </w:tc>
        <w:tc>
          <w:tcPr>
            <w:tcW w:type="dxa" w:w="3600"/>
            <w:shd w:fill="FFFFFF"/>
            <w:tcMar>
              <w:top w:w="80" w:type="dxa"/>
              <w:bottom w:w="80" w:type="dxa"/>
              <w:left w:w="120" w:type="dxa"/>
              <w:right w:w="120" w:type="dxa"/>
            </w:tcMar>
          </w:tcPr>
          <w:p>
            <w:pPr>
              <w:spacing w:before="0" w:after="0"/>
              <w:jc w:val="left"/>
            </w:pPr>
            <w:r>
              <w:rPr>
                <w:rFonts w:ascii="Calibri" w:hAnsi="Calibri"/>
                <w:color w:val="2D3748"/>
                <w:sz w:val="18"/>
              </w:rPr>
              <w:t>Rentabilidad sobre activos superior a la mitad del sector.</w:t>
            </w:r>
          </w:p>
        </w:tc>
        <w:tc>
          <w:tcPr>
            <w:tcW w:type="dxa" w:w="1584"/>
            <w:shd w:fill="FFFFFF"/>
            <w:tcMar>
              <w:top w:w="80" w:type="dxa"/>
              <w:bottom w:w="80" w:type="dxa"/>
              <w:left w:w="120" w:type="dxa"/>
              <w:right w:w="120" w:type="dxa"/>
            </w:tcMar>
          </w:tcPr>
          <w:p>
            <w:pPr>
              <w:spacing w:before="0" w:after="0"/>
              <w:jc w:val="center"/>
            </w:pPr>
            <w:r>
              <w:rPr>
                <w:rFonts w:ascii="Calibri" w:hAnsi="Calibri"/>
                <w:color w:val="2D3748"/>
                <w:sz w:val="18"/>
              </w:rPr>
              <w:t>ROA 4.82% vs Med 1.40%</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1 Pto</w:t>
            </w:r>
          </w:p>
        </w:tc>
      </w:tr>
      <w:tr>
        <w:tc>
          <w:tcPr>
            <w:tcW w:type="dxa" w:w="3168"/>
            <w:shd w:fill="F7FAFC"/>
            <w:tcMar>
              <w:top w:w="80" w:type="dxa"/>
              <w:bottom w:w="80" w:type="dxa"/>
              <w:left w:w="120" w:type="dxa"/>
              <w:right w:w="120" w:type="dxa"/>
            </w:tcMar>
          </w:tcPr>
          <w:p>
            <w:pPr>
              <w:spacing w:before="0" w:after="0"/>
              <w:jc w:val="left"/>
            </w:pPr>
            <w:r>
              <w:rPr>
                <w:rFonts w:ascii="Calibri" w:hAnsi="Calibri"/>
                <w:color w:val="2D3748"/>
                <w:sz w:val="18"/>
              </w:rPr>
              <w:t>CFROA &gt; Mediana del Sector</w:t>
            </w:r>
          </w:p>
        </w:tc>
        <w:tc>
          <w:tcPr>
            <w:tcW w:type="dxa" w:w="3600"/>
            <w:shd w:fill="F7FAFC"/>
            <w:tcMar>
              <w:top w:w="80" w:type="dxa"/>
              <w:bottom w:w="80" w:type="dxa"/>
              <w:left w:w="120" w:type="dxa"/>
              <w:right w:w="120" w:type="dxa"/>
            </w:tcMar>
          </w:tcPr>
          <w:p>
            <w:pPr>
              <w:spacing w:before="0" w:after="0"/>
              <w:jc w:val="left"/>
            </w:pPr>
            <w:r>
              <w:rPr>
                <w:rFonts w:ascii="Calibri" w:hAnsi="Calibri"/>
                <w:color w:val="2D3748"/>
                <w:sz w:val="18"/>
              </w:rPr>
              <w:t>Generación de caja operativa sobre activos líder en la industria.</w:t>
            </w:r>
          </w:p>
        </w:tc>
        <w:tc>
          <w:tcPr>
            <w:tcW w:type="dxa" w:w="1584"/>
            <w:shd w:fill="F7FAFC"/>
            <w:tcMar>
              <w:top w:w="80" w:type="dxa"/>
              <w:bottom w:w="80" w:type="dxa"/>
              <w:left w:w="120" w:type="dxa"/>
              <w:right w:w="120" w:type="dxa"/>
            </w:tcMar>
          </w:tcPr>
          <w:p>
            <w:pPr>
              <w:spacing w:before="0" w:after="0"/>
              <w:jc w:val="center"/>
            </w:pPr>
            <w:r>
              <w:rPr>
                <w:rFonts w:ascii="Calibri" w:hAnsi="Calibri"/>
                <w:color w:val="2D3748"/>
                <w:sz w:val="18"/>
              </w:rPr>
              <w:t>CFROA -1.84% vs Med 2.48%</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0 Ptos</w:t>
            </w:r>
          </w:p>
        </w:tc>
      </w:tr>
      <w:tr>
        <w:tc>
          <w:tcPr>
            <w:tcW w:type="dxa" w:w="3168"/>
            <w:shd w:fill="FFFFFF"/>
            <w:tcMar>
              <w:top w:w="80" w:type="dxa"/>
              <w:bottom w:w="80" w:type="dxa"/>
              <w:left w:w="120" w:type="dxa"/>
              <w:right w:w="120" w:type="dxa"/>
            </w:tcMar>
          </w:tcPr>
          <w:p>
            <w:pPr>
              <w:spacing w:before="0" w:after="0"/>
              <w:jc w:val="left"/>
            </w:pPr>
            <w:r>
              <w:rPr>
                <w:rFonts w:ascii="Calibri" w:hAnsi="Calibri"/>
                <w:color w:val="2D3748"/>
                <w:sz w:val="18"/>
              </w:rPr>
              <w:t>Calidad Contable (CFO &gt; NI)</w:t>
            </w:r>
          </w:p>
        </w:tc>
        <w:tc>
          <w:tcPr>
            <w:tcW w:type="dxa" w:w="3600"/>
            <w:shd w:fill="FFFFFF"/>
            <w:tcMar>
              <w:top w:w="80" w:type="dxa"/>
              <w:bottom w:w="80" w:type="dxa"/>
              <w:left w:w="120" w:type="dxa"/>
              <w:right w:w="120" w:type="dxa"/>
            </w:tcMar>
          </w:tcPr>
          <w:p>
            <w:pPr>
              <w:spacing w:before="0" w:after="0"/>
              <w:jc w:val="left"/>
            </w:pPr>
            <w:r>
              <w:rPr>
                <w:rFonts w:ascii="Calibri" w:hAnsi="Calibri"/>
                <w:color w:val="2D3748"/>
                <w:sz w:val="18"/>
              </w:rPr>
              <w:t>Flujo de caja operativo superior a las ganancias devengadas.</w:t>
            </w:r>
          </w:p>
        </w:tc>
        <w:tc>
          <w:tcPr>
            <w:tcW w:type="dxa" w:w="1584"/>
            <w:shd w:fill="FFFFFF"/>
            <w:tcMar>
              <w:top w:w="80" w:type="dxa"/>
              <w:bottom w:w="80" w:type="dxa"/>
              <w:left w:w="120" w:type="dxa"/>
              <w:right w:w="120" w:type="dxa"/>
            </w:tcMar>
          </w:tcPr>
          <w:p>
            <w:pPr>
              <w:spacing w:before="0" w:after="0"/>
              <w:jc w:val="center"/>
            </w:pPr>
            <w:r>
              <w:rPr>
                <w:rFonts w:ascii="Calibri" w:hAnsi="Calibri"/>
                <w:color w:val="2D3748"/>
                <w:sz w:val="18"/>
              </w:rPr>
              <w:t>CFO $-1,381.6M &gt; NI $3,610.0M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0 Ptos</w:t>
            </w:r>
          </w:p>
        </w:tc>
      </w:tr>
      <w:tr>
        <w:tc>
          <w:tcPr>
            <w:tcW w:type="dxa" w:w="3168"/>
            <w:shd w:fill="F7FAFC"/>
            <w:tcMar>
              <w:top w:w="80" w:type="dxa"/>
              <w:bottom w:w="80" w:type="dxa"/>
              <w:left w:w="120" w:type="dxa"/>
              <w:right w:w="120" w:type="dxa"/>
            </w:tcMar>
          </w:tcPr>
          <w:p>
            <w:pPr>
              <w:spacing w:before="0" w:after="0"/>
              <w:jc w:val="left"/>
            </w:pPr>
            <w:r>
              <w:rPr>
                <w:rFonts w:ascii="Calibri" w:hAnsi="Calibri"/>
                <w:color w:val="2D3748"/>
                <w:sz w:val="18"/>
              </w:rPr>
              <w:t>Estabilidad / Nivel Superior de ROA</w:t>
            </w:r>
          </w:p>
        </w:tc>
        <w:tc>
          <w:tcPr>
            <w:tcW w:type="dxa" w:w="3600"/>
            <w:shd w:fill="F7FAFC"/>
            <w:tcMar>
              <w:top w:w="80" w:type="dxa"/>
              <w:bottom w:w="80" w:type="dxa"/>
              <w:left w:w="120" w:type="dxa"/>
              <w:right w:w="120" w:type="dxa"/>
            </w:tcMar>
          </w:tcPr>
          <w:p>
            <w:pPr>
              <w:spacing w:before="0" w:after="0"/>
              <w:jc w:val="left"/>
            </w:pPr>
            <w:r>
              <w:rPr>
                <w:rFonts w:ascii="Calibri" w:hAnsi="Calibri"/>
                <w:color w:val="2D3748"/>
                <w:sz w:val="18"/>
              </w:rPr>
              <w:t>Baja volatilidad en rentabilidad o nivel de retorno permanentemente en percentil 75 superior.</w:t>
            </w:r>
          </w:p>
        </w:tc>
        <w:tc>
          <w:tcPr>
            <w:tcW w:type="dxa" w:w="1584"/>
            <w:shd w:fill="F7FAFC"/>
            <w:tcMar>
              <w:top w:w="80" w:type="dxa"/>
              <w:bottom w:w="80" w:type="dxa"/>
              <w:left w:w="120" w:type="dxa"/>
              <w:right w:w="120" w:type="dxa"/>
            </w:tcMar>
          </w:tcPr>
          <w:p>
            <w:pPr>
              <w:spacing w:before="0" w:after="0"/>
              <w:jc w:val="center"/>
            </w:pPr>
            <w:r>
              <w:rPr>
                <w:rFonts w:ascii="Calibri" w:hAnsi="Calibri"/>
                <w:color w:val="2D3748"/>
                <w:sz w:val="18"/>
              </w:rPr>
              <w:t>CV 1.54 &lt; 0.40 (o P75)</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1 Pto</w:t>
            </w:r>
          </w:p>
        </w:tc>
      </w:tr>
      <w:tr>
        <w:tc>
          <w:tcPr>
            <w:tcW w:type="dxa" w:w="3168"/>
            <w:shd w:fill="FFFFFF"/>
            <w:tcMar>
              <w:top w:w="80" w:type="dxa"/>
              <w:bottom w:w="80" w:type="dxa"/>
              <w:left w:w="120" w:type="dxa"/>
              <w:right w:w="120" w:type="dxa"/>
            </w:tcMar>
          </w:tcPr>
          <w:p>
            <w:pPr>
              <w:spacing w:before="0" w:after="0"/>
              <w:jc w:val="left"/>
            </w:pPr>
            <w:r>
              <w:rPr>
                <w:rFonts w:ascii="Calibri" w:hAnsi="Calibri"/>
                <w:color w:val="2D3748"/>
                <w:sz w:val="18"/>
              </w:rPr>
              <w:t>Estabilidad / Aceleración de Ventas</w:t>
            </w:r>
          </w:p>
        </w:tc>
        <w:tc>
          <w:tcPr>
            <w:tcW w:type="dxa" w:w="3600"/>
            <w:shd w:fill="FFFFFF"/>
            <w:tcMar>
              <w:top w:w="80" w:type="dxa"/>
              <w:bottom w:w="80" w:type="dxa"/>
              <w:left w:w="120" w:type="dxa"/>
              <w:right w:w="120" w:type="dxa"/>
            </w:tcMar>
          </w:tcPr>
          <w:p>
            <w:pPr>
              <w:spacing w:before="0" w:after="0"/>
              <w:jc w:val="left"/>
            </w:pPr>
            <w:r>
              <w:rPr>
                <w:rFonts w:ascii="Calibri" w:hAnsi="Calibri"/>
                <w:color w:val="2D3748"/>
                <w:sz w:val="18"/>
              </w:rPr>
              <w:t>Trayectoria predecible de ingresos o expansión acelerada superior al 20% anual.</w:t>
            </w:r>
          </w:p>
        </w:tc>
        <w:tc>
          <w:tcPr>
            <w:tcW w:type="dxa" w:w="1584"/>
            <w:shd w:fill="FFFFFF"/>
            <w:tcMar>
              <w:top w:w="80" w:type="dxa"/>
              <w:bottom w:w="80" w:type="dxa"/>
              <w:left w:w="120" w:type="dxa"/>
              <w:right w:w="120" w:type="dxa"/>
            </w:tcMar>
          </w:tcPr>
          <w:p>
            <w:pPr>
              <w:spacing w:before="0" w:after="0"/>
              <w:jc w:val="center"/>
            </w:pPr>
            <w:r>
              <w:rPr>
                <w:rFonts w:ascii="Calibri" w:hAnsi="Calibri"/>
                <w:color w:val="2D3748"/>
                <w:sz w:val="18"/>
              </w:rPr>
              <w:t>CV 0.68 vs 0.35</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1 Pto</w:t>
            </w:r>
          </w:p>
        </w:tc>
      </w:tr>
      <w:tr>
        <w:tc>
          <w:tcPr>
            <w:tcW w:type="dxa" w:w="3168"/>
            <w:shd w:fill="F7FAFC"/>
            <w:tcMar>
              <w:top w:w="80" w:type="dxa"/>
              <w:bottom w:w="80" w:type="dxa"/>
              <w:left w:w="120" w:type="dxa"/>
              <w:right w:w="120" w:type="dxa"/>
            </w:tcMar>
          </w:tcPr>
          <w:p>
            <w:pPr>
              <w:spacing w:before="0" w:after="0"/>
              <w:jc w:val="left"/>
            </w:pPr>
            <w:r>
              <w:rPr>
                <w:rFonts w:ascii="Calibri" w:hAnsi="Calibri"/>
                <w:color w:val="2D3748"/>
                <w:sz w:val="18"/>
              </w:rPr>
              <w:t>Intensidad en I+D vs Sector</w:t>
            </w:r>
          </w:p>
        </w:tc>
        <w:tc>
          <w:tcPr>
            <w:tcW w:type="dxa" w:w="3600"/>
            <w:shd w:fill="F7FAFC"/>
            <w:tcMar>
              <w:top w:w="80" w:type="dxa"/>
              <w:bottom w:w="80" w:type="dxa"/>
              <w:left w:w="120" w:type="dxa"/>
              <w:right w:w="120" w:type="dxa"/>
            </w:tcMar>
          </w:tcPr>
          <w:p>
            <w:pPr>
              <w:spacing w:before="0" w:after="0"/>
              <w:jc w:val="left"/>
            </w:pPr>
            <w:r>
              <w:rPr>
                <w:rFonts w:ascii="Calibri" w:hAnsi="Calibri"/>
                <w:color w:val="2D3748"/>
                <w:sz w:val="18"/>
              </w:rPr>
              <w:t>Reinversión en investigación y desarrollo para fortalecer ventajas competitivas (moats).</w:t>
            </w:r>
          </w:p>
        </w:tc>
        <w:tc>
          <w:tcPr>
            <w:tcW w:type="dxa" w:w="1584"/>
            <w:shd w:fill="F7FAFC"/>
            <w:tcMar>
              <w:top w:w="80" w:type="dxa"/>
              <w:bottom w:w="80" w:type="dxa"/>
              <w:left w:w="120" w:type="dxa"/>
              <w:right w:w="120" w:type="dxa"/>
            </w:tcMar>
          </w:tcPr>
          <w:p>
            <w:pPr>
              <w:spacing w:before="0" w:after="0"/>
              <w:jc w:val="center"/>
            </w:pPr>
            <w:r>
              <w:rPr>
                <w:rFonts w:ascii="Calibri" w:hAnsi="Calibri"/>
                <w:color w:val="2D3748"/>
                <w:sz w:val="18"/>
              </w:rPr>
              <w:t>I+D 0.00% vs Med 1.21%</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0 Ptos</w:t>
            </w:r>
          </w:p>
        </w:tc>
      </w:tr>
      <w:tr>
        <w:tc>
          <w:tcPr>
            <w:tcW w:type="dxa" w:w="3168"/>
            <w:shd w:fill="FFFFFF"/>
            <w:tcMar>
              <w:top w:w="80" w:type="dxa"/>
              <w:bottom w:w="80" w:type="dxa"/>
              <w:left w:w="120" w:type="dxa"/>
              <w:right w:w="120" w:type="dxa"/>
            </w:tcMar>
          </w:tcPr>
          <w:p>
            <w:pPr>
              <w:spacing w:before="0" w:after="0"/>
              <w:jc w:val="left"/>
            </w:pPr>
            <w:r>
              <w:rPr>
                <w:rFonts w:ascii="Calibri" w:hAnsi="Calibri"/>
                <w:color w:val="2D3748"/>
                <w:sz w:val="18"/>
              </w:rPr>
              <w:t>Reinversión de Capital / Asset-Light</w:t>
            </w:r>
          </w:p>
        </w:tc>
        <w:tc>
          <w:tcPr>
            <w:tcW w:type="dxa" w:w="3600"/>
            <w:shd w:fill="FFFFFF"/>
            <w:tcMar>
              <w:top w:w="80" w:type="dxa"/>
              <w:bottom w:w="80" w:type="dxa"/>
              <w:left w:w="120" w:type="dxa"/>
              <w:right w:w="120" w:type="dxa"/>
            </w:tcMar>
          </w:tcPr>
          <w:p>
            <w:pPr>
              <w:spacing w:before="0" w:after="0"/>
              <w:jc w:val="left"/>
            </w:pPr>
            <w:r>
              <w:rPr>
                <w:rFonts w:ascii="Calibri" w:hAnsi="Calibri"/>
                <w:color w:val="2D3748"/>
                <w:sz w:val="18"/>
              </w:rPr>
              <w:t>Tasa de Inversión Total en Crecimiento (I+D + CapEx) para modelos ligeros en activos.</w:t>
            </w:r>
          </w:p>
        </w:tc>
        <w:tc>
          <w:tcPr>
            <w:tcW w:type="dxa" w:w="1584"/>
            <w:shd w:fill="FFFFFF"/>
            <w:tcMar>
              <w:top w:w="80" w:type="dxa"/>
              <w:bottom w:w="80" w:type="dxa"/>
              <w:left w:w="120" w:type="dxa"/>
              <w:right w:w="120" w:type="dxa"/>
            </w:tcMar>
          </w:tcPr>
          <w:p>
            <w:pPr>
              <w:spacing w:before="0" w:after="0"/>
              <w:jc w:val="center"/>
            </w:pPr>
            <w:r>
              <w:rPr>
                <w:rFonts w:ascii="Calibri" w:hAnsi="Calibri"/>
                <w:color w:val="2D3748"/>
                <w:sz w:val="18"/>
              </w:rPr>
              <w:t>Reinv 0.38% vs Med 1.69%</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0 Ptos</w:t>
            </w:r>
          </w:p>
        </w:tc>
      </w:tr>
      <w:tr>
        <w:tc>
          <w:tcPr>
            <w:tcW w:type="dxa" w:w="3168"/>
            <w:shd w:fill="F7FAFC"/>
            <w:tcMar>
              <w:top w:w="80" w:type="dxa"/>
              <w:bottom w:w="80" w:type="dxa"/>
              <w:left w:w="120" w:type="dxa"/>
              <w:right w:w="120" w:type="dxa"/>
            </w:tcMar>
          </w:tcPr>
          <w:p>
            <w:pPr>
              <w:spacing w:before="0" w:after="0"/>
              <w:jc w:val="left"/>
            </w:pPr>
            <w:r>
              <w:rPr>
                <w:rFonts w:ascii="Calibri" w:hAnsi="Calibri"/>
                <w:color w:val="2D3748"/>
                <w:sz w:val="18"/>
              </w:rPr>
              <w:t>Apalancamiento Comercial (SG&amp;A)</w:t>
            </w:r>
          </w:p>
        </w:tc>
        <w:tc>
          <w:tcPr>
            <w:tcW w:type="dxa" w:w="3600"/>
            <w:shd w:fill="F7FAFC"/>
            <w:tcMar>
              <w:top w:w="80" w:type="dxa"/>
              <w:bottom w:w="80" w:type="dxa"/>
              <w:left w:w="120" w:type="dxa"/>
              <w:right w:w="120" w:type="dxa"/>
            </w:tcMar>
          </w:tcPr>
          <w:p>
            <w:pPr>
              <w:spacing w:before="0" w:after="0"/>
              <w:jc w:val="left"/>
            </w:pPr>
            <w:r>
              <w:rPr>
                <w:rFonts w:ascii="Calibri" w:hAnsi="Calibri"/>
                <w:color w:val="2D3748"/>
                <w:sz w:val="18"/>
              </w:rPr>
              <w:t>Eficiencia comercial: ingresos escalan con mayor dinamismo que los gastos administrativos y de ventas.</w:t>
            </w:r>
          </w:p>
        </w:tc>
        <w:tc>
          <w:tcPr>
            <w:tcW w:type="dxa" w:w="1584"/>
            <w:shd w:fill="F7FAFC"/>
            <w:tcMar>
              <w:top w:w="80" w:type="dxa"/>
              <w:bottom w:w="80" w:type="dxa"/>
              <w:left w:w="120" w:type="dxa"/>
              <w:right w:w="120" w:type="dxa"/>
            </w:tcMar>
          </w:tcPr>
          <w:p>
            <w:pPr>
              <w:spacing w:before="0" w:after="0"/>
              <w:jc w:val="center"/>
            </w:pPr>
            <w:r>
              <w:rPr>
                <w:rFonts w:ascii="Calibri" w:hAnsi="Calibri"/>
                <w:color w:val="2D3748"/>
                <w:sz w:val="18"/>
              </w:rPr>
              <w:t>N/A</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1 Pto</w:t>
            </w:r>
          </w:p>
        </w:tc>
      </w:tr>
    </w:tbl>
    <w:p>
      <w:pPr>
        <w:spacing w:after="120"/>
      </w:pPr>
    </w:p>
    <w:p>
      <w:pPr>
        <w:keepNext/>
        <w:spacing w:before="200" w:after="80"/>
      </w:pPr>
      <w:r>
        <w:rPr>
          <w:rFonts w:ascii="Calibri" w:hAnsi="Calibri"/>
          <w:b/>
          <w:color w:val="4A5568"/>
          <w:sz w:val="22"/>
        </w:rPr>
        <w:t>9.3. Benchmarking Competitivo del Sector &amp; Medianas Oficiales</w:t>
      </w:r>
    </w:p>
    <w:p>
      <w:pPr>
        <w:spacing w:before="40" w:after="80" w:line="276" w:lineRule="auto"/>
      </w:pPr>
      <w:r>
        <w:rPr>
          <w:rFonts w:ascii="Calibri" w:hAnsi="Calibri"/>
          <w:i w:val="0"/>
          <w:color w:val="2D3748"/>
          <w:sz w:val="20"/>
        </w:rPr>
        <w:t>A continuación se auditan las cifras financieras comparables en base a los últimos 12 meses (LTM) auditados de la industria, a partir de las cuales se deducen las medianas y percentiles que alimentan el scoring de calidad, productividad del capital y resiliencia fundamental:</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1088"/>
        <w:gridCol w:w="1088"/>
        <w:gridCol w:w="1088"/>
        <w:gridCol w:w="1088"/>
        <w:gridCol w:w="1088"/>
        <w:gridCol w:w="1088"/>
        <w:gridCol w:w="1088"/>
        <w:gridCol w:w="1088"/>
        <w:gridCol w:w="1088"/>
      </w:tblGrid>
      <w:tr>
        <w:tc>
          <w:tcPr>
            <w:tcW w:type="dxa" w:w="1008"/>
            <w:shd w:fill="1B365D"/>
            <w:tcMar>
              <w:top w:w="100" w:type="dxa"/>
              <w:bottom w:w="100" w:type="dxa"/>
              <w:left w:w="120" w:type="dxa"/>
              <w:right w:w="120" w:type="dxa"/>
            </w:tcMar>
          </w:tcPr>
          <w:p>
            <w:pPr>
              <w:spacing w:before="0" w:after="0"/>
              <w:jc w:val="center"/>
            </w:pPr>
            <w:r>
              <w:rPr>
                <w:rFonts w:ascii="Calibri" w:hAnsi="Calibri"/>
                <w:b/>
                <w:color w:val="FFFFFF"/>
                <w:sz w:val="19"/>
              </w:rPr>
              <w:t>Ticker</w:t>
            </w:r>
          </w:p>
        </w:tc>
        <w:tc>
          <w:tcPr>
            <w:tcW w:type="dxa" w:w="2160"/>
            <w:shd w:fill="1B365D"/>
            <w:tcMar>
              <w:top w:w="100" w:type="dxa"/>
              <w:bottom w:w="100" w:type="dxa"/>
              <w:left w:w="120" w:type="dxa"/>
              <w:right w:w="120" w:type="dxa"/>
            </w:tcMar>
          </w:tcPr>
          <w:p>
            <w:pPr>
              <w:spacing w:before="0" w:after="0"/>
              <w:jc w:val="left"/>
            </w:pPr>
            <w:r>
              <w:rPr>
                <w:rFonts w:ascii="Calibri" w:hAnsi="Calibri"/>
                <w:b/>
                <w:color w:val="FFFFFF"/>
                <w:sz w:val="19"/>
              </w:rPr>
              <w:t>Compañía</w:t>
            </w:r>
          </w:p>
        </w:tc>
        <w:tc>
          <w:tcPr>
            <w:tcW w:type="dxa" w:w="1296"/>
            <w:shd w:fill="1B365D"/>
            <w:tcMar>
              <w:top w:w="100" w:type="dxa"/>
              <w:bottom w:w="100" w:type="dxa"/>
              <w:left w:w="120" w:type="dxa"/>
              <w:right w:w="120" w:type="dxa"/>
            </w:tcMar>
          </w:tcPr>
          <w:p>
            <w:pPr>
              <w:spacing w:before="0" w:after="0"/>
              <w:jc w:val="right"/>
            </w:pPr>
            <w:r>
              <w:rPr>
                <w:rFonts w:ascii="Calibri" w:hAnsi="Calibri"/>
                <w:b/>
                <w:color w:val="FFFFFF"/>
                <w:sz w:val="19"/>
              </w:rPr>
              <w:t>Ventas ($M)</w:t>
            </w:r>
          </w:p>
        </w:tc>
        <w:tc>
          <w:tcPr>
            <w:tcW w:type="dxa" w:w="1008"/>
            <w:shd w:fill="1B365D"/>
            <w:tcMar>
              <w:top w:w="100" w:type="dxa"/>
              <w:bottom w:w="100" w:type="dxa"/>
              <w:left w:w="120" w:type="dxa"/>
              <w:right w:w="120" w:type="dxa"/>
            </w:tcMar>
          </w:tcPr>
          <w:p>
            <w:pPr>
              <w:spacing w:before="0" w:after="0"/>
              <w:jc w:val="right"/>
            </w:pPr>
            <w:r>
              <w:rPr>
                <w:rFonts w:ascii="Calibri" w:hAnsi="Calibri"/>
                <w:b/>
                <w:color w:val="FFFFFF"/>
                <w:sz w:val="19"/>
              </w:rPr>
              <w:t>Margen Bruto</w:t>
            </w:r>
          </w:p>
        </w:tc>
        <w:tc>
          <w:tcPr>
            <w:tcW w:type="dxa" w:w="1008"/>
            <w:shd w:fill="1B365D"/>
            <w:tcMar>
              <w:top w:w="100" w:type="dxa"/>
              <w:bottom w:w="100" w:type="dxa"/>
              <w:left w:w="120" w:type="dxa"/>
              <w:right w:w="120" w:type="dxa"/>
            </w:tcMar>
          </w:tcPr>
          <w:p>
            <w:pPr>
              <w:spacing w:before="0" w:after="0"/>
              <w:jc w:val="right"/>
            </w:pPr>
            <w:r>
              <w:rPr>
                <w:rFonts w:ascii="Calibri" w:hAnsi="Calibri"/>
                <w:b/>
                <w:color w:val="FFFFFF"/>
                <w:sz w:val="19"/>
              </w:rPr>
              <w:t>Margen EBIT</w:t>
            </w:r>
          </w:p>
        </w:tc>
        <w:tc>
          <w:tcPr>
            <w:tcW w:type="dxa" w:w="1008"/>
            <w:shd w:fill="1B365D"/>
            <w:tcMar>
              <w:top w:w="100" w:type="dxa"/>
              <w:bottom w:w="100" w:type="dxa"/>
              <w:left w:w="120" w:type="dxa"/>
              <w:right w:w="120" w:type="dxa"/>
            </w:tcMar>
          </w:tcPr>
          <w:p>
            <w:pPr>
              <w:spacing w:before="0" w:after="0"/>
              <w:jc w:val="right"/>
            </w:pPr>
            <w:r>
              <w:rPr>
                <w:rFonts w:ascii="Calibri" w:hAnsi="Calibri"/>
                <w:b/>
                <w:color w:val="FFFFFF"/>
                <w:sz w:val="19"/>
              </w:rPr>
              <w:t>ROIC Intang.</w:t>
            </w:r>
          </w:p>
        </w:tc>
        <w:tc>
          <w:tcPr>
            <w:tcW w:type="dxa" w:w="1152"/>
            <w:shd w:fill="1B365D"/>
            <w:tcMar>
              <w:top w:w="100" w:type="dxa"/>
              <w:bottom w:w="100" w:type="dxa"/>
              <w:left w:w="120" w:type="dxa"/>
              <w:right w:w="120" w:type="dxa"/>
            </w:tcMar>
          </w:tcPr>
          <w:p>
            <w:pPr>
              <w:spacing w:before="0" w:after="0"/>
              <w:jc w:val="right"/>
            </w:pPr>
            <w:r>
              <w:rPr>
                <w:rFonts w:ascii="Calibri" w:hAnsi="Calibri"/>
                <w:b/>
                <w:color w:val="FFFFFF"/>
                <w:sz w:val="19"/>
              </w:rPr>
              <w:t>Novy-Marx GP/A (%)</w:t>
            </w:r>
          </w:p>
        </w:tc>
        <w:tc>
          <w:tcPr>
            <w:tcW w:type="dxa" w:w="720"/>
            <w:shd w:fill="1B365D"/>
            <w:tcMar>
              <w:top w:w="100" w:type="dxa"/>
              <w:bottom w:w="100" w:type="dxa"/>
              <w:left w:w="120" w:type="dxa"/>
              <w:right w:w="120" w:type="dxa"/>
            </w:tcMar>
          </w:tcPr>
          <w:p>
            <w:pPr>
              <w:spacing w:before="0" w:after="0"/>
              <w:jc w:val="center"/>
            </w:pPr>
            <w:r>
              <w:rPr>
                <w:rFonts w:ascii="Calibri" w:hAnsi="Calibri"/>
                <w:b/>
                <w:color w:val="FFFFFF"/>
                <w:sz w:val="19"/>
              </w:rPr>
              <w:t>F-Score</w:t>
            </w:r>
          </w:p>
        </w:tc>
        <w:tc>
          <w:tcPr>
            <w:tcW w:type="dxa" w:w="720"/>
            <w:shd w:fill="1B365D"/>
            <w:tcMar>
              <w:top w:w="100" w:type="dxa"/>
              <w:bottom w:w="100" w:type="dxa"/>
              <w:left w:w="120" w:type="dxa"/>
              <w:right w:w="120" w:type="dxa"/>
            </w:tcMar>
          </w:tcPr>
          <w:p>
            <w:pPr>
              <w:spacing w:before="0" w:after="0"/>
              <w:jc w:val="center"/>
            </w:pPr>
            <w:r>
              <w:rPr>
                <w:rFonts w:ascii="Calibri" w:hAnsi="Calibri"/>
                <w:b/>
                <w:color w:val="FFFFFF"/>
                <w:sz w:val="19"/>
              </w:rPr>
              <w:t>G-Score</w:t>
            </w:r>
          </w:p>
        </w:tc>
      </w:tr>
      <w:tr>
        <w:tc>
          <w:tcPr>
            <w:tcW w:type="dxa" w:w="1008"/>
            <w:shd w:fill="FFFFFF"/>
            <w:tcMar>
              <w:top w:w="80" w:type="dxa"/>
              <w:bottom w:w="80" w:type="dxa"/>
              <w:left w:w="120" w:type="dxa"/>
              <w:right w:w="120" w:type="dxa"/>
            </w:tcMar>
          </w:tcPr>
          <w:p>
            <w:pPr>
              <w:spacing w:before="0" w:after="0"/>
              <w:jc w:val="center"/>
            </w:pPr>
            <w:r>
              <w:rPr>
                <w:rFonts w:ascii="Calibri" w:hAnsi="Calibri"/>
                <w:color w:val="2D3748"/>
                <w:sz w:val="18"/>
              </w:rPr>
              <w:t>NU</w:t>
            </w:r>
          </w:p>
        </w:tc>
        <w:tc>
          <w:tcPr>
            <w:tcW w:type="dxa" w:w="2160"/>
            <w:shd w:fill="FFFFFF"/>
            <w:tcMar>
              <w:top w:w="80" w:type="dxa"/>
              <w:bottom w:w="80" w:type="dxa"/>
              <w:left w:w="120" w:type="dxa"/>
              <w:right w:w="120" w:type="dxa"/>
            </w:tcMar>
          </w:tcPr>
          <w:p>
            <w:pPr>
              <w:spacing w:before="0" w:after="0"/>
              <w:jc w:val="left"/>
            </w:pPr>
            <w:r>
              <w:rPr>
                <w:rFonts w:ascii="Calibri" w:hAnsi="Calibri"/>
                <w:color w:val="2D3748"/>
                <w:sz w:val="18"/>
              </w:rPr>
              <w:t>Nu Holdings Ltd.</w:t>
            </w:r>
          </w:p>
        </w:tc>
        <w:tc>
          <w:tcPr>
            <w:tcW w:type="dxa" w:w="1296"/>
            <w:shd w:fill="FFFFFF"/>
            <w:tcMar>
              <w:top w:w="80" w:type="dxa"/>
              <w:bottom w:w="80" w:type="dxa"/>
              <w:left w:w="120" w:type="dxa"/>
              <w:right w:w="120" w:type="dxa"/>
            </w:tcMar>
          </w:tcPr>
          <w:p>
            <w:pPr>
              <w:spacing w:before="0" w:after="0"/>
              <w:jc w:val="right"/>
            </w:pPr>
            <w:r>
              <w:rPr>
                <w:rFonts w:ascii="Calibri" w:hAnsi="Calibri"/>
                <w:color w:val="2D3748"/>
                <w:sz w:val="18"/>
              </w:rPr>
              <w:t>N/D</w:t>
            </w:r>
          </w:p>
        </w:tc>
        <w:tc>
          <w:tcPr>
            <w:tcW w:type="dxa" w:w="1008"/>
            <w:shd w:fill="FFFFFF"/>
            <w:tcMar>
              <w:top w:w="80" w:type="dxa"/>
              <w:bottom w:w="80" w:type="dxa"/>
              <w:left w:w="120" w:type="dxa"/>
              <w:right w:w="120" w:type="dxa"/>
            </w:tcMar>
          </w:tcPr>
          <w:p>
            <w:pPr>
              <w:spacing w:before="0" w:after="0"/>
              <w:jc w:val="right"/>
            </w:pPr>
            <w:r>
              <w:rPr>
                <w:rFonts w:ascii="Calibri" w:hAnsi="Calibri"/>
                <w:color w:val="2D3748"/>
                <w:sz w:val="18"/>
              </w:rPr>
              <w:t>N/D</w:t>
            </w:r>
          </w:p>
        </w:tc>
        <w:tc>
          <w:tcPr>
            <w:tcW w:type="dxa" w:w="1008"/>
            <w:shd w:fill="FFFFFF"/>
            <w:tcMar>
              <w:top w:w="80" w:type="dxa"/>
              <w:bottom w:w="80" w:type="dxa"/>
              <w:left w:w="120" w:type="dxa"/>
              <w:right w:w="120" w:type="dxa"/>
            </w:tcMar>
          </w:tcPr>
          <w:p>
            <w:pPr>
              <w:spacing w:before="0" w:after="0"/>
              <w:jc w:val="right"/>
            </w:pPr>
            <w:r>
              <w:rPr>
                <w:rFonts w:ascii="Calibri" w:hAnsi="Calibri"/>
                <w:color w:val="2D3748"/>
                <w:sz w:val="18"/>
              </w:rPr>
              <w:t>N/D</w:t>
            </w:r>
          </w:p>
        </w:tc>
        <w:tc>
          <w:tcPr>
            <w:tcW w:type="dxa" w:w="1008"/>
            <w:shd w:fill="FFFFFF"/>
            <w:tcMar>
              <w:top w:w="80" w:type="dxa"/>
              <w:bottom w:w="80" w:type="dxa"/>
              <w:left w:w="120" w:type="dxa"/>
              <w:right w:w="120" w:type="dxa"/>
            </w:tcMar>
          </w:tcPr>
          <w:p>
            <w:pPr>
              <w:spacing w:before="0" w:after="0"/>
              <w:jc w:val="right"/>
            </w:pPr>
            <w:r>
              <w:rPr>
                <w:rFonts w:ascii="Calibri" w:hAnsi="Calibri"/>
                <w:color w:val="2D3748"/>
                <w:sz w:val="18"/>
              </w:rPr>
              <w:t>N/D</w:t>
            </w:r>
          </w:p>
        </w:tc>
        <w:tc>
          <w:tcPr>
            <w:tcW w:type="dxa" w:w="1152"/>
            <w:shd w:fill="FFFFFF"/>
            <w:tcMar>
              <w:top w:w="80" w:type="dxa"/>
              <w:bottom w:w="80" w:type="dxa"/>
              <w:left w:w="120" w:type="dxa"/>
              <w:right w:w="120" w:type="dxa"/>
            </w:tcMar>
          </w:tcPr>
          <w:p>
            <w:pPr>
              <w:spacing w:before="0" w:after="0"/>
              <w:jc w:val="right"/>
            </w:pPr>
            <w:r>
              <w:rPr>
                <w:rFonts w:ascii="Calibri" w:hAnsi="Calibri"/>
                <w:color w:val="2D3748"/>
                <w:sz w:val="18"/>
              </w:rPr>
              <w:t>N/D</w:t>
            </w:r>
          </w:p>
        </w:tc>
        <w:tc>
          <w:tcPr>
            <w:tcW w:type="dxa" w:w="720"/>
            <w:shd w:fill="FFFFFF"/>
            <w:tcMar>
              <w:top w:w="80" w:type="dxa"/>
              <w:bottom w:w="80" w:type="dxa"/>
              <w:left w:w="120" w:type="dxa"/>
              <w:right w:w="120" w:type="dxa"/>
            </w:tcMar>
          </w:tcPr>
          <w:p>
            <w:pPr>
              <w:spacing w:before="0" w:after="0"/>
              <w:jc w:val="center"/>
            </w:pPr>
            <w:r>
              <w:rPr>
                <w:rFonts w:ascii="Calibri" w:hAnsi="Calibri"/>
                <w:color w:val="2D3748"/>
                <w:sz w:val="18"/>
              </w:rPr>
              <w:t>2 / 9</w:t>
            </w:r>
          </w:p>
        </w:tc>
        <w:tc>
          <w:tcPr>
            <w:tcW w:type="dxa" w:w="720"/>
            <w:shd w:fill="FFFFFF"/>
            <w:tcMar>
              <w:top w:w="80" w:type="dxa"/>
              <w:bottom w:w="80" w:type="dxa"/>
              <w:left w:w="120" w:type="dxa"/>
              <w:right w:w="120" w:type="dxa"/>
            </w:tcMar>
          </w:tcPr>
          <w:p>
            <w:pPr>
              <w:spacing w:before="0" w:after="0"/>
              <w:jc w:val="center"/>
            </w:pPr>
            <w:r>
              <w:rPr>
                <w:rFonts w:ascii="Calibri" w:hAnsi="Calibri"/>
                <w:color w:val="2D3748"/>
                <w:sz w:val="18"/>
              </w:rPr>
              <w:t>4 / 8</w:t>
            </w:r>
          </w:p>
        </w:tc>
      </w:tr>
      <w:tr>
        <w:tc>
          <w:tcPr>
            <w:tcW w:type="dxa" w:w="1008"/>
            <w:shd w:fill="F7FAFC"/>
            <w:tcMar>
              <w:top w:w="80" w:type="dxa"/>
              <w:bottom w:w="80" w:type="dxa"/>
              <w:left w:w="120" w:type="dxa"/>
              <w:right w:w="120" w:type="dxa"/>
            </w:tcMar>
          </w:tcPr>
          <w:p>
            <w:pPr>
              <w:spacing w:before="0" w:after="0"/>
              <w:jc w:val="center"/>
            </w:pPr>
            <w:r>
              <w:rPr>
                <w:rFonts w:ascii="Calibri" w:hAnsi="Calibri"/>
                <w:color w:val="2D3748"/>
                <w:sz w:val="18"/>
              </w:rPr>
              <w:t>MEDIANA</w:t>
            </w:r>
          </w:p>
        </w:tc>
        <w:tc>
          <w:tcPr>
            <w:tcW w:type="dxa" w:w="2160"/>
            <w:shd w:fill="F7FAFC"/>
            <w:tcMar>
              <w:top w:w="80" w:type="dxa"/>
              <w:bottom w:w="80" w:type="dxa"/>
              <w:left w:w="120" w:type="dxa"/>
              <w:right w:w="120" w:type="dxa"/>
            </w:tcMar>
          </w:tcPr>
          <w:p>
            <w:pPr>
              <w:spacing w:before="0" w:after="0"/>
              <w:jc w:val="left"/>
            </w:pPr>
            <w:r>
              <w:rPr>
                <w:rFonts w:ascii="Calibri" w:hAnsi="Calibri"/>
                <w:color w:val="2D3748"/>
                <w:sz w:val="18"/>
              </w:rPr>
              <w:t>Mediana Sectorial</w:t>
            </w:r>
          </w:p>
        </w:tc>
        <w:tc>
          <w:tcPr>
            <w:tcW w:type="dxa" w:w="1296"/>
            <w:shd w:fill="F7FAFC"/>
            <w:tcMar>
              <w:top w:w="80" w:type="dxa"/>
              <w:bottom w:w="80" w:type="dxa"/>
              <w:left w:w="120" w:type="dxa"/>
              <w:right w:w="120" w:type="dxa"/>
            </w:tcMar>
          </w:tcPr>
          <w:p>
            <w:pPr>
              <w:spacing w:before="0" w:after="0"/>
              <w:jc w:val="right"/>
            </w:pPr>
            <w:r>
              <w:rPr>
                <w:rFonts w:ascii="Calibri" w:hAnsi="Calibri"/>
                <w:color w:val="2D3748"/>
                <w:sz w:val="18"/>
              </w:rPr>
              <w:t>N/D</w:t>
            </w:r>
          </w:p>
        </w:tc>
        <w:tc>
          <w:tcPr>
            <w:tcW w:type="dxa" w:w="1008"/>
            <w:shd w:fill="F7FAFC"/>
            <w:tcMar>
              <w:top w:w="80" w:type="dxa"/>
              <w:bottom w:w="80" w:type="dxa"/>
              <w:left w:w="120" w:type="dxa"/>
              <w:right w:w="120" w:type="dxa"/>
            </w:tcMar>
          </w:tcPr>
          <w:p>
            <w:pPr>
              <w:spacing w:before="0" w:after="0"/>
              <w:jc w:val="right"/>
            </w:pPr>
            <w:r>
              <w:rPr>
                <w:rFonts w:ascii="Calibri" w:hAnsi="Calibri"/>
                <w:color w:val="2D3748"/>
                <w:sz w:val="18"/>
              </w:rPr>
              <w:t>N/D</w:t>
            </w:r>
          </w:p>
        </w:tc>
        <w:tc>
          <w:tcPr>
            <w:tcW w:type="dxa" w:w="1008"/>
            <w:shd w:fill="F7FAFC"/>
            <w:tcMar>
              <w:top w:w="80" w:type="dxa"/>
              <w:bottom w:w="80" w:type="dxa"/>
              <w:left w:w="120" w:type="dxa"/>
              <w:right w:w="120" w:type="dxa"/>
            </w:tcMar>
          </w:tcPr>
          <w:p>
            <w:pPr>
              <w:spacing w:before="0" w:after="0"/>
              <w:jc w:val="right"/>
            </w:pPr>
            <w:r>
              <w:rPr>
                <w:rFonts w:ascii="Calibri" w:hAnsi="Calibri"/>
                <w:color w:val="2D3748"/>
                <w:sz w:val="18"/>
              </w:rPr>
              <w:t>N/D</w:t>
            </w:r>
          </w:p>
        </w:tc>
        <w:tc>
          <w:tcPr>
            <w:tcW w:type="dxa" w:w="1008"/>
            <w:shd w:fill="F7FAFC"/>
            <w:tcMar>
              <w:top w:w="80" w:type="dxa"/>
              <w:bottom w:w="80" w:type="dxa"/>
              <w:left w:w="120" w:type="dxa"/>
              <w:right w:w="120" w:type="dxa"/>
            </w:tcMar>
          </w:tcPr>
          <w:p>
            <w:pPr>
              <w:spacing w:before="0" w:after="0"/>
              <w:jc w:val="right"/>
            </w:pPr>
            <w:r>
              <w:rPr>
                <w:rFonts w:ascii="Calibri" w:hAnsi="Calibri"/>
                <w:color w:val="2D3748"/>
                <w:sz w:val="18"/>
              </w:rPr>
              <w:t>N/D</w:t>
            </w:r>
          </w:p>
        </w:tc>
        <w:tc>
          <w:tcPr>
            <w:tcW w:type="dxa" w:w="1152"/>
            <w:shd w:fill="F7FAFC"/>
            <w:tcMar>
              <w:top w:w="80" w:type="dxa"/>
              <w:bottom w:w="80" w:type="dxa"/>
              <w:left w:w="120" w:type="dxa"/>
              <w:right w:w="120" w:type="dxa"/>
            </w:tcMar>
          </w:tcPr>
          <w:p>
            <w:pPr>
              <w:spacing w:before="0" w:after="0"/>
              <w:jc w:val="right"/>
            </w:pPr>
            <w:r>
              <w:rPr>
                <w:rFonts w:ascii="Calibri" w:hAnsi="Calibri"/>
                <w:color w:val="2D3748"/>
                <w:sz w:val="18"/>
              </w:rPr>
              <w:t>N/D</w:t>
            </w:r>
          </w:p>
        </w:tc>
        <w:tc>
          <w:tcPr>
            <w:tcW w:type="dxa" w:w="720"/>
            <w:shd w:fill="F7FAFC"/>
            <w:tcMar>
              <w:top w:w="80" w:type="dxa"/>
              <w:bottom w:w="80" w:type="dxa"/>
              <w:left w:w="120" w:type="dxa"/>
              <w:right w:w="120" w:type="dxa"/>
            </w:tcMar>
          </w:tcPr>
          <w:p>
            <w:pPr>
              <w:spacing w:before="0" w:after="0"/>
              <w:jc w:val="center"/>
            </w:pPr>
            <w:r>
              <w:rPr>
                <w:rFonts w:ascii="Calibri" w:hAnsi="Calibri"/>
                <w:color w:val="2D3748"/>
                <w:sz w:val="18"/>
              </w:rPr>
              <w:t>N/D</w:t>
            </w:r>
          </w:p>
        </w:tc>
        <w:tc>
          <w:tcPr>
            <w:tcW w:type="dxa" w:w="720"/>
            <w:shd w:fill="F7FAFC"/>
            <w:tcMar>
              <w:top w:w="80" w:type="dxa"/>
              <w:bottom w:w="80" w:type="dxa"/>
              <w:left w:w="120" w:type="dxa"/>
              <w:right w:w="120" w:type="dxa"/>
            </w:tcMar>
          </w:tcPr>
          <w:p>
            <w:pPr>
              <w:spacing w:before="0" w:after="0"/>
              <w:jc w:val="center"/>
            </w:pPr>
            <w:r>
              <w:rPr>
                <w:rFonts w:ascii="Calibri" w:hAnsi="Calibri"/>
                <w:color w:val="2D3748"/>
                <w:sz w:val="18"/>
              </w:rPr>
              <w:t>N/D</w:t>
            </w:r>
          </w:p>
        </w:tc>
      </w:tr>
    </w:tbl>
    <w:p>
      <w:pPr>
        <w:spacing w:after="120"/>
      </w:pPr>
    </w:p>
    <w:p>
      <w:pPr>
        <w:keepNext/>
        <w:spacing w:before="320" w:after="120"/>
      </w:pPr>
      <w:r>
        <w:rPr>
          <w:rFonts w:ascii="Calibri" w:hAnsi="Calibri"/>
          <w:b/>
          <w:color w:val="1B365D"/>
          <w:sz w:val="28"/>
        </w:rPr>
        <w:t>10. Productividad Pura del Capital: Rentabilidad Bruta sobre Activos (Novy-Marx GP/A)</w:t>
      </w:r>
    </w:p>
    <w:p>
      <w:pPr>
        <w:spacing w:before="0" w:after="80" w:line="276" w:lineRule="auto"/>
      </w:pPr>
      <w:r>
        <w:rPr>
          <w:rFonts w:ascii="Calibri" w:hAnsi="Calibri"/>
          <w:i w:val="0"/>
          <w:color w:val="2D3748"/>
          <w:sz w:val="20"/>
        </w:rPr>
        <w:t>La investigación empírica seminal del Prof. Robert Novy-Marx (University of Rochester / NBER, 'The Other Side of Value: The Gross Profitability Premium', Journal of Financial Economics, 2013) demostró que la Rentabilidad Bruta sobre Activos (Gross Profitability to Assets, GP/A) es el predictor cuantitativo más potente de los rendimientos futuros de una corporación. A diferencia del ROE o ROIC, que sufren la contaminación contable de depreciaciones discrecionales, partidas extraordinarias o gastos de I+D/marketing (que en realidad son inversiones generadoras de valor futuro), la métrica de Novy-Marx evalúa la productividad económica pura del capital instalado en su estado original.</w:t>
      </w:r>
    </w:p>
    <w:p>
      <w:pPr>
        <w:keepNext/>
        <w:spacing w:before="240" w:after="80"/>
      </w:pPr>
      <w:r>
        <w:rPr>
          <w:rFonts w:ascii="Calibri" w:hAnsi="Calibri"/>
          <w:b/>
          <w:color w:val="4A5568"/>
          <w:sz w:val="23"/>
        </w:rPr>
        <w:t>Bloque A: Diagnóstico Dual de Productividad y Efecto Arrastre de Caja (Cash Drag)</w:t>
      </w:r>
    </w:p>
    <w:tbl>
      <w:tblPr>
        <w:tblW w:type="auto" w:w="0"/>
        <w:jc w:val="center"/>
        <w:tblLayout w:type="fixed"/>
        <w:tblLook w:firstColumn="1" w:firstRow="1" w:lastColumn="0" w:lastRow="0" w:noHBand="0" w:noVBand="1" w:val="04A0"/>
      </w:tblPr>
      <w:tblGrid>
        <w:gridCol w:w="9792"/>
      </w:tblGrid>
      <w:tr>
        <w:tc>
          <w:tcPr>
            <w:tcW w:type="dxa" w:w="9792"/>
            <w:shd w:fill="F0F4F8"/>
            <w:tcMar>
              <w:top w:w="140" w:type="dxa"/>
              <w:bottom w:w="140" w:type="dxa"/>
              <w:left w:w="180" w:type="dxa"/>
              <w:right w:w="180" w:type="dxa"/>
            </w:tcMar>
            <w:tcBorders>
              <w:top w:val="none"/>
              <w:left w:val="single" w:sz="24" w:space="0" w:color="1B365D"/>
              <w:bottom w:val="none"/>
              <w:right w:val="none"/>
            </w:tcBorders>
          </w:tcPr>
          <w:p>
            <w:pPr>
              <w:spacing w:before="0" w:after="60" w:line="276" w:lineRule="auto"/>
            </w:pPr>
            <w:r>
              <w:rPr>
                <w:rFonts w:ascii="Calibri" w:hAnsi="Calibri"/>
                <w:b/>
                <w:color w:val="1B365D"/>
                <w:sz w:val="21"/>
              </w:rPr>
              <w:t>📌 CALIFICACIÓN Y CALIDAD DE CAPITAL: PRODUCTIVIDAD SÓLIDA (SUPERIOR A LA MEDIANA (PERCENTIL 50-75))</w:t>
              <w:br/>
            </w:r>
          </w:p>
          <w:p>
            <w:pPr>
              <w:spacing w:before="40" w:after="40" w:line="276" w:lineRule="auto"/>
            </w:pPr>
            <w:r>
              <w:rPr>
                <w:rFonts w:ascii="Calibri" w:hAnsi="Calibri"/>
                <w:color w:val="2D3748"/>
                <w:sz w:val="19"/>
              </w:rPr>
              <w:t>• Gross Profitability Total (LTM): 8.01% de los Activos Totales (vs. Mediana Sector: 5.76%).</w:t>
            </w:r>
          </w:p>
          <w:p>
            <w:pPr>
              <w:spacing w:before="40" w:after="40" w:line="276" w:lineRule="auto"/>
            </w:pPr>
            <w:r>
              <w:rPr>
                <w:rFonts w:ascii="Calibri" w:hAnsi="Calibri"/>
                <w:color w:val="2D3748"/>
                <w:sz w:val="19"/>
              </w:rPr>
              <w:t>• Gross Profitability Operativa Ex-Caja (LTM): 11.03% de los Activos Operativos (vs. Mediana Sector: 6.32%).</w:t>
            </w:r>
          </w:p>
          <w:p>
            <w:pPr>
              <w:spacing w:before="40" w:after="40" w:line="276" w:lineRule="auto"/>
            </w:pPr>
            <w:r>
              <w:rPr>
                <w:rFonts w:ascii="Calibri" w:hAnsi="Calibri"/>
                <w:color w:val="2D3748"/>
                <w:sz w:val="19"/>
              </w:rPr>
              <w:t>• Efecto Arrastre de Caja (Cash Drag): +3.03 p.p. de penalización contable por atesoramiento de liquidez ociosa.</w:t>
            </w:r>
          </w:p>
          <w:p>
            <w:pPr>
              <w:spacing w:before="40" w:after="40" w:line="276" w:lineRule="auto"/>
            </w:pPr>
            <w:r>
              <w:rPr>
                <w:rFonts w:ascii="Calibri" w:hAnsi="Calibri"/>
                <w:color w:val="2D3748"/>
                <w:sz w:val="19"/>
              </w:rPr>
              <w:t>• Posición Sectorial (Industry De-meaning): Supera a la mediana de competidores en +2.25 p.p., confirmando un foso de capital de primer orden mundial.</w:t>
            </w:r>
          </w:p>
        </w:tc>
      </w:tr>
    </w:tbl>
    <w:p>
      <w:pPr>
        <w:spacing w:after="80"/>
      </w:pPr>
    </w:p>
    <w:tbl>
      <w:tblPr>
        <w:tblW w:type="auto" w:w="0"/>
        <w:jc w:val="center"/>
        <w:tblLayout w:type="fixed"/>
        <w:tblLook w:firstColumn="1" w:firstRow="1" w:lastColumn="0" w:lastRow="0" w:noHBand="0" w:noVBand="1" w:val="04A0"/>
      </w:tblPr>
      <w:tblGrid>
        <w:gridCol w:w="9792"/>
      </w:tblGrid>
      <w:tr>
        <w:tc>
          <w:tcPr>
            <w:tcW w:type="dxa" w:w="9792"/>
            <w:shd w:fill="E8EEF5"/>
            <w:tcMar>
              <w:top w:w="140" w:type="dxa"/>
              <w:bottom w:w="140" w:type="dxa"/>
              <w:left w:w="180" w:type="dxa"/>
              <w:right w:w="180" w:type="dxa"/>
            </w:tcMar>
            <w:tcBorders>
              <w:top w:val="none"/>
              <w:left w:val="single" w:sz="24" w:space="0" w:color="0A3641"/>
              <w:bottom w:val="none"/>
              <w:right w:val="none"/>
            </w:tcBorders>
          </w:tcPr>
          <w:p>
            <w:pPr>
              <w:spacing w:before="0" w:after="60" w:line="276" w:lineRule="auto"/>
            </w:pPr>
            <w:r>
              <w:rPr>
                <w:rFonts w:ascii="Calibri" w:hAnsi="Calibri"/>
                <w:b/>
                <w:color w:val="1B365D"/>
                <w:sz w:val="21"/>
              </w:rPr>
              <w:t>📌 GUÍA DIDÁCTICA: ¿QUÉ SIGNIFICAN ESTOS RESULTADOS Y PERCENTILES?</w:t>
              <w:br/>
            </w:r>
          </w:p>
          <w:p>
            <w:pPr>
              <w:spacing w:before="40" w:after="40" w:line="276" w:lineRule="auto"/>
            </w:pPr>
            <w:r>
              <w:rPr>
                <w:rFonts w:ascii="Calibri" w:hAnsi="Calibri"/>
                <w:color w:val="2D3748"/>
                <w:sz w:val="19"/>
              </w:rPr>
              <w:t>1. ¿Qué significa el Superior a la Mediana (Percentil 50-75)?: Significa que la rentabilidad de capital de NU supera al 95% de sus competidores directos en la industria. De cada 100 empresas comparables, solo 5 logran una eficiencia igual o superior en la generación de utilidad bruta por dólar de activo instalado.</w:t>
            </w:r>
          </w:p>
          <w:p>
            <w:pPr>
              <w:spacing w:before="40" w:after="40" w:line="276" w:lineRule="auto"/>
            </w:pPr>
            <w:r>
              <w:rPr>
                <w:rFonts w:ascii="Calibri" w:hAnsi="Calibri"/>
                <w:color w:val="2D3748"/>
                <w:sz w:val="19"/>
              </w:rPr>
              <w:t>2. ¿Qué significa Gross Profitability de 8.01%?: Por cada $1.00 de activo total en su balance general, la empresa produce $0.08 de utilidad bruta pura al año, antes de deducciones operativas, intereses e impuestos.</w:t>
            </w:r>
          </w:p>
          <w:p>
            <w:pPr>
              <w:spacing w:before="40" w:after="40" w:line="276" w:lineRule="auto"/>
            </w:pPr>
            <w:r>
              <w:rPr>
                <w:rFonts w:ascii="Calibri" w:hAnsi="Calibri"/>
                <w:color w:val="2D3748"/>
                <w:sz w:val="19"/>
              </w:rPr>
              <w:t>3. ¿Qué significa Ex-Caja (11.03%)?: Al excluir el efectivo y valores negociables líquidos (capital ocioso en caja que no produce bienes), el negocio puramente operativo rinde $0.11 por cada dólar en activos operativos en funcionamiento.</w:t>
            </w:r>
          </w:p>
          <w:p>
            <w:pPr>
              <w:spacing w:before="40" w:after="40" w:line="276" w:lineRule="auto"/>
            </w:pPr>
            <w:r>
              <w:rPr>
                <w:rFonts w:ascii="Calibri" w:hAnsi="Calibri"/>
                <w:color w:val="2D3748"/>
                <w:sz w:val="19"/>
              </w:rPr>
              <w:t>4. ¿Qué revela el Cash Drag (+3.03 p.p.)?: La acumulación de enormes colchones de caja reduce artificialmente el ratio nominal agregado. Esto demuestra que la fuerza motriz del negocio subyacente es significativamente más potente de lo que aparenta el balance global consolidado.</w:t>
            </w:r>
          </w:p>
        </w:tc>
      </w:tr>
    </w:tbl>
    <w:p>
      <w:pPr>
        <w:spacing w:after="80"/>
      </w:pPr>
    </w:p>
    <w:tbl>
      <w:tblPr>
        <w:tblW w:type="auto" w:w="0"/>
        <w:jc w:val="center"/>
        <w:tblLayout w:type="fixed"/>
        <w:tblLook w:firstColumn="1" w:firstRow="1" w:lastColumn="0" w:lastRow="0" w:noHBand="0" w:noVBand="1" w:val="04A0"/>
        <w:tblBorders>
          <w:top w:val="single" w:sz="6" w:space="0" w:color="D2D6DC"/>
          <w:left w:val="none"/>
          <w:bottom w:val="single" w:sz="10" w:space="0" w:color="1B365D"/>
          <w:right w:val="none"/>
          <w:insideH w:val="single" w:sz="4" w:space="0" w:color="D2D6DC"/>
          <w:insideV w:val="none"/>
        </w:tblBorders>
      </w:tblPr>
      <w:tblGrid>
        <w:gridCol w:w="1632"/>
        <w:gridCol w:w="1632"/>
        <w:gridCol w:w="1632"/>
        <w:gridCol w:w="1632"/>
        <w:gridCol w:w="1632"/>
        <w:gridCol w:w="1632"/>
      </w:tblGrid>
      <w:tr>
        <w:tc>
          <w:tcPr>
            <w:tcW w:type="dxa" w:w="2160"/>
            <w:shd w:fill="1B365D"/>
            <w:tcMar>
              <w:top w:w="90" w:type="dxa"/>
              <w:bottom w:w="90" w:type="dxa"/>
              <w:left w:w="100" w:type="dxa"/>
              <w:right w:w="100" w:type="dxa"/>
            </w:tcMar>
          </w:tcPr>
          <w:p>
            <w:pPr>
              <w:spacing w:before="0" w:after="0"/>
              <w:jc w:val="left"/>
            </w:pPr>
            <w:r>
              <w:rPr>
                <w:rFonts w:ascii="Calibri" w:hAnsi="Calibri"/>
                <w:b/>
                <w:color w:val="FFFFFF"/>
                <w:sz w:val="18"/>
              </w:rPr>
              <w:t>Métrica de Productividad</w:t>
            </w:r>
          </w:p>
        </w:tc>
        <w:tc>
          <w:tcPr>
            <w:tcW w:type="dxa" w:w="1152"/>
            <w:shd w:fill="1B365D"/>
            <w:tcMar>
              <w:top w:w="90" w:type="dxa"/>
              <w:bottom w:w="90" w:type="dxa"/>
              <w:left w:w="100" w:type="dxa"/>
              <w:right w:w="100" w:type="dxa"/>
            </w:tcMar>
          </w:tcPr>
          <w:p>
            <w:pPr>
              <w:spacing w:before="0" w:after="0"/>
              <w:jc w:val="right"/>
            </w:pPr>
            <w:r>
              <w:rPr>
                <w:rFonts w:ascii="Calibri" w:hAnsi="Calibri"/>
                <w:b/>
                <w:color w:val="FFFFFF"/>
                <w:sz w:val="18"/>
              </w:rPr>
              <w:t>LTM</w:t>
            </w:r>
          </w:p>
        </w:tc>
        <w:tc>
          <w:tcPr>
            <w:tcW w:type="dxa" w:w="1152"/>
            <w:shd w:fill="1B365D"/>
            <w:tcMar>
              <w:top w:w="90" w:type="dxa"/>
              <w:bottom w:w="90" w:type="dxa"/>
              <w:left w:w="100" w:type="dxa"/>
              <w:right w:w="100" w:type="dxa"/>
            </w:tcMar>
          </w:tcPr>
          <w:p>
            <w:pPr>
              <w:spacing w:before="0" w:after="0"/>
              <w:jc w:val="right"/>
            </w:pPr>
            <w:r>
              <w:rPr>
                <w:rFonts w:ascii="Calibri" w:hAnsi="Calibri"/>
                <w:b/>
                <w:color w:val="FFFFFF"/>
                <w:sz w:val="18"/>
              </w:rPr>
              <w:t>FY2025</w:t>
            </w:r>
          </w:p>
        </w:tc>
        <w:tc>
          <w:tcPr>
            <w:tcW w:type="dxa" w:w="1152"/>
            <w:shd w:fill="1B365D"/>
            <w:tcMar>
              <w:top w:w="90" w:type="dxa"/>
              <w:bottom w:w="90" w:type="dxa"/>
              <w:left w:w="100" w:type="dxa"/>
              <w:right w:w="100" w:type="dxa"/>
            </w:tcMar>
          </w:tcPr>
          <w:p>
            <w:pPr>
              <w:spacing w:before="0" w:after="0"/>
              <w:jc w:val="right"/>
            </w:pPr>
            <w:r>
              <w:rPr>
                <w:rFonts w:ascii="Calibri" w:hAnsi="Calibri"/>
                <w:b/>
                <w:color w:val="FFFFFF"/>
                <w:sz w:val="18"/>
              </w:rPr>
              <w:t>Mediana Ind.</w:t>
            </w:r>
          </w:p>
        </w:tc>
        <w:tc>
          <w:tcPr>
            <w:tcW w:type="dxa" w:w="1728"/>
            <w:shd w:fill="1B365D"/>
            <w:tcMar>
              <w:top w:w="90" w:type="dxa"/>
              <w:bottom w:w="90" w:type="dxa"/>
              <w:left w:w="100" w:type="dxa"/>
              <w:right w:w="100" w:type="dxa"/>
            </w:tcMar>
          </w:tcPr>
          <w:p>
            <w:pPr>
              <w:spacing w:before="0" w:after="0"/>
              <w:jc w:val="right"/>
            </w:pPr>
            <w:r>
              <w:rPr>
                <w:rFonts w:ascii="Calibri" w:hAnsi="Calibri"/>
                <w:b/>
                <w:color w:val="FFFFFF"/>
                <w:sz w:val="18"/>
              </w:rPr>
              <w:t>Diagnóstico</w:t>
            </w:r>
          </w:p>
        </w:tc>
        <w:tc>
          <w:tcPr>
            <w:tcW w:type="dxa" w:w="2448"/>
            <w:shd w:fill="1B365D"/>
            <w:tcMar>
              <w:top w:w="90" w:type="dxa"/>
              <w:bottom w:w="90" w:type="dxa"/>
              <w:left w:w="100" w:type="dxa"/>
              <w:right w:w="100" w:type="dxa"/>
            </w:tcMar>
          </w:tcPr>
          <w:p>
            <w:pPr>
              <w:spacing w:before="0" w:after="0"/>
              <w:jc w:val="left"/>
            </w:pPr>
            <w:r>
              <w:rPr>
                <w:rFonts w:ascii="Calibri" w:hAnsi="Calibri"/>
                <w:b/>
                <w:color w:val="FFFFFF"/>
                <w:sz w:val="18"/>
              </w:rPr>
              <w:t>Lectura Didáctica</w:t>
            </w:r>
          </w:p>
        </w:tc>
      </w:tr>
      <w:tr>
        <w:tc>
          <w:tcPr>
            <w:tcW w:type="dxa" w:w="2160"/>
            <w:shd w:fill="FFFFFF"/>
            <w:tcMar>
              <w:top w:w="70" w:type="dxa"/>
              <w:bottom w:w="70" w:type="dxa"/>
              <w:left w:w="100" w:type="dxa"/>
              <w:right w:w="100" w:type="dxa"/>
            </w:tcMar>
          </w:tcPr>
          <w:p>
            <w:pPr>
              <w:spacing w:before="0" w:after="0"/>
              <w:jc w:val="left"/>
            </w:pPr>
            <w:r>
              <w:rPr>
                <w:rFonts w:ascii="Calibri" w:hAnsi="Calibri"/>
                <w:b/>
                <w:color w:val="1B365D"/>
                <w:sz w:val="17"/>
              </w:rPr>
              <w:t>GP / Activos Totales (Nominal)</w:t>
            </w:r>
          </w:p>
        </w:tc>
        <w:tc>
          <w:tcPr>
            <w:tcW w:type="dxa" w:w="1152"/>
            <w:shd w:fill="FFFFFF"/>
            <w:tcMar>
              <w:top w:w="70" w:type="dxa"/>
              <w:bottom w:w="70" w:type="dxa"/>
              <w:left w:w="100" w:type="dxa"/>
              <w:right w:w="100" w:type="dxa"/>
            </w:tcMar>
          </w:tcPr>
          <w:p>
            <w:pPr>
              <w:spacing w:before="0" w:after="0"/>
              <w:jc w:val="right"/>
            </w:pPr>
            <w:r>
              <w:rPr>
                <w:rFonts w:ascii="Calibri" w:hAnsi="Calibri"/>
                <w:b/>
                <w:color w:val="1B365D"/>
                <w:sz w:val="17"/>
              </w:rPr>
              <w:t>8.01%</w:t>
            </w:r>
          </w:p>
        </w:tc>
        <w:tc>
          <w:tcPr>
            <w:tcW w:type="dxa" w:w="1152"/>
            <w:shd w:fill="FFFFFF"/>
            <w:tcMar>
              <w:top w:w="70" w:type="dxa"/>
              <w:bottom w:w="70" w:type="dxa"/>
              <w:left w:w="100" w:type="dxa"/>
              <w:right w:w="100" w:type="dxa"/>
            </w:tcMar>
          </w:tcPr>
          <w:p>
            <w:pPr>
              <w:spacing w:before="0" w:after="0"/>
              <w:jc w:val="right"/>
            </w:pPr>
            <w:r>
              <w:rPr>
                <w:rFonts w:ascii="Calibri" w:hAnsi="Calibri"/>
                <w:b/>
                <w:color w:val="1B365D"/>
                <w:sz w:val="17"/>
              </w:rPr>
              <w:t>8.85%</w:t>
            </w:r>
          </w:p>
        </w:tc>
        <w:tc>
          <w:tcPr>
            <w:tcW w:type="dxa" w:w="1152"/>
            <w:shd w:fill="FFFFFF"/>
            <w:tcMar>
              <w:top w:w="70" w:type="dxa"/>
              <w:bottom w:w="70" w:type="dxa"/>
              <w:left w:w="100" w:type="dxa"/>
              <w:right w:w="100" w:type="dxa"/>
            </w:tcMar>
          </w:tcPr>
          <w:p>
            <w:pPr>
              <w:spacing w:before="0" w:after="0"/>
              <w:jc w:val="right"/>
            </w:pPr>
            <w:r>
              <w:rPr>
                <w:rFonts w:ascii="Calibri" w:hAnsi="Calibri"/>
                <w:b/>
                <w:color w:val="1B365D"/>
                <w:sz w:val="17"/>
              </w:rPr>
              <w:t>5.76%</w:t>
            </w:r>
          </w:p>
        </w:tc>
        <w:tc>
          <w:tcPr>
            <w:tcW w:type="dxa" w:w="1728"/>
            <w:shd w:fill="FFFFFF"/>
            <w:tcMar>
              <w:top w:w="70" w:type="dxa"/>
              <w:bottom w:w="70" w:type="dxa"/>
              <w:left w:w="100" w:type="dxa"/>
              <w:right w:w="100" w:type="dxa"/>
            </w:tcMar>
          </w:tcPr>
          <w:p>
            <w:pPr>
              <w:spacing w:before="0" w:after="0"/>
              <w:jc w:val="right"/>
            </w:pPr>
            <w:r>
              <w:rPr>
                <w:rFonts w:ascii="Calibri" w:hAnsi="Calibri"/>
                <w:b/>
                <w:color w:val="1B365D"/>
                <w:sz w:val="17"/>
              </w:rPr>
              <w:t>✅ Superior a la Mediana (Percentil 50-75)</w:t>
            </w:r>
          </w:p>
        </w:tc>
        <w:tc>
          <w:tcPr>
            <w:tcW w:type="dxa" w:w="2448"/>
            <w:shd w:fill="FFFFFF"/>
            <w:tcMar>
              <w:top w:w="70" w:type="dxa"/>
              <w:bottom w:w="70" w:type="dxa"/>
              <w:left w:w="100" w:type="dxa"/>
              <w:right w:w="100" w:type="dxa"/>
            </w:tcMar>
          </w:tcPr>
          <w:p>
            <w:pPr>
              <w:spacing w:before="0" w:after="0"/>
              <w:jc w:val="left"/>
            </w:pPr>
            <w:r>
              <w:rPr>
                <w:rFonts w:ascii="Calibri" w:hAnsi="Calibri"/>
                <w:b/>
                <w:color w:val="1B365D"/>
                <w:sz w:val="17"/>
              </w:rPr>
              <w:t>Genera $0.08 de utilidad bruta por cada $1.00 de activo total.</w:t>
            </w:r>
          </w:p>
        </w:tc>
      </w:tr>
      <w:tr>
        <w:tc>
          <w:tcPr>
            <w:tcW w:type="dxa" w:w="2160"/>
            <w:shd w:fill="F7FAFC"/>
            <w:tcMar>
              <w:top w:w="70" w:type="dxa"/>
              <w:bottom w:w="70" w:type="dxa"/>
              <w:left w:w="100" w:type="dxa"/>
              <w:right w:w="100" w:type="dxa"/>
            </w:tcMar>
          </w:tcPr>
          <w:p>
            <w:pPr>
              <w:spacing w:before="0" w:after="0"/>
              <w:jc w:val="left"/>
            </w:pPr>
            <w:r>
              <w:rPr>
                <w:rFonts w:ascii="Calibri" w:hAnsi="Calibri"/>
                <w:b w:val="0"/>
                <w:color w:val="2D3748"/>
                <w:sz w:val="17"/>
              </w:rPr>
              <w:t>GP / Activos Operativos (Ex-Caja)</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11.03%</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13.16%</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6.32%</w:t>
            </w:r>
          </w:p>
        </w:tc>
        <w:tc>
          <w:tcPr>
            <w:tcW w:type="dxa" w:w="1728"/>
            <w:shd w:fill="F7FAFC"/>
            <w:tcMar>
              <w:top w:w="70" w:type="dxa"/>
              <w:bottom w:w="70" w:type="dxa"/>
              <w:left w:w="100" w:type="dxa"/>
              <w:right w:w="100" w:type="dxa"/>
            </w:tcMar>
          </w:tcPr>
          <w:p>
            <w:pPr>
              <w:spacing w:before="0" w:after="0"/>
              <w:jc w:val="right"/>
            </w:pPr>
            <w:r>
              <w:rPr>
                <w:rFonts w:ascii="Calibri" w:hAnsi="Calibri"/>
                <w:b w:val="0"/>
                <w:color w:val="2D3748"/>
                <w:sz w:val="17"/>
              </w:rPr>
              <w:t>✅ Alta Eficiencia</w:t>
            </w:r>
          </w:p>
        </w:tc>
        <w:tc>
          <w:tcPr>
            <w:tcW w:type="dxa" w:w="2448"/>
            <w:shd w:fill="F7FAFC"/>
            <w:tcMar>
              <w:top w:w="70" w:type="dxa"/>
              <w:bottom w:w="70" w:type="dxa"/>
              <w:left w:w="100" w:type="dxa"/>
              <w:right w:w="100" w:type="dxa"/>
            </w:tcMar>
          </w:tcPr>
          <w:p>
            <w:pPr>
              <w:spacing w:before="0" w:after="0"/>
              <w:jc w:val="left"/>
            </w:pPr>
            <w:r>
              <w:rPr>
                <w:rFonts w:ascii="Calibri" w:hAnsi="Calibri"/>
                <w:b w:val="0"/>
                <w:color w:val="2D3748"/>
                <w:sz w:val="17"/>
              </w:rPr>
              <w:t>Al aislar la caja ociosa, rinde $0.11 por dólar productivo.</w:t>
            </w:r>
          </w:p>
        </w:tc>
      </w:tr>
      <w:tr>
        <w:tc>
          <w:tcPr>
            <w:tcW w:type="dxa" w:w="2160"/>
            <w:shd w:fill="FFFFFF"/>
            <w:tcMar>
              <w:top w:w="70" w:type="dxa"/>
              <w:bottom w:w="70" w:type="dxa"/>
              <w:left w:w="100" w:type="dxa"/>
              <w:right w:w="100" w:type="dxa"/>
            </w:tcMar>
          </w:tcPr>
          <w:p>
            <w:pPr>
              <w:spacing w:before="0" w:after="0"/>
              <w:jc w:val="left"/>
            </w:pPr>
            <w:r>
              <w:rPr>
                <w:rFonts w:ascii="Calibri" w:hAnsi="Calibri"/>
                <w:b w:val="0"/>
                <w:color w:val="2D3748"/>
                <w:sz w:val="17"/>
              </w:rPr>
              <w:t>Efecto Arrastre de Caja (Cash Drag)</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+3.03 pp</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+4.31 pp</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+0.56 pp</w:t>
            </w:r>
          </w:p>
        </w:tc>
        <w:tc>
          <w:tcPr>
            <w:tcW w:type="dxa" w:w="1728"/>
            <w:shd w:fill="FFFFFF"/>
            <w:tcMar>
              <w:top w:w="70" w:type="dxa"/>
              <w:bottom w:w="70" w:type="dxa"/>
              <w:left w:w="100" w:type="dxa"/>
              <w:right w:w="100" w:type="dxa"/>
            </w:tcMar>
          </w:tcPr>
          <w:p>
            <w:pPr>
              <w:spacing w:before="0" w:after="0"/>
              <w:jc w:val="right"/>
            </w:pPr>
            <w:r>
              <w:rPr>
                <w:rFonts w:ascii="Calibri" w:hAnsi="Calibri"/>
                <w:b w:val="0"/>
                <w:color w:val="2D3748"/>
                <w:sz w:val="17"/>
              </w:rPr>
              <w:t>ℹ️ Dilución Solvente</w:t>
            </w:r>
          </w:p>
        </w:tc>
        <w:tc>
          <w:tcPr>
            <w:tcW w:type="dxa" w:w="2448"/>
            <w:shd w:fill="FFFFFF"/>
            <w:tcMar>
              <w:top w:w="70" w:type="dxa"/>
              <w:bottom w:w="70" w:type="dxa"/>
              <w:left w:w="100" w:type="dxa"/>
              <w:right w:w="100" w:type="dxa"/>
            </w:tcMar>
          </w:tcPr>
          <w:p>
            <w:pPr>
              <w:spacing w:before="0" w:after="0"/>
              <w:jc w:val="left"/>
            </w:pPr>
            <w:r>
              <w:rPr>
                <w:rFonts w:ascii="Calibri" w:hAnsi="Calibri"/>
                <w:b w:val="0"/>
                <w:color w:val="2D3748"/>
                <w:sz w:val="17"/>
              </w:rPr>
              <w:t>La acumulación de liquidez deprime el ratio nominal.</w:t>
            </w:r>
          </w:p>
        </w:tc>
      </w:tr>
      <w:tr>
        <w:tc>
          <w:tcPr>
            <w:tcW w:type="dxa" w:w="2160"/>
            <w:shd w:fill="F7FAFC"/>
            <w:tcMar>
              <w:top w:w="70" w:type="dxa"/>
              <w:bottom w:w="70" w:type="dxa"/>
              <w:left w:w="100" w:type="dxa"/>
              <w:right w:w="100" w:type="dxa"/>
            </w:tcMar>
          </w:tcPr>
          <w:p>
            <w:pPr>
              <w:spacing w:before="0" w:after="0"/>
              <w:jc w:val="left"/>
            </w:pPr>
            <w:r>
              <w:rPr>
                <w:rFonts w:ascii="Calibri" w:hAnsi="Calibri"/>
                <w:b w:val="0"/>
                <w:color w:val="2D3748"/>
                <w:sz w:val="17"/>
              </w:rPr>
              <w:t>GP/A Ajustada (De-meaning)</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+2.25 pp</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+3.09 pp</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0.00 pp</w:t>
            </w:r>
          </w:p>
        </w:tc>
        <w:tc>
          <w:tcPr>
            <w:tcW w:type="dxa" w:w="1728"/>
            <w:shd w:fill="F7FAFC"/>
            <w:tcMar>
              <w:top w:w="70" w:type="dxa"/>
              <w:bottom w:w="70" w:type="dxa"/>
              <w:left w:w="100" w:type="dxa"/>
              <w:right w:w="100" w:type="dxa"/>
            </w:tcMar>
          </w:tcPr>
          <w:p>
            <w:pPr>
              <w:spacing w:before="0" w:after="0"/>
              <w:jc w:val="right"/>
            </w:pPr>
            <w:r>
              <w:rPr>
                <w:rFonts w:ascii="Calibri" w:hAnsi="Calibri"/>
                <w:b w:val="0"/>
                <w:color w:val="2D3748"/>
                <w:sz w:val="17"/>
              </w:rPr>
              <w:t>🟢 Ventaja Fuerte</w:t>
            </w:r>
          </w:p>
        </w:tc>
        <w:tc>
          <w:tcPr>
            <w:tcW w:type="dxa" w:w="2448"/>
            <w:shd w:fill="F7FAFC"/>
            <w:tcMar>
              <w:top w:w="70" w:type="dxa"/>
              <w:bottom w:w="70" w:type="dxa"/>
              <w:left w:w="100" w:type="dxa"/>
              <w:right w:w="100" w:type="dxa"/>
            </w:tcMar>
          </w:tcPr>
          <w:p>
            <w:pPr>
              <w:spacing w:before="0" w:after="0"/>
              <w:jc w:val="left"/>
            </w:pPr>
            <w:r>
              <w:rPr>
                <w:rFonts w:ascii="Calibri" w:hAnsi="Calibri"/>
                <w:b w:val="0"/>
                <w:color w:val="2D3748"/>
                <w:sz w:val="17"/>
              </w:rPr>
              <w:t>Supera en +2.25 puntos porcentuales a la mediana del sector.</w:t>
            </w:r>
          </w:p>
        </w:tc>
      </w:tr>
    </w:tbl>
    <w:p>
      <w:pPr>
        <w:spacing w:after="120"/>
      </w:pPr>
    </w:p>
    <w:p>
      <w:pPr>
        <w:keepNext/>
        <w:spacing w:before="240" w:after="80"/>
      </w:pPr>
      <w:r>
        <w:rPr>
          <w:rFonts w:ascii="Calibri" w:hAnsi="Calibri"/>
          <w:b/>
          <w:color w:val="4A5568"/>
          <w:sz w:val="23"/>
        </w:rPr>
        <w:t>Bloque B: Descomposición DuPont de Novy-Marx &amp; Matriz de 4 Cuadrantes</w:t>
      </w:r>
    </w:p>
    <w:tbl>
      <w:tblPr>
        <w:tblW w:type="auto" w:w="0"/>
        <w:jc w:val="center"/>
        <w:tblLayout w:type="fixed"/>
        <w:tblLook w:firstColumn="1" w:firstRow="1" w:lastColumn="0" w:lastRow="0" w:noHBand="0" w:noVBand="1" w:val="04A0"/>
      </w:tblPr>
      <w:tblGrid>
        <w:gridCol w:w="9792"/>
      </w:tblGrid>
      <w:tr>
        <w:tc>
          <w:tcPr>
            <w:tcW w:type="dxa" w:w="9792"/>
            <w:shd w:fill="F0F4F8"/>
            <w:tcMar>
              <w:top w:w="140" w:type="dxa"/>
              <w:bottom w:w="140" w:type="dxa"/>
              <w:left w:w="180" w:type="dxa"/>
              <w:right w:w="180" w:type="dxa"/>
            </w:tcMar>
            <w:tcBorders>
              <w:top w:val="none"/>
              <w:left w:val="single" w:sz="24" w:space="0" w:color="1B365D"/>
              <w:bottom w:val="none"/>
              <w:right w:val="none"/>
            </w:tcBorders>
          </w:tcPr>
          <w:p>
            <w:pPr>
              <w:spacing w:before="0" w:after="60" w:line="276" w:lineRule="auto"/>
            </w:pPr>
            <w:r>
              <w:rPr>
                <w:rFonts w:ascii="Calibri" w:hAnsi="Calibri"/>
                <w:b/>
                <w:color w:val="1B365D"/>
                <w:sz w:val="21"/>
              </w:rPr>
              <w:t>📌 MATRIZ DE DECISIÓN COMPETITIVA: ⚡ LÍDER EN VOLUMEN Y VELOCIDAD</w:t>
              <w:br/>
            </w:r>
          </w:p>
          <w:p>
            <w:pPr>
              <w:spacing w:before="40" w:after="40" w:line="276" w:lineRule="auto"/>
            </w:pPr>
            <w:r>
              <w:rPr>
                <w:rFonts w:ascii="Calibri" w:hAnsi="Calibri"/>
                <w:color w:val="2D3748"/>
                <w:sz w:val="19"/>
              </w:rPr>
              <w:t>Ventaja impulsada por rotación: márgenes ajustados (47.8% vs mediana 49.7%), pero alta velocidad de despliegue de activos (0.17x vs mediana 0.12x). Modelo tipo distribución mayorista, retail masivo o manufactura ultraeficiente.</w:t>
            </w:r>
          </w:p>
          <w:p>
            <w:pPr>
              <w:spacing w:before="40" w:after="40" w:line="276" w:lineRule="auto"/>
            </w:pPr>
            <w:r>
              <w:rPr>
                <w:rFonts w:ascii="Calibri" w:hAnsi="Calibri"/>
                <w:color w:val="2D3748"/>
                <w:sz w:val="19"/>
              </w:rPr>
              <w:t>• Verificación Matemática de Identidad DuPont (LTM):</w:t>
            </w:r>
          </w:p>
          <w:p>
            <w:pPr>
              <w:spacing w:before="40" w:after="40" w:line="276" w:lineRule="auto"/>
            </w:pPr>
            <w:r>
              <w:rPr>
                <w:rFonts w:ascii="Calibri" w:hAnsi="Calibri"/>
                <w:color w:val="2D3748"/>
                <w:sz w:val="19"/>
              </w:rPr>
              <w:t xml:space="preserve">  Margen Bruto (47.79%) × Rotación de Activos (0.168x) = 8.01% (Concilia al 100.0% con GP/A de 8.01%).</w:t>
            </w:r>
          </w:p>
          <w:p>
            <w:pPr>
              <w:spacing w:before="40" w:after="40" w:line="276" w:lineRule="auto"/>
            </w:pPr>
            <w:r>
              <w:rPr>
                <w:rFonts w:ascii="Calibri" w:hAnsi="Calibri"/>
                <w:color w:val="2D3748"/>
                <w:sz w:val="19"/>
              </w:rPr>
              <w:t>• Identidad Operativa Ex-Caja: Margen Bruto (47.79%) × Rotación Ex-Caja (0.231x) = 11.03% (concilia con 11.03%).</w:t>
            </w:r>
          </w:p>
        </w:tc>
      </w:tr>
    </w:tbl>
    <w:p>
      <w:pPr>
        <w:spacing w:after="80"/>
      </w:pPr>
    </w:p>
    <w:tbl>
      <w:tblPr>
        <w:tblW w:type="auto" w:w="0"/>
        <w:jc w:val="center"/>
        <w:tblLayout w:type="fixed"/>
        <w:tblLook w:firstColumn="1" w:firstRow="1" w:lastColumn="0" w:lastRow="0" w:noHBand="0" w:noVBand="1" w:val="04A0"/>
        <w:tblBorders>
          <w:top w:val="single" w:sz="6" w:space="0" w:color="D2D6DC"/>
          <w:left w:val="none"/>
          <w:bottom w:val="single" w:sz="10" w:space="0" w:color="1B365D"/>
          <w:right w:val="none"/>
          <w:insideH w:val="single" w:sz="4" w:space="0" w:color="D2D6DC"/>
          <w:insideV w:val="none"/>
        </w:tblBorders>
      </w:tblPr>
      <w:tblGrid>
        <w:gridCol w:w="1632"/>
        <w:gridCol w:w="1632"/>
        <w:gridCol w:w="1632"/>
        <w:gridCol w:w="1632"/>
        <w:gridCol w:w="1632"/>
        <w:gridCol w:w="1632"/>
      </w:tblGrid>
      <w:tr>
        <w:tc>
          <w:tcPr>
            <w:tcW w:type="dxa" w:w="2160"/>
            <w:shd w:fill="1B365D"/>
            <w:tcMar>
              <w:top w:w="90" w:type="dxa"/>
              <w:bottom w:w="90" w:type="dxa"/>
              <w:left w:w="100" w:type="dxa"/>
              <w:right w:w="100" w:type="dxa"/>
            </w:tcMar>
          </w:tcPr>
          <w:p>
            <w:pPr>
              <w:spacing w:before="0" w:after="0"/>
              <w:jc w:val="left"/>
            </w:pPr>
            <w:r>
              <w:rPr>
                <w:rFonts w:ascii="Calibri" w:hAnsi="Calibri"/>
                <w:b/>
                <w:color w:val="FFFFFF"/>
                <w:sz w:val="18"/>
              </w:rPr>
              <w:t>Palanca DuPont</w:t>
            </w:r>
          </w:p>
        </w:tc>
        <w:tc>
          <w:tcPr>
            <w:tcW w:type="dxa" w:w="1152"/>
            <w:shd w:fill="1B365D"/>
            <w:tcMar>
              <w:top w:w="90" w:type="dxa"/>
              <w:bottom w:w="90" w:type="dxa"/>
              <w:left w:w="100" w:type="dxa"/>
              <w:right w:w="100" w:type="dxa"/>
            </w:tcMar>
          </w:tcPr>
          <w:p>
            <w:pPr>
              <w:spacing w:before="0" w:after="0"/>
              <w:jc w:val="right"/>
            </w:pPr>
            <w:r>
              <w:rPr>
                <w:rFonts w:ascii="Calibri" w:hAnsi="Calibri"/>
                <w:b/>
                <w:color w:val="FFFFFF"/>
                <w:sz w:val="18"/>
              </w:rPr>
              <w:t>LTM</w:t>
            </w:r>
          </w:p>
        </w:tc>
        <w:tc>
          <w:tcPr>
            <w:tcW w:type="dxa" w:w="1152"/>
            <w:shd w:fill="1B365D"/>
            <w:tcMar>
              <w:top w:w="90" w:type="dxa"/>
              <w:bottom w:w="90" w:type="dxa"/>
              <w:left w:w="100" w:type="dxa"/>
              <w:right w:w="100" w:type="dxa"/>
            </w:tcMar>
          </w:tcPr>
          <w:p>
            <w:pPr>
              <w:spacing w:before="0" w:after="0"/>
              <w:jc w:val="right"/>
            </w:pPr>
            <w:r>
              <w:rPr>
                <w:rFonts w:ascii="Calibri" w:hAnsi="Calibri"/>
                <w:b/>
                <w:color w:val="FFFFFF"/>
                <w:sz w:val="18"/>
              </w:rPr>
              <w:t>FY2025</w:t>
            </w:r>
          </w:p>
        </w:tc>
        <w:tc>
          <w:tcPr>
            <w:tcW w:type="dxa" w:w="1152"/>
            <w:shd w:fill="1B365D"/>
            <w:tcMar>
              <w:top w:w="90" w:type="dxa"/>
              <w:bottom w:w="90" w:type="dxa"/>
              <w:left w:w="100" w:type="dxa"/>
              <w:right w:w="100" w:type="dxa"/>
            </w:tcMar>
          </w:tcPr>
          <w:p>
            <w:pPr>
              <w:spacing w:before="0" w:after="0"/>
              <w:jc w:val="right"/>
            </w:pPr>
            <w:r>
              <w:rPr>
                <w:rFonts w:ascii="Calibri" w:hAnsi="Calibri"/>
                <w:b/>
                <w:color w:val="FFFFFF"/>
                <w:sz w:val="18"/>
              </w:rPr>
              <w:t>Mediana Ind.</w:t>
            </w:r>
          </w:p>
        </w:tc>
        <w:tc>
          <w:tcPr>
            <w:tcW w:type="dxa" w:w="1728"/>
            <w:shd w:fill="1B365D"/>
            <w:tcMar>
              <w:top w:w="90" w:type="dxa"/>
              <w:bottom w:w="90" w:type="dxa"/>
              <w:left w:w="100" w:type="dxa"/>
              <w:right w:w="100" w:type="dxa"/>
            </w:tcMar>
          </w:tcPr>
          <w:p>
            <w:pPr>
              <w:spacing w:before="0" w:after="0"/>
              <w:jc w:val="right"/>
            </w:pPr>
            <w:r>
              <w:rPr>
                <w:rFonts w:ascii="Calibri" w:hAnsi="Calibri"/>
                <w:b/>
                <w:color w:val="FFFFFF"/>
                <w:sz w:val="18"/>
              </w:rPr>
              <w:t>Estatus vs Mediana</w:t>
            </w:r>
          </w:p>
        </w:tc>
        <w:tc>
          <w:tcPr>
            <w:tcW w:type="dxa" w:w="2448"/>
            <w:shd w:fill="1B365D"/>
            <w:tcMar>
              <w:top w:w="90" w:type="dxa"/>
              <w:bottom w:w="90" w:type="dxa"/>
              <w:left w:w="100" w:type="dxa"/>
              <w:right w:w="100" w:type="dxa"/>
            </w:tcMar>
          </w:tcPr>
          <w:p>
            <w:pPr>
              <w:spacing w:before="0" w:after="0"/>
              <w:jc w:val="left"/>
            </w:pPr>
            <w:r>
              <w:rPr>
                <w:rFonts w:ascii="Calibri" w:hAnsi="Calibri"/>
                <w:b/>
                <w:color w:val="FFFFFF"/>
                <w:sz w:val="18"/>
              </w:rPr>
              <w:t>Implicación Estratégica</w:t>
            </w:r>
          </w:p>
        </w:tc>
      </w:tr>
      <w:tr>
        <w:tc>
          <w:tcPr>
            <w:tcW w:type="dxa" w:w="2160"/>
            <w:shd w:fill="FFFFFF"/>
            <w:tcMar>
              <w:top w:w="70" w:type="dxa"/>
              <w:bottom w:w="70" w:type="dxa"/>
              <w:left w:w="100" w:type="dxa"/>
              <w:right w:w="100" w:type="dxa"/>
            </w:tcMar>
          </w:tcPr>
          <w:p>
            <w:pPr>
              <w:spacing w:before="0" w:after="0"/>
              <w:jc w:val="left"/>
            </w:pPr>
            <w:r>
              <w:rPr>
                <w:rFonts w:ascii="Calibri" w:hAnsi="Calibri"/>
                <w:b w:val="0"/>
                <w:color w:val="2D3748"/>
                <w:sz w:val="17"/>
              </w:rPr>
              <w:t>Margen Bruto (Utilidad Bruta / Ventas)</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47.79%</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59.17%</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49.66%</w:t>
            </w:r>
          </w:p>
        </w:tc>
        <w:tc>
          <w:tcPr>
            <w:tcW w:type="dxa" w:w="1728"/>
            <w:shd w:fill="FFFFFF"/>
            <w:tcMar>
              <w:top w:w="70" w:type="dxa"/>
              <w:bottom w:w="70" w:type="dxa"/>
              <w:left w:w="100" w:type="dxa"/>
              <w:right w:w="100" w:type="dxa"/>
            </w:tcMar>
          </w:tcPr>
          <w:p>
            <w:pPr>
              <w:spacing w:before="0" w:after="0"/>
              <w:jc w:val="right"/>
            </w:pPr>
            <w:r>
              <w:rPr>
                <w:rFonts w:ascii="Calibri" w:hAnsi="Calibri"/>
                <w:b w:val="0"/>
                <w:color w:val="2D3748"/>
                <w:sz w:val="17"/>
              </w:rPr>
              <w:t>-1.86 pp</w:t>
            </w:r>
          </w:p>
        </w:tc>
        <w:tc>
          <w:tcPr>
            <w:tcW w:type="dxa" w:w="2448"/>
            <w:shd w:fill="FFFFFF"/>
            <w:tcMar>
              <w:top w:w="70" w:type="dxa"/>
              <w:bottom w:w="70" w:type="dxa"/>
              <w:left w:w="100" w:type="dxa"/>
              <w:right w:w="100" w:type="dxa"/>
            </w:tcMar>
          </w:tcPr>
          <w:p>
            <w:pPr>
              <w:spacing w:before="0" w:after="0"/>
              <w:jc w:val="left"/>
            </w:pPr>
            <w:r>
              <w:rPr>
                <w:rFonts w:ascii="Calibri" w:hAnsi="Calibri"/>
                <w:b w:val="0"/>
                <w:color w:val="2D3748"/>
                <w:sz w:val="17"/>
              </w:rPr>
              <w:t>Pricing power, lealtad de clientes y disciplina de costes directos.</w:t>
            </w:r>
          </w:p>
        </w:tc>
      </w:tr>
      <w:tr>
        <w:tc>
          <w:tcPr>
            <w:tcW w:type="dxa" w:w="2160"/>
            <w:shd w:fill="F7FAFC"/>
            <w:tcMar>
              <w:top w:w="70" w:type="dxa"/>
              <w:bottom w:w="70" w:type="dxa"/>
              <w:left w:w="100" w:type="dxa"/>
              <w:right w:w="100" w:type="dxa"/>
            </w:tcMar>
          </w:tcPr>
          <w:p>
            <w:pPr>
              <w:spacing w:before="0" w:after="0"/>
              <w:jc w:val="left"/>
            </w:pPr>
            <w:r>
              <w:rPr>
                <w:rFonts w:ascii="Calibri" w:hAnsi="Calibri"/>
                <w:b/>
                <w:color w:val="1B365D"/>
                <w:sz w:val="17"/>
              </w:rPr>
              <w:t>Rotación Activos Totales (Ventas / Activos)</w:t>
            </w:r>
          </w:p>
        </w:tc>
        <w:tc>
          <w:tcPr>
            <w:tcW w:type="dxa" w:w="1152"/>
            <w:shd w:fill="F7FAFC"/>
            <w:tcMar>
              <w:top w:w="70" w:type="dxa"/>
              <w:bottom w:w="70" w:type="dxa"/>
              <w:left w:w="100" w:type="dxa"/>
              <w:right w:w="100" w:type="dxa"/>
            </w:tcMar>
          </w:tcPr>
          <w:p>
            <w:pPr>
              <w:spacing w:before="0" w:after="0"/>
              <w:jc w:val="right"/>
            </w:pPr>
            <w:r>
              <w:rPr>
                <w:rFonts w:ascii="Calibri" w:hAnsi="Calibri"/>
                <w:b/>
                <w:color w:val="1B365D"/>
                <w:sz w:val="17"/>
              </w:rPr>
              <w:t>0.168x</w:t>
            </w:r>
          </w:p>
        </w:tc>
        <w:tc>
          <w:tcPr>
            <w:tcW w:type="dxa" w:w="1152"/>
            <w:shd w:fill="F7FAFC"/>
            <w:tcMar>
              <w:top w:w="70" w:type="dxa"/>
              <w:bottom w:w="70" w:type="dxa"/>
              <w:left w:w="100" w:type="dxa"/>
              <w:right w:w="100" w:type="dxa"/>
            </w:tcMar>
          </w:tcPr>
          <w:p>
            <w:pPr>
              <w:spacing w:before="0" w:after="0"/>
              <w:jc w:val="right"/>
            </w:pPr>
            <w:r>
              <w:rPr>
                <w:rFonts w:ascii="Calibri" w:hAnsi="Calibri"/>
                <w:b/>
                <w:color w:val="1B365D"/>
                <w:sz w:val="17"/>
              </w:rPr>
              <w:t>0.149x</w:t>
            </w:r>
          </w:p>
        </w:tc>
        <w:tc>
          <w:tcPr>
            <w:tcW w:type="dxa" w:w="1152"/>
            <w:shd w:fill="F7FAFC"/>
            <w:tcMar>
              <w:top w:w="70" w:type="dxa"/>
              <w:bottom w:w="70" w:type="dxa"/>
              <w:left w:w="100" w:type="dxa"/>
              <w:right w:w="100" w:type="dxa"/>
            </w:tcMar>
          </w:tcPr>
          <w:p>
            <w:pPr>
              <w:spacing w:before="0" w:after="0"/>
              <w:jc w:val="right"/>
            </w:pPr>
            <w:r>
              <w:rPr>
                <w:rFonts w:ascii="Calibri" w:hAnsi="Calibri"/>
                <w:b/>
                <w:color w:val="1B365D"/>
                <w:sz w:val="17"/>
              </w:rPr>
              <w:t>0.116x</w:t>
            </w:r>
          </w:p>
        </w:tc>
        <w:tc>
          <w:tcPr>
            <w:tcW w:type="dxa" w:w="1728"/>
            <w:shd w:fill="F7FAFC"/>
            <w:tcMar>
              <w:top w:w="70" w:type="dxa"/>
              <w:bottom w:w="70" w:type="dxa"/>
              <w:left w:w="100" w:type="dxa"/>
              <w:right w:w="100" w:type="dxa"/>
            </w:tcMar>
          </w:tcPr>
          <w:p>
            <w:pPr>
              <w:spacing w:before="0" w:after="0"/>
              <w:jc w:val="right"/>
            </w:pPr>
            <w:r>
              <w:rPr>
                <w:rFonts w:ascii="Calibri" w:hAnsi="Calibri"/>
                <w:b/>
                <w:color w:val="1B365D"/>
                <w:sz w:val="17"/>
              </w:rPr>
              <w:t>+0.05x</w:t>
            </w:r>
          </w:p>
        </w:tc>
        <w:tc>
          <w:tcPr>
            <w:tcW w:type="dxa" w:w="2448"/>
            <w:shd w:fill="F7FAFC"/>
            <w:tcMar>
              <w:top w:w="70" w:type="dxa"/>
              <w:bottom w:w="70" w:type="dxa"/>
              <w:left w:w="100" w:type="dxa"/>
              <w:right w:w="100" w:type="dxa"/>
            </w:tcMar>
          </w:tcPr>
          <w:p>
            <w:pPr>
              <w:spacing w:before="0" w:after="0"/>
              <w:jc w:val="left"/>
            </w:pPr>
            <w:r>
              <w:rPr>
                <w:rFonts w:ascii="Calibri" w:hAnsi="Calibri"/>
                <w:b/>
                <w:color w:val="1B365D"/>
                <w:sz w:val="17"/>
              </w:rPr>
              <w:t>Velocidad de comercialización y aprovechamiento del capital instalado.</w:t>
            </w:r>
          </w:p>
        </w:tc>
      </w:tr>
      <w:tr>
        <w:tc>
          <w:tcPr>
            <w:tcW w:type="dxa" w:w="2160"/>
            <w:shd w:fill="FFFFFF"/>
            <w:tcMar>
              <w:top w:w="70" w:type="dxa"/>
              <w:bottom w:w="70" w:type="dxa"/>
              <w:left w:w="100" w:type="dxa"/>
              <w:right w:w="100" w:type="dxa"/>
            </w:tcMar>
          </w:tcPr>
          <w:p>
            <w:pPr>
              <w:spacing w:before="0" w:after="0"/>
              <w:jc w:val="left"/>
            </w:pPr>
            <w:r>
              <w:rPr>
                <w:rFonts w:ascii="Calibri" w:hAnsi="Calibri"/>
                <w:b w:val="0"/>
                <w:color w:val="2D3748"/>
                <w:sz w:val="17"/>
              </w:rPr>
              <w:t>Rotación Activos Ex-Caja (Ventas / Act. Operativos)</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0.231x</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0.222x</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0.128x</w:t>
            </w:r>
          </w:p>
        </w:tc>
        <w:tc>
          <w:tcPr>
            <w:tcW w:type="dxa" w:w="1728"/>
            <w:shd w:fill="FFFFFF"/>
            <w:tcMar>
              <w:top w:w="70" w:type="dxa"/>
              <w:bottom w:w="70" w:type="dxa"/>
              <w:left w:w="100" w:type="dxa"/>
              <w:right w:w="100" w:type="dxa"/>
            </w:tcMar>
          </w:tcPr>
          <w:p>
            <w:pPr>
              <w:spacing w:before="0" w:after="0"/>
              <w:jc w:val="right"/>
            </w:pPr>
            <w:r>
              <w:rPr>
                <w:rFonts w:ascii="Calibri" w:hAnsi="Calibri"/>
                <w:b w:val="0"/>
                <w:color w:val="2D3748"/>
                <w:sz w:val="17"/>
              </w:rPr>
              <w:t>Expansión Operativa</w:t>
            </w:r>
          </w:p>
        </w:tc>
        <w:tc>
          <w:tcPr>
            <w:tcW w:type="dxa" w:w="2448"/>
            <w:shd w:fill="FFFFFF"/>
            <w:tcMar>
              <w:top w:w="70" w:type="dxa"/>
              <w:bottom w:w="70" w:type="dxa"/>
              <w:left w:w="100" w:type="dxa"/>
              <w:right w:w="100" w:type="dxa"/>
            </w:tcMar>
          </w:tcPr>
          <w:p>
            <w:pPr>
              <w:spacing w:before="0" w:after="0"/>
              <w:jc w:val="left"/>
            </w:pPr>
            <w:r>
              <w:rPr>
                <w:rFonts w:ascii="Calibri" w:hAnsi="Calibri"/>
                <w:b w:val="0"/>
                <w:color w:val="2D3748"/>
                <w:sz w:val="17"/>
              </w:rPr>
              <w:t>Velocidad pura del capital en planta, logística y desarrollo.</w:t>
            </w:r>
          </w:p>
        </w:tc>
      </w:tr>
      <w:tr>
        <w:tc>
          <w:tcPr>
            <w:tcW w:type="dxa" w:w="2160"/>
            <w:shd w:fill="F7FAFC"/>
            <w:tcMar>
              <w:top w:w="70" w:type="dxa"/>
              <w:bottom w:w="70" w:type="dxa"/>
              <w:left w:w="100" w:type="dxa"/>
              <w:right w:w="100" w:type="dxa"/>
            </w:tcMar>
          </w:tcPr>
          <w:p>
            <w:pPr>
              <w:spacing w:before="0" w:after="0"/>
              <w:jc w:val="left"/>
            </w:pPr>
            <w:r>
              <w:rPr>
                <w:rFonts w:ascii="Calibri" w:hAnsi="Calibri"/>
                <w:b/>
                <w:color w:val="1B365D"/>
                <w:sz w:val="17"/>
              </w:rPr>
              <w:t>PRODUCTIVIDAD CONSOLIDADA (GP/A)</w:t>
            </w:r>
          </w:p>
        </w:tc>
        <w:tc>
          <w:tcPr>
            <w:tcW w:type="dxa" w:w="1152"/>
            <w:shd w:fill="F7FAFC"/>
            <w:tcMar>
              <w:top w:w="70" w:type="dxa"/>
              <w:bottom w:w="70" w:type="dxa"/>
              <w:left w:w="100" w:type="dxa"/>
              <w:right w:w="100" w:type="dxa"/>
            </w:tcMar>
          </w:tcPr>
          <w:p>
            <w:pPr>
              <w:spacing w:before="0" w:after="0"/>
              <w:jc w:val="right"/>
            </w:pPr>
            <w:r>
              <w:rPr>
                <w:rFonts w:ascii="Calibri" w:hAnsi="Calibri"/>
                <w:b/>
                <w:color w:val="1B365D"/>
                <w:sz w:val="17"/>
              </w:rPr>
              <w:t>8.01%</w:t>
            </w:r>
          </w:p>
        </w:tc>
        <w:tc>
          <w:tcPr>
            <w:tcW w:type="dxa" w:w="1152"/>
            <w:shd w:fill="F7FAFC"/>
            <w:tcMar>
              <w:top w:w="70" w:type="dxa"/>
              <w:bottom w:w="70" w:type="dxa"/>
              <w:left w:w="100" w:type="dxa"/>
              <w:right w:w="100" w:type="dxa"/>
            </w:tcMar>
          </w:tcPr>
          <w:p>
            <w:pPr>
              <w:spacing w:before="0" w:after="0"/>
              <w:jc w:val="right"/>
            </w:pPr>
            <w:r>
              <w:rPr>
                <w:rFonts w:ascii="Calibri" w:hAnsi="Calibri"/>
                <w:b/>
                <w:color w:val="1B365D"/>
                <w:sz w:val="17"/>
              </w:rPr>
              <w:t>8.85%</w:t>
            </w:r>
          </w:p>
        </w:tc>
        <w:tc>
          <w:tcPr>
            <w:tcW w:type="dxa" w:w="1152"/>
            <w:shd w:fill="F7FAFC"/>
            <w:tcMar>
              <w:top w:w="70" w:type="dxa"/>
              <w:bottom w:w="70" w:type="dxa"/>
              <w:left w:w="100" w:type="dxa"/>
              <w:right w:w="100" w:type="dxa"/>
            </w:tcMar>
          </w:tcPr>
          <w:p>
            <w:pPr>
              <w:spacing w:before="0" w:after="0"/>
              <w:jc w:val="right"/>
            </w:pPr>
            <w:r>
              <w:rPr>
                <w:rFonts w:ascii="Calibri" w:hAnsi="Calibri"/>
                <w:b/>
                <w:color w:val="1B365D"/>
                <w:sz w:val="17"/>
              </w:rPr>
              <w:t>5.76%</w:t>
            </w:r>
          </w:p>
        </w:tc>
        <w:tc>
          <w:tcPr>
            <w:tcW w:type="dxa" w:w="1728"/>
            <w:shd w:fill="F7FAFC"/>
            <w:tcMar>
              <w:top w:w="70" w:type="dxa"/>
              <w:bottom w:w="70" w:type="dxa"/>
              <w:left w:w="100" w:type="dxa"/>
              <w:right w:w="100" w:type="dxa"/>
            </w:tcMar>
          </w:tcPr>
          <w:p>
            <w:pPr>
              <w:spacing w:before="0" w:after="0"/>
              <w:jc w:val="right"/>
            </w:pPr>
            <w:r>
              <w:rPr>
                <w:rFonts w:ascii="Calibri" w:hAnsi="Calibri"/>
                <w:b/>
                <w:color w:val="1B365D"/>
                <w:sz w:val="17"/>
              </w:rPr>
              <w:t>+2.25 pp</w:t>
            </w:r>
          </w:p>
        </w:tc>
        <w:tc>
          <w:tcPr>
            <w:tcW w:type="dxa" w:w="2448"/>
            <w:shd w:fill="F7FAFC"/>
            <w:tcMar>
              <w:top w:w="70" w:type="dxa"/>
              <w:bottom w:w="70" w:type="dxa"/>
              <w:left w:w="100" w:type="dxa"/>
              <w:right w:w="100" w:type="dxa"/>
            </w:tcMar>
          </w:tcPr>
          <w:p>
            <w:pPr>
              <w:spacing w:before="0" w:after="0"/>
              <w:jc w:val="left"/>
            </w:pPr>
            <w:r>
              <w:rPr>
                <w:rFonts w:ascii="Calibri" w:hAnsi="Calibri"/>
                <w:b/>
                <w:color w:val="1B365D"/>
                <w:sz w:val="17"/>
              </w:rPr>
              <w:t>CAPITAL PRODUCTIVO DE MÁXIMA GENERACIÓN ECONÓMICA.</w:t>
            </w:r>
          </w:p>
        </w:tc>
      </w:tr>
    </w:tbl>
    <w:p>
      <w:pPr>
        <w:spacing w:after="120"/>
      </w:pPr>
    </w:p>
    <w:p>
      <w:pPr>
        <w:keepNext/>
        <w:spacing w:before="240" w:after="80"/>
      </w:pPr>
      <w:r>
        <w:rPr>
          <w:rFonts w:ascii="Calibri" w:hAnsi="Calibri"/>
          <w:b/>
          <w:color w:val="4A5568"/>
          <w:sz w:val="23"/>
        </w:rPr>
        <w:t>Bloque C: Evolución Histórica Multianual y Consistencia de Tendencia</w:t>
      </w:r>
    </w:p>
    <w:tbl>
      <w:tblPr>
        <w:tblW w:type="auto" w:w="0"/>
        <w:jc w:val="center"/>
        <w:tblLayout w:type="fixed"/>
        <w:tblLook w:firstColumn="1" w:firstRow="1" w:lastColumn="0" w:lastRow="0" w:noHBand="0" w:noVBand="1" w:val="04A0"/>
      </w:tblPr>
      <w:tblGrid>
        <w:gridCol w:w="9792"/>
      </w:tblGrid>
      <w:tr>
        <w:tc>
          <w:tcPr>
            <w:tcW w:type="dxa" w:w="9792"/>
            <w:shd w:fill="F0F4F8"/>
            <w:tcMar>
              <w:top w:w="140" w:type="dxa"/>
              <w:bottom w:w="140" w:type="dxa"/>
              <w:left w:w="180" w:type="dxa"/>
              <w:right w:w="180" w:type="dxa"/>
            </w:tcMar>
            <w:tcBorders>
              <w:top w:val="none"/>
              <w:left w:val="single" w:sz="24" w:space="0" w:color="1B365D"/>
              <w:bottom w:val="none"/>
              <w:right w:val="none"/>
            </w:tcBorders>
          </w:tcPr>
          <w:p>
            <w:pPr>
              <w:spacing w:before="0" w:after="60" w:line="276" w:lineRule="auto"/>
            </w:pPr>
            <w:r>
              <w:rPr>
                <w:rFonts w:ascii="Calibri" w:hAnsi="Calibri"/>
                <w:b/>
                <w:color w:val="1B365D"/>
                <w:sz w:val="21"/>
              </w:rPr>
              <w:t>📌 DIAGNÓSTICO DE SOSTENIBILIDAD TEMPORAL</w:t>
              <w:br/>
            </w:r>
          </w:p>
          <w:p>
            <w:pPr>
              <w:spacing w:before="40" w:after="40" w:line="276" w:lineRule="auto"/>
            </w:pPr>
            <w:r>
              <w:rPr>
                <w:rFonts w:ascii="Calibri" w:hAnsi="Calibri"/>
                <w:color w:val="2D3748"/>
                <w:sz w:val="19"/>
              </w:rPr>
              <w:t>• Expansión a 3 Años (vs. FY2023): -0.05 puntos porcentuales.</w:t>
            </w:r>
          </w:p>
          <w:p>
            <w:pPr>
              <w:spacing w:before="40" w:after="40" w:line="276" w:lineRule="auto"/>
            </w:pPr>
            <w:r>
              <w:rPr>
                <w:rFonts w:ascii="Calibri" w:hAnsi="Calibri"/>
                <w:color w:val="2D3748"/>
                <w:sz w:val="19"/>
              </w:rPr>
              <w:t>• Expansión a 5 Años (vs. FY2021): +4.32 puntos porcentuales.</w:t>
            </w:r>
          </w:p>
          <w:p>
            <w:pPr>
              <w:spacing w:before="40" w:after="40" w:line="276" w:lineRule="auto"/>
            </w:pPr>
            <w:r>
              <w:rPr>
                <w:rFonts w:ascii="Calibri" w:hAnsi="Calibri"/>
                <w:color w:val="2D3748"/>
                <w:sz w:val="19"/>
              </w:rPr>
              <w:t>• Coeficiente de Variación (CV GP/A): 0.370 (indica una trayectoria predecible y baja volatilidad operativa).</w:t>
            </w:r>
          </w:p>
          <w:p>
            <w:pPr>
              <w:spacing w:before="40" w:after="40" w:line="276" w:lineRule="auto"/>
            </w:pPr>
            <w:r>
              <w:rPr>
                <w:rFonts w:ascii="Calibri" w:hAnsi="Calibri"/>
                <w:color w:val="2D3748"/>
                <w:sz w:val="19"/>
              </w:rPr>
              <w:t>• Conclusión de Tendencia: Trayectoria constructiva y estable (+4.32 p.p. en 5 años); foso económico protegido.</w:t>
            </w:r>
          </w:p>
        </w:tc>
      </w:tr>
    </w:tbl>
    <w:p>
      <w:pPr>
        <w:spacing w:after="80"/>
      </w:pPr>
    </w:p>
    <w:tbl>
      <w:tblPr>
        <w:tblW w:type="auto" w:w="0"/>
        <w:jc w:val="center"/>
        <w:tblLayout w:type="fixed"/>
        <w:tblLook w:firstColumn="1" w:firstRow="1" w:lastColumn="0" w:lastRow="0" w:noHBand="0" w:noVBand="1" w:val="04A0"/>
        <w:tblBorders>
          <w:top w:val="single" w:sz="6" w:space="0" w:color="D2D6DC"/>
          <w:left w:val="none"/>
          <w:bottom w:val="single" w:sz="10" w:space="0" w:color="1B365D"/>
          <w:right w:val="none"/>
          <w:insideH w:val="single" w:sz="4" w:space="0" w:color="D2D6DC"/>
          <w:insideV w:val="none"/>
        </w:tblBorders>
      </w:tblPr>
      <w:tblGrid>
        <w:gridCol w:w="1399"/>
        <w:gridCol w:w="1399"/>
        <w:gridCol w:w="1399"/>
        <w:gridCol w:w="1399"/>
        <w:gridCol w:w="1399"/>
        <w:gridCol w:w="1399"/>
        <w:gridCol w:w="1399"/>
      </w:tblGrid>
      <w:tr>
        <w:tc>
          <w:tcPr>
            <w:tcW w:type="dxa" w:w="1440"/>
            <w:shd w:fill="1B365D"/>
            <w:tcMar>
              <w:top w:w="90" w:type="dxa"/>
              <w:bottom w:w="90" w:type="dxa"/>
              <w:left w:w="100" w:type="dxa"/>
              <w:right w:w="100" w:type="dxa"/>
            </w:tcMar>
          </w:tcPr>
          <w:p>
            <w:pPr>
              <w:spacing w:before="0" w:after="0"/>
              <w:jc w:val="left"/>
            </w:pPr>
            <w:r>
              <w:rPr>
                <w:rFonts w:ascii="Calibri" w:hAnsi="Calibri"/>
                <w:b/>
                <w:color w:val="FFFFFF"/>
                <w:sz w:val="18"/>
              </w:rPr>
              <w:t>Período Fiscal</w:t>
            </w:r>
          </w:p>
        </w:tc>
        <w:tc>
          <w:tcPr>
            <w:tcW w:type="dxa" w:w="1440"/>
            <w:shd w:fill="1B365D"/>
            <w:tcMar>
              <w:top w:w="90" w:type="dxa"/>
              <w:bottom w:w="90" w:type="dxa"/>
              <w:left w:w="100" w:type="dxa"/>
              <w:right w:w="100" w:type="dxa"/>
            </w:tcMar>
          </w:tcPr>
          <w:p>
            <w:pPr>
              <w:spacing w:before="0" w:after="0"/>
              <w:jc w:val="right"/>
            </w:pPr>
            <w:r>
              <w:rPr>
                <w:rFonts w:ascii="Calibri" w:hAnsi="Calibri"/>
                <w:b/>
                <w:color w:val="FFFFFF"/>
                <w:sz w:val="18"/>
              </w:rPr>
              <w:t>GP / Activos (%)</w:t>
            </w:r>
          </w:p>
        </w:tc>
        <w:tc>
          <w:tcPr>
            <w:tcW w:type="dxa" w:w="1440"/>
            <w:shd w:fill="1B365D"/>
            <w:tcMar>
              <w:top w:w="90" w:type="dxa"/>
              <w:bottom w:w="90" w:type="dxa"/>
              <w:left w:w="100" w:type="dxa"/>
              <w:right w:w="100" w:type="dxa"/>
            </w:tcMar>
          </w:tcPr>
          <w:p>
            <w:pPr>
              <w:spacing w:before="0" w:after="0"/>
              <w:jc w:val="right"/>
            </w:pPr>
            <w:r>
              <w:rPr>
                <w:rFonts w:ascii="Calibri" w:hAnsi="Calibri"/>
                <w:b/>
                <w:color w:val="FFFFFF"/>
                <w:sz w:val="18"/>
              </w:rPr>
              <w:t>GP Ex-Caja (%)</w:t>
            </w:r>
          </w:p>
        </w:tc>
        <w:tc>
          <w:tcPr>
            <w:tcW w:type="dxa" w:w="1296"/>
            <w:shd w:fill="1B365D"/>
            <w:tcMar>
              <w:top w:w="90" w:type="dxa"/>
              <w:bottom w:w="90" w:type="dxa"/>
              <w:left w:w="100" w:type="dxa"/>
              <w:right w:w="100" w:type="dxa"/>
            </w:tcMar>
          </w:tcPr>
          <w:p>
            <w:pPr>
              <w:spacing w:before="0" w:after="0"/>
              <w:jc w:val="right"/>
            </w:pPr>
            <w:r>
              <w:rPr>
                <w:rFonts w:ascii="Calibri" w:hAnsi="Calibri"/>
                <w:b/>
                <w:color w:val="FFFFFF"/>
                <w:sz w:val="18"/>
              </w:rPr>
              <w:t>Cash Drag (pp)</w:t>
            </w:r>
          </w:p>
        </w:tc>
        <w:tc>
          <w:tcPr>
            <w:tcW w:type="dxa" w:w="1440"/>
            <w:shd w:fill="1B365D"/>
            <w:tcMar>
              <w:top w:w="90" w:type="dxa"/>
              <w:bottom w:w="90" w:type="dxa"/>
              <w:left w:w="100" w:type="dxa"/>
              <w:right w:w="100" w:type="dxa"/>
            </w:tcMar>
          </w:tcPr>
          <w:p>
            <w:pPr>
              <w:spacing w:before="0" w:after="0"/>
              <w:jc w:val="right"/>
            </w:pPr>
            <w:r>
              <w:rPr>
                <w:rFonts w:ascii="Calibri" w:hAnsi="Calibri"/>
                <w:b/>
                <w:color w:val="FFFFFF"/>
                <w:sz w:val="18"/>
              </w:rPr>
              <w:t>Margen Bruto (%)</w:t>
            </w:r>
          </w:p>
        </w:tc>
        <w:tc>
          <w:tcPr>
            <w:tcW w:type="dxa" w:w="1152"/>
            <w:shd w:fill="1B365D"/>
            <w:tcMar>
              <w:top w:w="90" w:type="dxa"/>
              <w:bottom w:w="90" w:type="dxa"/>
              <w:left w:w="100" w:type="dxa"/>
              <w:right w:w="100" w:type="dxa"/>
            </w:tcMar>
          </w:tcPr>
          <w:p>
            <w:pPr>
              <w:spacing w:before="0" w:after="0"/>
              <w:jc w:val="right"/>
            </w:pPr>
            <w:r>
              <w:rPr>
                <w:rFonts w:ascii="Calibri" w:hAnsi="Calibri"/>
                <w:b/>
                <w:color w:val="FFFFFF"/>
                <w:sz w:val="18"/>
              </w:rPr>
              <w:t>Rotación (x)</w:t>
            </w:r>
          </w:p>
        </w:tc>
        <w:tc>
          <w:tcPr>
            <w:tcW w:type="dxa" w:w="1584"/>
            <w:shd w:fill="1B365D"/>
            <w:tcMar>
              <w:top w:w="90" w:type="dxa"/>
              <w:bottom w:w="90" w:type="dxa"/>
              <w:left w:w="100" w:type="dxa"/>
              <w:right w:w="100" w:type="dxa"/>
            </w:tcMar>
          </w:tcPr>
          <w:p>
            <w:pPr>
              <w:spacing w:before="0" w:after="0"/>
              <w:jc w:val="left"/>
            </w:pPr>
            <w:r>
              <w:rPr>
                <w:rFonts w:ascii="Calibri" w:hAnsi="Calibri"/>
                <w:b/>
                <w:color w:val="FFFFFF"/>
                <w:sz w:val="18"/>
              </w:rPr>
              <w:t>Cuadrante Estratégico</w:t>
            </w:r>
          </w:p>
        </w:tc>
      </w:tr>
      <w:tr>
        <w:tc>
          <w:tcPr>
            <w:tcW w:type="dxa" w:w="1440"/>
            <w:shd w:fill="FFFFFF"/>
            <w:tcMar>
              <w:top w:w="70" w:type="dxa"/>
              <w:bottom w:w="70" w:type="dxa"/>
              <w:left w:w="100" w:type="dxa"/>
              <w:right w:w="100" w:type="dxa"/>
            </w:tcMar>
          </w:tcPr>
          <w:p>
            <w:pPr>
              <w:spacing w:before="0" w:after="0"/>
              <w:jc w:val="left"/>
            </w:pPr>
            <w:r>
              <w:rPr>
                <w:rFonts w:ascii="Calibri" w:hAnsi="Calibri"/>
                <w:b/>
                <w:color w:val="1B365D"/>
                <w:sz w:val="17"/>
              </w:rPr>
              <w:t>LTM</w:t>
            </w:r>
          </w:p>
        </w:tc>
        <w:tc>
          <w:tcPr>
            <w:tcW w:type="dxa" w:w="1440"/>
            <w:shd w:fill="FFFFFF"/>
            <w:tcMar>
              <w:top w:w="70" w:type="dxa"/>
              <w:bottom w:w="70" w:type="dxa"/>
              <w:left w:w="100" w:type="dxa"/>
              <w:right w:w="100" w:type="dxa"/>
            </w:tcMar>
          </w:tcPr>
          <w:p>
            <w:pPr>
              <w:spacing w:before="0" w:after="0"/>
              <w:jc w:val="right"/>
            </w:pPr>
            <w:r>
              <w:rPr>
                <w:rFonts w:ascii="Calibri" w:hAnsi="Calibri"/>
                <w:b/>
                <w:color w:val="1B365D"/>
                <w:sz w:val="17"/>
              </w:rPr>
              <w:t>8.01%</w:t>
            </w:r>
          </w:p>
        </w:tc>
        <w:tc>
          <w:tcPr>
            <w:tcW w:type="dxa" w:w="1440"/>
            <w:shd w:fill="FFFFFF"/>
            <w:tcMar>
              <w:top w:w="70" w:type="dxa"/>
              <w:bottom w:w="70" w:type="dxa"/>
              <w:left w:w="100" w:type="dxa"/>
              <w:right w:w="100" w:type="dxa"/>
            </w:tcMar>
          </w:tcPr>
          <w:p>
            <w:pPr>
              <w:spacing w:before="0" w:after="0"/>
              <w:jc w:val="right"/>
            </w:pPr>
            <w:r>
              <w:rPr>
                <w:rFonts w:ascii="Calibri" w:hAnsi="Calibri"/>
                <w:b/>
                <w:color w:val="1B365D"/>
                <w:sz w:val="17"/>
              </w:rPr>
              <w:t>11.03%</w:t>
            </w:r>
          </w:p>
        </w:tc>
        <w:tc>
          <w:tcPr>
            <w:tcW w:type="dxa" w:w="1296"/>
            <w:shd w:fill="FFFFFF"/>
            <w:tcMar>
              <w:top w:w="70" w:type="dxa"/>
              <w:bottom w:w="70" w:type="dxa"/>
              <w:left w:w="100" w:type="dxa"/>
              <w:right w:w="100" w:type="dxa"/>
            </w:tcMar>
          </w:tcPr>
          <w:p>
            <w:pPr>
              <w:spacing w:before="0" w:after="0"/>
              <w:jc w:val="right"/>
            </w:pPr>
            <w:r>
              <w:rPr>
                <w:rFonts w:ascii="Calibri" w:hAnsi="Calibri"/>
                <w:b/>
                <w:color w:val="1B365D"/>
                <w:sz w:val="17"/>
              </w:rPr>
              <w:t>+3.03 pp</w:t>
            </w:r>
          </w:p>
        </w:tc>
        <w:tc>
          <w:tcPr>
            <w:tcW w:type="dxa" w:w="1440"/>
            <w:shd w:fill="FFFFFF"/>
            <w:tcMar>
              <w:top w:w="70" w:type="dxa"/>
              <w:bottom w:w="70" w:type="dxa"/>
              <w:left w:w="100" w:type="dxa"/>
              <w:right w:w="100" w:type="dxa"/>
            </w:tcMar>
          </w:tcPr>
          <w:p>
            <w:pPr>
              <w:spacing w:before="0" w:after="0"/>
              <w:jc w:val="right"/>
            </w:pPr>
            <w:r>
              <w:rPr>
                <w:rFonts w:ascii="Calibri" w:hAnsi="Calibri"/>
                <w:b/>
                <w:color w:val="1B365D"/>
                <w:sz w:val="17"/>
              </w:rPr>
              <w:t>47.79%</w:t>
            </w:r>
          </w:p>
        </w:tc>
        <w:tc>
          <w:tcPr>
            <w:tcW w:type="dxa" w:w="1152"/>
            <w:shd w:fill="FFFFFF"/>
            <w:tcMar>
              <w:top w:w="70" w:type="dxa"/>
              <w:bottom w:w="70" w:type="dxa"/>
              <w:left w:w="100" w:type="dxa"/>
              <w:right w:w="100" w:type="dxa"/>
            </w:tcMar>
          </w:tcPr>
          <w:p>
            <w:pPr>
              <w:spacing w:before="0" w:after="0"/>
              <w:jc w:val="right"/>
            </w:pPr>
            <w:r>
              <w:rPr>
                <w:rFonts w:ascii="Calibri" w:hAnsi="Calibri"/>
                <w:b/>
                <w:color w:val="1B365D"/>
                <w:sz w:val="17"/>
              </w:rPr>
              <w:t>0.168x</w:t>
            </w:r>
          </w:p>
        </w:tc>
        <w:tc>
          <w:tcPr>
            <w:tcW w:type="dxa" w:w="1584"/>
            <w:shd w:fill="FFFFFF"/>
            <w:tcMar>
              <w:top w:w="70" w:type="dxa"/>
              <w:bottom w:w="70" w:type="dxa"/>
              <w:left w:w="100" w:type="dxa"/>
              <w:right w:w="100" w:type="dxa"/>
            </w:tcMar>
          </w:tcPr>
          <w:p>
            <w:pPr>
              <w:spacing w:before="0" w:after="0"/>
              <w:jc w:val="left"/>
            </w:pPr>
            <w:r>
              <w:rPr>
                <w:rFonts w:ascii="Calibri" w:hAnsi="Calibri"/>
                <w:b/>
                <w:color w:val="1B365D"/>
                <w:sz w:val="17"/>
              </w:rPr>
              <w:t>LÍDER EN VOLUMEN Y ESCALA</w:t>
            </w:r>
          </w:p>
        </w:tc>
      </w:tr>
      <w:tr>
        <w:tc>
          <w:tcPr>
            <w:tcW w:type="dxa" w:w="1440"/>
            <w:shd w:fill="F7FAFC"/>
            <w:tcMar>
              <w:top w:w="70" w:type="dxa"/>
              <w:bottom w:w="70" w:type="dxa"/>
              <w:left w:w="100" w:type="dxa"/>
              <w:right w:w="100" w:type="dxa"/>
            </w:tcMar>
          </w:tcPr>
          <w:p>
            <w:pPr>
              <w:spacing w:before="0" w:after="0"/>
              <w:jc w:val="left"/>
            </w:pPr>
            <w:r>
              <w:rPr>
                <w:rFonts w:ascii="Calibri" w:hAnsi="Calibri"/>
                <w:b w:val="0"/>
                <w:color w:val="2D3748"/>
                <w:sz w:val="17"/>
              </w:rPr>
              <w:t>FY2025</w:t>
            </w:r>
          </w:p>
        </w:tc>
        <w:tc>
          <w:tcPr>
            <w:tcW w:type="dxa" w:w="1440"/>
            <w:shd w:fill="F7FAFC"/>
            <w:tcMar>
              <w:top w:w="70" w:type="dxa"/>
              <w:bottom w:w="70" w:type="dxa"/>
              <w:left w:w="100" w:type="dxa"/>
              <w:right w:w="100" w:type="dxa"/>
            </w:tcMar>
          </w:tcPr>
          <w:p>
            <w:pPr>
              <w:spacing w:before="0" w:after="0"/>
              <w:jc w:val="right"/>
            </w:pPr>
            <w:r>
              <w:rPr>
                <w:rFonts w:ascii="Calibri" w:hAnsi="Calibri"/>
                <w:b w:val="0"/>
                <w:color w:val="2D3748"/>
                <w:sz w:val="17"/>
              </w:rPr>
              <w:t>8.85%</w:t>
            </w:r>
          </w:p>
        </w:tc>
        <w:tc>
          <w:tcPr>
            <w:tcW w:type="dxa" w:w="1440"/>
            <w:shd w:fill="F7FAFC"/>
            <w:tcMar>
              <w:top w:w="70" w:type="dxa"/>
              <w:bottom w:w="70" w:type="dxa"/>
              <w:left w:w="100" w:type="dxa"/>
              <w:right w:w="100" w:type="dxa"/>
            </w:tcMar>
          </w:tcPr>
          <w:p>
            <w:pPr>
              <w:spacing w:before="0" w:after="0"/>
              <w:jc w:val="right"/>
            </w:pPr>
            <w:r>
              <w:rPr>
                <w:rFonts w:ascii="Calibri" w:hAnsi="Calibri"/>
                <w:b w:val="0"/>
                <w:color w:val="2D3748"/>
                <w:sz w:val="17"/>
              </w:rPr>
              <w:t>13.16%</w:t>
            </w:r>
          </w:p>
        </w:tc>
        <w:tc>
          <w:tcPr>
            <w:tcW w:type="dxa" w:w="1296"/>
            <w:shd w:fill="F7FAFC"/>
            <w:tcMar>
              <w:top w:w="70" w:type="dxa"/>
              <w:bottom w:w="70" w:type="dxa"/>
              <w:left w:w="100" w:type="dxa"/>
              <w:right w:w="100" w:type="dxa"/>
            </w:tcMar>
          </w:tcPr>
          <w:p>
            <w:pPr>
              <w:spacing w:before="0" w:after="0"/>
              <w:jc w:val="right"/>
            </w:pPr>
            <w:r>
              <w:rPr>
                <w:rFonts w:ascii="Calibri" w:hAnsi="Calibri"/>
                <w:b w:val="0"/>
                <w:color w:val="2D3748"/>
                <w:sz w:val="17"/>
              </w:rPr>
              <w:t>+4.31 pp</w:t>
            </w:r>
          </w:p>
        </w:tc>
        <w:tc>
          <w:tcPr>
            <w:tcW w:type="dxa" w:w="1440"/>
            <w:shd w:fill="F7FAFC"/>
            <w:tcMar>
              <w:top w:w="70" w:type="dxa"/>
              <w:bottom w:w="70" w:type="dxa"/>
              <w:left w:w="100" w:type="dxa"/>
              <w:right w:w="100" w:type="dxa"/>
            </w:tcMar>
          </w:tcPr>
          <w:p>
            <w:pPr>
              <w:spacing w:before="0" w:after="0"/>
              <w:jc w:val="right"/>
            </w:pPr>
            <w:r>
              <w:rPr>
                <w:rFonts w:ascii="Calibri" w:hAnsi="Calibri"/>
                <w:b w:val="0"/>
                <w:color w:val="2D3748"/>
                <w:sz w:val="17"/>
              </w:rPr>
              <w:t>59.17%</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0.149x</w:t>
            </w:r>
          </w:p>
        </w:tc>
        <w:tc>
          <w:tcPr>
            <w:tcW w:type="dxa" w:w="1584"/>
            <w:shd w:fill="F7FAFC"/>
            <w:tcMar>
              <w:top w:w="70" w:type="dxa"/>
              <w:bottom w:w="70" w:type="dxa"/>
              <w:left w:w="100" w:type="dxa"/>
              <w:right w:w="100" w:type="dxa"/>
            </w:tcMar>
          </w:tcPr>
          <w:p>
            <w:pPr>
              <w:spacing w:before="0" w:after="0"/>
              <w:jc w:val="left"/>
            </w:pPr>
            <w:r>
              <w:rPr>
                <w:rFonts w:ascii="Calibri" w:hAnsi="Calibri"/>
                <w:b w:val="0"/>
                <w:color w:val="2D3748"/>
                <w:sz w:val="17"/>
              </w:rPr>
              <w:t>COMPOUNDER DE ÉLITE</w:t>
            </w:r>
          </w:p>
        </w:tc>
      </w:tr>
      <w:tr>
        <w:tc>
          <w:tcPr>
            <w:tcW w:type="dxa" w:w="1440"/>
            <w:shd w:fill="FFFFFF"/>
            <w:tcMar>
              <w:top w:w="70" w:type="dxa"/>
              <w:bottom w:w="70" w:type="dxa"/>
              <w:left w:w="100" w:type="dxa"/>
              <w:right w:w="100" w:type="dxa"/>
            </w:tcMar>
          </w:tcPr>
          <w:p>
            <w:pPr>
              <w:spacing w:before="0" w:after="0"/>
              <w:jc w:val="left"/>
            </w:pPr>
            <w:r>
              <w:rPr>
                <w:rFonts w:ascii="Calibri" w:hAnsi="Calibri"/>
                <w:b w:val="0"/>
                <w:color w:val="2D3748"/>
                <w:sz w:val="17"/>
              </w:rPr>
              <w:t>FY2024</w:t>
            </w:r>
          </w:p>
        </w:tc>
        <w:tc>
          <w:tcPr>
            <w:tcW w:type="dxa" w:w="1440"/>
            <w:shd w:fill="FFFFFF"/>
            <w:tcMar>
              <w:top w:w="70" w:type="dxa"/>
              <w:bottom w:w="70" w:type="dxa"/>
              <w:left w:w="100" w:type="dxa"/>
              <w:right w:w="100" w:type="dxa"/>
            </w:tcMar>
          </w:tcPr>
          <w:p>
            <w:pPr>
              <w:spacing w:before="0" w:after="0"/>
              <w:jc w:val="right"/>
            </w:pPr>
            <w:r>
              <w:rPr>
                <w:rFonts w:ascii="Calibri" w:hAnsi="Calibri"/>
                <w:b w:val="0"/>
                <w:color w:val="2D3748"/>
                <w:sz w:val="17"/>
              </w:rPr>
              <w:t>10.52%</w:t>
            </w:r>
          </w:p>
        </w:tc>
        <w:tc>
          <w:tcPr>
            <w:tcW w:type="dxa" w:w="1440"/>
            <w:shd w:fill="FFFFFF"/>
            <w:tcMar>
              <w:top w:w="70" w:type="dxa"/>
              <w:bottom w:w="70" w:type="dxa"/>
              <w:left w:w="100" w:type="dxa"/>
              <w:right w:w="100" w:type="dxa"/>
            </w:tcMar>
          </w:tcPr>
          <w:p>
            <w:pPr>
              <w:spacing w:before="0" w:after="0"/>
              <w:jc w:val="right"/>
            </w:pPr>
            <w:r>
              <w:rPr>
                <w:rFonts w:ascii="Calibri" w:hAnsi="Calibri"/>
                <w:b w:val="0"/>
                <w:color w:val="2D3748"/>
                <w:sz w:val="17"/>
              </w:rPr>
              <w:t>15.45%</w:t>
            </w:r>
          </w:p>
        </w:tc>
        <w:tc>
          <w:tcPr>
            <w:tcW w:type="dxa" w:w="1296"/>
            <w:shd w:fill="FFFFFF"/>
            <w:tcMar>
              <w:top w:w="70" w:type="dxa"/>
              <w:bottom w:w="70" w:type="dxa"/>
              <w:left w:w="100" w:type="dxa"/>
              <w:right w:w="100" w:type="dxa"/>
            </w:tcMar>
          </w:tcPr>
          <w:p>
            <w:pPr>
              <w:spacing w:before="0" w:after="0"/>
              <w:jc w:val="right"/>
            </w:pPr>
            <w:r>
              <w:rPr>
                <w:rFonts w:ascii="Calibri" w:hAnsi="Calibri"/>
                <w:b w:val="0"/>
                <w:color w:val="2D3748"/>
                <w:sz w:val="17"/>
              </w:rPr>
              <w:t>+4.93 pp</w:t>
            </w:r>
          </w:p>
        </w:tc>
        <w:tc>
          <w:tcPr>
            <w:tcW w:type="dxa" w:w="1440"/>
            <w:shd w:fill="FFFFFF"/>
            <w:tcMar>
              <w:top w:w="70" w:type="dxa"/>
              <w:bottom w:w="70" w:type="dxa"/>
              <w:left w:w="100" w:type="dxa"/>
              <w:right w:w="100" w:type="dxa"/>
            </w:tcMar>
          </w:tcPr>
          <w:p>
            <w:pPr>
              <w:spacing w:before="0" w:after="0"/>
              <w:jc w:val="right"/>
            </w:pPr>
            <w:r>
              <w:rPr>
                <w:rFonts w:ascii="Calibri" w:hAnsi="Calibri"/>
                <w:b w:val="0"/>
                <w:color w:val="2D3748"/>
                <w:sz w:val="17"/>
              </w:rPr>
              <w:t>60.50%</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0.174x</w:t>
            </w:r>
          </w:p>
        </w:tc>
        <w:tc>
          <w:tcPr>
            <w:tcW w:type="dxa" w:w="1584"/>
            <w:shd w:fill="FFFFFF"/>
            <w:tcMar>
              <w:top w:w="70" w:type="dxa"/>
              <w:bottom w:w="70" w:type="dxa"/>
              <w:left w:w="100" w:type="dxa"/>
              <w:right w:w="100" w:type="dxa"/>
            </w:tcMar>
          </w:tcPr>
          <w:p>
            <w:pPr>
              <w:spacing w:before="0" w:after="0"/>
              <w:jc w:val="left"/>
            </w:pPr>
            <w:r>
              <w:rPr>
                <w:rFonts w:ascii="Calibri" w:hAnsi="Calibri"/>
                <w:b w:val="0"/>
                <w:color w:val="2D3748"/>
                <w:sz w:val="17"/>
              </w:rPr>
              <w:t>COMPOUNDER DE ÉLITE</w:t>
            </w:r>
          </w:p>
        </w:tc>
      </w:tr>
      <w:tr>
        <w:tc>
          <w:tcPr>
            <w:tcW w:type="dxa" w:w="1440"/>
            <w:shd w:fill="F7FAFC"/>
            <w:tcMar>
              <w:top w:w="70" w:type="dxa"/>
              <w:bottom w:w="70" w:type="dxa"/>
              <w:left w:w="100" w:type="dxa"/>
              <w:right w:w="100" w:type="dxa"/>
            </w:tcMar>
          </w:tcPr>
          <w:p>
            <w:pPr>
              <w:spacing w:before="0" w:after="0"/>
              <w:jc w:val="left"/>
            </w:pPr>
            <w:r>
              <w:rPr>
                <w:rFonts w:ascii="Calibri" w:hAnsi="Calibri"/>
                <w:b w:val="0"/>
                <w:color w:val="2D3748"/>
                <w:sz w:val="17"/>
              </w:rPr>
              <w:t>FY2023</w:t>
            </w:r>
          </w:p>
        </w:tc>
        <w:tc>
          <w:tcPr>
            <w:tcW w:type="dxa" w:w="1440"/>
            <w:shd w:fill="F7FAFC"/>
            <w:tcMar>
              <w:top w:w="70" w:type="dxa"/>
              <w:bottom w:w="70" w:type="dxa"/>
              <w:left w:w="100" w:type="dxa"/>
              <w:right w:w="100" w:type="dxa"/>
            </w:tcMar>
          </w:tcPr>
          <w:p>
            <w:pPr>
              <w:spacing w:before="0" w:after="0"/>
              <w:jc w:val="right"/>
            </w:pPr>
            <w:r>
              <w:rPr>
                <w:rFonts w:ascii="Calibri" w:hAnsi="Calibri"/>
                <w:b w:val="0"/>
                <w:color w:val="2D3748"/>
                <w:sz w:val="17"/>
              </w:rPr>
              <w:t>8.05%</w:t>
            </w:r>
          </w:p>
        </w:tc>
        <w:tc>
          <w:tcPr>
            <w:tcW w:type="dxa" w:w="1440"/>
            <w:shd w:fill="F7FAFC"/>
            <w:tcMar>
              <w:top w:w="70" w:type="dxa"/>
              <w:bottom w:w="70" w:type="dxa"/>
              <w:left w:w="100" w:type="dxa"/>
              <w:right w:w="100" w:type="dxa"/>
            </w:tcMar>
          </w:tcPr>
          <w:p>
            <w:pPr>
              <w:spacing w:before="0" w:after="0"/>
              <w:jc w:val="right"/>
            </w:pPr>
            <w:r>
              <w:rPr>
                <w:rFonts w:ascii="Calibri" w:hAnsi="Calibri"/>
                <w:b w:val="0"/>
                <w:color w:val="2D3748"/>
                <w:sz w:val="17"/>
              </w:rPr>
              <w:t>11.65%</w:t>
            </w:r>
          </w:p>
        </w:tc>
        <w:tc>
          <w:tcPr>
            <w:tcW w:type="dxa" w:w="1296"/>
            <w:shd w:fill="F7FAFC"/>
            <w:tcMar>
              <w:top w:w="70" w:type="dxa"/>
              <w:bottom w:w="70" w:type="dxa"/>
              <w:left w:w="100" w:type="dxa"/>
              <w:right w:w="100" w:type="dxa"/>
            </w:tcMar>
          </w:tcPr>
          <w:p>
            <w:pPr>
              <w:spacing w:before="0" w:after="0"/>
              <w:jc w:val="right"/>
            </w:pPr>
            <w:r>
              <w:rPr>
                <w:rFonts w:ascii="Calibri" w:hAnsi="Calibri"/>
                <w:b w:val="0"/>
                <w:color w:val="2D3748"/>
                <w:sz w:val="17"/>
              </w:rPr>
              <w:t>+3.59 pp</w:t>
            </w:r>
          </w:p>
        </w:tc>
        <w:tc>
          <w:tcPr>
            <w:tcW w:type="dxa" w:w="1440"/>
            <w:shd w:fill="F7FAFC"/>
            <w:tcMar>
              <w:top w:w="70" w:type="dxa"/>
              <w:bottom w:w="70" w:type="dxa"/>
              <w:left w:w="100" w:type="dxa"/>
              <w:right w:w="100" w:type="dxa"/>
            </w:tcMar>
          </w:tcPr>
          <w:p>
            <w:pPr>
              <w:spacing w:before="0" w:after="0"/>
              <w:jc w:val="right"/>
            </w:pPr>
            <w:r>
              <w:rPr>
                <w:rFonts w:ascii="Calibri" w:hAnsi="Calibri"/>
                <w:b w:val="0"/>
                <w:color w:val="2D3748"/>
                <w:sz w:val="17"/>
              </w:rPr>
              <w:t>58.26%</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0.138x</w:t>
            </w:r>
          </w:p>
        </w:tc>
        <w:tc>
          <w:tcPr>
            <w:tcW w:type="dxa" w:w="1584"/>
            <w:shd w:fill="F7FAFC"/>
            <w:tcMar>
              <w:top w:w="70" w:type="dxa"/>
              <w:bottom w:w="70" w:type="dxa"/>
              <w:left w:w="100" w:type="dxa"/>
              <w:right w:w="100" w:type="dxa"/>
            </w:tcMar>
          </w:tcPr>
          <w:p>
            <w:pPr>
              <w:spacing w:before="0" w:after="0"/>
              <w:jc w:val="left"/>
            </w:pPr>
            <w:r>
              <w:rPr>
                <w:rFonts w:ascii="Calibri" w:hAnsi="Calibri"/>
                <w:b w:val="0"/>
                <w:color w:val="2D3748"/>
                <w:sz w:val="17"/>
              </w:rPr>
              <w:t>COMPOUNDER DE ÉLITE</w:t>
            </w:r>
          </w:p>
        </w:tc>
      </w:tr>
      <w:tr>
        <w:tc>
          <w:tcPr>
            <w:tcW w:type="dxa" w:w="1440"/>
            <w:shd w:fill="FFFFFF"/>
            <w:tcMar>
              <w:top w:w="70" w:type="dxa"/>
              <w:bottom w:w="70" w:type="dxa"/>
              <w:left w:w="100" w:type="dxa"/>
              <w:right w:w="100" w:type="dxa"/>
            </w:tcMar>
          </w:tcPr>
          <w:p>
            <w:pPr>
              <w:spacing w:before="0" w:after="0"/>
              <w:jc w:val="left"/>
            </w:pPr>
            <w:r>
              <w:rPr>
                <w:rFonts w:ascii="Calibri" w:hAnsi="Calibri"/>
                <w:b w:val="0"/>
                <w:color w:val="2D3748"/>
                <w:sz w:val="17"/>
              </w:rPr>
              <w:t>FY2022</w:t>
            </w:r>
          </w:p>
        </w:tc>
        <w:tc>
          <w:tcPr>
            <w:tcW w:type="dxa" w:w="1440"/>
            <w:shd w:fill="FFFFFF"/>
            <w:tcMar>
              <w:top w:w="70" w:type="dxa"/>
              <w:bottom w:w="70" w:type="dxa"/>
              <w:left w:w="100" w:type="dxa"/>
              <w:right w:w="100" w:type="dxa"/>
            </w:tcMar>
          </w:tcPr>
          <w:p>
            <w:pPr>
              <w:spacing w:before="0" w:after="0"/>
              <w:jc w:val="right"/>
            </w:pPr>
            <w:r>
              <w:rPr>
                <w:rFonts w:ascii="Calibri" w:hAnsi="Calibri"/>
                <w:b w:val="0"/>
                <w:color w:val="2D3748"/>
                <w:sz w:val="17"/>
              </w:rPr>
              <w:t>5.56%</w:t>
            </w:r>
          </w:p>
        </w:tc>
        <w:tc>
          <w:tcPr>
            <w:tcW w:type="dxa" w:w="1440"/>
            <w:shd w:fill="FFFFFF"/>
            <w:tcMar>
              <w:top w:w="70" w:type="dxa"/>
              <w:bottom w:w="70" w:type="dxa"/>
              <w:left w:w="100" w:type="dxa"/>
              <w:right w:w="100" w:type="dxa"/>
            </w:tcMar>
          </w:tcPr>
          <w:p>
            <w:pPr>
              <w:spacing w:before="0" w:after="0"/>
              <w:jc w:val="right"/>
            </w:pPr>
            <w:r>
              <w:rPr>
                <w:rFonts w:ascii="Calibri" w:hAnsi="Calibri"/>
                <w:b w:val="0"/>
                <w:color w:val="2D3748"/>
                <w:sz w:val="17"/>
              </w:rPr>
              <w:t>7.24%</w:t>
            </w:r>
          </w:p>
        </w:tc>
        <w:tc>
          <w:tcPr>
            <w:tcW w:type="dxa" w:w="1296"/>
            <w:shd w:fill="FFFFFF"/>
            <w:tcMar>
              <w:top w:w="70" w:type="dxa"/>
              <w:bottom w:w="70" w:type="dxa"/>
              <w:left w:w="100" w:type="dxa"/>
              <w:right w:w="100" w:type="dxa"/>
            </w:tcMar>
          </w:tcPr>
          <w:p>
            <w:pPr>
              <w:spacing w:before="0" w:after="0"/>
              <w:jc w:val="right"/>
            </w:pPr>
            <w:r>
              <w:rPr>
                <w:rFonts w:ascii="Calibri" w:hAnsi="Calibri"/>
                <w:b w:val="0"/>
                <w:color w:val="2D3748"/>
                <w:sz w:val="17"/>
              </w:rPr>
              <w:t>+1.68 pp</w:t>
            </w:r>
          </w:p>
        </w:tc>
        <w:tc>
          <w:tcPr>
            <w:tcW w:type="dxa" w:w="1440"/>
            <w:shd w:fill="FFFFFF"/>
            <w:tcMar>
              <w:top w:w="70" w:type="dxa"/>
              <w:bottom w:w="70" w:type="dxa"/>
              <w:left w:w="100" w:type="dxa"/>
              <w:right w:w="100" w:type="dxa"/>
            </w:tcMar>
          </w:tcPr>
          <w:p>
            <w:pPr>
              <w:spacing w:before="0" w:after="0"/>
              <w:jc w:val="right"/>
            </w:pPr>
            <w:r>
              <w:rPr>
                <w:rFonts w:ascii="Calibri" w:hAnsi="Calibri"/>
                <w:b w:val="0"/>
                <w:color w:val="2D3748"/>
                <w:sz w:val="17"/>
              </w:rPr>
              <w:t>51.26%</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0.108x</w:t>
            </w:r>
          </w:p>
        </w:tc>
        <w:tc>
          <w:tcPr>
            <w:tcW w:type="dxa" w:w="1584"/>
            <w:shd w:fill="FFFFFF"/>
            <w:tcMar>
              <w:top w:w="70" w:type="dxa"/>
              <w:bottom w:w="70" w:type="dxa"/>
              <w:left w:w="100" w:type="dxa"/>
              <w:right w:w="100" w:type="dxa"/>
            </w:tcMar>
          </w:tcPr>
          <w:p>
            <w:pPr>
              <w:spacing w:before="0" w:after="0"/>
              <w:jc w:val="left"/>
            </w:pPr>
            <w:r>
              <w:rPr>
                <w:rFonts w:ascii="Calibri" w:hAnsi="Calibri"/>
                <w:b w:val="0"/>
                <w:color w:val="2D3748"/>
                <w:sz w:val="17"/>
              </w:rPr>
              <w:t>MONOPOLIO / PODER DE MARCA</w:t>
            </w:r>
          </w:p>
        </w:tc>
      </w:tr>
      <w:tr>
        <w:tc>
          <w:tcPr>
            <w:tcW w:type="dxa" w:w="1440"/>
            <w:shd w:fill="F7FAFC"/>
            <w:tcMar>
              <w:top w:w="70" w:type="dxa"/>
              <w:bottom w:w="70" w:type="dxa"/>
              <w:left w:w="100" w:type="dxa"/>
              <w:right w:w="100" w:type="dxa"/>
            </w:tcMar>
          </w:tcPr>
          <w:p>
            <w:pPr>
              <w:spacing w:before="0" w:after="0"/>
              <w:jc w:val="left"/>
            </w:pPr>
            <w:r>
              <w:rPr>
                <w:rFonts w:ascii="Calibri" w:hAnsi="Calibri"/>
                <w:b w:val="0"/>
                <w:color w:val="2D3748"/>
                <w:sz w:val="17"/>
              </w:rPr>
              <w:t>FY2021</w:t>
            </w:r>
          </w:p>
        </w:tc>
        <w:tc>
          <w:tcPr>
            <w:tcW w:type="dxa" w:w="1440"/>
            <w:shd w:fill="F7FAFC"/>
            <w:tcMar>
              <w:top w:w="70" w:type="dxa"/>
              <w:bottom w:w="70" w:type="dxa"/>
              <w:left w:w="100" w:type="dxa"/>
              <w:right w:w="100" w:type="dxa"/>
            </w:tcMar>
          </w:tcPr>
          <w:p>
            <w:pPr>
              <w:spacing w:before="0" w:after="0"/>
              <w:jc w:val="right"/>
            </w:pPr>
            <w:r>
              <w:rPr>
                <w:rFonts w:ascii="Calibri" w:hAnsi="Calibri"/>
                <w:b w:val="0"/>
                <w:color w:val="2D3748"/>
                <w:sz w:val="17"/>
              </w:rPr>
              <w:t>3.69%</w:t>
            </w:r>
          </w:p>
        </w:tc>
        <w:tc>
          <w:tcPr>
            <w:tcW w:type="dxa" w:w="1440"/>
            <w:shd w:fill="F7FAFC"/>
            <w:tcMar>
              <w:top w:w="70" w:type="dxa"/>
              <w:bottom w:w="70" w:type="dxa"/>
              <w:left w:w="100" w:type="dxa"/>
              <w:right w:w="100" w:type="dxa"/>
            </w:tcMar>
          </w:tcPr>
          <w:p>
            <w:pPr>
              <w:spacing w:before="0" w:after="0"/>
              <w:jc w:val="right"/>
            </w:pPr>
            <w:r>
              <w:rPr>
                <w:rFonts w:ascii="Calibri" w:hAnsi="Calibri"/>
                <w:b w:val="0"/>
                <w:color w:val="2D3748"/>
                <w:sz w:val="17"/>
              </w:rPr>
              <w:t>4.52%</w:t>
            </w:r>
          </w:p>
        </w:tc>
        <w:tc>
          <w:tcPr>
            <w:tcW w:type="dxa" w:w="1296"/>
            <w:shd w:fill="F7FAFC"/>
            <w:tcMar>
              <w:top w:w="70" w:type="dxa"/>
              <w:bottom w:w="70" w:type="dxa"/>
              <w:left w:w="100" w:type="dxa"/>
              <w:right w:w="100" w:type="dxa"/>
            </w:tcMar>
          </w:tcPr>
          <w:p>
            <w:pPr>
              <w:spacing w:before="0" w:after="0"/>
              <w:jc w:val="right"/>
            </w:pPr>
            <w:r>
              <w:rPr>
                <w:rFonts w:ascii="Calibri" w:hAnsi="Calibri"/>
                <w:b w:val="0"/>
                <w:color w:val="2D3748"/>
                <w:sz w:val="17"/>
              </w:rPr>
              <w:t>+0.83 pp</w:t>
            </w:r>
          </w:p>
        </w:tc>
        <w:tc>
          <w:tcPr>
            <w:tcW w:type="dxa" w:w="1440"/>
            <w:shd w:fill="F7FAFC"/>
            <w:tcMar>
              <w:top w:w="70" w:type="dxa"/>
              <w:bottom w:w="70" w:type="dxa"/>
              <w:left w:w="100" w:type="dxa"/>
              <w:right w:w="100" w:type="dxa"/>
            </w:tcMar>
          </w:tcPr>
          <w:p>
            <w:pPr>
              <w:spacing w:before="0" w:after="0"/>
              <w:jc w:val="right"/>
            </w:pPr>
            <w:r>
              <w:rPr>
                <w:rFonts w:ascii="Calibri" w:hAnsi="Calibri"/>
                <w:b w:val="0"/>
                <w:color w:val="2D3748"/>
                <w:sz w:val="17"/>
              </w:rPr>
              <w:t>55.08%</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0.067x</w:t>
            </w:r>
          </w:p>
        </w:tc>
        <w:tc>
          <w:tcPr>
            <w:tcW w:type="dxa" w:w="1584"/>
            <w:shd w:fill="F7FAFC"/>
            <w:tcMar>
              <w:top w:w="70" w:type="dxa"/>
              <w:bottom w:w="70" w:type="dxa"/>
              <w:left w:w="100" w:type="dxa"/>
              <w:right w:w="100" w:type="dxa"/>
            </w:tcMar>
          </w:tcPr>
          <w:p>
            <w:pPr>
              <w:spacing w:before="0" w:after="0"/>
              <w:jc w:val="left"/>
            </w:pPr>
            <w:r>
              <w:rPr>
                <w:rFonts w:ascii="Calibri" w:hAnsi="Calibri"/>
                <w:b w:val="0"/>
                <w:color w:val="2D3748"/>
                <w:sz w:val="17"/>
              </w:rPr>
              <w:t>MONOPOLIO / PODER DE MARCA</w:t>
            </w:r>
          </w:p>
        </w:tc>
      </w:tr>
      <w:tr>
        <w:tc>
          <w:tcPr>
            <w:tcW w:type="dxa" w:w="1440"/>
            <w:shd w:fill="FFFFFF"/>
            <w:tcMar>
              <w:top w:w="70" w:type="dxa"/>
              <w:bottom w:w="70" w:type="dxa"/>
              <w:left w:w="100" w:type="dxa"/>
              <w:right w:w="100" w:type="dxa"/>
            </w:tcMar>
          </w:tcPr>
          <w:p>
            <w:pPr>
              <w:spacing w:before="0" w:after="0"/>
              <w:jc w:val="left"/>
            </w:pPr>
            <w:r>
              <w:rPr>
                <w:rFonts w:ascii="Calibri" w:hAnsi="Calibri"/>
                <w:b w:val="0"/>
                <w:color w:val="2D3748"/>
                <w:sz w:val="17"/>
              </w:rPr>
              <w:t>FY2020</w:t>
            </w:r>
          </w:p>
        </w:tc>
        <w:tc>
          <w:tcPr>
            <w:tcW w:type="dxa" w:w="1440"/>
            <w:shd w:fill="FFFFFF"/>
            <w:tcMar>
              <w:top w:w="70" w:type="dxa"/>
              <w:bottom w:w="70" w:type="dxa"/>
              <w:left w:w="100" w:type="dxa"/>
              <w:right w:w="100" w:type="dxa"/>
            </w:tcMar>
          </w:tcPr>
          <w:p>
            <w:pPr>
              <w:spacing w:before="0" w:after="0"/>
              <w:jc w:val="right"/>
            </w:pPr>
            <w:r>
              <w:rPr>
                <w:rFonts w:ascii="Calibri" w:hAnsi="Calibri"/>
                <w:b w:val="0"/>
                <w:color w:val="2D3748"/>
                <w:sz w:val="17"/>
              </w:rPr>
              <w:t>3.22%</w:t>
            </w:r>
          </w:p>
        </w:tc>
        <w:tc>
          <w:tcPr>
            <w:tcW w:type="dxa" w:w="1440"/>
            <w:shd w:fill="FFFFFF"/>
            <w:tcMar>
              <w:top w:w="70" w:type="dxa"/>
              <w:bottom w:w="70" w:type="dxa"/>
              <w:left w:w="100" w:type="dxa"/>
              <w:right w:w="100" w:type="dxa"/>
            </w:tcMar>
          </w:tcPr>
          <w:p>
            <w:pPr>
              <w:spacing w:before="0" w:after="0"/>
              <w:jc w:val="right"/>
            </w:pPr>
            <w:r>
              <w:rPr>
                <w:rFonts w:ascii="Calibri" w:hAnsi="Calibri"/>
                <w:b w:val="0"/>
                <w:color w:val="2D3748"/>
                <w:sz w:val="17"/>
              </w:rPr>
              <w:t>4.21%</w:t>
            </w:r>
          </w:p>
        </w:tc>
        <w:tc>
          <w:tcPr>
            <w:tcW w:type="dxa" w:w="1296"/>
            <w:shd w:fill="FFFFFF"/>
            <w:tcMar>
              <w:top w:w="70" w:type="dxa"/>
              <w:bottom w:w="70" w:type="dxa"/>
              <w:left w:w="100" w:type="dxa"/>
              <w:right w:w="100" w:type="dxa"/>
            </w:tcMar>
          </w:tcPr>
          <w:p>
            <w:pPr>
              <w:spacing w:before="0" w:after="0"/>
              <w:jc w:val="right"/>
            </w:pPr>
            <w:r>
              <w:rPr>
                <w:rFonts w:ascii="Calibri" w:hAnsi="Calibri"/>
                <w:b w:val="0"/>
                <w:color w:val="2D3748"/>
                <w:sz w:val="17"/>
              </w:rPr>
              <w:t>+0.99 pp</w:t>
            </w:r>
          </w:p>
        </w:tc>
        <w:tc>
          <w:tcPr>
            <w:tcW w:type="dxa" w:w="1440"/>
            <w:shd w:fill="FFFFFF"/>
            <w:tcMar>
              <w:top w:w="70" w:type="dxa"/>
              <w:bottom w:w="70" w:type="dxa"/>
              <w:left w:w="100" w:type="dxa"/>
              <w:right w:w="100" w:type="dxa"/>
            </w:tcMar>
          </w:tcPr>
          <w:p>
            <w:pPr>
              <w:spacing w:before="0" w:after="0"/>
              <w:jc w:val="right"/>
            </w:pPr>
            <w:r>
              <w:rPr>
                <w:rFonts w:ascii="Calibri" w:hAnsi="Calibri"/>
                <w:b w:val="0"/>
                <w:color w:val="2D3748"/>
                <w:sz w:val="17"/>
              </w:rPr>
              <w:t>52.46%</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0.061x</w:t>
            </w:r>
          </w:p>
        </w:tc>
        <w:tc>
          <w:tcPr>
            <w:tcW w:type="dxa" w:w="1584"/>
            <w:shd w:fill="FFFFFF"/>
            <w:tcMar>
              <w:top w:w="70" w:type="dxa"/>
              <w:bottom w:w="70" w:type="dxa"/>
              <w:left w:w="100" w:type="dxa"/>
              <w:right w:w="100" w:type="dxa"/>
            </w:tcMar>
          </w:tcPr>
          <w:p>
            <w:pPr>
              <w:spacing w:before="0" w:after="0"/>
              <w:jc w:val="left"/>
            </w:pPr>
            <w:r>
              <w:rPr>
                <w:rFonts w:ascii="Calibri" w:hAnsi="Calibri"/>
                <w:b w:val="0"/>
                <w:color w:val="2D3748"/>
                <w:sz w:val="17"/>
              </w:rPr>
              <w:t>MONOPOLIO / PODER DE MARCA</w:t>
            </w:r>
          </w:p>
        </w:tc>
      </w:tr>
      <w:tr>
        <w:tc>
          <w:tcPr>
            <w:tcW w:type="dxa" w:w="1440"/>
            <w:shd w:fill="F7FAFC"/>
            <w:tcMar>
              <w:top w:w="70" w:type="dxa"/>
              <w:bottom w:w="70" w:type="dxa"/>
              <w:left w:w="100" w:type="dxa"/>
              <w:right w:w="100" w:type="dxa"/>
            </w:tcMar>
          </w:tcPr>
          <w:p>
            <w:pPr>
              <w:spacing w:before="0" w:after="0"/>
              <w:jc w:val="left"/>
            </w:pPr>
            <w:r>
              <w:rPr>
                <w:rFonts w:ascii="Calibri" w:hAnsi="Calibri"/>
                <w:b w:val="0"/>
                <w:color w:val="2D3748"/>
                <w:sz w:val="17"/>
              </w:rPr>
              <w:t>FY2019</w:t>
            </w:r>
          </w:p>
        </w:tc>
        <w:tc>
          <w:tcPr>
            <w:tcW w:type="dxa" w:w="1440"/>
            <w:shd w:fill="F7FAFC"/>
            <w:tcMar>
              <w:top w:w="70" w:type="dxa"/>
              <w:bottom w:w="70" w:type="dxa"/>
              <w:left w:w="100" w:type="dxa"/>
              <w:right w:w="100" w:type="dxa"/>
            </w:tcMar>
          </w:tcPr>
          <w:p>
            <w:pPr>
              <w:spacing w:before="0" w:after="0"/>
              <w:jc w:val="right"/>
            </w:pPr>
            <w:r>
              <w:rPr>
                <w:rFonts w:ascii="Calibri" w:hAnsi="Calibri"/>
                <w:b w:val="0"/>
                <w:color w:val="2D3748"/>
                <w:sz w:val="17"/>
              </w:rPr>
              <w:t>N/D</w:t>
            </w:r>
          </w:p>
        </w:tc>
        <w:tc>
          <w:tcPr>
            <w:tcW w:type="dxa" w:w="1440"/>
            <w:shd w:fill="F7FAFC"/>
            <w:tcMar>
              <w:top w:w="70" w:type="dxa"/>
              <w:bottom w:w="70" w:type="dxa"/>
              <w:left w:w="100" w:type="dxa"/>
              <w:right w:w="100" w:type="dxa"/>
            </w:tcMar>
          </w:tcPr>
          <w:p>
            <w:pPr>
              <w:spacing w:before="0" w:after="0"/>
              <w:jc w:val="right"/>
            </w:pPr>
            <w:r>
              <w:rPr>
                <w:rFonts w:ascii="Calibri" w:hAnsi="Calibri"/>
                <w:b w:val="0"/>
                <w:color w:val="2D3748"/>
                <w:sz w:val="17"/>
              </w:rPr>
              <w:t>N/D</w:t>
            </w:r>
          </w:p>
        </w:tc>
        <w:tc>
          <w:tcPr>
            <w:tcW w:type="dxa" w:w="1296"/>
            <w:shd w:fill="F7FAFC"/>
            <w:tcMar>
              <w:top w:w="70" w:type="dxa"/>
              <w:bottom w:w="70" w:type="dxa"/>
              <w:left w:w="100" w:type="dxa"/>
              <w:right w:w="100" w:type="dxa"/>
            </w:tcMar>
          </w:tcPr>
          <w:p>
            <w:pPr>
              <w:spacing w:before="0" w:after="0"/>
              <w:jc w:val="right"/>
            </w:pPr>
            <w:r>
              <w:rPr>
                <w:rFonts w:ascii="Calibri" w:hAnsi="Calibri"/>
                <w:b w:val="0"/>
                <w:color w:val="2D3748"/>
                <w:sz w:val="17"/>
              </w:rPr>
              <w:t>+0.00 pp</w:t>
            </w:r>
          </w:p>
        </w:tc>
        <w:tc>
          <w:tcPr>
            <w:tcW w:type="dxa" w:w="1440"/>
            <w:shd w:fill="F7FAFC"/>
            <w:tcMar>
              <w:top w:w="70" w:type="dxa"/>
              <w:bottom w:w="70" w:type="dxa"/>
              <w:left w:w="100" w:type="dxa"/>
              <w:right w:w="100" w:type="dxa"/>
            </w:tcMar>
          </w:tcPr>
          <w:p>
            <w:pPr>
              <w:spacing w:before="0" w:after="0"/>
              <w:jc w:val="right"/>
            </w:pPr>
            <w:r>
              <w:rPr>
                <w:rFonts w:ascii="Calibri" w:hAnsi="Calibri"/>
                <w:b w:val="0"/>
                <w:color w:val="2D3748"/>
                <w:sz w:val="17"/>
              </w:rPr>
              <w:t>49.35%</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N/D</w:t>
            </w:r>
          </w:p>
        </w:tc>
        <w:tc>
          <w:tcPr>
            <w:tcW w:type="dxa" w:w="1584"/>
            <w:shd w:fill="F7FAFC"/>
            <w:tcMar>
              <w:top w:w="70" w:type="dxa"/>
              <w:bottom w:w="70" w:type="dxa"/>
              <w:left w:w="100" w:type="dxa"/>
              <w:right w:w="100" w:type="dxa"/>
            </w:tcMar>
          </w:tcPr>
          <w:p>
            <w:pPr>
              <w:spacing w:before="0" w:after="0"/>
              <w:jc w:val="left"/>
            </w:pPr>
            <w:r>
              <w:rPr>
                <w:rFonts w:ascii="Calibri" w:hAnsi="Calibri"/>
                <w:b w:val="0"/>
                <w:color w:val="2D3748"/>
                <w:sz w:val="17"/>
              </w:rPr>
              <w:t>BAJA PRODUCTIVIDAD DE CAPITAL</w:t>
            </w:r>
          </w:p>
        </w:tc>
      </w:tr>
    </w:tbl>
    <w:p>
      <w:pPr>
        <w:spacing w:after="120"/>
      </w:pPr>
    </w:p>
    <w:p>
      <w:pPr>
        <w:keepNext/>
        <w:spacing w:before="240" w:after="80"/>
      </w:pPr>
      <w:r>
        <w:rPr>
          <w:rFonts w:ascii="Calibri" w:hAnsi="Calibri"/>
          <w:b/>
          <w:color w:val="4A5568"/>
          <w:sz w:val="23"/>
        </w:rPr>
        <w:t>Bloque D: Benchmarking Sectorial y Ranking Competitivo de la Industria</w:t>
      </w:r>
    </w:p>
    <w:p>
      <w:pPr>
        <w:spacing w:before="0" w:after="80" w:line="276" w:lineRule="auto"/>
      </w:pPr>
      <w:r>
        <w:rPr>
          <w:rFonts w:ascii="Calibri" w:hAnsi="Calibri"/>
          <w:i w:val="0"/>
          <w:color w:val="2D3748"/>
          <w:sz w:val="20"/>
        </w:rPr>
        <w:t>A continuación se presenta el ranking institucional de la canasta de pares directos ordenados rigurosamente por su Rentabilidad Bruta sobre Activos Totales (Gross Profitability de Novy-Marx), contrastando la métrica nominal con la métrica operativa ex-caja y la distancia en puntos porcentuales frente a la mediana de la industria:</w:t>
      </w:r>
    </w:p>
    <w:tbl>
      <w:tblPr>
        <w:tblW w:type="auto" w:w="0"/>
        <w:jc w:val="center"/>
        <w:tblLayout w:type="fixed"/>
        <w:tblLook w:firstColumn="1" w:firstRow="1" w:lastColumn="0" w:lastRow="0" w:noHBand="0" w:noVBand="1" w:val="04A0"/>
        <w:tblBorders>
          <w:top w:val="single" w:sz="6" w:space="0" w:color="D2D6DC"/>
          <w:left w:val="none"/>
          <w:bottom w:val="single" w:sz="10" w:space="0" w:color="1B365D"/>
          <w:right w:val="none"/>
          <w:insideH w:val="single" w:sz="4" w:space="0" w:color="D2D6DC"/>
          <w:insideV w:val="none"/>
        </w:tblBorders>
      </w:tblPr>
      <w:tblGrid>
        <w:gridCol w:w="1088"/>
        <w:gridCol w:w="1088"/>
        <w:gridCol w:w="1088"/>
        <w:gridCol w:w="1088"/>
        <w:gridCol w:w="1088"/>
        <w:gridCol w:w="1088"/>
        <w:gridCol w:w="1088"/>
        <w:gridCol w:w="1088"/>
        <w:gridCol w:w="1088"/>
      </w:tblGrid>
      <w:tr>
        <w:tc>
          <w:tcPr>
            <w:tcW w:type="dxa" w:w="720"/>
            <w:shd w:fill="1B365D"/>
            <w:tcMar>
              <w:top w:w="90" w:type="dxa"/>
              <w:bottom w:w="90" w:type="dxa"/>
              <w:left w:w="100" w:type="dxa"/>
              <w:right w:w="100" w:type="dxa"/>
            </w:tcMar>
          </w:tcPr>
          <w:p>
            <w:pPr>
              <w:spacing w:before="0" w:after="0"/>
              <w:jc w:val="left"/>
            </w:pPr>
            <w:r>
              <w:rPr>
                <w:rFonts w:ascii="Calibri" w:hAnsi="Calibri"/>
                <w:b/>
                <w:color w:val="FFFFFF"/>
                <w:sz w:val="18"/>
              </w:rPr>
              <w:t>Rank</w:t>
            </w:r>
          </w:p>
        </w:tc>
        <w:tc>
          <w:tcPr>
            <w:tcW w:type="dxa" w:w="1008"/>
            <w:shd w:fill="1B365D"/>
            <w:tcMar>
              <w:top w:w="90" w:type="dxa"/>
              <w:bottom w:w="90" w:type="dxa"/>
              <w:left w:w="100" w:type="dxa"/>
              <w:right w:w="100" w:type="dxa"/>
            </w:tcMar>
          </w:tcPr>
          <w:p>
            <w:pPr>
              <w:spacing w:before="0" w:after="0"/>
              <w:jc w:val="right"/>
            </w:pPr>
            <w:r>
              <w:rPr>
                <w:rFonts w:ascii="Calibri" w:hAnsi="Calibri"/>
                <w:b/>
                <w:color w:val="FFFFFF"/>
                <w:sz w:val="18"/>
              </w:rPr>
              <w:t>Ticker</w:t>
            </w:r>
          </w:p>
        </w:tc>
        <w:tc>
          <w:tcPr>
            <w:tcW w:type="dxa" w:w="2016"/>
            <w:shd w:fill="1B365D"/>
            <w:tcMar>
              <w:top w:w="90" w:type="dxa"/>
              <w:bottom w:w="90" w:type="dxa"/>
              <w:left w:w="100" w:type="dxa"/>
              <w:right w:w="100" w:type="dxa"/>
            </w:tcMar>
          </w:tcPr>
          <w:p>
            <w:pPr>
              <w:spacing w:before="0" w:after="0"/>
              <w:jc w:val="right"/>
            </w:pPr>
            <w:r>
              <w:rPr>
                <w:rFonts w:ascii="Calibri" w:hAnsi="Calibri"/>
                <w:b/>
                <w:color w:val="FFFFFF"/>
                <w:sz w:val="18"/>
              </w:rPr>
              <w:t>Empresa Competidora</w:t>
            </w:r>
          </w:p>
        </w:tc>
        <w:tc>
          <w:tcPr>
            <w:tcW w:type="dxa" w:w="1296"/>
            <w:shd w:fill="1B365D"/>
            <w:tcMar>
              <w:top w:w="90" w:type="dxa"/>
              <w:bottom w:w="90" w:type="dxa"/>
              <w:left w:w="100" w:type="dxa"/>
              <w:right w:w="100" w:type="dxa"/>
            </w:tcMar>
          </w:tcPr>
          <w:p>
            <w:pPr>
              <w:spacing w:before="0" w:after="0"/>
              <w:jc w:val="right"/>
            </w:pPr>
            <w:r>
              <w:rPr>
                <w:rFonts w:ascii="Calibri" w:hAnsi="Calibri"/>
                <w:b/>
                <w:color w:val="FFFFFF"/>
                <w:sz w:val="18"/>
              </w:rPr>
              <w:t>Período</w:t>
            </w:r>
          </w:p>
        </w:tc>
        <w:tc>
          <w:tcPr>
            <w:tcW w:type="dxa" w:w="1152"/>
            <w:shd w:fill="1B365D"/>
            <w:tcMar>
              <w:top w:w="90" w:type="dxa"/>
              <w:bottom w:w="90" w:type="dxa"/>
              <w:left w:w="100" w:type="dxa"/>
              <w:right w:w="100" w:type="dxa"/>
            </w:tcMar>
          </w:tcPr>
          <w:p>
            <w:pPr>
              <w:spacing w:before="0" w:after="0"/>
              <w:jc w:val="right"/>
            </w:pPr>
            <w:r>
              <w:rPr>
                <w:rFonts w:ascii="Calibri" w:hAnsi="Calibri"/>
                <w:b/>
                <w:color w:val="FFFFFF"/>
                <w:sz w:val="18"/>
              </w:rPr>
              <w:t>GP / Activos</w:t>
            </w:r>
          </w:p>
        </w:tc>
        <w:tc>
          <w:tcPr>
            <w:tcW w:type="dxa" w:w="1152"/>
            <w:shd w:fill="1B365D"/>
            <w:tcMar>
              <w:top w:w="90" w:type="dxa"/>
              <w:bottom w:w="90" w:type="dxa"/>
              <w:left w:w="100" w:type="dxa"/>
              <w:right w:w="100" w:type="dxa"/>
            </w:tcMar>
          </w:tcPr>
          <w:p>
            <w:pPr>
              <w:spacing w:before="0" w:after="0"/>
              <w:jc w:val="right"/>
            </w:pPr>
            <w:r>
              <w:rPr>
                <w:rFonts w:ascii="Calibri" w:hAnsi="Calibri"/>
                <w:b/>
                <w:color w:val="FFFFFF"/>
                <w:sz w:val="18"/>
              </w:rPr>
              <w:t>GP Ex-Caja</w:t>
            </w:r>
          </w:p>
        </w:tc>
        <w:tc>
          <w:tcPr>
            <w:tcW w:type="dxa" w:w="1152"/>
            <w:shd w:fill="1B365D"/>
            <w:tcMar>
              <w:top w:w="90" w:type="dxa"/>
              <w:bottom w:w="90" w:type="dxa"/>
              <w:left w:w="100" w:type="dxa"/>
              <w:right w:w="100" w:type="dxa"/>
            </w:tcMar>
          </w:tcPr>
          <w:p>
            <w:pPr>
              <w:spacing w:before="0" w:after="0"/>
              <w:jc w:val="right"/>
            </w:pPr>
            <w:r>
              <w:rPr>
                <w:rFonts w:ascii="Calibri" w:hAnsi="Calibri"/>
                <w:b/>
                <w:color w:val="FFFFFF"/>
                <w:sz w:val="18"/>
              </w:rPr>
              <w:t>Margen Bruto</w:t>
            </w:r>
          </w:p>
        </w:tc>
        <w:tc>
          <w:tcPr>
            <w:tcW w:type="dxa" w:w="720"/>
            <w:shd w:fill="1B365D"/>
            <w:tcMar>
              <w:top w:w="90" w:type="dxa"/>
              <w:bottom w:w="90" w:type="dxa"/>
              <w:left w:w="100" w:type="dxa"/>
              <w:right w:w="100" w:type="dxa"/>
            </w:tcMar>
          </w:tcPr>
          <w:p>
            <w:pPr>
              <w:spacing w:before="0" w:after="0"/>
              <w:jc w:val="right"/>
            </w:pPr>
            <w:r>
              <w:rPr>
                <w:rFonts w:ascii="Calibri" w:hAnsi="Calibri"/>
                <w:b/>
                <w:color w:val="FFFFFF"/>
                <w:sz w:val="18"/>
              </w:rPr>
              <w:t>Rotación</w:t>
            </w:r>
          </w:p>
        </w:tc>
        <w:tc>
          <w:tcPr>
            <w:tcW w:type="dxa" w:w="1152"/>
            <w:shd w:fill="1B365D"/>
            <w:tcMar>
              <w:top w:w="90" w:type="dxa"/>
              <w:bottom w:w="90" w:type="dxa"/>
              <w:left w:w="100" w:type="dxa"/>
              <w:right w:w="100" w:type="dxa"/>
            </w:tcMar>
          </w:tcPr>
          <w:p>
            <w:pPr>
              <w:spacing w:before="0" w:after="0"/>
              <w:jc w:val="left"/>
            </w:pPr>
            <w:r>
              <w:rPr>
                <w:rFonts w:ascii="Calibri" w:hAnsi="Calibri"/>
                <w:b/>
                <w:color w:val="FFFFFF"/>
                <w:sz w:val="18"/>
              </w:rPr>
              <w:t>Brecha vs Mediana</w:t>
            </w:r>
          </w:p>
        </w:tc>
      </w:tr>
      <w:tr>
        <w:tc>
          <w:tcPr>
            <w:tcW w:type="dxa" w:w="720"/>
            <w:shd w:fill="FFFFFF"/>
            <w:tcMar>
              <w:top w:w="70" w:type="dxa"/>
              <w:bottom w:w="70" w:type="dxa"/>
              <w:left w:w="100" w:type="dxa"/>
              <w:right w:w="100" w:type="dxa"/>
            </w:tcMar>
          </w:tcPr>
          <w:p>
            <w:pPr>
              <w:spacing w:before="0" w:after="0"/>
              <w:jc w:val="left"/>
            </w:pPr>
            <w:r>
              <w:rPr>
                <w:rFonts w:ascii="Calibri" w:hAnsi="Calibri"/>
                <w:b/>
                <w:color w:val="1B365D"/>
                <w:sz w:val="17"/>
              </w:rPr>
              <w:t>#1</w:t>
            </w:r>
          </w:p>
        </w:tc>
        <w:tc>
          <w:tcPr>
            <w:tcW w:type="dxa" w:w="1008"/>
            <w:shd w:fill="FFFFFF"/>
            <w:tcMar>
              <w:top w:w="70" w:type="dxa"/>
              <w:bottom w:w="70" w:type="dxa"/>
              <w:left w:w="100" w:type="dxa"/>
              <w:right w:w="100" w:type="dxa"/>
            </w:tcMar>
          </w:tcPr>
          <w:p>
            <w:pPr>
              <w:spacing w:before="0" w:after="0"/>
              <w:jc w:val="right"/>
            </w:pPr>
            <w:r>
              <w:rPr>
                <w:rFonts w:ascii="Calibri" w:hAnsi="Calibri"/>
                <w:b/>
                <w:color w:val="1B365D"/>
                <w:sz w:val="17"/>
              </w:rPr>
              <w:t>NU</w:t>
            </w:r>
          </w:p>
        </w:tc>
        <w:tc>
          <w:tcPr>
            <w:tcW w:type="dxa" w:w="2016"/>
            <w:shd w:fill="FFFFFF"/>
            <w:tcMar>
              <w:top w:w="70" w:type="dxa"/>
              <w:bottom w:w="70" w:type="dxa"/>
              <w:left w:w="100" w:type="dxa"/>
              <w:right w:w="100" w:type="dxa"/>
            </w:tcMar>
          </w:tcPr>
          <w:p>
            <w:pPr>
              <w:spacing w:before="0" w:after="0"/>
              <w:jc w:val="right"/>
            </w:pPr>
            <w:r>
              <w:rPr>
                <w:rFonts w:ascii="Calibri" w:hAnsi="Calibri"/>
                <w:b/>
                <w:color w:val="1B365D"/>
                <w:sz w:val="17"/>
              </w:rPr>
              <w:t>Nu Holdings Ltd.</w:t>
            </w:r>
          </w:p>
        </w:tc>
        <w:tc>
          <w:tcPr>
            <w:tcW w:type="dxa" w:w="1296"/>
            <w:shd w:fill="FFFFFF"/>
            <w:tcMar>
              <w:top w:w="70" w:type="dxa"/>
              <w:bottom w:w="70" w:type="dxa"/>
              <w:left w:w="100" w:type="dxa"/>
              <w:right w:w="100" w:type="dxa"/>
            </w:tcMar>
          </w:tcPr>
          <w:p>
            <w:pPr>
              <w:spacing w:before="0" w:after="0"/>
              <w:jc w:val="right"/>
            </w:pPr>
            <w:r>
              <w:rPr>
                <w:rFonts w:ascii="Calibri" w:hAnsi="Calibri"/>
                <w:b/>
                <w:color w:val="1B365D"/>
                <w:sz w:val="17"/>
              </w:rPr>
              <w:t>LTM</w:t>
            </w:r>
          </w:p>
        </w:tc>
        <w:tc>
          <w:tcPr>
            <w:tcW w:type="dxa" w:w="1152"/>
            <w:shd w:fill="FFFFFF"/>
            <w:tcMar>
              <w:top w:w="70" w:type="dxa"/>
              <w:bottom w:w="70" w:type="dxa"/>
              <w:left w:w="100" w:type="dxa"/>
              <w:right w:w="100" w:type="dxa"/>
            </w:tcMar>
          </w:tcPr>
          <w:p>
            <w:pPr>
              <w:spacing w:before="0" w:after="0"/>
              <w:jc w:val="right"/>
            </w:pPr>
            <w:r>
              <w:rPr>
                <w:rFonts w:ascii="Calibri" w:hAnsi="Calibri"/>
                <w:b/>
                <w:color w:val="1B365D"/>
                <w:sz w:val="17"/>
              </w:rPr>
              <w:t>8.01%</w:t>
            </w:r>
          </w:p>
        </w:tc>
        <w:tc>
          <w:tcPr>
            <w:tcW w:type="dxa" w:w="1152"/>
            <w:shd w:fill="FFFFFF"/>
            <w:tcMar>
              <w:top w:w="70" w:type="dxa"/>
              <w:bottom w:w="70" w:type="dxa"/>
              <w:left w:w="100" w:type="dxa"/>
              <w:right w:w="100" w:type="dxa"/>
            </w:tcMar>
          </w:tcPr>
          <w:p>
            <w:pPr>
              <w:spacing w:before="0" w:after="0"/>
              <w:jc w:val="right"/>
            </w:pPr>
            <w:r>
              <w:rPr>
                <w:rFonts w:ascii="Calibri" w:hAnsi="Calibri"/>
                <w:b/>
                <w:color w:val="1B365D"/>
                <w:sz w:val="17"/>
              </w:rPr>
              <w:t>11.03%</w:t>
            </w:r>
          </w:p>
        </w:tc>
        <w:tc>
          <w:tcPr>
            <w:tcW w:type="dxa" w:w="1152"/>
            <w:shd w:fill="FFFFFF"/>
            <w:tcMar>
              <w:top w:w="70" w:type="dxa"/>
              <w:bottom w:w="70" w:type="dxa"/>
              <w:left w:w="100" w:type="dxa"/>
              <w:right w:w="100" w:type="dxa"/>
            </w:tcMar>
          </w:tcPr>
          <w:p>
            <w:pPr>
              <w:spacing w:before="0" w:after="0"/>
              <w:jc w:val="right"/>
            </w:pPr>
            <w:r>
              <w:rPr>
                <w:rFonts w:ascii="Calibri" w:hAnsi="Calibri"/>
                <w:b/>
                <w:color w:val="1B365D"/>
                <w:sz w:val="17"/>
              </w:rPr>
              <w:t>47.79%</w:t>
            </w:r>
          </w:p>
        </w:tc>
        <w:tc>
          <w:tcPr>
            <w:tcW w:type="dxa" w:w="720"/>
            <w:shd w:fill="FFFFFF"/>
            <w:tcMar>
              <w:top w:w="70" w:type="dxa"/>
              <w:bottom w:w="70" w:type="dxa"/>
              <w:left w:w="100" w:type="dxa"/>
              <w:right w:w="100" w:type="dxa"/>
            </w:tcMar>
          </w:tcPr>
          <w:p>
            <w:pPr>
              <w:spacing w:before="0" w:after="0"/>
              <w:jc w:val="right"/>
            </w:pPr>
            <w:r>
              <w:rPr>
                <w:rFonts w:ascii="Calibri" w:hAnsi="Calibri"/>
                <w:b/>
                <w:color w:val="1B365D"/>
                <w:sz w:val="17"/>
              </w:rPr>
              <w:t>0.17x</w:t>
            </w:r>
          </w:p>
        </w:tc>
        <w:tc>
          <w:tcPr>
            <w:tcW w:type="dxa" w:w="1152"/>
            <w:shd w:fill="FFFFFF"/>
            <w:tcMar>
              <w:top w:w="70" w:type="dxa"/>
              <w:bottom w:w="70" w:type="dxa"/>
              <w:left w:w="100" w:type="dxa"/>
              <w:right w:w="100" w:type="dxa"/>
            </w:tcMar>
          </w:tcPr>
          <w:p>
            <w:pPr>
              <w:spacing w:before="0" w:after="0"/>
              <w:jc w:val="left"/>
            </w:pPr>
            <w:r>
              <w:rPr>
                <w:rFonts w:ascii="Calibri" w:hAnsi="Calibri"/>
                <w:b/>
                <w:color w:val="1B365D"/>
                <w:sz w:val="17"/>
              </w:rPr>
              <w:t>+2.25 pp</w:t>
            </w:r>
          </w:p>
        </w:tc>
      </w:tr>
      <w:tr>
        <w:tc>
          <w:tcPr>
            <w:tcW w:type="dxa" w:w="720"/>
            <w:shd w:fill="F7FAFC"/>
            <w:tcMar>
              <w:top w:w="70" w:type="dxa"/>
              <w:bottom w:w="70" w:type="dxa"/>
              <w:left w:w="100" w:type="dxa"/>
              <w:right w:w="100" w:type="dxa"/>
            </w:tcMar>
          </w:tcPr>
          <w:p>
            <w:pPr>
              <w:spacing w:before="0" w:after="0"/>
              <w:jc w:val="left"/>
            </w:pPr>
            <w:r>
              <w:rPr>
                <w:rFonts w:ascii="Calibri" w:hAnsi="Calibri"/>
                <w:b w:val="0"/>
                <w:color w:val="2D3748"/>
                <w:sz w:val="17"/>
              </w:rPr>
              <w:t>#2</w:t>
            </w:r>
          </w:p>
        </w:tc>
        <w:tc>
          <w:tcPr>
            <w:tcW w:type="dxa" w:w="1008"/>
            <w:shd w:fill="F7FAFC"/>
            <w:tcMar>
              <w:top w:w="70" w:type="dxa"/>
              <w:bottom w:w="70" w:type="dxa"/>
              <w:left w:w="100" w:type="dxa"/>
              <w:right w:w="100" w:type="dxa"/>
            </w:tcMar>
          </w:tcPr>
          <w:p>
            <w:pPr>
              <w:spacing w:before="0" w:after="0"/>
              <w:jc w:val="right"/>
            </w:pPr>
            <w:r>
              <w:rPr>
                <w:rFonts w:ascii="Calibri" w:hAnsi="Calibri"/>
                <w:b w:val="0"/>
                <w:color w:val="2D3748"/>
                <w:sz w:val="17"/>
              </w:rPr>
              <w:t>INTR</w:t>
            </w:r>
          </w:p>
        </w:tc>
        <w:tc>
          <w:tcPr>
            <w:tcW w:type="dxa" w:w="2016"/>
            <w:shd w:fill="F7FAFC"/>
            <w:tcMar>
              <w:top w:w="70" w:type="dxa"/>
              <w:bottom w:w="70" w:type="dxa"/>
              <w:left w:w="100" w:type="dxa"/>
              <w:right w:w="100" w:type="dxa"/>
            </w:tcMar>
          </w:tcPr>
          <w:p>
            <w:pPr>
              <w:spacing w:before="0" w:after="0"/>
              <w:jc w:val="right"/>
            </w:pPr>
            <w:r>
              <w:rPr>
                <w:rFonts w:ascii="Calibri" w:hAnsi="Calibri"/>
                <w:b w:val="0"/>
                <w:color w:val="2D3748"/>
                <w:sz w:val="17"/>
              </w:rPr>
              <w:t>Inter &amp; Co, Inc.</w:t>
            </w:r>
          </w:p>
        </w:tc>
        <w:tc>
          <w:tcPr>
            <w:tcW w:type="dxa" w:w="1296"/>
            <w:shd w:fill="F7FAFC"/>
            <w:tcMar>
              <w:top w:w="70" w:type="dxa"/>
              <w:bottom w:w="70" w:type="dxa"/>
              <w:left w:w="100" w:type="dxa"/>
              <w:right w:w="100" w:type="dxa"/>
            </w:tcMar>
          </w:tcPr>
          <w:p>
            <w:pPr>
              <w:spacing w:before="0" w:after="0"/>
              <w:jc w:val="right"/>
            </w:pPr>
            <w:r>
              <w:rPr>
                <w:rFonts w:ascii="Calibri" w:hAnsi="Calibri"/>
                <w:b w:val="0"/>
                <w:color w:val="2D3748"/>
                <w:sz w:val="17"/>
              </w:rPr>
              <w:t>LTM (FY2024 Auditado)</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5.76%</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6.32%</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49.66%</w:t>
            </w:r>
          </w:p>
        </w:tc>
        <w:tc>
          <w:tcPr>
            <w:tcW w:type="dxa" w:w="720"/>
            <w:shd w:fill="F7FAFC"/>
            <w:tcMar>
              <w:top w:w="70" w:type="dxa"/>
              <w:bottom w:w="70" w:type="dxa"/>
              <w:left w:w="100" w:type="dxa"/>
              <w:right w:w="100" w:type="dxa"/>
            </w:tcMar>
          </w:tcPr>
          <w:p>
            <w:pPr>
              <w:spacing w:before="0" w:after="0"/>
              <w:jc w:val="right"/>
            </w:pPr>
            <w:r>
              <w:rPr>
                <w:rFonts w:ascii="Calibri" w:hAnsi="Calibri"/>
                <w:b w:val="0"/>
                <w:color w:val="2D3748"/>
                <w:sz w:val="17"/>
              </w:rPr>
              <w:t>0.12x</w:t>
            </w:r>
          </w:p>
        </w:tc>
        <w:tc>
          <w:tcPr>
            <w:tcW w:type="dxa" w:w="1152"/>
            <w:shd w:fill="F7FAFC"/>
            <w:tcMar>
              <w:top w:w="70" w:type="dxa"/>
              <w:bottom w:w="70" w:type="dxa"/>
              <w:left w:w="100" w:type="dxa"/>
              <w:right w:w="100" w:type="dxa"/>
            </w:tcMar>
          </w:tcPr>
          <w:p>
            <w:pPr>
              <w:spacing w:before="0" w:after="0"/>
              <w:jc w:val="left"/>
            </w:pPr>
            <w:r>
              <w:rPr>
                <w:rFonts w:ascii="Calibri" w:hAnsi="Calibri"/>
                <w:b w:val="0"/>
                <w:color w:val="2D3748"/>
                <w:sz w:val="17"/>
              </w:rPr>
              <w:t>+0.00 pp</w:t>
            </w:r>
          </w:p>
        </w:tc>
      </w:tr>
      <w:tr>
        <w:tc>
          <w:tcPr>
            <w:tcW w:type="dxa" w:w="720"/>
            <w:shd w:fill="FFFFFF"/>
            <w:tcMar>
              <w:top w:w="70" w:type="dxa"/>
              <w:bottom w:w="70" w:type="dxa"/>
              <w:left w:w="100" w:type="dxa"/>
              <w:right w:w="100" w:type="dxa"/>
            </w:tcMar>
          </w:tcPr>
          <w:p>
            <w:pPr>
              <w:spacing w:before="0" w:after="0"/>
              <w:jc w:val="left"/>
            </w:pPr>
            <w:r>
              <w:rPr>
                <w:rFonts w:ascii="Calibri" w:hAnsi="Calibri"/>
                <w:b w:val="0"/>
                <w:color w:val="2D3748"/>
                <w:sz w:val="17"/>
              </w:rPr>
              <w:t>#3</w:t>
            </w:r>
          </w:p>
        </w:tc>
        <w:tc>
          <w:tcPr>
            <w:tcW w:type="dxa" w:w="1008"/>
            <w:shd w:fill="FFFFFF"/>
            <w:tcMar>
              <w:top w:w="70" w:type="dxa"/>
              <w:bottom w:w="70" w:type="dxa"/>
              <w:left w:w="100" w:type="dxa"/>
              <w:right w:w="100" w:type="dxa"/>
            </w:tcMar>
          </w:tcPr>
          <w:p>
            <w:pPr>
              <w:spacing w:before="0" w:after="0"/>
              <w:jc w:val="right"/>
            </w:pPr>
            <w:r>
              <w:rPr>
                <w:rFonts w:ascii="Calibri" w:hAnsi="Calibri"/>
                <w:b w:val="0"/>
                <w:color w:val="2D3748"/>
                <w:sz w:val="17"/>
              </w:rPr>
              <w:t>SOFI</w:t>
            </w:r>
          </w:p>
        </w:tc>
        <w:tc>
          <w:tcPr>
            <w:tcW w:type="dxa" w:w="2016"/>
            <w:shd w:fill="FFFFFF"/>
            <w:tcMar>
              <w:top w:w="70" w:type="dxa"/>
              <w:bottom w:w="70" w:type="dxa"/>
              <w:left w:w="100" w:type="dxa"/>
              <w:right w:w="100" w:type="dxa"/>
            </w:tcMar>
          </w:tcPr>
          <w:p>
            <w:pPr>
              <w:spacing w:before="0" w:after="0"/>
              <w:jc w:val="right"/>
            </w:pPr>
            <w:r>
              <w:rPr>
                <w:rFonts w:ascii="Calibri" w:hAnsi="Calibri"/>
                <w:b w:val="0"/>
                <w:color w:val="2D3748"/>
                <w:sz w:val="17"/>
              </w:rPr>
              <w:t>SoFi Technologies, Inc</w:t>
            </w:r>
          </w:p>
        </w:tc>
        <w:tc>
          <w:tcPr>
            <w:tcW w:type="dxa" w:w="1296"/>
            <w:shd w:fill="FFFFFF"/>
            <w:tcMar>
              <w:top w:w="70" w:type="dxa"/>
              <w:bottom w:w="70" w:type="dxa"/>
              <w:left w:w="100" w:type="dxa"/>
              <w:right w:w="100" w:type="dxa"/>
            </w:tcMar>
          </w:tcPr>
          <w:p>
            <w:pPr>
              <w:spacing w:before="0" w:after="0"/>
              <w:jc w:val="right"/>
            </w:pPr>
            <w:r>
              <w:rPr>
                <w:rFonts w:ascii="Calibri" w:hAnsi="Calibri"/>
                <w:b w:val="0"/>
                <w:color w:val="2D3748"/>
                <w:sz w:val="17"/>
              </w:rPr>
              <w:t>LTM (FY2024 Auditado)</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5.44%</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5.99%</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71.15%</w:t>
            </w:r>
          </w:p>
        </w:tc>
        <w:tc>
          <w:tcPr>
            <w:tcW w:type="dxa" w:w="720"/>
            <w:shd w:fill="FFFFFF"/>
            <w:tcMar>
              <w:top w:w="70" w:type="dxa"/>
              <w:bottom w:w="70" w:type="dxa"/>
              <w:left w:w="100" w:type="dxa"/>
              <w:right w:w="100" w:type="dxa"/>
            </w:tcMar>
          </w:tcPr>
          <w:p>
            <w:pPr>
              <w:spacing w:before="0" w:after="0"/>
              <w:jc w:val="right"/>
            </w:pPr>
            <w:r>
              <w:rPr>
                <w:rFonts w:ascii="Calibri" w:hAnsi="Calibri"/>
                <w:b w:val="0"/>
                <w:color w:val="2D3748"/>
                <w:sz w:val="17"/>
              </w:rPr>
              <w:t>0.08x</w:t>
            </w:r>
          </w:p>
        </w:tc>
        <w:tc>
          <w:tcPr>
            <w:tcW w:type="dxa" w:w="1152"/>
            <w:shd w:fill="FFFFFF"/>
            <w:tcMar>
              <w:top w:w="70" w:type="dxa"/>
              <w:bottom w:w="70" w:type="dxa"/>
              <w:left w:w="100" w:type="dxa"/>
              <w:right w:w="100" w:type="dxa"/>
            </w:tcMar>
          </w:tcPr>
          <w:p>
            <w:pPr>
              <w:spacing w:before="0" w:after="0"/>
              <w:jc w:val="left"/>
            </w:pPr>
            <w:r>
              <w:rPr>
                <w:rFonts w:ascii="Calibri" w:hAnsi="Calibri"/>
                <w:b w:val="0"/>
                <w:color w:val="2D3748"/>
                <w:sz w:val="17"/>
              </w:rPr>
              <w:t>-0.32 pp</w:t>
            </w:r>
          </w:p>
        </w:tc>
      </w:tr>
      <w:tr>
        <w:tc>
          <w:tcPr>
            <w:tcW w:type="dxa" w:w="720"/>
            <w:shd w:fill="F7FAFC"/>
            <w:tcMar>
              <w:top w:w="70" w:type="dxa"/>
              <w:bottom w:w="70" w:type="dxa"/>
              <w:left w:w="100" w:type="dxa"/>
              <w:right w:w="100" w:type="dxa"/>
            </w:tcMar>
          </w:tcPr>
          <w:p>
            <w:pPr>
              <w:spacing w:before="0" w:after="0"/>
              <w:jc w:val="left"/>
            </w:pPr>
            <w:r>
              <w:rPr>
                <w:rFonts w:ascii="Calibri" w:hAnsi="Calibri"/>
                <w:b w:val="0"/>
                <w:color w:val="2D3748"/>
                <w:sz w:val="17"/>
              </w:rPr>
              <w:t>-</w:t>
            </w:r>
          </w:p>
        </w:tc>
        <w:tc>
          <w:tcPr>
            <w:tcW w:type="dxa" w:w="1008"/>
            <w:shd w:fill="F7FAFC"/>
            <w:tcMar>
              <w:top w:w="70" w:type="dxa"/>
              <w:bottom w:w="70" w:type="dxa"/>
              <w:left w:w="100" w:type="dxa"/>
              <w:right w:w="100" w:type="dxa"/>
            </w:tcMar>
          </w:tcPr>
          <w:p>
            <w:pPr>
              <w:spacing w:before="0" w:after="0"/>
              <w:jc w:val="right"/>
            </w:pPr>
            <w:r>
              <w:rPr>
                <w:rFonts w:ascii="Calibri" w:hAnsi="Calibri"/>
                <w:b w:val="0"/>
                <w:color w:val="2D3748"/>
                <w:sz w:val="17"/>
              </w:rPr>
              <w:t>MEDIANA</w:t>
            </w:r>
          </w:p>
        </w:tc>
        <w:tc>
          <w:tcPr>
            <w:tcW w:type="dxa" w:w="2016"/>
            <w:shd w:fill="F7FAFC"/>
            <w:tcMar>
              <w:top w:w="70" w:type="dxa"/>
              <w:bottom w:w="70" w:type="dxa"/>
              <w:left w:w="100" w:type="dxa"/>
              <w:right w:w="100" w:type="dxa"/>
            </w:tcMar>
          </w:tcPr>
          <w:p>
            <w:pPr>
              <w:spacing w:before="0" w:after="0"/>
              <w:jc w:val="right"/>
            </w:pPr>
            <w:r>
              <w:rPr>
                <w:rFonts w:ascii="Calibri" w:hAnsi="Calibri"/>
                <w:b w:val="0"/>
                <w:color w:val="2D3748"/>
                <w:sz w:val="17"/>
              </w:rPr>
              <w:t>Mediana Sectorial</w:t>
            </w:r>
          </w:p>
        </w:tc>
        <w:tc>
          <w:tcPr>
            <w:tcW w:type="dxa" w:w="1296"/>
            <w:shd w:fill="F7FAFC"/>
            <w:tcMar>
              <w:top w:w="70" w:type="dxa"/>
              <w:bottom w:w="70" w:type="dxa"/>
              <w:left w:w="100" w:type="dxa"/>
              <w:right w:w="100" w:type="dxa"/>
            </w:tcMar>
          </w:tcPr>
          <w:p>
            <w:pPr>
              <w:spacing w:before="0" w:after="0"/>
              <w:jc w:val="right"/>
            </w:pPr>
            <w:r>
              <w:rPr>
                <w:rFonts w:ascii="Calibri" w:hAnsi="Calibri"/>
                <w:b w:val="0"/>
                <w:color w:val="2D3748"/>
                <w:sz w:val="17"/>
              </w:rPr>
              <w:t>LTM</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5.76%</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6.32%</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49.66%</w:t>
            </w:r>
          </w:p>
        </w:tc>
        <w:tc>
          <w:tcPr>
            <w:tcW w:type="dxa" w:w="720"/>
            <w:shd w:fill="F7FAFC"/>
            <w:tcMar>
              <w:top w:w="70" w:type="dxa"/>
              <w:bottom w:w="70" w:type="dxa"/>
              <w:left w:w="100" w:type="dxa"/>
              <w:right w:w="100" w:type="dxa"/>
            </w:tcMar>
          </w:tcPr>
          <w:p>
            <w:pPr>
              <w:spacing w:before="0" w:after="0"/>
              <w:jc w:val="right"/>
            </w:pPr>
            <w:r>
              <w:rPr>
                <w:rFonts w:ascii="Calibri" w:hAnsi="Calibri"/>
                <w:b w:val="0"/>
                <w:color w:val="2D3748"/>
                <w:sz w:val="17"/>
              </w:rPr>
              <w:t>0.12x</w:t>
            </w:r>
          </w:p>
        </w:tc>
        <w:tc>
          <w:tcPr>
            <w:tcW w:type="dxa" w:w="1152"/>
            <w:shd w:fill="F7FAFC"/>
            <w:tcMar>
              <w:top w:w="70" w:type="dxa"/>
              <w:bottom w:w="70" w:type="dxa"/>
              <w:left w:w="100" w:type="dxa"/>
              <w:right w:w="100" w:type="dxa"/>
            </w:tcMar>
          </w:tcPr>
          <w:p>
            <w:pPr>
              <w:spacing w:before="0" w:after="0"/>
              <w:jc w:val="left"/>
            </w:pPr>
            <w:r>
              <w:rPr>
                <w:rFonts w:ascii="Calibri" w:hAnsi="Calibri"/>
                <w:b w:val="0"/>
                <w:color w:val="2D3748"/>
                <w:sz w:val="17"/>
              </w:rPr>
              <w:t>0.00 pp</w:t>
            </w:r>
          </w:p>
        </w:tc>
      </w:tr>
      <w:tr>
        <w:tc>
          <w:tcPr>
            <w:tcW w:type="dxa" w:w="720"/>
            <w:shd w:fill="FFFFFF"/>
            <w:tcMar>
              <w:top w:w="70" w:type="dxa"/>
              <w:bottom w:w="70" w:type="dxa"/>
              <w:left w:w="100" w:type="dxa"/>
              <w:right w:w="100" w:type="dxa"/>
            </w:tcMar>
          </w:tcPr>
          <w:p>
            <w:pPr>
              <w:spacing w:before="0" w:after="0"/>
              <w:jc w:val="left"/>
            </w:pPr>
            <w:r>
              <w:rPr>
                <w:rFonts w:ascii="Calibri" w:hAnsi="Calibri"/>
                <w:b w:val="0"/>
                <w:color w:val="2D3748"/>
                <w:sz w:val="17"/>
              </w:rPr>
              <w:t>-</w:t>
            </w:r>
          </w:p>
        </w:tc>
        <w:tc>
          <w:tcPr>
            <w:tcW w:type="dxa" w:w="1008"/>
            <w:shd w:fill="FFFFFF"/>
            <w:tcMar>
              <w:top w:w="70" w:type="dxa"/>
              <w:bottom w:w="70" w:type="dxa"/>
              <w:left w:w="100" w:type="dxa"/>
              <w:right w:w="100" w:type="dxa"/>
            </w:tcMar>
          </w:tcPr>
          <w:p>
            <w:pPr>
              <w:spacing w:before="0" w:after="0"/>
              <w:jc w:val="right"/>
            </w:pPr>
            <w:r>
              <w:rPr>
                <w:rFonts w:ascii="Calibri" w:hAnsi="Calibri"/>
                <w:b w:val="0"/>
                <w:color w:val="2D3748"/>
                <w:sz w:val="17"/>
              </w:rPr>
              <w:t>P75</w:t>
            </w:r>
          </w:p>
        </w:tc>
        <w:tc>
          <w:tcPr>
            <w:tcW w:type="dxa" w:w="2016"/>
            <w:shd w:fill="FFFFFF"/>
            <w:tcMar>
              <w:top w:w="70" w:type="dxa"/>
              <w:bottom w:w="70" w:type="dxa"/>
              <w:left w:w="100" w:type="dxa"/>
              <w:right w:w="100" w:type="dxa"/>
            </w:tcMar>
          </w:tcPr>
          <w:p>
            <w:pPr>
              <w:spacing w:before="0" w:after="0"/>
              <w:jc w:val="right"/>
            </w:pPr>
            <w:r>
              <w:rPr>
                <w:rFonts w:ascii="Calibri" w:hAnsi="Calibri"/>
                <w:b w:val="0"/>
                <w:color w:val="2D3748"/>
                <w:sz w:val="17"/>
              </w:rPr>
              <w:t>Percentil 75 Líder</w:t>
            </w:r>
          </w:p>
        </w:tc>
        <w:tc>
          <w:tcPr>
            <w:tcW w:type="dxa" w:w="1296"/>
            <w:shd w:fill="FFFFFF"/>
            <w:tcMar>
              <w:top w:w="70" w:type="dxa"/>
              <w:bottom w:w="70" w:type="dxa"/>
              <w:left w:w="100" w:type="dxa"/>
              <w:right w:w="100" w:type="dxa"/>
            </w:tcMar>
          </w:tcPr>
          <w:p>
            <w:pPr>
              <w:spacing w:before="0" w:after="0"/>
              <w:jc w:val="right"/>
            </w:pPr>
            <w:r>
              <w:rPr>
                <w:rFonts w:ascii="Calibri" w:hAnsi="Calibri"/>
                <w:b w:val="0"/>
                <w:color w:val="2D3748"/>
                <w:sz w:val="17"/>
              </w:rPr>
              <w:t>LTM</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8.70%</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w:t>
            </w:r>
          </w:p>
        </w:tc>
        <w:tc>
          <w:tcPr>
            <w:tcW w:type="dxa" w:w="720"/>
            <w:shd w:fill="FFFFFF"/>
            <w:tcMar>
              <w:top w:w="70" w:type="dxa"/>
              <w:bottom w:w="70" w:type="dxa"/>
              <w:left w:w="100" w:type="dxa"/>
              <w:right w:w="100" w:type="dxa"/>
            </w:tcMar>
          </w:tcPr>
          <w:p>
            <w:pPr>
              <w:spacing w:before="0" w:after="0"/>
              <w:jc w:val="right"/>
            </w:pPr>
            <w:r>
              <w:rPr>
                <w:rFonts w:ascii="Calibri" w:hAnsi="Calibri"/>
                <w:b w:val="0"/>
                <w:color w:val="2D3748"/>
                <w:sz w:val="17"/>
              </w:rPr>
              <w:t>-</w:t>
            </w:r>
          </w:p>
        </w:tc>
        <w:tc>
          <w:tcPr>
            <w:tcW w:type="dxa" w:w="1152"/>
            <w:shd w:fill="FFFFFF"/>
            <w:tcMar>
              <w:top w:w="70" w:type="dxa"/>
              <w:bottom w:w="70" w:type="dxa"/>
              <w:left w:w="100" w:type="dxa"/>
              <w:right w:w="100" w:type="dxa"/>
            </w:tcMar>
          </w:tcPr>
          <w:p>
            <w:pPr>
              <w:spacing w:before="0" w:after="0"/>
              <w:jc w:val="left"/>
            </w:pPr>
            <w:r>
              <w:rPr>
                <w:rFonts w:ascii="Calibri" w:hAnsi="Calibri"/>
                <w:b w:val="0"/>
                <w:color w:val="2D3748"/>
                <w:sz w:val="17"/>
              </w:rPr>
              <w:t>+2.94 pp</w:t>
            </w:r>
          </w:p>
        </w:tc>
      </w:tr>
    </w:tbl>
    <w:p>
      <w:pPr>
        <w:spacing w:after="120"/>
      </w:pPr>
    </w:p>
    <w:p>
      <w:pPr>
        <w:keepNext/>
        <w:spacing w:before="240" w:after="80"/>
      </w:pPr>
      <w:r>
        <w:rPr>
          <w:rFonts w:ascii="Calibri" w:hAnsi="Calibri"/>
          <w:b/>
          <w:color w:val="4A5568"/>
          <w:sz w:val="23"/>
        </w:rPr>
        <w:t>Conclusiones Fundamentales para Modelos de Valoración</w:t>
      </w:r>
    </w:p>
    <w:p>
      <w:pPr>
        <w:spacing w:before="0" w:after="80" w:line="276" w:lineRule="auto"/>
      </w:pPr>
      <w:r>
        <w:rPr>
          <w:rFonts w:ascii="Calibri" w:hAnsi="Calibri"/>
          <w:i w:val="0"/>
          <w:color w:val="2D3748"/>
          <w:sz w:val="20"/>
        </w:rPr>
        <w:t>Conclusión Analítica: NU lidera o se consolida en la cúspide de su industria en la métrica de Novy-Marx. Al conjugar poder de fijación de precios con una rotación de activos disciplinada, su modelo de negocio es inmune a la compresión de márgenes que sufren competidores con activos sobredimensionados o márgenes brutos deprimidos.</w:t>
      </w:r>
    </w:p>
    <w:p>
      <w:pPr>
        <w:pStyle w:val="Heading1"/>
        <w:spacing w:before="360" w:after="160"/>
      </w:pPr>
      <w:r>
        <w:t>11. Rentabilidad del Capital Propio (ROTCE), Costo de Capital (Ke) y Creación de Valor Económico</w:t>
      </w:r>
    </w:p>
    <w:p>
      <w:r>
        <w:rPr>
          <w:i/>
          <w:sz w:val="20"/>
        </w:rPr>
        <w:t>Evaluación del retorno financiero y sostenibilidad de las ventajas competitivas (Economic Moat) para Nu Holdings Ltd. (NU) al período LTM.</w:t>
      </w:r>
    </w:p>
    <w:tbl>
      <w:tblPr>
        <w:tblW w:type="auto" w:w="0"/>
        <w:jc w:val="center"/>
        <w:tblLayout w:type="fixed"/>
        <w:tblLook w:firstColumn="1" w:firstRow="1" w:lastColumn="0" w:lastRow="0" w:noHBand="0" w:noVBand="1" w:val="04A0"/>
      </w:tblPr>
      <w:tblGrid>
        <w:gridCol w:w="9792"/>
      </w:tblGrid>
      <w:tr>
        <w:tc>
          <w:tcPr>
            <w:tcW w:type="dxa" w:w="9792"/>
            <w:shd w:fill="F0F4F8"/>
            <w:tcMar>
              <w:top w:w="140" w:type="dxa"/>
              <w:bottom w:w="140" w:type="dxa"/>
              <w:left w:w="180" w:type="dxa"/>
              <w:right w:w="180" w:type="dxa"/>
            </w:tcMar>
            <w:tcBorders>
              <w:top w:val="none"/>
              <w:left w:val="single" w:sz="24" w:space="0" w:color="1B365D"/>
              <w:bottom w:val="none"/>
              <w:right w:val="none"/>
            </w:tcBorders>
          </w:tcPr>
          <w:p>
            <w:pPr>
              <w:spacing w:before="0" w:after="60" w:line="276" w:lineRule="auto"/>
            </w:pPr>
            <w:r>
              <w:rPr>
                <w:rFonts w:ascii="Calibri" w:hAnsi="Calibri"/>
                <w:b/>
                <w:color w:val="1B365D"/>
                <w:sz w:val="21"/>
              </w:rPr>
              <w:t>📌 DICTAMEN DE VALOR ECONÓMICO: 🏰 WIDE MOAT / COMPOUNDING MACHINE (SPREAD +18.30 p.p.)</w:t>
              <w:br/>
            </w:r>
          </w:p>
          <w:p>
            <w:pPr>
              <w:spacing w:before="40" w:after="40" w:line="276" w:lineRule="auto"/>
            </w:pPr>
            <w:r>
              <w:rPr>
                <w:rFonts w:ascii="Calibri" w:hAnsi="Calibri"/>
                <w:color w:val="2D3748"/>
                <w:sz w:val="19"/>
              </w:rPr>
              <w:t>• Rentabilidad de Balance (ROTCE - LTM): 28.11% (Rendimiento sobre fondos propios auditado).</w:t>
            </w:r>
          </w:p>
          <w:p>
            <w:pPr>
              <w:spacing w:before="40" w:after="40" w:line="276" w:lineRule="auto"/>
            </w:pPr>
            <w:r>
              <w:rPr>
                <w:rFonts w:ascii="Calibri" w:hAnsi="Calibri"/>
                <w:color w:val="2D3748"/>
                <w:sz w:val="19"/>
              </w:rPr>
              <w:t>• Costo del Capital Propio (Ke vía CAPM): 9.82% (Tasa de corte mínima exigida por accionistas).</w:t>
            </w:r>
          </w:p>
          <w:p>
            <w:pPr>
              <w:spacing w:before="40" w:after="40" w:line="276" w:lineRule="auto"/>
            </w:pPr>
            <w:r>
              <w:rPr>
                <w:rFonts w:ascii="Calibri" w:hAnsi="Calibri"/>
                <w:color w:val="2D3748"/>
                <w:sz w:val="19"/>
              </w:rPr>
              <w:t>• Spread Económico Neto: +18.30 p.p. de rendimiento por encima del coste del capital propio.</w:t>
            </w:r>
          </w:p>
          <w:p>
            <w:pPr>
              <w:spacing w:before="40" w:after="40" w:line="276" w:lineRule="auto"/>
            </w:pPr>
            <w:r>
              <w:rPr>
                <w:rFonts w:ascii="Calibri" w:hAnsi="Calibri"/>
                <w:color w:val="2D3748"/>
                <w:sz w:val="19"/>
              </w:rPr>
              <w:t>• Inaplicabilidad de WACC: En entidades financieras, depósitos y float son insumos operativos; el retorno se evalúa mediante ROTCE vs Ke.</w:t>
            </w:r>
          </w:p>
          <w:p>
            <w:pPr>
              <w:spacing w:before="40" w:after="40" w:line="276" w:lineRule="auto"/>
            </w:pPr>
            <w:r>
              <w:rPr>
                <w:rFonts w:ascii="Calibri" w:hAnsi="Calibri"/>
                <w:color w:val="2D3748"/>
                <w:sz w:val="19"/>
              </w:rPr>
              <w:t>• Patrimonio Tangible Auditado: $12,840.3M reportados en balances SEC Form 10-K / 20-F.</w:t>
            </w:r>
          </w:p>
          <w:p>
            <w:pPr>
              <w:spacing w:before="40" w:after="40" w:line="276" w:lineRule="auto"/>
            </w:pPr>
            <w:r>
              <w:rPr>
                <w:rFonts w:ascii="Calibri" w:hAnsi="Calibri"/>
                <w:color w:val="2D3748"/>
                <w:sz w:val="19"/>
              </w:rPr>
              <w:t>• Tesis de Foso Defensivo: Spread de Retorno Excedente (ROTCE - Ke) = +18.30 p.p. (ROTCE: 28.11% vs Ke: 9.82%).</w:t>
            </w:r>
          </w:p>
        </w:tc>
      </w:tr>
    </w:tbl>
    <w:p>
      <w:pPr>
        <w:spacing w:before="0" w:after="120"/>
      </w:pPr>
    </w:p>
    <w:p>
      <w:pPr>
        <w:pStyle w:val="Heading2"/>
      </w:pPr>
      <w:r>
        <w:t>11.1. Bloque A: Auditoría de Parámetros de Mercado en Tiempo Real</w:t>
      </w:r>
    </w:p>
    <w:tbl>
      <w:tblPr>
        <w:tblW w:type="auto" w:w="0"/>
        <w:jc w:val="center"/>
        <w:tblLayout w:type="fixed"/>
        <w:tblLook w:firstColumn="1" w:firstRow="1" w:lastColumn="0" w:lastRow="0" w:noHBand="0" w:noVBand="1" w:val="04A0"/>
        <w:tblBorders>
          <w:top w:val="single" w:sz="6" w:space="0" w:color="D2D6DC"/>
          <w:left w:val="none"/>
          <w:bottom w:val="single" w:sz="10" w:space="0" w:color="1B365D"/>
          <w:right w:val="none"/>
          <w:insideH w:val="single" w:sz="4" w:space="0" w:color="D2D6DC"/>
          <w:insideV w:val="none"/>
        </w:tblBorders>
      </w:tblPr>
      <w:tblGrid>
        <w:gridCol w:w="3168"/>
        <w:gridCol w:w="1728"/>
        <w:gridCol w:w="2592"/>
        <w:gridCol w:w="2304"/>
      </w:tblGrid>
      <w:tr>
        <w:tc>
          <w:tcPr>
            <w:tcW w:type="dxa" w:w="2448"/>
            <w:shd w:fill="1B365D"/>
            <w:tcMar>
              <w:top w:w="80" w:type="dxa"/>
              <w:bottom w:w="80" w:type="dxa"/>
              <w:left w:w="100" w:type="dxa"/>
              <w:right w:w="100" w:type="dxa"/>
            </w:tcMar>
          </w:tcPr>
          <w:p>
            <w:r>
              <w:rPr>
                <w:b/>
                <w:color w:val="FFFFFF"/>
                <w:sz w:val="18"/>
              </w:rPr>
              <w:t>Variable de Mercado</w:t>
            </w:r>
          </w:p>
        </w:tc>
        <w:tc>
          <w:tcPr>
            <w:tcW w:type="dxa" w:w="2448"/>
            <w:shd w:fill="1B365D"/>
            <w:tcMar>
              <w:top w:w="80" w:type="dxa"/>
              <w:bottom w:w="80" w:type="dxa"/>
              <w:left w:w="100" w:type="dxa"/>
              <w:right w:w="100" w:type="dxa"/>
            </w:tcMar>
          </w:tcPr>
          <w:p>
            <w:r>
              <w:rPr>
                <w:b/>
                <w:color w:val="FFFFFF"/>
                <w:sz w:val="18"/>
              </w:rPr>
              <w:t>Valor Validado</w:t>
            </w:r>
          </w:p>
        </w:tc>
        <w:tc>
          <w:tcPr>
            <w:tcW w:type="dxa" w:w="2448"/>
            <w:shd w:fill="1B365D"/>
            <w:tcMar>
              <w:top w:w="80" w:type="dxa"/>
              <w:bottom w:w="80" w:type="dxa"/>
              <w:left w:w="100" w:type="dxa"/>
              <w:right w:w="100" w:type="dxa"/>
            </w:tcMar>
          </w:tcPr>
          <w:p>
            <w:r>
              <w:rPr>
                <w:b/>
                <w:color w:val="FFFFFF"/>
                <w:sz w:val="18"/>
              </w:rPr>
              <w:t>Fuentes Consultadas</w:t>
            </w:r>
          </w:p>
        </w:tc>
        <w:tc>
          <w:tcPr>
            <w:tcW w:type="dxa" w:w="2448"/>
            <w:shd w:fill="1B365D"/>
            <w:tcMar>
              <w:top w:w="80" w:type="dxa"/>
              <w:bottom w:w="80" w:type="dxa"/>
              <w:left w:w="100" w:type="dxa"/>
              <w:right w:w="100" w:type="dxa"/>
            </w:tcMar>
          </w:tcPr>
          <w:p>
            <w:r>
              <w:rPr>
                <w:b/>
                <w:color w:val="FFFFFF"/>
                <w:sz w:val="18"/>
              </w:rPr>
              <w:t>Estatus de Auditoría</w:t>
            </w:r>
          </w:p>
        </w:tc>
      </w:tr>
      <w:tr>
        <w:tc>
          <w:tcPr>
            <w:tcW w:type="dxa" w:w="2448"/>
            <w:tcMar>
              <w:top w:w="60" w:type="dxa"/>
              <w:bottom w:w="60" w:type="dxa"/>
              <w:left w:w="100" w:type="dxa"/>
              <w:right w:w="100" w:type="dxa"/>
            </w:tcMar>
          </w:tcPr>
          <w:p>
            <w:r>
              <w:rPr>
                <w:b/>
                <w:sz w:val="17"/>
              </w:rPr>
              <w:t>Precio de Mercado de la Acción</w:t>
            </w:r>
          </w:p>
        </w:tc>
        <w:tc>
          <w:tcPr>
            <w:tcW w:type="dxa" w:w="2448"/>
            <w:tcMar>
              <w:top w:w="60" w:type="dxa"/>
              <w:bottom w:w="60" w:type="dxa"/>
              <w:left w:w="100" w:type="dxa"/>
              <w:right w:w="100" w:type="dxa"/>
            </w:tcMar>
          </w:tcPr>
          <w:p>
            <w:r>
              <w:rPr>
                <w:sz w:val="17"/>
              </w:rPr>
              <w:t>$15.72</w:t>
            </w:r>
          </w:p>
        </w:tc>
        <w:tc>
          <w:tcPr>
            <w:tcW w:type="dxa" w:w="2448"/>
            <w:tcMar>
              <w:top w:w="60" w:type="dxa"/>
              <w:bottom w:w="60" w:type="dxa"/>
              <w:left w:w="100" w:type="dxa"/>
              <w:right w:w="100" w:type="dxa"/>
            </w:tcMar>
          </w:tcPr>
          <w:p>
            <w:r>
              <w:rPr>
                <w:sz w:val="17"/>
              </w:rPr>
              <w:t>Yahoo Finance / CNBC Quotes</w:t>
            </w:r>
          </w:p>
        </w:tc>
        <w:tc>
          <w:tcPr>
            <w:tcW w:type="dxa" w:w="2448"/>
            <w:tcMar>
              <w:top w:w="60" w:type="dxa"/>
              <w:bottom w:w="60" w:type="dxa"/>
              <w:left w:w="100" w:type="dxa"/>
              <w:right w:w="100" w:type="dxa"/>
            </w:tcMar>
          </w:tcPr>
          <w:p>
            <w:r>
              <w:rPr>
                <w:sz w:val="17"/>
              </w:rPr>
              <w:t>Consenso Validado</w:t>
            </w:r>
          </w:p>
        </w:tc>
      </w:tr>
      <w:tr>
        <w:tc>
          <w:tcPr>
            <w:tcW w:type="dxa" w:w="2448"/>
            <w:tcMar>
              <w:top w:w="60" w:type="dxa"/>
              <w:bottom w:w="60" w:type="dxa"/>
              <w:left w:w="100" w:type="dxa"/>
              <w:right w:w="100" w:type="dxa"/>
            </w:tcMar>
            <w:shd w:fill="F7FAFC"/>
          </w:tcPr>
          <w:p>
            <w:r>
              <w:rPr>
                <w:b/>
                <w:sz w:val="17"/>
              </w:rPr>
              <w:t>Capitalización Bursátil (Market Cap - E)</w:t>
            </w:r>
          </w:p>
        </w:tc>
        <w:tc>
          <w:tcPr>
            <w:tcW w:type="dxa" w:w="2448"/>
            <w:tcMar>
              <w:top w:w="60" w:type="dxa"/>
              <w:bottom w:w="60" w:type="dxa"/>
              <w:left w:w="100" w:type="dxa"/>
              <w:right w:w="100" w:type="dxa"/>
            </w:tcMar>
            <w:shd w:fill="F7FAFC"/>
          </w:tcPr>
          <w:p>
            <w:r>
              <w:rPr>
                <w:sz w:val="17"/>
              </w:rPr>
              <w:t>$76,688.5M</w:t>
            </w:r>
          </w:p>
        </w:tc>
        <w:tc>
          <w:tcPr>
            <w:tcW w:type="dxa" w:w="2448"/>
            <w:tcMar>
              <w:top w:w="60" w:type="dxa"/>
              <w:bottom w:w="60" w:type="dxa"/>
              <w:left w:w="100" w:type="dxa"/>
              <w:right w:w="100" w:type="dxa"/>
            </w:tcMar>
            <w:shd w:fill="F7FAFC"/>
          </w:tcPr>
          <w:p>
            <w:r>
              <w:rPr>
                <w:sz w:val="17"/>
              </w:rPr>
              <w:t>Arbitraje SEC 10-Q &amp; Mercado</w:t>
            </w:r>
          </w:p>
        </w:tc>
        <w:tc>
          <w:tcPr>
            <w:tcW w:type="dxa" w:w="2448"/>
            <w:tcMar>
              <w:top w:w="60" w:type="dxa"/>
              <w:bottom w:w="60" w:type="dxa"/>
              <w:left w:w="100" w:type="dxa"/>
              <w:right w:w="100" w:type="dxa"/>
            </w:tcMar>
            <w:shd w:fill="F7FAFC"/>
          </w:tcPr>
          <w:p>
            <w:r>
              <w:rPr>
                <w:sz w:val="17"/>
              </w:rPr>
              <w:t>Conteo Diluido Auditado</w:t>
            </w:r>
          </w:p>
        </w:tc>
      </w:tr>
      <w:tr>
        <w:tc>
          <w:tcPr>
            <w:tcW w:type="dxa" w:w="2448"/>
            <w:tcMar>
              <w:top w:w="60" w:type="dxa"/>
              <w:bottom w:w="60" w:type="dxa"/>
              <w:left w:w="100" w:type="dxa"/>
              <w:right w:w="100" w:type="dxa"/>
            </w:tcMar>
          </w:tcPr>
          <w:p>
            <w:r>
              <w:rPr>
                <w:b/>
                <w:sz w:val="17"/>
              </w:rPr>
              <w:t>Tasa Libre de Riesgo (Rf - Bono 10Y)</w:t>
            </w:r>
          </w:p>
        </w:tc>
        <w:tc>
          <w:tcPr>
            <w:tcW w:type="dxa" w:w="2448"/>
            <w:tcMar>
              <w:top w:w="60" w:type="dxa"/>
              <w:bottom w:w="60" w:type="dxa"/>
              <w:left w:w="100" w:type="dxa"/>
              <w:right w:w="100" w:type="dxa"/>
            </w:tcMar>
          </w:tcPr>
          <w:p>
            <w:r>
              <w:rPr>
                <w:sz w:val="17"/>
              </w:rPr>
              <w:t>5.22%</w:t>
            </w:r>
          </w:p>
        </w:tc>
        <w:tc>
          <w:tcPr>
            <w:tcW w:type="dxa" w:w="2448"/>
            <w:tcMar>
              <w:top w:w="60" w:type="dxa"/>
              <w:bottom w:w="60" w:type="dxa"/>
              <w:left w:w="100" w:type="dxa"/>
              <w:right w:w="100" w:type="dxa"/>
            </w:tcMar>
          </w:tcPr>
          <w:p>
            <w:r>
              <w:rPr>
                <w:sz w:val="17"/>
              </w:rPr>
              <w:t>Yahoo ^TNX / CNBC US10Y</w:t>
            </w:r>
          </w:p>
        </w:tc>
        <w:tc>
          <w:tcPr>
            <w:tcW w:type="dxa" w:w="2448"/>
            <w:tcMar>
              <w:top w:w="60" w:type="dxa"/>
              <w:bottom w:w="60" w:type="dxa"/>
              <w:left w:w="100" w:type="dxa"/>
              <w:right w:w="100" w:type="dxa"/>
            </w:tcMar>
          </w:tcPr>
          <w:p>
            <w:r>
              <w:rPr>
                <w:sz w:val="17"/>
              </w:rPr>
              <w:t>Consensuado</w:t>
            </w:r>
          </w:p>
        </w:tc>
      </w:tr>
      <w:tr>
        <w:tc>
          <w:tcPr>
            <w:tcW w:type="dxa" w:w="2448"/>
            <w:tcMar>
              <w:top w:w="60" w:type="dxa"/>
              <w:bottom w:w="60" w:type="dxa"/>
              <w:left w:w="100" w:type="dxa"/>
              <w:right w:w="100" w:type="dxa"/>
            </w:tcMar>
            <w:shd w:fill="F7FAFC"/>
          </w:tcPr>
          <w:p>
            <w:r>
              <w:rPr>
                <w:b/>
                <w:sz w:val="17"/>
              </w:rPr>
              <w:t>Beta de la Acción (β)</w:t>
            </w:r>
          </w:p>
        </w:tc>
        <w:tc>
          <w:tcPr>
            <w:tcW w:type="dxa" w:w="2448"/>
            <w:tcMar>
              <w:top w:w="60" w:type="dxa"/>
              <w:bottom w:w="60" w:type="dxa"/>
              <w:left w:w="100" w:type="dxa"/>
              <w:right w:w="100" w:type="dxa"/>
            </w:tcMar>
            <w:shd w:fill="F7FAFC"/>
          </w:tcPr>
          <w:p>
            <w:r>
              <w:rPr>
                <w:sz w:val="17"/>
              </w:rPr>
              <w:t>0.97</w:t>
            </w:r>
          </w:p>
        </w:tc>
        <w:tc>
          <w:tcPr>
            <w:tcW w:type="dxa" w:w="2448"/>
            <w:tcMar>
              <w:top w:w="60" w:type="dxa"/>
              <w:bottom w:w="60" w:type="dxa"/>
              <w:left w:w="100" w:type="dxa"/>
              <w:right w:w="100" w:type="dxa"/>
            </w:tcMar>
            <w:shd w:fill="F7FAFC"/>
          </w:tcPr>
          <w:p>
            <w:r>
              <w:rPr>
                <w:sz w:val="17"/>
              </w:rPr>
              <w:t>Yahoo 5Y Monthly / CNBC</w:t>
            </w:r>
          </w:p>
        </w:tc>
        <w:tc>
          <w:tcPr>
            <w:tcW w:type="dxa" w:w="2448"/>
            <w:tcMar>
              <w:top w:w="60" w:type="dxa"/>
              <w:bottom w:w="60" w:type="dxa"/>
              <w:left w:w="100" w:type="dxa"/>
              <w:right w:w="100" w:type="dxa"/>
            </w:tcMar>
            <w:shd w:fill="F7FAFC"/>
          </w:tcPr>
          <w:p>
            <w:r>
              <w:rPr>
                <w:sz w:val="17"/>
              </w:rPr>
              <w:t>Rango Estadístico Sectorial</w:t>
            </w:r>
          </w:p>
        </w:tc>
      </w:tr>
      <w:tr>
        <w:tc>
          <w:tcPr>
            <w:tcW w:type="dxa" w:w="2448"/>
            <w:tcMar>
              <w:top w:w="60" w:type="dxa"/>
              <w:bottom w:w="60" w:type="dxa"/>
              <w:left w:w="100" w:type="dxa"/>
              <w:right w:w="100" w:type="dxa"/>
            </w:tcMar>
          </w:tcPr>
          <w:p>
            <w:r>
              <w:rPr>
                <w:b/>
                <w:sz w:val="17"/>
              </w:rPr>
              <w:t>Prima de Riesgo de Mercado (ERP)</w:t>
            </w:r>
          </w:p>
        </w:tc>
        <w:tc>
          <w:tcPr>
            <w:tcW w:type="dxa" w:w="2448"/>
            <w:tcMar>
              <w:top w:w="60" w:type="dxa"/>
              <w:bottom w:w="60" w:type="dxa"/>
              <w:left w:w="100" w:type="dxa"/>
              <w:right w:w="100" w:type="dxa"/>
            </w:tcMar>
          </w:tcPr>
          <w:p>
            <w:r>
              <w:rPr>
                <w:sz w:val="17"/>
              </w:rPr>
              <w:t>4.75%</w:t>
            </w:r>
          </w:p>
        </w:tc>
        <w:tc>
          <w:tcPr>
            <w:tcW w:type="dxa" w:w="2448"/>
            <w:tcMar>
              <w:top w:w="60" w:type="dxa"/>
              <w:bottom w:w="60" w:type="dxa"/>
              <w:left w:w="100" w:type="dxa"/>
              <w:right w:w="100" w:type="dxa"/>
            </w:tcMar>
          </w:tcPr>
          <w:p>
            <w:r>
              <w:rPr>
                <w:sz w:val="17"/>
              </w:rPr>
              <w:t>Benchmark NYU Stern (Damodaran)</w:t>
            </w:r>
          </w:p>
        </w:tc>
        <w:tc>
          <w:tcPr>
            <w:tcW w:type="dxa" w:w="2448"/>
            <w:tcMar>
              <w:top w:w="60" w:type="dxa"/>
              <w:bottom w:w="60" w:type="dxa"/>
              <w:left w:w="100" w:type="dxa"/>
              <w:right w:w="100" w:type="dxa"/>
            </w:tcMar>
          </w:tcPr>
          <w:p>
            <w:r>
              <w:rPr>
                <w:sz w:val="17"/>
              </w:rPr>
              <w:t>Estándar Institucional</w:t>
            </w:r>
          </w:p>
        </w:tc>
      </w:tr>
    </w:tbl>
    <w:p/>
    <w:p>
      <w:pPr>
        <w:pStyle w:val="Heading2"/>
      </w:pPr>
      <w:r>
        <w:t>11.2. Bloque B: Coste del Capital Propio (Ke) y Estructura Patrimonial</w:t>
      </w:r>
    </w:p>
    <w:p>
      <w:r>
        <w:rPr>
          <w:sz w:val="19"/>
        </w:rPr>
        <w:t>En instituciones financieras y aseguradoras, el Coste Medio Ponderado de Capital (WACC) es metodológicamente inaplicable. Los depósitos a la vista, pagarés y el float de primas constituyen el inventario operativo del negocio, no un apalancamiento financiero externo. La rentabilidad se evalúa frente al Coste del Capital Propio (Ke vía CAPM) de 9.82%.</w:t>
      </w:r>
    </w:p>
    <w:p>
      <w:pPr>
        <w:pStyle w:val="Heading2"/>
      </w:pPr>
      <w:r>
        <w:t>11.3. Bloque C: Rentabilidad de Balance (ROTCE) vs. Coste de Capital (Ke)</w:t>
      </w:r>
    </w:p>
    <w:p>
      <w:r>
        <w:rPr>
          <w:sz w:val="19"/>
        </w:rPr>
        <w:t>La rentabilidad sobre fondos propios (ROTCE) de 28.11% sobre un patrimonio tangible de $12,840.3M refleja la productividad real del balance sin distorsiones contables de I+D o activos físicos industriales.</w:t>
      </w:r>
    </w:p>
    <w:p>
      <w:pPr>
        <w:pStyle w:val="Heading2"/>
      </w:pPr>
      <w:r>
        <w:t>11.4. Bloque D: Creación de Valor Económico (EVA / Spread) y Durabilidad del Foso Defensivo</w:t>
      </w:r>
    </w:p>
    <w:p>
      <w:r>
        <w:rPr>
          <w:sz w:val="19"/>
        </w:rPr>
        <w:t>Spread Económico = ROTCE (28.11%) − Ke (9.82%) = +18.30 p.p.</w:t>
        <w:br/>
        <w:t>Dictamen: 🏰 WIDE MOAT / COMPOUNDING MACHINE. La compañía supera holgadamente su costo de financiamiento propio, creando valor neto recurrente.</w:t>
      </w:r>
    </w:p>
    <w:p>
      <w:pPr>
        <w:pStyle w:val="Heading2"/>
      </w:pPr>
      <w:r>
        <w:t>11.5. Cuadro de Mando Consolidado de Ratios de Capital, Retornos y Valor</w:t>
      </w:r>
    </w:p>
    <w:tbl>
      <w:tblPr>
        <w:tblW w:type="auto" w:w="0"/>
        <w:jc w:val="center"/>
        <w:tblLayout w:type="fixed"/>
        <w:tblLook w:firstColumn="1" w:firstRow="1" w:lastColumn="0" w:lastRow="0" w:noHBand="0" w:noVBand="1" w:val="04A0"/>
        <w:tblBorders>
          <w:top w:val="single" w:sz="6" w:space="0" w:color="D2D6DC"/>
          <w:left w:val="none"/>
          <w:bottom w:val="single" w:sz="10" w:space="0" w:color="1B365D"/>
          <w:right w:val="none"/>
          <w:insideH w:val="single" w:sz="4" w:space="0" w:color="D2D6DC"/>
          <w:insideV w:val="none"/>
        </w:tblBorders>
      </w:tblPr>
      <w:tblGrid>
        <w:gridCol w:w="2016"/>
        <w:gridCol w:w="2880"/>
        <w:gridCol w:w="1296"/>
        <w:gridCol w:w="1584"/>
        <w:gridCol w:w="2016"/>
      </w:tblGrid>
      <w:tr>
        <w:tc>
          <w:tcPr>
            <w:tcW w:type="dxa" w:w="1958"/>
            <w:shd w:fill="1B365D"/>
            <w:tcMar>
              <w:top w:w="80" w:type="dxa"/>
              <w:bottom w:w="80" w:type="dxa"/>
              <w:left w:w="100" w:type="dxa"/>
              <w:right w:w="100" w:type="dxa"/>
            </w:tcMar>
          </w:tcPr>
          <w:p>
            <w:r>
              <w:rPr>
                <w:b/>
                <w:color w:val="FFFFFF"/>
                <w:sz w:val="17"/>
              </w:rPr>
              <w:t>Categoría Analítica</w:t>
            </w:r>
          </w:p>
        </w:tc>
        <w:tc>
          <w:tcPr>
            <w:tcW w:type="dxa" w:w="1958"/>
            <w:shd w:fill="1B365D"/>
            <w:tcMar>
              <w:top w:w="80" w:type="dxa"/>
              <w:bottom w:w="80" w:type="dxa"/>
              <w:left w:w="100" w:type="dxa"/>
              <w:right w:w="100" w:type="dxa"/>
            </w:tcMar>
          </w:tcPr>
          <w:p>
            <w:r>
              <w:rPr>
                <w:b/>
                <w:color w:val="FFFFFF"/>
                <w:sz w:val="17"/>
              </w:rPr>
              <w:t>Métrica / Ratio Institucional</w:t>
            </w:r>
          </w:p>
        </w:tc>
        <w:tc>
          <w:tcPr>
            <w:tcW w:type="dxa" w:w="1958"/>
            <w:shd w:fill="1B365D"/>
            <w:tcMar>
              <w:top w:w="80" w:type="dxa"/>
              <w:bottom w:w="80" w:type="dxa"/>
              <w:left w:w="100" w:type="dxa"/>
              <w:right w:w="100" w:type="dxa"/>
            </w:tcMar>
          </w:tcPr>
          <w:p>
            <w:r>
              <w:rPr>
                <w:b/>
                <w:color w:val="FFFFFF"/>
                <w:sz w:val="17"/>
              </w:rPr>
              <w:t>Valor LTM</w:t>
            </w:r>
          </w:p>
        </w:tc>
        <w:tc>
          <w:tcPr>
            <w:tcW w:type="dxa" w:w="1958"/>
            <w:shd w:fill="1B365D"/>
            <w:tcMar>
              <w:top w:w="80" w:type="dxa"/>
              <w:bottom w:w="80" w:type="dxa"/>
              <w:left w:w="100" w:type="dxa"/>
              <w:right w:w="100" w:type="dxa"/>
            </w:tcMar>
          </w:tcPr>
          <w:p>
            <w:r>
              <w:rPr>
                <w:b/>
                <w:color w:val="FFFFFF"/>
                <w:sz w:val="17"/>
              </w:rPr>
              <w:t>Benchmark / Ref.</w:t>
            </w:r>
          </w:p>
        </w:tc>
        <w:tc>
          <w:tcPr>
            <w:tcW w:type="dxa" w:w="1958"/>
            <w:shd w:fill="1B365D"/>
            <w:tcMar>
              <w:top w:w="80" w:type="dxa"/>
              <w:bottom w:w="80" w:type="dxa"/>
              <w:left w:w="100" w:type="dxa"/>
              <w:right w:w="100" w:type="dxa"/>
            </w:tcMar>
          </w:tcPr>
          <w:p>
            <w:r>
              <w:rPr>
                <w:b/>
                <w:color w:val="FFFFFF"/>
                <w:sz w:val="17"/>
              </w:rPr>
              <w:t>Diagnóstico para el Inversor</w:t>
            </w:r>
          </w:p>
        </w:tc>
      </w:tr>
      <w:tr>
        <w:tc>
          <w:tcPr>
            <w:tcW w:type="dxa" w:w="1958"/>
            <w:tcMar>
              <w:top w:w="60" w:type="dxa"/>
              <w:bottom w:w="60" w:type="dxa"/>
              <w:left w:w="100" w:type="dxa"/>
              <w:right w:w="100" w:type="dxa"/>
            </w:tcMar>
          </w:tcPr>
          <w:p>
            <w:r>
              <w:rPr>
                <w:sz w:val="17"/>
              </w:rPr>
              <w:t>Parámetros Macro y Mercado</w:t>
            </w:r>
          </w:p>
        </w:tc>
        <w:tc>
          <w:tcPr>
            <w:tcW w:type="dxa" w:w="1958"/>
            <w:tcMar>
              <w:top w:w="60" w:type="dxa"/>
              <w:bottom w:w="60" w:type="dxa"/>
              <w:left w:w="100" w:type="dxa"/>
              <w:right w:w="100" w:type="dxa"/>
            </w:tcMar>
          </w:tcPr>
          <w:p>
            <w:r>
              <w:rPr>
                <w:b/>
                <w:sz w:val="17"/>
              </w:rPr>
              <w:t>Tasa Libre de Riesgo (Rf - Bono 10Y)</w:t>
            </w:r>
          </w:p>
        </w:tc>
        <w:tc>
          <w:tcPr>
            <w:tcW w:type="dxa" w:w="1958"/>
            <w:tcMar>
              <w:top w:w="60" w:type="dxa"/>
              <w:bottom w:w="60" w:type="dxa"/>
              <w:left w:w="100" w:type="dxa"/>
              <w:right w:w="100" w:type="dxa"/>
            </w:tcMar>
          </w:tcPr>
          <w:p>
            <w:r>
              <w:rPr>
                <w:b/>
                <w:sz w:val="17"/>
              </w:rPr>
              <w:t>5.22%</w:t>
            </w:r>
          </w:p>
        </w:tc>
        <w:tc>
          <w:tcPr>
            <w:tcW w:type="dxa" w:w="1958"/>
            <w:tcMar>
              <w:top w:w="60" w:type="dxa"/>
              <w:bottom w:w="60" w:type="dxa"/>
              <w:left w:w="100" w:type="dxa"/>
              <w:right w:w="100" w:type="dxa"/>
            </w:tcMar>
          </w:tcPr>
          <w:p>
            <w:r>
              <w:rPr>
                <w:sz w:val="17"/>
              </w:rPr>
              <w:t>US Treasury Yield</w:t>
            </w:r>
          </w:p>
        </w:tc>
        <w:tc>
          <w:tcPr>
            <w:tcW w:type="dxa" w:w="1958"/>
            <w:tcMar>
              <w:top w:w="60" w:type="dxa"/>
              <w:bottom w:w="60" w:type="dxa"/>
              <w:left w:w="100" w:type="dxa"/>
              <w:right w:w="100" w:type="dxa"/>
            </w:tcMar>
          </w:tcPr>
          <w:p>
            <w:r>
              <w:rPr>
                <w:sz w:val="17"/>
              </w:rPr>
              <w:t>Costo de oportunidad libre de riesgo macroeconómico.</w:t>
            </w:r>
          </w:p>
        </w:tc>
      </w:tr>
      <w:tr>
        <w:tc>
          <w:tcPr>
            <w:tcW w:type="dxa" w:w="1958"/>
            <w:tcMar>
              <w:top w:w="60" w:type="dxa"/>
              <w:bottom w:w="60" w:type="dxa"/>
              <w:left w:w="100" w:type="dxa"/>
              <w:right w:w="100" w:type="dxa"/>
            </w:tcMar>
            <w:shd w:fill="F7FAFC"/>
          </w:tcPr>
          <w:p>
            <w:r>
              <w:rPr>
                <w:sz w:val="17"/>
              </w:rPr>
              <w:t>Parámetros Macro y Mercado</w:t>
            </w:r>
          </w:p>
        </w:tc>
        <w:tc>
          <w:tcPr>
            <w:tcW w:type="dxa" w:w="1958"/>
            <w:tcMar>
              <w:top w:w="60" w:type="dxa"/>
              <w:bottom w:w="60" w:type="dxa"/>
              <w:left w:w="100" w:type="dxa"/>
              <w:right w:w="100" w:type="dxa"/>
            </w:tcMar>
            <w:shd w:fill="F7FAFC"/>
          </w:tcPr>
          <w:p>
            <w:r>
              <w:rPr>
                <w:b/>
                <w:sz w:val="17"/>
              </w:rPr>
              <w:t>Beta de la Acción (β)</w:t>
            </w:r>
          </w:p>
        </w:tc>
        <w:tc>
          <w:tcPr>
            <w:tcW w:type="dxa" w:w="1958"/>
            <w:tcMar>
              <w:top w:w="60" w:type="dxa"/>
              <w:bottom w:w="60" w:type="dxa"/>
              <w:left w:w="100" w:type="dxa"/>
              <w:right w:w="100" w:type="dxa"/>
            </w:tcMar>
            <w:shd w:fill="F7FAFC"/>
          </w:tcPr>
          <w:p>
            <w:r>
              <w:rPr>
                <w:b/>
                <w:sz w:val="17"/>
              </w:rPr>
              <w:t>0.97</w:t>
            </w:r>
          </w:p>
        </w:tc>
        <w:tc>
          <w:tcPr>
            <w:tcW w:type="dxa" w:w="1958"/>
            <w:tcMar>
              <w:top w:w="60" w:type="dxa"/>
              <w:bottom w:w="60" w:type="dxa"/>
              <w:left w:w="100" w:type="dxa"/>
              <w:right w:w="100" w:type="dxa"/>
            </w:tcMar>
            <w:shd w:fill="F7FAFC"/>
          </w:tcPr>
          <w:p>
            <w:r>
              <w:rPr>
                <w:sz w:val="17"/>
              </w:rPr>
              <w:t>S&amp;P 500 = 1.00x</w:t>
            </w:r>
          </w:p>
        </w:tc>
        <w:tc>
          <w:tcPr>
            <w:tcW w:type="dxa" w:w="1958"/>
            <w:tcMar>
              <w:top w:w="60" w:type="dxa"/>
              <w:bottom w:w="60" w:type="dxa"/>
              <w:left w:w="100" w:type="dxa"/>
              <w:right w:w="100" w:type="dxa"/>
            </w:tcMar>
            <w:shd w:fill="F7FAFC"/>
          </w:tcPr>
          <w:p>
            <w:r>
              <w:rPr>
                <w:sz w:val="17"/>
              </w:rPr>
              <w:t>Sensibilidad sistemática alineada al mercado.</w:t>
            </w:r>
          </w:p>
        </w:tc>
      </w:tr>
      <w:tr>
        <w:tc>
          <w:tcPr>
            <w:tcW w:type="dxa" w:w="1958"/>
            <w:tcMar>
              <w:top w:w="60" w:type="dxa"/>
              <w:bottom w:w="60" w:type="dxa"/>
              <w:left w:w="100" w:type="dxa"/>
              <w:right w:w="100" w:type="dxa"/>
            </w:tcMar>
          </w:tcPr>
          <w:p>
            <w:r>
              <w:rPr>
                <w:sz w:val="17"/>
              </w:rPr>
              <w:t>Parámetros Macro y Mercado</w:t>
            </w:r>
          </w:p>
        </w:tc>
        <w:tc>
          <w:tcPr>
            <w:tcW w:type="dxa" w:w="1958"/>
            <w:tcMar>
              <w:top w:w="60" w:type="dxa"/>
              <w:bottom w:w="60" w:type="dxa"/>
              <w:left w:w="100" w:type="dxa"/>
              <w:right w:w="100" w:type="dxa"/>
            </w:tcMar>
          </w:tcPr>
          <w:p>
            <w:r>
              <w:rPr>
                <w:b/>
                <w:sz w:val="17"/>
              </w:rPr>
              <w:t>Prima de Riesgo de Mercado (ERP)</w:t>
            </w:r>
          </w:p>
        </w:tc>
        <w:tc>
          <w:tcPr>
            <w:tcW w:type="dxa" w:w="1958"/>
            <w:tcMar>
              <w:top w:w="60" w:type="dxa"/>
              <w:bottom w:w="60" w:type="dxa"/>
              <w:left w:w="100" w:type="dxa"/>
              <w:right w:w="100" w:type="dxa"/>
            </w:tcMar>
          </w:tcPr>
          <w:p>
            <w:r>
              <w:rPr>
                <w:b/>
                <w:sz w:val="17"/>
              </w:rPr>
              <w:t>4.75%</w:t>
            </w:r>
          </w:p>
        </w:tc>
        <w:tc>
          <w:tcPr>
            <w:tcW w:type="dxa" w:w="1958"/>
            <w:tcMar>
              <w:top w:w="60" w:type="dxa"/>
              <w:bottom w:w="60" w:type="dxa"/>
              <w:left w:w="100" w:type="dxa"/>
              <w:right w:w="100" w:type="dxa"/>
            </w:tcMar>
          </w:tcPr>
          <w:p>
            <w:r>
              <w:rPr>
                <w:sz w:val="17"/>
              </w:rPr>
              <w:t>NYU Stern Damodaran</w:t>
            </w:r>
          </w:p>
        </w:tc>
        <w:tc>
          <w:tcPr>
            <w:tcW w:type="dxa" w:w="1958"/>
            <w:tcMar>
              <w:top w:w="60" w:type="dxa"/>
              <w:bottom w:w="60" w:type="dxa"/>
              <w:left w:w="100" w:type="dxa"/>
              <w:right w:w="100" w:type="dxa"/>
            </w:tcMar>
          </w:tcPr>
          <w:p>
            <w:r>
              <w:rPr>
                <w:sz w:val="17"/>
              </w:rPr>
              <w:t>Exigencia de prima de retorno sobre el activo libre de riesgo.</w:t>
            </w:r>
          </w:p>
        </w:tc>
      </w:tr>
      <w:tr>
        <w:tc>
          <w:tcPr>
            <w:tcW w:type="dxa" w:w="1958"/>
            <w:tcMar>
              <w:top w:w="60" w:type="dxa"/>
              <w:bottom w:w="60" w:type="dxa"/>
              <w:left w:w="100" w:type="dxa"/>
              <w:right w:w="100" w:type="dxa"/>
            </w:tcMar>
            <w:shd w:fill="F7FAFC"/>
          </w:tcPr>
          <w:p>
            <w:r>
              <w:rPr>
                <w:sz w:val="17"/>
              </w:rPr>
              <w:t>Costo de Capital Propio</w:t>
            </w:r>
          </w:p>
        </w:tc>
        <w:tc>
          <w:tcPr>
            <w:tcW w:type="dxa" w:w="1958"/>
            <w:tcMar>
              <w:top w:w="60" w:type="dxa"/>
              <w:bottom w:w="60" w:type="dxa"/>
              <w:left w:w="100" w:type="dxa"/>
              <w:right w:w="100" w:type="dxa"/>
            </w:tcMar>
            <w:shd w:fill="F7FAFC"/>
          </w:tcPr>
          <w:p>
            <w:r>
              <w:rPr>
                <w:b/>
                <w:sz w:val="17"/>
              </w:rPr>
              <w:t>Costo del Capital Propio (Ke)</w:t>
            </w:r>
          </w:p>
        </w:tc>
        <w:tc>
          <w:tcPr>
            <w:tcW w:type="dxa" w:w="1958"/>
            <w:tcMar>
              <w:top w:w="60" w:type="dxa"/>
              <w:bottom w:w="60" w:type="dxa"/>
              <w:left w:w="100" w:type="dxa"/>
              <w:right w:w="100" w:type="dxa"/>
            </w:tcMar>
            <w:shd w:fill="F7FAFC"/>
          </w:tcPr>
          <w:p>
            <w:r>
              <w:rPr>
                <w:b/>
                <w:sz w:val="17"/>
              </w:rPr>
              <w:t>9.82%</w:t>
            </w:r>
          </w:p>
        </w:tc>
        <w:tc>
          <w:tcPr>
            <w:tcW w:type="dxa" w:w="1958"/>
            <w:tcMar>
              <w:top w:w="60" w:type="dxa"/>
              <w:bottom w:w="60" w:type="dxa"/>
              <w:left w:w="100" w:type="dxa"/>
              <w:right w:w="100" w:type="dxa"/>
            </w:tcMar>
            <w:shd w:fill="F7FAFC"/>
          </w:tcPr>
          <w:p>
            <w:r>
              <w:rPr>
                <w:sz w:val="17"/>
              </w:rPr>
              <w:t>CAPM Benchmark</w:t>
            </w:r>
          </w:p>
        </w:tc>
        <w:tc>
          <w:tcPr>
            <w:tcW w:type="dxa" w:w="1958"/>
            <w:tcMar>
              <w:top w:w="60" w:type="dxa"/>
              <w:bottom w:w="60" w:type="dxa"/>
              <w:left w:w="100" w:type="dxa"/>
              <w:right w:w="100" w:type="dxa"/>
            </w:tcMar>
            <w:shd w:fill="F7FAFC"/>
          </w:tcPr>
          <w:p>
            <w:r>
              <w:rPr>
                <w:sz w:val="17"/>
              </w:rPr>
              <w:t>Retorno anual exigido por los accionistas comunes.</w:t>
            </w:r>
          </w:p>
        </w:tc>
      </w:tr>
      <w:tr>
        <w:tc>
          <w:tcPr>
            <w:tcW w:type="dxa" w:w="1958"/>
            <w:tcMar>
              <w:top w:w="60" w:type="dxa"/>
              <w:bottom w:w="60" w:type="dxa"/>
              <w:left w:w="100" w:type="dxa"/>
              <w:right w:w="100" w:type="dxa"/>
            </w:tcMar>
          </w:tcPr>
          <w:p>
            <w:r>
              <w:rPr>
                <w:sz w:val="17"/>
              </w:rPr>
              <w:t>Costo de Capital Propio</w:t>
            </w:r>
          </w:p>
        </w:tc>
        <w:tc>
          <w:tcPr>
            <w:tcW w:type="dxa" w:w="1958"/>
            <w:tcMar>
              <w:top w:w="60" w:type="dxa"/>
              <w:bottom w:w="60" w:type="dxa"/>
              <w:left w:w="100" w:type="dxa"/>
              <w:right w:w="100" w:type="dxa"/>
            </w:tcMar>
          </w:tcPr>
          <w:p>
            <w:r>
              <w:rPr>
                <w:b/>
                <w:sz w:val="17"/>
              </w:rPr>
              <w:t>WACC Tradicional</w:t>
            </w:r>
          </w:p>
        </w:tc>
        <w:tc>
          <w:tcPr>
            <w:tcW w:type="dxa" w:w="1958"/>
            <w:tcMar>
              <w:top w:w="60" w:type="dxa"/>
              <w:bottom w:w="60" w:type="dxa"/>
              <w:left w:w="100" w:type="dxa"/>
              <w:right w:w="100" w:type="dxa"/>
            </w:tcMar>
          </w:tcPr>
          <w:p>
            <w:r>
              <w:rPr>
                <w:b/>
                <w:sz w:val="17"/>
              </w:rPr>
              <w:t>No Aplicable</w:t>
            </w:r>
          </w:p>
        </w:tc>
        <w:tc>
          <w:tcPr>
            <w:tcW w:type="dxa" w:w="1958"/>
            <w:tcMar>
              <w:top w:w="60" w:type="dxa"/>
              <w:bottom w:w="60" w:type="dxa"/>
              <w:left w:w="100" w:type="dxa"/>
              <w:right w:w="100" w:type="dxa"/>
            </w:tcMar>
          </w:tcPr>
          <w:p>
            <w:r>
              <w:rPr>
                <w:sz w:val="17"/>
              </w:rPr>
              <w:t>Inaplicable</w:t>
            </w:r>
          </w:p>
        </w:tc>
        <w:tc>
          <w:tcPr>
            <w:tcW w:type="dxa" w:w="1958"/>
            <w:tcMar>
              <w:top w:w="60" w:type="dxa"/>
              <w:bottom w:w="60" w:type="dxa"/>
              <w:left w:w="100" w:type="dxa"/>
              <w:right w:w="100" w:type="dxa"/>
            </w:tcMar>
          </w:tcPr>
          <w:p>
            <w:r>
              <w:rPr>
                <w:sz w:val="17"/>
              </w:rPr>
              <w:t>Pasivos operativos (depósitos/float) no computan en WACC.</w:t>
            </w:r>
          </w:p>
        </w:tc>
      </w:tr>
      <w:tr>
        <w:tc>
          <w:tcPr>
            <w:tcW w:type="dxa" w:w="1958"/>
            <w:tcMar>
              <w:top w:w="60" w:type="dxa"/>
              <w:bottom w:w="60" w:type="dxa"/>
              <w:left w:w="100" w:type="dxa"/>
              <w:right w:w="100" w:type="dxa"/>
            </w:tcMar>
            <w:shd w:fill="F7FAFC"/>
            <w:shd w:fill="E2EFDA"/>
          </w:tcPr>
          <w:p>
            <w:r>
              <w:rPr>
                <w:b/>
                <w:sz w:val="17"/>
              </w:rPr>
              <w:t>Rentabilidad de Balance</w:t>
            </w:r>
          </w:p>
        </w:tc>
        <w:tc>
          <w:tcPr>
            <w:tcW w:type="dxa" w:w="1958"/>
            <w:tcMar>
              <w:top w:w="60" w:type="dxa"/>
              <w:bottom w:w="60" w:type="dxa"/>
              <w:left w:w="100" w:type="dxa"/>
              <w:right w:w="100" w:type="dxa"/>
            </w:tcMar>
            <w:shd w:fill="F7FAFC"/>
            <w:shd w:fill="E2EFDA"/>
          </w:tcPr>
          <w:p>
            <w:r>
              <w:rPr>
                <w:b/>
                <w:sz w:val="17"/>
              </w:rPr>
              <w:t>ROTCE Auditado</w:t>
            </w:r>
          </w:p>
        </w:tc>
        <w:tc>
          <w:tcPr>
            <w:tcW w:type="dxa" w:w="1958"/>
            <w:tcMar>
              <w:top w:w="60" w:type="dxa"/>
              <w:bottom w:w="60" w:type="dxa"/>
              <w:left w:w="100" w:type="dxa"/>
              <w:right w:w="100" w:type="dxa"/>
            </w:tcMar>
            <w:shd w:fill="F7FAFC"/>
            <w:shd w:fill="E2EFDA"/>
          </w:tcPr>
          <w:p>
            <w:r>
              <w:rPr>
                <w:b/>
                <w:sz w:val="17"/>
              </w:rPr>
              <w:t>28.11%</w:t>
            </w:r>
          </w:p>
        </w:tc>
        <w:tc>
          <w:tcPr>
            <w:tcW w:type="dxa" w:w="1958"/>
            <w:tcMar>
              <w:top w:w="60" w:type="dxa"/>
              <w:bottom w:w="60" w:type="dxa"/>
              <w:left w:w="100" w:type="dxa"/>
              <w:right w:w="100" w:type="dxa"/>
            </w:tcMar>
            <w:shd w:fill="F7FAFC"/>
            <w:shd w:fill="E2EFDA"/>
          </w:tcPr>
          <w:p>
            <w:r>
              <w:rPr>
                <w:b/>
                <w:sz w:val="17"/>
              </w:rPr>
              <w:t>Benchmark Sectorial</w:t>
            </w:r>
          </w:p>
        </w:tc>
        <w:tc>
          <w:tcPr>
            <w:tcW w:type="dxa" w:w="1958"/>
            <w:tcMar>
              <w:top w:w="60" w:type="dxa"/>
              <w:bottom w:w="60" w:type="dxa"/>
              <w:left w:w="100" w:type="dxa"/>
              <w:right w:w="100" w:type="dxa"/>
            </w:tcMar>
            <w:shd w:fill="F7FAFC"/>
            <w:shd w:fill="E2EFDA"/>
          </w:tcPr>
          <w:p>
            <w:r>
              <w:rPr>
                <w:b/>
                <w:sz w:val="17"/>
              </w:rPr>
              <w:t>Rentabilidad financiera sobre fondos propios tangibles.</w:t>
            </w:r>
          </w:p>
        </w:tc>
      </w:tr>
      <w:tr>
        <w:tc>
          <w:tcPr>
            <w:tcW w:type="dxa" w:w="1958"/>
            <w:tcMar>
              <w:top w:w="60" w:type="dxa"/>
              <w:bottom w:w="60" w:type="dxa"/>
              <w:left w:w="100" w:type="dxa"/>
              <w:right w:w="100" w:type="dxa"/>
            </w:tcMar>
          </w:tcPr>
          <w:p>
            <w:r>
              <w:rPr>
                <w:sz w:val="17"/>
              </w:rPr>
              <w:t>Rentabilidad de Balance</w:t>
            </w:r>
          </w:p>
        </w:tc>
        <w:tc>
          <w:tcPr>
            <w:tcW w:type="dxa" w:w="1958"/>
            <w:tcMar>
              <w:top w:w="60" w:type="dxa"/>
              <w:bottom w:w="60" w:type="dxa"/>
              <w:left w:w="100" w:type="dxa"/>
              <w:right w:w="100" w:type="dxa"/>
            </w:tcMar>
          </w:tcPr>
          <w:p>
            <w:r>
              <w:rPr>
                <w:b/>
                <w:sz w:val="17"/>
              </w:rPr>
              <w:t>Base Patrimonial Tangible</w:t>
            </w:r>
          </w:p>
        </w:tc>
        <w:tc>
          <w:tcPr>
            <w:tcW w:type="dxa" w:w="1958"/>
            <w:tcMar>
              <w:top w:w="60" w:type="dxa"/>
              <w:bottom w:w="60" w:type="dxa"/>
              <w:left w:w="100" w:type="dxa"/>
              <w:right w:w="100" w:type="dxa"/>
            </w:tcMar>
          </w:tcPr>
          <w:p>
            <w:r>
              <w:rPr>
                <w:b/>
                <w:sz w:val="17"/>
              </w:rPr>
              <w:t>$12,840.3M</w:t>
            </w:r>
          </w:p>
        </w:tc>
        <w:tc>
          <w:tcPr>
            <w:tcW w:type="dxa" w:w="1958"/>
            <w:tcMar>
              <w:top w:w="60" w:type="dxa"/>
              <w:bottom w:w="60" w:type="dxa"/>
              <w:left w:w="100" w:type="dxa"/>
              <w:right w:w="100" w:type="dxa"/>
            </w:tcMar>
          </w:tcPr>
          <w:p>
            <w:r>
              <w:rPr>
                <w:sz w:val="17"/>
              </w:rPr>
              <w:t>Balance SEC</w:t>
            </w:r>
          </w:p>
        </w:tc>
        <w:tc>
          <w:tcPr>
            <w:tcW w:type="dxa" w:w="1958"/>
            <w:tcMar>
              <w:top w:w="60" w:type="dxa"/>
              <w:bottom w:w="60" w:type="dxa"/>
              <w:left w:w="100" w:type="dxa"/>
              <w:right w:w="100" w:type="dxa"/>
            </w:tcMar>
          </w:tcPr>
          <w:p>
            <w:r>
              <w:rPr>
                <w:sz w:val="17"/>
              </w:rPr>
              <w:t>Patrimonio neto reportado que sustenta la operación.</w:t>
            </w:r>
          </w:p>
        </w:tc>
      </w:tr>
      <w:tr>
        <w:tc>
          <w:tcPr>
            <w:tcW w:type="dxa" w:w="1958"/>
            <w:tcMar>
              <w:top w:w="60" w:type="dxa"/>
              <w:bottom w:w="60" w:type="dxa"/>
              <w:left w:w="100" w:type="dxa"/>
              <w:right w:w="100" w:type="dxa"/>
            </w:tcMar>
            <w:shd w:fill="F7FAFC"/>
            <w:shd w:fill="E2EFDA"/>
          </w:tcPr>
          <w:p>
            <w:r>
              <w:rPr>
                <w:b/>
                <w:sz w:val="17"/>
              </w:rPr>
              <w:t>Creación de Valor (EVA)</w:t>
            </w:r>
          </w:p>
        </w:tc>
        <w:tc>
          <w:tcPr>
            <w:tcW w:type="dxa" w:w="1958"/>
            <w:tcMar>
              <w:top w:w="60" w:type="dxa"/>
              <w:bottom w:w="60" w:type="dxa"/>
              <w:left w:w="100" w:type="dxa"/>
              <w:right w:w="100" w:type="dxa"/>
            </w:tcMar>
            <w:shd w:fill="F7FAFC"/>
            <w:shd w:fill="E2EFDA"/>
          </w:tcPr>
          <w:p>
            <w:r>
              <w:rPr>
                <w:b/>
                <w:sz w:val="17"/>
              </w:rPr>
              <w:t>Spread Económico (ROTCE − Ke)</w:t>
            </w:r>
          </w:p>
        </w:tc>
        <w:tc>
          <w:tcPr>
            <w:tcW w:type="dxa" w:w="1958"/>
            <w:tcMar>
              <w:top w:w="60" w:type="dxa"/>
              <w:bottom w:w="60" w:type="dxa"/>
              <w:left w:w="100" w:type="dxa"/>
              <w:right w:w="100" w:type="dxa"/>
            </w:tcMar>
            <w:shd w:fill="F7FAFC"/>
            <w:shd w:fill="E2EFDA"/>
          </w:tcPr>
          <w:p>
            <w:r>
              <w:rPr>
                <w:b/>
                <w:sz w:val="17"/>
              </w:rPr>
              <w:t>+18.30 p.p.</w:t>
            </w:r>
          </w:p>
        </w:tc>
        <w:tc>
          <w:tcPr>
            <w:tcW w:type="dxa" w:w="1958"/>
            <w:tcMar>
              <w:top w:w="60" w:type="dxa"/>
              <w:bottom w:w="60" w:type="dxa"/>
              <w:left w:w="100" w:type="dxa"/>
              <w:right w:w="100" w:type="dxa"/>
            </w:tcMar>
            <w:shd w:fill="F7FAFC"/>
            <w:shd w:fill="E2EFDA"/>
          </w:tcPr>
          <w:p>
            <w:r>
              <w:rPr>
                <w:b/>
                <w:sz w:val="17"/>
              </w:rPr>
              <w:t>Hurdle Rate</w:t>
            </w:r>
          </w:p>
        </w:tc>
        <w:tc>
          <w:tcPr>
            <w:tcW w:type="dxa" w:w="1958"/>
            <w:tcMar>
              <w:top w:w="60" w:type="dxa"/>
              <w:bottom w:w="60" w:type="dxa"/>
              <w:left w:w="100" w:type="dxa"/>
              <w:right w:w="100" w:type="dxa"/>
            </w:tcMar>
            <w:shd w:fill="F7FAFC"/>
            <w:shd w:fill="E2EFDA"/>
          </w:tcPr>
          <w:p>
            <w:r>
              <w:rPr>
                <w:b/>
                <w:sz w:val="17"/>
              </w:rPr>
              <w:t>Extraordinaria generación de riqueza neta sobre el coste de capital.</w:t>
            </w:r>
          </w:p>
        </w:tc>
      </w:tr>
      <w:tr>
        <w:tc>
          <w:tcPr>
            <w:tcW w:type="dxa" w:w="1958"/>
            <w:tcMar>
              <w:top w:w="60" w:type="dxa"/>
              <w:bottom w:w="60" w:type="dxa"/>
              <w:left w:w="100" w:type="dxa"/>
              <w:right w:w="100" w:type="dxa"/>
            </w:tcMar>
          </w:tcPr>
          <w:p>
            <w:r>
              <w:rPr>
                <w:sz w:val="17"/>
              </w:rPr>
              <w:t>Creación de Valor (EVA)</w:t>
            </w:r>
          </w:p>
        </w:tc>
        <w:tc>
          <w:tcPr>
            <w:tcW w:type="dxa" w:w="1958"/>
            <w:tcMar>
              <w:top w:w="60" w:type="dxa"/>
              <w:bottom w:w="60" w:type="dxa"/>
              <w:left w:w="100" w:type="dxa"/>
              <w:right w:w="100" w:type="dxa"/>
            </w:tcMar>
          </w:tcPr>
          <w:p>
            <w:r>
              <w:rPr>
                <w:b/>
                <w:sz w:val="17"/>
              </w:rPr>
              <w:t>Dictamen Foso Defensivo</w:t>
            </w:r>
          </w:p>
        </w:tc>
        <w:tc>
          <w:tcPr>
            <w:tcW w:type="dxa" w:w="1958"/>
            <w:tcMar>
              <w:top w:w="60" w:type="dxa"/>
              <w:bottom w:w="60" w:type="dxa"/>
              <w:left w:w="100" w:type="dxa"/>
              <w:right w:w="100" w:type="dxa"/>
            </w:tcMar>
          </w:tcPr>
          <w:p>
            <w:r>
              <w:rPr>
                <w:b/>
                <w:sz w:val="17"/>
              </w:rPr>
              <w:t>🏰 WIDE MOAT / COMPOUNDING MACHINE</w:t>
            </w:r>
          </w:p>
        </w:tc>
        <w:tc>
          <w:tcPr>
            <w:tcW w:type="dxa" w:w="1958"/>
            <w:tcMar>
              <w:top w:w="60" w:type="dxa"/>
              <w:bottom w:w="60" w:type="dxa"/>
              <w:left w:w="100" w:type="dxa"/>
              <w:right w:w="100" w:type="dxa"/>
            </w:tcMar>
          </w:tcPr>
          <w:p>
            <w:r>
              <w:rPr>
                <w:sz w:val="17"/>
              </w:rPr>
              <w:t>Compounding Machine</w:t>
            </w:r>
          </w:p>
        </w:tc>
        <w:tc>
          <w:tcPr>
            <w:tcW w:type="dxa" w:w="1958"/>
            <w:tcMar>
              <w:top w:w="60" w:type="dxa"/>
              <w:bottom w:w="60" w:type="dxa"/>
              <w:left w:w="100" w:type="dxa"/>
              <w:right w:w="100" w:type="dxa"/>
            </w:tcMar>
          </w:tcPr>
          <w:p>
            <w:r>
              <w:rPr>
                <w:sz w:val="17"/>
              </w:rPr>
              <w:t>Fortaleza estructural de intermediación y fondeo.</w:t>
            </w:r>
          </w:p>
        </w:tc>
      </w:tr>
    </w:tbl>
    <w:p/>
    <w:p>
      <w:pPr>
        <w:pStyle w:val="Heading1"/>
        <w:spacing w:before="280" w:after="80"/>
      </w:pPr>
      <w:r>
        <w:rPr>
          <w:rFonts w:ascii="Calibri" w:hAnsi="Calibri"/>
          <w:b/>
          <w:color w:val="1B365D"/>
          <w:sz w:val="28"/>
        </w:rPr>
        <w:t>12. Auditoría Forense Contable y Calidad de Beneficios (Detección de Trampas Contables)</w:t>
      </w:r>
    </w:p>
    <w:p>
      <w:pPr>
        <w:spacing w:before="80" w:after="160"/>
        <w:ind w:left="288" w:right="288"/>
      </w:pPr>
      <w:r>
        <w:rPr>
          <w:rFonts w:ascii="Calibri" w:hAnsi="Calibri"/>
          <w:b/>
          <w:color w:val="1B365D"/>
          <w:sz w:val="21"/>
        </w:rPr>
        <w:t>DICTAMEN FORENSE INSTITUCIONAL (LTM): ANÁLISIS SECTORIAL BANCARIO</w:t>
        <w:br/>
      </w:r>
      <w:r>
        <w:rPr>
          <w:rFonts w:ascii="Calibri" w:hAnsi="Calibri"/>
          <w:color w:val="2D3748"/>
          <w:sz w:val="19"/>
        </w:rPr>
        <w:t>• Ratio Sloan de Devengos: +6.33% [DEVENGOS EQUILIBRADOS]</w:t>
        <w:br/>
        <w:t>• Montier C-Score: NO APLICABLE [NO APLICABLE]</w:t>
        <w:br/>
        <w:t>• Dictamen: AUDITORÍA FORENSE ADAPTADA (FINANCIAL_BANKING): Los modelos cuantitativos de devengos industriales y Montier C-Score no son aplicables a balances bancarios y aseguradores. La solvencia e integridad contable se evalúan mediante la calidad de cartera (NPLs), ratios de cobertura de provisiones, margen de interés neto (NIM) y solidez de capital regulatorio (CET1).</w:t>
      </w:r>
    </w:p>
    <w:p>
      <w:pPr>
        <w:spacing w:after="120"/>
      </w:pPr>
      <w:r>
        <w:rPr>
          <w:rFonts w:ascii="Calibri" w:hAnsi="Calibri"/>
          <w:color w:val="2D3748"/>
          <w:sz w:val="19"/>
        </w:rPr>
        <w:t>A fin de verificar la autenticidad intrínseca de las ganancias reportadas ante los reguladores (SEC) y descartar de forma exhaustiva el riesgo de 'beneficios de papel', inflación artificial de márgenes o reconocimiento agresivo de ventas, se auditan tres instrumentos cuantitativos especializados no redundantes: el Ratio de Devengos de Sloan (1996), la Matriz de Divergencias de Alerta Temprana en balance y el Montier C-Score (2008).</w:t>
      </w:r>
    </w:p>
    <w:p>
      <w:pPr>
        <w:pStyle w:val="Heading2"/>
      </w:pPr>
      <w:r>
        <w:rPr>
          <w:rFonts w:ascii="Calibri" w:hAnsi="Calibri"/>
          <w:b/>
          <w:color w:val="1B365D"/>
          <w:sz w:val="23"/>
        </w:rPr>
        <w:t>12.1. Ratio de Devengos de Sloan (The Accrual Anomaly)</w:t>
      </w:r>
    </w:p>
    <w:p>
      <w:pPr>
        <w:spacing w:after="120"/>
      </w:pPr>
      <w:r>
        <w:rPr>
          <w:rFonts w:ascii="Calibri" w:hAnsi="Calibri"/>
          <w:color w:val="2D3748"/>
          <w:sz w:val="18"/>
        </w:rPr>
        <w:t>El profesor Richard Sloan (University of Michigan, 1996) demostró que los beneficios contables generados mediante asientos de ajuste o partidas no monetarias exhiben una persistencia temporal muy inferior a las ganancias respaldadas por cobros efectivos. Un ratio de devengos negativo —donde el flujo de caja operativo supera a la utilidad neta— constituye un foso de máxima calidad contable:</w:t>
        <w:br/>
        <w:t>Sloan Accrual Ratio = (Utilidad Neta GAAP − Flujo de Caja Operativo CFO) / Activos Totales Promedio</w:t>
        <w:br/>
        <w:t>• &lt; -3.0%: Excelente / Calidad Superior  |  • -3.0% a +7.0%: Rango Saludable  |  • +7.0% a +10.0%: Precaución  |  • &gt; +10.0%: Alerta Roja</w:t>
      </w:r>
    </w:p>
    <w:tbl>
      <w:tblPr>
        <w:tblW w:type="auto" w:w="0"/>
        <w:jc w:val="center"/>
        <w:tblLook w:firstColumn="1" w:firstRow="1" w:lastColumn="0" w:lastRow="0" w:noHBand="0" w:noVBand="1" w:val="04A0"/>
        <w:tblBorders>
          <w:top w:val="single" w:sz="6" w:space="0" w:color="D2D6DC"/>
          <w:left w:val="none"/>
          <w:bottom w:val="single" w:sz="10" w:space="0" w:color="1B365D"/>
          <w:right w:val="none"/>
          <w:insideH w:val="single" w:sz="4" w:space="0" w:color="D2D6DC"/>
          <w:insideV w:val="none"/>
        </w:tblBorders>
      </w:tblPr>
      <w:tblGrid>
        <w:gridCol w:w="2592"/>
        <w:gridCol w:w="1094"/>
        <w:gridCol w:w="1094"/>
        <w:gridCol w:w="1094"/>
        <w:gridCol w:w="1094"/>
        <w:gridCol w:w="1094"/>
        <w:gridCol w:w="1728"/>
      </w:tblGrid>
      <w:tr>
        <w:tc>
          <w:tcPr>
            <w:tcW w:type="dxa" w:w="2592"/>
            <w:shd w:fill="1B365D"/>
            <w:tcMar>
              <w:top w:w="80" w:type="dxa"/>
              <w:bottom w:w="80" w:type="dxa"/>
              <w:left w:w="80" w:type="dxa"/>
              <w:right w:w="80" w:type="dxa"/>
            </w:tcMar>
          </w:tcPr>
          <w:p>
            <w:pPr>
              <w:jc w:val="left"/>
            </w:pPr>
            <w:r>
              <w:rPr>
                <w:rFonts w:ascii="Calibri" w:hAnsi="Calibri"/>
                <w:b/>
                <w:color w:val="FFFFFF"/>
                <w:sz w:val="17"/>
              </w:rPr>
              <w:t>Métrica Contable Forense</w:t>
            </w:r>
          </w:p>
        </w:tc>
        <w:tc>
          <w:tcPr>
            <w:tcW w:type="dxa" w:w="1094"/>
            <w:shd w:fill="0A3641"/>
            <w:tcMar>
              <w:top w:w="80" w:type="dxa"/>
              <w:bottom w:w="80" w:type="dxa"/>
              <w:left w:w="80" w:type="dxa"/>
              <w:right w:w="80" w:type="dxa"/>
            </w:tcMar>
          </w:tcPr>
          <w:p>
            <w:pPr>
              <w:jc w:val="center"/>
            </w:pPr>
            <w:r>
              <w:rPr>
                <w:rFonts w:ascii="Calibri" w:hAnsi="Calibri"/>
                <w:b/>
                <w:color w:val="FFD700"/>
                <w:sz w:val="17"/>
              </w:rPr>
              <w:t>LTM</w:t>
            </w:r>
          </w:p>
        </w:tc>
        <w:tc>
          <w:tcPr>
            <w:tcW w:type="dxa" w:w="1094"/>
            <w:shd w:fill="1B365D"/>
            <w:tcMar>
              <w:top w:w="80" w:type="dxa"/>
              <w:bottom w:w="80" w:type="dxa"/>
              <w:left w:w="80" w:type="dxa"/>
              <w:right w:w="80" w:type="dxa"/>
            </w:tcMar>
          </w:tcPr>
          <w:p>
            <w:pPr>
              <w:jc w:val="center"/>
            </w:pPr>
            <w:r>
              <w:rPr>
                <w:rFonts w:ascii="Calibri" w:hAnsi="Calibri"/>
                <w:b/>
                <w:color w:val="FFFFFF"/>
                <w:sz w:val="17"/>
              </w:rPr>
              <w:t>FY2025</w:t>
            </w:r>
          </w:p>
        </w:tc>
        <w:tc>
          <w:tcPr>
            <w:tcW w:type="dxa" w:w="1094"/>
            <w:shd w:fill="1B365D"/>
            <w:tcMar>
              <w:top w:w="80" w:type="dxa"/>
              <w:bottom w:w="80" w:type="dxa"/>
              <w:left w:w="80" w:type="dxa"/>
              <w:right w:w="80" w:type="dxa"/>
            </w:tcMar>
          </w:tcPr>
          <w:p>
            <w:pPr>
              <w:jc w:val="center"/>
            </w:pPr>
            <w:r>
              <w:rPr>
                <w:rFonts w:ascii="Calibri" w:hAnsi="Calibri"/>
                <w:b/>
                <w:color w:val="FFFFFF"/>
                <w:sz w:val="17"/>
              </w:rPr>
              <w:t>FY2024</w:t>
            </w:r>
          </w:p>
        </w:tc>
        <w:tc>
          <w:tcPr>
            <w:tcW w:type="dxa" w:w="1094"/>
            <w:shd w:fill="1B365D"/>
            <w:tcMar>
              <w:top w:w="80" w:type="dxa"/>
              <w:bottom w:w="80" w:type="dxa"/>
              <w:left w:w="80" w:type="dxa"/>
              <w:right w:w="80" w:type="dxa"/>
            </w:tcMar>
          </w:tcPr>
          <w:p>
            <w:pPr>
              <w:jc w:val="center"/>
            </w:pPr>
            <w:r>
              <w:rPr>
                <w:rFonts w:ascii="Calibri" w:hAnsi="Calibri"/>
                <w:b/>
                <w:color w:val="FFFFFF"/>
                <w:sz w:val="17"/>
              </w:rPr>
              <w:t>FY2023</w:t>
            </w:r>
          </w:p>
        </w:tc>
        <w:tc>
          <w:tcPr>
            <w:tcW w:type="dxa" w:w="1094"/>
            <w:shd w:fill="1B365D"/>
            <w:tcMar>
              <w:top w:w="80" w:type="dxa"/>
              <w:bottom w:w="80" w:type="dxa"/>
              <w:left w:w="80" w:type="dxa"/>
              <w:right w:w="80" w:type="dxa"/>
            </w:tcMar>
          </w:tcPr>
          <w:p>
            <w:pPr>
              <w:jc w:val="center"/>
            </w:pPr>
            <w:r>
              <w:rPr>
                <w:rFonts w:ascii="Calibri" w:hAnsi="Calibri"/>
                <w:b/>
                <w:color w:val="FFFFFF"/>
                <w:sz w:val="17"/>
              </w:rPr>
              <w:t>FY2022</w:t>
            </w:r>
          </w:p>
        </w:tc>
        <w:tc>
          <w:tcPr>
            <w:tcW w:type="dxa" w:w="1728"/>
            <w:shd w:fill="1B365D"/>
            <w:tcMar>
              <w:top w:w="80" w:type="dxa"/>
              <w:bottom w:w="80" w:type="dxa"/>
              <w:left w:w="80" w:type="dxa"/>
              <w:right w:w="80" w:type="dxa"/>
            </w:tcMar>
          </w:tcPr>
          <w:p>
            <w:pPr>
              <w:jc w:val="center"/>
            </w:pPr>
            <w:r>
              <w:rPr>
                <w:rFonts w:ascii="Calibri" w:hAnsi="Calibri"/>
                <w:b/>
                <w:color w:val="FFFFFF"/>
                <w:sz w:val="17"/>
              </w:rPr>
              <w:t>Umbral Institucional</w:t>
            </w:r>
          </w:p>
        </w:tc>
      </w:tr>
      <w:tr>
        <w:tc>
          <w:tcPr>
            <w:tcW w:type="dxa" w:w="2592"/>
            <w:tcMar>
              <w:top w:w="60" w:type="dxa"/>
              <w:bottom w:w="60" w:type="dxa"/>
              <w:left w:w="80" w:type="dxa"/>
              <w:right w:w="80" w:type="dxa"/>
            </w:tcMar>
          </w:tcPr>
          <w:p>
            <w:r>
              <w:rPr>
                <w:rFonts w:ascii="Calibri" w:hAnsi="Calibri"/>
                <w:b w:val="0"/>
                <w:sz w:val="17"/>
              </w:rPr>
              <w:t>(+) Utilidad Neta GAAP ($M)</w:t>
            </w:r>
          </w:p>
        </w:tc>
        <w:tc>
          <w:tcPr>
            <w:tcW w:type="dxa" w:w="1094"/>
            <w:tcMar>
              <w:top w:w="60" w:type="dxa"/>
              <w:bottom w:w="60" w:type="dxa"/>
              <w:left w:w="60" w:type="dxa"/>
              <w:right w:w="60" w:type="dxa"/>
            </w:tcMar>
          </w:tcPr>
          <w:p>
            <w:pPr>
              <w:jc w:val="right"/>
            </w:pPr>
            <w:r>
              <w:rPr>
                <w:rFonts w:ascii="Calibri" w:hAnsi="Calibri"/>
                <w:b w:val="0"/>
                <w:sz w:val="17"/>
              </w:rPr>
              <w:t>$3,610.0M</w:t>
            </w:r>
          </w:p>
        </w:tc>
        <w:tc>
          <w:tcPr>
            <w:tcW w:type="dxa" w:w="1094"/>
            <w:tcMar>
              <w:top w:w="60" w:type="dxa"/>
              <w:bottom w:w="60" w:type="dxa"/>
              <w:left w:w="60" w:type="dxa"/>
              <w:right w:w="60" w:type="dxa"/>
            </w:tcMar>
          </w:tcPr>
          <w:p>
            <w:pPr>
              <w:jc w:val="right"/>
            </w:pPr>
            <w:r>
              <w:rPr>
                <w:rFonts w:ascii="Calibri" w:hAnsi="Calibri"/>
                <w:b w:val="0"/>
                <w:sz w:val="17"/>
              </w:rPr>
              <w:t>$2,871.7M</w:t>
            </w:r>
          </w:p>
        </w:tc>
        <w:tc>
          <w:tcPr>
            <w:tcW w:type="dxa" w:w="1094"/>
            <w:tcMar>
              <w:top w:w="60" w:type="dxa"/>
              <w:bottom w:w="60" w:type="dxa"/>
              <w:left w:w="60" w:type="dxa"/>
              <w:right w:w="60" w:type="dxa"/>
            </w:tcMar>
          </w:tcPr>
          <w:p>
            <w:pPr>
              <w:jc w:val="right"/>
            </w:pPr>
            <w:r>
              <w:rPr>
                <w:rFonts w:ascii="Calibri" w:hAnsi="Calibri"/>
                <w:b w:val="0"/>
                <w:sz w:val="17"/>
              </w:rPr>
              <w:t>$1,972.1M</w:t>
            </w:r>
          </w:p>
        </w:tc>
        <w:tc>
          <w:tcPr>
            <w:tcW w:type="dxa" w:w="1094"/>
            <w:tcMar>
              <w:top w:w="60" w:type="dxa"/>
              <w:bottom w:w="60" w:type="dxa"/>
              <w:left w:w="60" w:type="dxa"/>
              <w:right w:w="60" w:type="dxa"/>
            </w:tcMar>
          </w:tcPr>
          <w:p>
            <w:pPr>
              <w:jc w:val="right"/>
            </w:pPr>
            <w:r>
              <w:rPr>
                <w:rFonts w:ascii="Calibri" w:hAnsi="Calibri"/>
                <w:b w:val="0"/>
                <w:sz w:val="17"/>
              </w:rPr>
              <w:t>$1,030.5M</w:t>
            </w:r>
          </w:p>
        </w:tc>
        <w:tc>
          <w:tcPr>
            <w:tcW w:type="dxa" w:w="1094"/>
            <w:tcMar>
              <w:top w:w="60" w:type="dxa"/>
              <w:bottom w:w="60" w:type="dxa"/>
              <w:left w:w="60" w:type="dxa"/>
              <w:right w:w="60" w:type="dxa"/>
            </w:tcMar>
          </w:tcPr>
          <w:p>
            <w:pPr>
              <w:jc w:val="right"/>
            </w:pPr>
            <w:r>
              <w:rPr>
                <w:rFonts w:ascii="Calibri" w:hAnsi="Calibri"/>
                <w:b w:val="0"/>
                <w:sz w:val="17"/>
              </w:rPr>
              <w:t>$-364.6M</w:t>
            </w:r>
          </w:p>
        </w:tc>
        <w:tc>
          <w:tcPr>
            <w:tcW w:type="dxa" w:w="1728"/>
            <w:tcMar>
              <w:top w:w="60" w:type="dxa"/>
              <w:bottom w:w="60" w:type="dxa"/>
              <w:left w:w="60" w:type="dxa"/>
              <w:right w:w="60" w:type="dxa"/>
            </w:tcMar>
          </w:tcPr>
          <w:p>
            <w:pPr>
              <w:jc w:val="center"/>
            </w:pPr>
            <w:r>
              <w:rPr>
                <w:rFonts w:ascii="Calibri" w:hAnsi="Calibri"/>
                <w:i/>
                <w:sz w:val="17"/>
              </w:rPr>
              <w:t>Base Devengada</w:t>
            </w:r>
          </w:p>
        </w:tc>
      </w:tr>
      <w:tr>
        <w:tc>
          <w:tcPr>
            <w:tcW w:type="dxa" w:w="2592"/>
            <w:tcMar>
              <w:top w:w="60" w:type="dxa"/>
              <w:bottom w:w="60" w:type="dxa"/>
              <w:left w:w="80" w:type="dxa"/>
              <w:right w:w="80" w:type="dxa"/>
            </w:tcMar>
          </w:tcPr>
          <w:p>
            <w:r>
              <w:rPr>
                <w:rFonts w:ascii="Calibri" w:hAnsi="Calibri"/>
                <w:b w:val="0"/>
                <w:sz w:val="17"/>
              </w:rPr>
              <w:t>(-) Flujo Operativo CFO ($M)</w:t>
            </w:r>
          </w:p>
        </w:tc>
        <w:tc>
          <w:tcPr>
            <w:tcW w:type="dxa" w:w="1094"/>
            <w:tcMar>
              <w:top w:w="60" w:type="dxa"/>
              <w:bottom w:w="60" w:type="dxa"/>
              <w:left w:w="60" w:type="dxa"/>
              <w:right w:w="60" w:type="dxa"/>
            </w:tcMar>
          </w:tcPr>
          <w:p>
            <w:pPr>
              <w:jc w:val="right"/>
            </w:pPr>
            <w:r>
              <w:rPr>
                <w:rFonts w:ascii="Calibri" w:hAnsi="Calibri"/>
                <w:b w:val="0"/>
                <w:sz w:val="17"/>
              </w:rPr>
              <w:t>$-1,381.6M</w:t>
            </w:r>
          </w:p>
        </w:tc>
        <w:tc>
          <w:tcPr>
            <w:tcW w:type="dxa" w:w="1094"/>
            <w:tcMar>
              <w:top w:w="60" w:type="dxa"/>
              <w:bottom w:w="60" w:type="dxa"/>
              <w:left w:w="60" w:type="dxa"/>
              <w:right w:w="60" w:type="dxa"/>
            </w:tcMar>
          </w:tcPr>
          <w:p>
            <w:pPr>
              <w:jc w:val="right"/>
            </w:pPr>
            <w:r>
              <w:rPr>
                <w:rFonts w:ascii="Calibri" w:hAnsi="Calibri"/>
                <w:b w:val="0"/>
                <w:sz w:val="17"/>
              </w:rPr>
              <w:t>$3,500.5M</w:t>
            </w:r>
          </w:p>
        </w:tc>
        <w:tc>
          <w:tcPr>
            <w:tcW w:type="dxa" w:w="1094"/>
            <w:tcMar>
              <w:top w:w="60" w:type="dxa"/>
              <w:bottom w:w="60" w:type="dxa"/>
              <w:left w:w="60" w:type="dxa"/>
              <w:right w:w="60" w:type="dxa"/>
            </w:tcMar>
          </w:tcPr>
          <w:p>
            <w:pPr>
              <w:jc w:val="right"/>
            </w:pPr>
            <w:r>
              <w:rPr>
                <w:rFonts w:ascii="Calibri" w:hAnsi="Calibri"/>
                <w:b w:val="0"/>
                <w:sz w:val="17"/>
              </w:rPr>
              <w:t>$2,399.0M</w:t>
            </w:r>
          </w:p>
        </w:tc>
        <w:tc>
          <w:tcPr>
            <w:tcW w:type="dxa" w:w="1094"/>
            <w:tcMar>
              <w:top w:w="60" w:type="dxa"/>
              <w:bottom w:w="60" w:type="dxa"/>
              <w:left w:w="60" w:type="dxa"/>
              <w:right w:w="60" w:type="dxa"/>
            </w:tcMar>
          </w:tcPr>
          <w:p>
            <w:pPr>
              <w:jc w:val="right"/>
            </w:pPr>
            <w:r>
              <w:rPr>
                <w:rFonts w:ascii="Calibri" w:hAnsi="Calibri"/>
                <w:b w:val="0"/>
                <w:sz w:val="17"/>
              </w:rPr>
              <w:t>$1,266.2M</w:t>
            </w:r>
          </w:p>
        </w:tc>
        <w:tc>
          <w:tcPr>
            <w:tcW w:type="dxa" w:w="1094"/>
            <w:tcMar>
              <w:top w:w="60" w:type="dxa"/>
              <w:bottom w:w="60" w:type="dxa"/>
              <w:left w:w="60" w:type="dxa"/>
              <w:right w:w="60" w:type="dxa"/>
            </w:tcMar>
          </w:tcPr>
          <w:p>
            <w:pPr>
              <w:jc w:val="right"/>
            </w:pPr>
            <w:r>
              <w:rPr>
                <w:rFonts w:ascii="Calibri" w:hAnsi="Calibri"/>
                <w:b w:val="0"/>
                <w:sz w:val="17"/>
              </w:rPr>
              <w:t>$755.6M</w:t>
            </w:r>
          </w:p>
        </w:tc>
        <w:tc>
          <w:tcPr>
            <w:tcW w:type="dxa" w:w="1728"/>
            <w:tcMar>
              <w:top w:w="60" w:type="dxa"/>
              <w:bottom w:w="60" w:type="dxa"/>
              <w:left w:w="60" w:type="dxa"/>
              <w:right w:w="60" w:type="dxa"/>
            </w:tcMar>
          </w:tcPr>
          <w:p>
            <w:pPr>
              <w:jc w:val="center"/>
            </w:pPr>
            <w:r>
              <w:rPr>
                <w:rFonts w:ascii="Calibri" w:hAnsi="Calibri"/>
                <w:i/>
                <w:sz w:val="17"/>
              </w:rPr>
              <w:t>Caja Líquida Real</w:t>
            </w:r>
          </w:p>
        </w:tc>
      </w:tr>
      <w:tr>
        <w:tc>
          <w:tcPr>
            <w:tcW w:type="dxa" w:w="2592"/>
            <w:tcMar>
              <w:top w:w="60" w:type="dxa"/>
              <w:bottom w:w="60" w:type="dxa"/>
              <w:left w:w="80" w:type="dxa"/>
              <w:right w:w="80" w:type="dxa"/>
            </w:tcMar>
          </w:tcPr>
          <w:p>
            <w:r>
              <w:rPr>
                <w:rFonts w:ascii="Calibri" w:hAnsi="Calibri"/>
                <w:b/>
                <w:sz w:val="17"/>
              </w:rPr>
              <w:t>(=) Devengos Totales (NI − CFO)</w:t>
            </w:r>
          </w:p>
        </w:tc>
        <w:tc>
          <w:tcPr>
            <w:tcW w:type="dxa" w:w="1094"/>
            <w:tcMar>
              <w:top w:w="60" w:type="dxa"/>
              <w:bottom w:w="60" w:type="dxa"/>
              <w:left w:w="60" w:type="dxa"/>
              <w:right w:w="60" w:type="dxa"/>
            </w:tcMar>
          </w:tcPr>
          <w:p>
            <w:pPr>
              <w:jc w:val="right"/>
            </w:pPr>
            <w:r>
              <w:rPr>
                <w:rFonts w:ascii="Calibri" w:hAnsi="Calibri"/>
                <w:b/>
                <w:sz w:val="17"/>
              </w:rPr>
              <w:t>$+4,991.6M</w:t>
            </w:r>
          </w:p>
        </w:tc>
        <w:tc>
          <w:tcPr>
            <w:tcW w:type="dxa" w:w="1094"/>
            <w:tcMar>
              <w:top w:w="60" w:type="dxa"/>
              <w:bottom w:w="60" w:type="dxa"/>
              <w:left w:w="60" w:type="dxa"/>
              <w:right w:w="60" w:type="dxa"/>
            </w:tcMar>
          </w:tcPr>
          <w:p>
            <w:pPr>
              <w:jc w:val="right"/>
            </w:pPr>
            <w:r>
              <w:rPr>
                <w:rFonts w:ascii="Calibri" w:hAnsi="Calibri"/>
                <w:b/>
                <w:sz w:val="17"/>
              </w:rPr>
              <w:t>$-628.8M</w:t>
            </w:r>
          </w:p>
        </w:tc>
        <w:tc>
          <w:tcPr>
            <w:tcW w:type="dxa" w:w="1094"/>
            <w:tcMar>
              <w:top w:w="60" w:type="dxa"/>
              <w:bottom w:w="60" w:type="dxa"/>
              <w:left w:w="60" w:type="dxa"/>
              <w:right w:w="60" w:type="dxa"/>
            </w:tcMar>
          </w:tcPr>
          <w:p>
            <w:pPr>
              <w:jc w:val="right"/>
            </w:pPr>
            <w:r>
              <w:rPr>
                <w:rFonts w:ascii="Calibri" w:hAnsi="Calibri"/>
                <w:b/>
                <w:sz w:val="17"/>
              </w:rPr>
              <w:t>$-426.9M</w:t>
            </w:r>
          </w:p>
        </w:tc>
        <w:tc>
          <w:tcPr>
            <w:tcW w:type="dxa" w:w="1094"/>
            <w:tcMar>
              <w:top w:w="60" w:type="dxa"/>
              <w:bottom w:w="60" w:type="dxa"/>
              <w:left w:w="60" w:type="dxa"/>
              <w:right w:w="60" w:type="dxa"/>
            </w:tcMar>
          </w:tcPr>
          <w:p>
            <w:pPr>
              <w:jc w:val="right"/>
            </w:pPr>
            <w:r>
              <w:rPr>
                <w:rFonts w:ascii="Calibri" w:hAnsi="Calibri"/>
                <w:b/>
                <w:sz w:val="17"/>
              </w:rPr>
              <w:t>$-235.7M</w:t>
            </w:r>
          </w:p>
        </w:tc>
        <w:tc>
          <w:tcPr>
            <w:tcW w:type="dxa" w:w="1094"/>
            <w:tcMar>
              <w:top w:w="60" w:type="dxa"/>
              <w:bottom w:w="60" w:type="dxa"/>
              <w:left w:w="60" w:type="dxa"/>
              <w:right w:w="60" w:type="dxa"/>
            </w:tcMar>
          </w:tcPr>
          <w:p>
            <w:pPr>
              <w:jc w:val="right"/>
            </w:pPr>
            <w:r>
              <w:rPr>
                <w:rFonts w:ascii="Calibri" w:hAnsi="Calibri"/>
                <w:b/>
                <w:sz w:val="17"/>
              </w:rPr>
              <w:t>$-1,120.2M</w:t>
            </w:r>
          </w:p>
        </w:tc>
        <w:tc>
          <w:tcPr>
            <w:tcW w:type="dxa" w:w="1728"/>
            <w:tcMar>
              <w:top w:w="60" w:type="dxa"/>
              <w:bottom w:w="60" w:type="dxa"/>
              <w:left w:w="60" w:type="dxa"/>
              <w:right w:w="60" w:type="dxa"/>
            </w:tcMar>
          </w:tcPr>
          <w:p>
            <w:pPr>
              <w:jc w:val="center"/>
            </w:pPr>
            <w:r>
              <w:rPr>
                <w:rFonts w:ascii="Calibri" w:hAnsi="Calibri"/>
                <w:i/>
                <w:sz w:val="17"/>
              </w:rPr>
              <w:t>CFO &gt; NI</w:t>
            </w:r>
          </w:p>
        </w:tc>
      </w:tr>
      <w:tr>
        <w:tc>
          <w:tcPr>
            <w:tcW w:type="dxa" w:w="2592"/>
            <w:tcMar>
              <w:top w:w="60" w:type="dxa"/>
              <w:bottom w:w="60" w:type="dxa"/>
              <w:left w:w="80" w:type="dxa"/>
              <w:right w:w="80" w:type="dxa"/>
            </w:tcMar>
          </w:tcPr>
          <w:p>
            <w:r>
              <w:rPr>
                <w:rFonts w:ascii="Calibri" w:hAnsi="Calibri"/>
                <w:b w:val="0"/>
                <w:sz w:val="17"/>
              </w:rPr>
              <w:t>Activos Totales Promedio ($M)</w:t>
            </w:r>
          </w:p>
        </w:tc>
        <w:tc>
          <w:tcPr>
            <w:tcW w:type="dxa" w:w="1094"/>
            <w:tcMar>
              <w:top w:w="60" w:type="dxa"/>
              <w:bottom w:w="60" w:type="dxa"/>
              <w:left w:w="60" w:type="dxa"/>
              <w:right w:w="60" w:type="dxa"/>
            </w:tcMar>
          </w:tcPr>
          <w:p>
            <w:pPr>
              <w:jc w:val="right"/>
            </w:pPr>
            <w:r>
              <w:rPr>
                <w:rFonts w:ascii="Calibri" w:hAnsi="Calibri"/>
                <w:b w:val="0"/>
                <w:sz w:val="17"/>
              </w:rPr>
              <w:t>$78,823.6M</w:t>
            </w:r>
          </w:p>
        </w:tc>
        <w:tc>
          <w:tcPr>
            <w:tcW w:type="dxa" w:w="1094"/>
            <w:tcMar>
              <w:top w:w="60" w:type="dxa"/>
              <w:bottom w:w="60" w:type="dxa"/>
              <w:left w:w="60" w:type="dxa"/>
              <w:right w:w="60" w:type="dxa"/>
            </w:tcMar>
          </w:tcPr>
          <w:p>
            <w:pPr>
              <w:jc w:val="right"/>
            </w:pPr>
            <w:r>
              <w:rPr>
                <w:rFonts w:ascii="Calibri" w:hAnsi="Calibri"/>
                <w:b w:val="0"/>
                <w:sz w:val="17"/>
              </w:rPr>
              <w:t>$62,412.5M</w:t>
            </w:r>
          </w:p>
        </w:tc>
        <w:tc>
          <w:tcPr>
            <w:tcW w:type="dxa" w:w="1094"/>
            <w:tcMar>
              <w:top w:w="60" w:type="dxa"/>
              <w:bottom w:w="60" w:type="dxa"/>
              <w:left w:w="60" w:type="dxa"/>
              <w:right w:w="60" w:type="dxa"/>
            </w:tcMar>
          </w:tcPr>
          <w:p>
            <w:pPr>
              <w:jc w:val="right"/>
            </w:pPr>
            <w:r>
              <w:rPr>
                <w:rFonts w:ascii="Calibri" w:hAnsi="Calibri"/>
                <w:b w:val="0"/>
                <w:sz w:val="17"/>
              </w:rPr>
              <w:t>$46,638.2M</w:t>
            </w:r>
          </w:p>
        </w:tc>
        <w:tc>
          <w:tcPr>
            <w:tcW w:type="dxa" w:w="1094"/>
            <w:tcMar>
              <w:top w:w="60" w:type="dxa"/>
              <w:bottom w:w="60" w:type="dxa"/>
              <w:left w:w="60" w:type="dxa"/>
              <w:right w:w="60" w:type="dxa"/>
            </w:tcMar>
          </w:tcPr>
          <w:p>
            <w:pPr>
              <w:jc w:val="right"/>
            </w:pPr>
            <w:r>
              <w:rPr>
                <w:rFonts w:ascii="Calibri" w:hAnsi="Calibri"/>
                <w:b w:val="0"/>
                <w:sz w:val="17"/>
              </w:rPr>
              <w:t>$36,640.0M</w:t>
            </w:r>
          </w:p>
        </w:tc>
        <w:tc>
          <w:tcPr>
            <w:tcW w:type="dxa" w:w="1094"/>
            <w:tcMar>
              <w:top w:w="60" w:type="dxa"/>
              <w:bottom w:w="60" w:type="dxa"/>
              <w:left w:w="60" w:type="dxa"/>
              <w:right w:w="60" w:type="dxa"/>
            </w:tcMar>
          </w:tcPr>
          <w:p>
            <w:pPr>
              <w:jc w:val="right"/>
            </w:pPr>
            <w:r>
              <w:rPr>
                <w:rFonts w:ascii="Calibri" w:hAnsi="Calibri"/>
                <w:b w:val="0"/>
                <w:sz w:val="17"/>
              </w:rPr>
              <w:t>$24,896.8M</w:t>
            </w:r>
          </w:p>
        </w:tc>
        <w:tc>
          <w:tcPr>
            <w:tcW w:type="dxa" w:w="1728"/>
            <w:tcMar>
              <w:top w:w="60" w:type="dxa"/>
              <w:bottom w:w="60" w:type="dxa"/>
              <w:left w:w="60" w:type="dxa"/>
              <w:right w:w="60" w:type="dxa"/>
            </w:tcMar>
          </w:tcPr>
          <w:p>
            <w:pPr>
              <w:jc w:val="center"/>
            </w:pPr>
            <w:r>
              <w:rPr>
                <w:rFonts w:ascii="Calibri" w:hAnsi="Calibri"/>
                <w:i/>
                <w:sz w:val="17"/>
              </w:rPr>
              <w:t>Base Activos</w:t>
            </w:r>
          </w:p>
        </w:tc>
      </w:tr>
      <w:tr>
        <w:tc>
          <w:tcPr>
            <w:tcW w:type="dxa" w:w="2592"/>
            <w:tcMar>
              <w:top w:w="60" w:type="dxa"/>
              <w:bottom w:w="60" w:type="dxa"/>
              <w:left w:w="80" w:type="dxa"/>
              <w:right w:w="80" w:type="dxa"/>
            </w:tcMar>
          </w:tcPr>
          <w:p>
            <w:r>
              <w:rPr>
                <w:rFonts w:ascii="Calibri" w:hAnsi="Calibri"/>
                <w:b/>
                <w:sz w:val="17"/>
              </w:rPr>
              <w:t>(=) Ratio Devengos Sloan (%)</w:t>
            </w:r>
          </w:p>
        </w:tc>
        <w:tc>
          <w:tcPr>
            <w:tcW w:type="dxa" w:w="1094"/>
            <w:tcMar>
              <w:top w:w="60" w:type="dxa"/>
              <w:bottom w:w="60" w:type="dxa"/>
              <w:left w:w="60" w:type="dxa"/>
              <w:right w:w="60" w:type="dxa"/>
            </w:tcMar>
          </w:tcPr>
          <w:p>
            <w:pPr>
              <w:jc w:val="right"/>
            </w:pPr>
            <w:r>
              <w:rPr>
                <w:rFonts w:ascii="Calibri" w:hAnsi="Calibri"/>
                <w:b/>
                <w:sz w:val="17"/>
              </w:rPr>
              <w:t>+6.33%</w:t>
            </w:r>
          </w:p>
        </w:tc>
        <w:tc>
          <w:tcPr>
            <w:tcW w:type="dxa" w:w="1094"/>
            <w:tcMar>
              <w:top w:w="60" w:type="dxa"/>
              <w:bottom w:w="60" w:type="dxa"/>
              <w:left w:w="60" w:type="dxa"/>
              <w:right w:w="60" w:type="dxa"/>
            </w:tcMar>
          </w:tcPr>
          <w:p>
            <w:pPr>
              <w:jc w:val="right"/>
            </w:pPr>
            <w:r>
              <w:rPr>
                <w:rFonts w:ascii="Calibri" w:hAnsi="Calibri"/>
                <w:b/>
                <w:sz w:val="17"/>
              </w:rPr>
              <w:t>-1.01%</w:t>
            </w:r>
          </w:p>
        </w:tc>
        <w:tc>
          <w:tcPr>
            <w:tcW w:type="dxa" w:w="1094"/>
            <w:tcMar>
              <w:top w:w="60" w:type="dxa"/>
              <w:bottom w:w="60" w:type="dxa"/>
              <w:left w:w="60" w:type="dxa"/>
              <w:right w:w="60" w:type="dxa"/>
            </w:tcMar>
          </w:tcPr>
          <w:p>
            <w:pPr>
              <w:jc w:val="right"/>
            </w:pPr>
            <w:r>
              <w:rPr>
                <w:rFonts w:ascii="Calibri" w:hAnsi="Calibri"/>
                <w:b/>
                <w:sz w:val="17"/>
              </w:rPr>
              <w:t>-0.92%</w:t>
            </w:r>
          </w:p>
        </w:tc>
        <w:tc>
          <w:tcPr>
            <w:tcW w:type="dxa" w:w="1094"/>
            <w:tcMar>
              <w:top w:w="60" w:type="dxa"/>
              <w:bottom w:w="60" w:type="dxa"/>
              <w:left w:w="60" w:type="dxa"/>
              <w:right w:w="60" w:type="dxa"/>
            </w:tcMar>
          </w:tcPr>
          <w:p>
            <w:pPr>
              <w:jc w:val="right"/>
            </w:pPr>
            <w:r>
              <w:rPr>
                <w:rFonts w:ascii="Calibri" w:hAnsi="Calibri"/>
                <w:b/>
                <w:sz w:val="17"/>
              </w:rPr>
              <w:t>-0.64%</w:t>
            </w:r>
          </w:p>
        </w:tc>
        <w:tc>
          <w:tcPr>
            <w:tcW w:type="dxa" w:w="1094"/>
            <w:tcMar>
              <w:top w:w="60" w:type="dxa"/>
              <w:bottom w:w="60" w:type="dxa"/>
              <w:left w:w="60" w:type="dxa"/>
              <w:right w:w="60" w:type="dxa"/>
            </w:tcMar>
          </w:tcPr>
          <w:p>
            <w:pPr>
              <w:jc w:val="right"/>
            </w:pPr>
            <w:r>
              <w:rPr>
                <w:rFonts w:ascii="Calibri" w:hAnsi="Calibri"/>
                <w:b/>
                <w:sz w:val="17"/>
              </w:rPr>
              <w:t>-4.50%</w:t>
            </w:r>
          </w:p>
        </w:tc>
        <w:tc>
          <w:tcPr>
            <w:tcW w:type="dxa" w:w="1728"/>
            <w:tcMar>
              <w:top w:w="60" w:type="dxa"/>
              <w:bottom w:w="60" w:type="dxa"/>
              <w:left w:w="60" w:type="dxa"/>
              <w:right w:w="60" w:type="dxa"/>
            </w:tcMar>
          </w:tcPr>
          <w:p>
            <w:pPr>
              <w:jc w:val="center"/>
            </w:pPr>
            <w:r>
              <w:rPr>
                <w:rFonts w:ascii="Calibri" w:hAnsi="Calibri"/>
                <w:i/>
                <w:sz w:val="17"/>
              </w:rPr>
              <w:t>&lt; -3.0% (Excelente)</w:t>
            </w:r>
          </w:p>
        </w:tc>
      </w:tr>
      <w:tr>
        <w:tc>
          <w:tcPr>
            <w:tcW w:type="dxa" w:w="2592"/>
            <w:tcMar>
              <w:top w:w="60" w:type="dxa"/>
              <w:bottom w:w="60" w:type="dxa"/>
              <w:left w:w="80" w:type="dxa"/>
              <w:right w:w="80" w:type="dxa"/>
            </w:tcMar>
          </w:tcPr>
          <w:p>
            <w:r>
              <w:rPr>
                <w:rFonts w:ascii="Calibri" w:hAnsi="Calibri"/>
                <w:b w:val="0"/>
                <w:sz w:val="17"/>
              </w:rPr>
              <w:t>Diagnóstico de Fidelidad</w:t>
            </w:r>
          </w:p>
        </w:tc>
        <w:tc>
          <w:tcPr>
            <w:tcW w:type="dxa" w:w="1094"/>
            <w:tcMar>
              <w:top w:w="60" w:type="dxa"/>
              <w:bottom w:w="60" w:type="dxa"/>
              <w:left w:w="60" w:type="dxa"/>
              <w:right w:w="60" w:type="dxa"/>
            </w:tcMar>
          </w:tcPr>
          <w:p>
            <w:pPr>
              <w:jc w:val="center"/>
            </w:pPr>
            <w:r>
              <w:rPr>
                <w:rFonts w:ascii="Calibri" w:hAnsi="Calibri"/>
                <w:b w:val="0"/>
                <w:sz w:val="17"/>
              </w:rPr>
              <w:t>SALUDABLE</w:t>
            </w:r>
          </w:p>
        </w:tc>
        <w:tc>
          <w:tcPr>
            <w:tcW w:type="dxa" w:w="1094"/>
            <w:tcMar>
              <w:top w:w="60" w:type="dxa"/>
              <w:bottom w:w="60" w:type="dxa"/>
              <w:left w:w="60" w:type="dxa"/>
              <w:right w:w="60" w:type="dxa"/>
            </w:tcMar>
          </w:tcPr>
          <w:p>
            <w:pPr>
              <w:jc w:val="center"/>
            </w:pPr>
            <w:r>
              <w:rPr>
                <w:rFonts w:ascii="Calibri" w:hAnsi="Calibri"/>
                <w:b w:val="0"/>
                <w:sz w:val="17"/>
              </w:rPr>
              <w:t>SALUDABLE</w:t>
            </w:r>
          </w:p>
        </w:tc>
        <w:tc>
          <w:tcPr>
            <w:tcW w:type="dxa" w:w="1094"/>
            <w:tcMar>
              <w:top w:w="60" w:type="dxa"/>
              <w:bottom w:w="60" w:type="dxa"/>
              <w:left w:w="60" w:type="dxa"/>
              <w:right w:w="60" w:type="dxa"/>
            </w:tcMar>
          </w:tcPr>
          <w:p>
            <w:pPr>
              <w:jc w:val="center"/>
            </w:pPr>
            <w:r>
              <w:rPr>
                <w:rFonts w:ascii="Calibri" w:hAnsi="Calibri"/>
                <w:b w:val="0"/>
                <w:sz w:val="17"/>
              </w:rPr>
              <w:t>SALUDABLE</w:t>
            </w:r>
          </w:p>
        </w:tc>
        <w:tc>
          <w:tcPr>
            <w:tcW w:type="dxa" w:w="1094"/>
            <w:tcMar>
              <w:top w:w="60" w:type="dxa"/>
              <w:bottom w:w="60" w:type="dxa"/>
              <w:left w:w="60" w:type="dxa"/>
              <w:right w:w="60" w:type="dxa"/>
            </w:tcMar>
          </w:tcPr>
          <w:p>
            <w:pPr>
              <w:jc w:val="center"/>
            </w:pPr>
            <w:r>
              <w:rPr>
                <w:rFonts w:ascii="Calibri" w:hAnsi="Calibri"/>
                <w:b w:val="0"/>
                <w:sz w:val="17"/>
              </w:rPr>
              <w:t>SALUDABLE</w:t>
            </w:r>
          </w:p>
        </w:tc>
        <w:tc>
          <w:tcPr>
            <w:tcW w:type="dxa" w:w="1094"/>
            <w:tcMar>
              <w:top w:w="60" w:type="dxa"/>
              <w:bottom w:w="60" w:type="dxa"/>
              <w:left w:w="60" w:type="dxa"/>
              <w:right w:w="60" w:type="dxa"/>
            </w:tcMar>
          </w:tcPr>
          <w:p>
            <w:pPr>
              <w:jc w:val="center"/>
            </w:pPr>
            <w:r>
              <w:rPr>
                <w:rFonts w:ascii="Calibri" w:hAnsi="Calibri"/>
                <w:b w:val="0"/>
                <w:sz w:val="17"/>
              </w:rPr>
              <w:t>EXCELENTE</w:t>
            </w:r>
          </w:p>
        </w:tc>
        <w:tc>
          <w:tcPr>
            <w:tcW w:type="dxa" w:w="1728"/>
            <w:tcMar>
              <w:top w:w="60" w:type="dxa"/>
              <w:bottom w:w="60" w:type="dxa"/>
              <w:left w:w="60" w:type="dxa"/>
              <w:right w:w="60" w:type="dxa"/>
            </w:tcMar>
          </w:tcPr>
          <w:p>
            <w:pPr>
              <w:jc w:val="center"/>
            </w:pPr>
            <w:r>
              <w:rPr>
                <w:rFonts w:ascii="Calibri" w:hAnsi="Calibri"/>
                <w:i/>
                <w:sz w:val="17"/>
              </w:rPr>
              <w:t>Calidad Saludable</w:t>
            </w:r>
          </w:p>
        </w:tc>
      </w:tr>
    </w:tbl>
    <w:p>
      <w:pPr>
        <w:spacing w:before="80" w:after="160"/>
      </w:pPr>
      <w:r>
        <w:rPr>
          <w:rFonts w:ascii="Calibri" w:hAnsi="Calibri"/>
          <w:i/>
          <w:color w:val="2D3748"/>
          <w:sz w:val="17"/>
        </w:rPr>
        <w:t>Interpretación para el Inversor: En LTM, Nu Holdings Ltd. generó $-1,381.6M de CFO frente a $3,610.0M de beneficio neto, arrojando una tasa de conversión de caja del -38.3% (cada dólar reportado está respaldado por $-0.38 de efectivo). El Ratio Sloan de +6.33% descarta por completo el riesgo de beneficios ficticios.</w:t>
      </w:r>
    </w:p>
    <w:p>
      <w:pPr>
        <w:pStyle w:val="Heading2"/>
      </w:pPr>
      <w:r>
        <w:rPr>
          <w:rFonts w:ascii="Calibri" w:hAnsi="Calibri"/>
          <w:b/>
          <w:color w:val="1B365D"/>
          <w:sz w:val="23"/>
        </w:rPr>
        <w:t>12.2. Matriz de Divergencias de Alerta Temprana (Early Warning Spreads)</w:t>
      </w:r>
    </w:p>
    <w:p>
      <w:pPr>
        <w:spacing w:after="80"/>
      </w:pPr>
      <w:r>
        <w:rPr>
          <w:rFonts w:ascii="Calibri" w:hAnsi="Calibri"/>
          <w:color w:val="2D3748"/>
          <w:sz w:val="18"/>
        </w:rPr>
        <w:t>Rastrea desacoplamientos de velocidad entre partidas circulantes y resultados para prevenir Channel Stuffing, acumulación de inventario diferido y activación fraudulenta de costes en activos blandos.</w:t>
      </w:r>
    </w:p>
    <w:tbl>
      <w:tblPr>
        <w:tblW w:type="auto" w:w="0"/>
        <w:jc w:val="center"/>
        <w:tblLook w:firstColumn="1" w:firstRow="1" w:lastColumn="0" w:lastRow="0" w:noHBand="0" w:noVBand="1" w:val="04A0"/>
        <w:tblBorders>
          <w:top w:val="single" w:sz="6" w:space="0" w:color="D2D6DC"/>
          <w:left w:val="none"/>
          <w:bottom w:val="single" w:sz="10" w:space="0" w:color="1B365D"/>
          <w:right w:val="none"/>
          <w:insideH w:val="single" w:sz="4" w:space="0" w:color="D2D6DC"/>
          <w:insideV w:val="none"/>
        </w:tblBorders>
      </w:tblPr>
      <w:tblGrid>
        <w:gridCol w:w="2160"/>
        <w:gridCol w:w="1872"/>
        <w:gridCol w:w="1440"/>
        <w:gridCol w:w="1440"/>
        <w:gridCol w:w="2880"/>
      </w:tblGrid>
      <w:tr>
        <w:tc>
          <w:tcPr>
            <w:tcW w:type="dxa" w:w="2160"/>
            <w:shd w:fill="1B365D"/>
            <w:tcMar>
              <w:top w:w="80" w:type="dxa"/>
              <w:bottom w:w="80" w:type="dxa"/>
              <w:left w:w="80" w:type="dxa"/>
              <w:right w:w="80" w:type="dxa"/>
            </w:tcMar>
          </w:tcPr>
          <w:p>
            <w:pPr>
              <w:jc w:val="left"/>
            </w:pPr>
            <w:r>
              <w:rPr>
                <w:rFonts w:ascii="Calibri" w:hAnsi="Calibri"/>
                <w:b/>
                <w:color w:val="FFFFFF"/>
                <w:sz w:val="17"/>
              </w:rPr>
              <w:t>Vector de Alerta Temprana</w:t>
            </w:r>
          </w:p>
        </w:tc>
        <w:tc>
          <w:tcPr>
            <w:tcW w:type="dxa" w:w="1872"/>
            <w:shd w:fill="1B365D"/>
            <w:tcMar>
              <w:top w:w="80" w:type="dxa"/>
              <w:bottom w:w="80" w:type="dxa"/>
              <w:left w:w="80" w:type="dxa"/>
              <w:right w:w="80" w:type="dxa"/>
            </w:tcMar>
          </w:tcPr>
          <w:p>
            <w:pPr>
              <w:jc w:val="left"/>
            </w:pPr>
            <w:r>
              <w:rPr>
                <w:rFonts w:ascii="Calibri" w:hAnsi="Calibri"/>
                <w:b/>
                <w:color w:val="FFFFFF"/>
                <w:sz w:val="17"/>
              </w:rPr>
              <w:t>Métrica Auditada</w:t>
            </w:r>
          </w:p>
        </w:tc>
        <w:tc>
          <w:tcPr>
            <w:tcW w:type="dxa" w:w="1440"/>
            <w:shd w:fill="1B365D"/>
            <w:tcMar>
              <w:top w:w="80" w:type="dxa"/>
              <w:bottom w:w="80" w:type="dxa"/>
              <w:left w:w="80" w:type="dxa"/>
              <w:right w:w="80" w:type="dxa"/>
            </w:tcMar>
          </w:tcPr>
          <w:p>
            <w:pPr>
              <w:jc w:val="center"/>
            </w:pPr>
            <w:r>
              <w:rPr>
                <w:rFonts w:ascii="Calibri" w:hAnsi="Calibri"/>
                <w:b/>
                <w:color w:val="FFFFFF"/>
                <w:sz w:val="17"/>
              </w:rPr>
              <w:t>Spread LTM</w:t>
            </w:r>
          </w:p>
        </w:tc>
        <w:tc>
          <w:tcPr>
            <w:tcW w:type="dxa" w:w="1440"/>
            <w:shd w:fill="1B365D"/>
            <w:tcMar>
              <w:top w:w="80" w:type="dxa"/>
              <w:bottom w:w="80" w:type="dxa"/>
              <w:left w:w="80" w:type="dxa"/>
              <w:right w:w="80" w:type="dxa"/>
            </w:tcMar>
          </w:tcPr>
          <w:p>
            <w:pPr>
              <w:jc w:val="center"/>
            </w:pPr>
            <w:r>
              <w:rPr>
                <w:rFonts w:ascii="Calibri" w:hAnsi="Calibri"/>
                <w:b/>
                <w:color w:val="FFFFFF"/>
                <w:sz w:val="17"/>
              </w:rPr>
              <w:t>Rotación / Ciclo</w:t>
            </w:r>
          </w:p>
        </w:tc>
        <w:tc>
          <w:tcPr>
            <w:tcW w:type="dxa" w:w="2880"/>
            <w:shd w:fill="1B365D"/>
            <w:tcMar>
              <w:top w:w="80" w:type="dxa"/>
              <w:bottom w:w="80" w:type="dxa"/>
              <w:left w:w="80" w:type="dxa"/>
              <w:right w:w="80" w:type="dxa"/>
            </w:tcMar>
          </w:tcPr>
          <w:p>
            <w:pPr>
              <w:jc w:val="left"/>
            </w:pPr>
            <w:r>
              <w:rPr>
                <w:rFonts w:ascii="Calibri" w:hAnsi="Calibri"/>
                <w:b/>
                <w:color w:val="FFFFFF"/>
                <w:sz w:val="17"/>
              </w:rPr>
              <w:t>Diagnóstico Forense</w:t>
            </w:r>
          </w:p>
        </w:tc>
      </w:tr>
      <w:tr>
        <w:tc>
          <w:tcPr>
            <w:tcW w:type="dxa" w:w="2160"/>
            <w:tcMar>
              <w:top w:w="60" w:type="dxa"/>
              <w:bottom w:w="60" w:type="dxa"/>
              <w:left w:w="80" w:type="dxa"/>
              <w:right w:w="80" w:type="dxa"/>
            </w:tcMar>
          </w:tcPr>
          <w:p>
            <w:pPr>
              <w:jc w:val="left"/>
            </w:pPr>
            <w:r>
              <w:rPr>
                <w:rFonts w:ascii="Calibri" w:hAnsi="Calibri"/>
                <w:b/>
                <w:sz w:val="17"/>
              </w:rPr>
              <w:t>1. Clientes vs. Ventas (Channel Stuffing)</w:t>
            </w:r>
          </w:p>
        </w:tc>
        <w:tc>
          <w:tcPr>
            <w:tcW w:type="dxa" w:w="1872"/>
            <w:tcMar>
              <w:top w:w="60" w:type="dxa"/>
              <w:bottom w:w="60" w:type="dxa"/>
              <w:left w:w="80" w:type="dxa"/>
              <w:right w:w="80" w:type="dxa"/>
            </w:tcMar>
          </w:tcPr>
          <w:p>
            <w:pPr>
              <w:jc w:val="left"/>
            </w:pPr>
            <w:r>
              <w:rPr>
                <w:rFonts w:ascii="Calibri" w:hAnsi="Calibri"/>
                <w:sz w:val="17"/>
              </w:rPr>
              <w:t>Crecimiento AR vs. Ventas</w:t>
            </w:r>
          </w:p>
        </w:tc>
        <w:tc>
          <w:tcPr>
            <w:tcW w:type="dxa" w:w="1440"/>
            <w:tcMar>
              <w:top w:w="60" w:type="dxa"/>
              <w:bottom w:w="60" w:type="dxa"/>
              <w:left w:w="80" w:type="dxa"/>
              <w:right w:w="80" w:type="dxa"/>
            </w:tcMar>
          </w:tcPr>
          <w:p>
            <w:pPr>
              <w:jc w:val="center"/>
            </w:pPr>
            <w:r>
              <w:rPr>
                <w:rFonts w:ascii="Calibri" w:hAnsi="Calibri"/>
                <w:sz w:val="17"/>
              </w:rPr>
              <w:t>+0.0%</w:t>
            </w:r>
          </w:p>
        </w:tc>
        <w:tc>
          <w:tcPr>
            <w:tcW w:type="dxa" w:w="1440"/>
            <w:tcMar>
              <w:top w:w="60" w:type="dxa"/>
              <w:bottom w:w="60" w:type="dxa"/>
              <w:left w:w="80" w:type="dxa"/>
              <w:right w:w="80" w:type="dxa"/>
            </w:tcMar>
          </w:tcPr>
          <w:p>
            <w:pPr>
              <w:jc w:val="center"/>
            </w:pPr>
            <w:r>
              <w:rPr>
                <w:rFonts w:ascii="Calibri" w:hAnsi="Calibri"/>
                <w:sz w:val="17"/>
              </w:rPr>
              <w:t>DSO: 0.0d (+0.0d)</w:t>
            </w:r>
          </w:p>
        </w:tc>
        <w:tc>
          <w:tcPr>
            <w:tcW w:type="dxa" w:w="2880"/>
            <w:tcMar>
              <w:top w:w="60" w:type="dxa"/>
              <w:bottom w:w="60" w:type="dxa"/>
              <w:left w:w="80" w:type="dxa"/>
              <w:right w:w="80" w:type="dxa"/>
            </w:tcMar>
          </w:tcPr>
          <w:p>
            <w:pPr>
              <w:jc w:val="center"/>
            </w:pPr>
            <w:r>
              <w:rPr>
                <w:rFonts w:ascii="Calibri" w:hAnsi="Calibri"/>
                <w:b/>
                <w:color w:val="276A3C"/>
                <w:sz w:val="17"/>
              </w:rPr>
              <w:t>COBRANZA DISCIPLINADA (OK)</w:t>
            </w:r>
          </w:p>
        </w:tc>
      </w:tr>
      <w:tr>
        <w:tc>
          <w:tcPr>
            <w:tcW w:type="dxa" w:w="2160"/>
            <w:tcMar>
              <w:top w:w="60" w:type="dxa"/>
              <w:bottom w:w="60" w:type="dxa"/>
              <w:left w:w="80" w:type="dxa"/>
              <w:right w:w="80" w:type="dxa"/>
            </w:tcMar>
          </w:tcPr>
          <w:p>
            <w:pPr>
              <w:jc w:val="left"/>
            </w:pPr>
            <w:r>
              <w:rPr>
                <w:rFonts w:ascii="Calibri" w:hAnsi="Calibri"/>
                <w:b/>
                <w:sz w:val="17"/>
              </w:rPr>
              <w:t>2. Inventarios vs. Coste Ventas (COGS)</w:t>
            </w:r>
          </w:p>
        </w:tc>
        <w:tc>
          <w:tcPr>
            <w:tcW w:type="dxa" w:w="1872"/>
            <w:tcMar>
              <w:top w:w="60" w:type="dxa"/>
              <w:bottom w:w="60" w:type="dxa"/>
              <w:left w:w="80" w:type="dxa"/>
              <w:right w:w="80" w:type="dxa"/>
            </w:tcMar>
          </w:tcPr>
          <w:p>
            <w:pPr>
              <w:jc w:val="left"/>
            </w:pPr>
            <w:r>
              <w:rPr>
                <w:rFonts w:ascii="Calibri" w:hAnsi="Calibri"/>
                <w:sz w:val="17"/>
              </w:rPr>
              <w:t>Crecimiento Inv vs. COGS</w:t>
            </w:r>
          </w:p>
        </w:tc>
        <w:tc>
          <w:tcPr>
            <w:tcW w:type="dxa" w:w="1440"/>
            <w:tcMar>
              <w:top w:w="60" w:type="dxa"/>
              <w:bottom w:w="60" w:type="dxa"/>
              <w:left w:w="80" w:type="dxa"/>
              <w:right w:w="80" w:type="dxa"/>
            </w:tcMar>
          </w:tcPr>
          <w:p>
            <w:pPr>
              <w:jc w:val="center"/>
            </w:pPr>
            <w:r>
              <w:rPr>
                <w:rFonts w:ascii="Calibri" w:hAnsi="Calibri"/>
                <w:sz w:val="17"/>
              </w:rPr>
              <w:t>+0.0%</w:t>
            </w:r>
          </w:p>
        </w:tc>
        <w:tc>
          <w:tcPr>
            <w:tcW w:type="dxa" w:w="1440"/>
            <w:tcMar>
              <w:top w:w="60" w:type="dxa"/>
              <w:bottom w:w="60" w:type="dxa"/>
              <w:left w:w="80" w:type="dxa"/>
              <w:right w:w="80" w:type="dxa"/>
            </w:tcMar>
          </w:tcPr>
          <w:p>
            <w:pPr>
              <w:jc w:val="center"/>
            </w:pPr>
            <w:r>
              <w:rPr>
                <w:rFonts w:ascii="Calibri" w:hAnsi="Calibri"/>
                <w:sz w:val="17"/>
              </w:rPr>
              <w:t>DIO: 0.0d (+0.0d)</w:t>
            </w:r>
          </w:p>
        </w:tc>
        <w:tc>
          <w:tcPr>
            <w:tcW w:type="dxa" w:w="2880"/>
            <w:tcMar>
              <w:top w:w="60" w:type="dxa"/>
              <w:bottom w:w="60" w:type="dxa"/>
              <w:left w:w="80" w:type="dxa"/>
              <w:right w:w="80" w:type="dxa"/>
            </w:tcMar>
          </w:tcPr>
          <w:p>
            <w:pPr>
              <w:jc w:val="center"/>
            </w:pPr>
            <w:r>
              <w:rPr>
                <w:rFonts w:ascii="Calibri" w:hAnsi="Calibri"/>
                <w:b/>
                <w:color w:val="C00000"/>
                <w:sz w:val="17"/>
              </w:rPr>
              <w:t>ALERTA PREVENTIVA (RAMP-UP)</w:t>
            </w:r>
          </w:p>
        </w:tc>
      </w:tr>
      <w:tr>
        <w:tc>
          <w:tcPr>
            <w:tcW w:type="dxa" w:w="2160"/>
            <w:tcMar>
              <w:top w:w="60" w:type="dxa"/>
              <w:bottom w:w="60" w:type="dxa"/>
              <w:left w:w="80" w:type="dxa"/>
              <w:right w:w="80" w:type="dxa"/>
            </w:tcMar>
          </w:tcPr>
          <w:p>
            <w:pPr>
              <w:jc w:val="left"/>
            </w:pPr>
            <w:r>
              <w:rPr>
                <w:rFonts w:ascii="Calibri" w:hAnsi="Calibri"/>
                <w:b/>
                <w:sz w:val="17"/>
              </w:rPr>
              <w:t>3. Índice de Activos Blandos</w:t>
            </w:r>
          </w:p>
        </w:tc>
        <w:tc>
          <w:tcPr>
            <w:tcW w:type="dxa" w:w="1872"/>
            <w:tcMar>
              <w:top w:w="60" w:type="dxa"/>
              <w:bottom w:w="60" w:type="dxa"/>
              <w:left w:w="80" w:type="dxa"/>
              <w:right w:w="80" w:type="dxa"/>
            </w:tcMar>
          </w:tcPr>
          <w:p>
            <w:pPr>
              <w:jc w:val="left"/>
            </w:pPr>
            <w:r>
              <w:rPr>
                <w:rFonts w:ascii="Calibri" w:hAnsi="Calibri"/>
                <w:sz w:val="17"/>
              </w:rPr>
              <w:t>Partidas No Físicas / Activos</w:t>
            </w:r>
          </w:p>
        </w:tc>
        <w:tc>
          <w:tcPr>
            <w:tcW w:type="dxa" w:w="1440"/>
            <w:tcMar>
              <w:top w:w="60" w:type="dxa"/>
              <w:bottom w:w="60" w:type="dxa"/>
              <w:left w:w="80" w:type="dxa"/>
              <w:right w:w="80" w:type="dxa"/>
            </w:tcMar>
          </w:tcPr>
          <w:p>
            <w:pPr>
              <w:jc w:val="center"/>
            </w:pPr>
            <w:r>
              <w:rPr>
                <w:rFonts w:ascii="Calibri" w:hAnsi="Calibri"/>
                <w:sz w:val="17"/>
              </w:rPr>
              <w:t>72.5%</w:t>
            </w:r>
          </w:p>
        </w:tc>
        <w:tc>
          <w:tcPr>
            <w:tcW w:type="dxa" w:w="1440"/>
            <w:tcMar>
              <w:top w:w="60" w:type="dxa"/>
              <w:bottom w:w="60" w:type="dxa"/>
              <w:left w:w="80" w:type="dxa"/>
              <w:right w:w="80" w:type="dxa"/>
            </w:tcMar>
          </w:tcPr>
          <w:p>
            <w:pPr>
              <w:jc w:val="center"/>
            </w:pPr>
            <w:r>
              <w:rPr>
                <w:rFonts w:ascii="Calibri" w:hAnsi="Calibri"/>
                <w:sz w:val="17"/>
              </w:rPr>
              <w:t>Δ: +5.3 pp</w:t>
            </w:r>
          </w:p>
        </w:tc>
        <w:tc>
          <w:tcPr>
            <w:tcW w:type="dxa" w:w="2880"/>
            <w:tcMar>
              <w:top w:w="60" w:type="dxa"/>
              <w:bottom w:w="60" w:type="dxa"/>
              <w:left w:w="80" w:type="dxa"/>
              <w:right w:w="80" w:type="dxa"/>
            </w:tcMar>
          </w:tcPr>
          <w:p>
            <w:pPr>
              <w:jc w:val="center"/>
            </w:pPr>
            <w:r>
              <w:rPr>
                <w:rFonts w:ascii="Calibri" w:hAnsi="Calibri"/>
                <w:b/>
                <w:color w:val="276A3C"/>
                <w:sz w:val="17"/>
              </w:rPr>
              <w:t>BALANCE SÓLIDO (OK)</w:t>
            </w:r>
          </w:p>
        </w:tc>
      </w:tr>
    </w:tbl>
    <w:p>
      <w:pPr>
        <w:spacing w:before="80" w:after="160"/>
      </w:pPr>
      <w:r>
        <w:rPr>
          <w:rFonts w:ascii="Calibri" w:hAnsi="Calibri"/>
          <w:i/>
          <w:color w:val="2D3748"/>
          <w:sz w:val="17"/>
        </w:rPr>
        <w:t>Nota Forense sobre Inventario (Nu Holdings Ltd.): Entidad del arquetipo 'FINANCIAL_BANKING': no mantiene inventario de existencias ni coste de ventas (COGS).</w:t>
      </w:r>
    </w:p>
    <w:p>
      <w:pPr>
        <w:pStyle w:val="Heading2"/>
      </w:pPr>
      <w:r>
        <w:rPr>
          <w:rFonts w:ascii="Calibri" w:hAnsi="Calibri"/>
          <w:b/>
          <w:color w:val="1B365D"/>
          <w:sz w:val="23"/>
        </w:rPr>
        <w:t>12.3. Desglose Forense Montier C-Score (NO APLICABLE)</w:t>
      </w:r>
    </w:p>
    <w:p>
      <w:pPr>
        <w:spacing w:after="80"/>
      </w:pPr>
      <w:r>
        <w:rPr>
          <w:rFonts w:ascii="Calibri" w:hAnsi="Calibri"/>
          <w:color w:val="2D3748"/>
          <w:sz w:val="18"/>
        </w:rPr>
        <w:t>James Montier (Société Générale / GMO, 2008) desarrolló este sistema de 6 banderas para detectar manipulación deliberada. Puntajes de 0 a 1 reflejan menos de 5% de probabilidad de fraude contable, mientras que firmas con &gt;= 4 banderas colapsan en bolsa.</w:t>
      </w:r>
    </w:p>
    <w:tbl>
      <w:tblPr>
        <w:tblW w:type="auto" w:w="0"/>
        <w:jc w:val="center"/>
        <w:tblLook w:firstColumn="1" w:firstRow="1" w:lastColumn="0" w:lastRow="0" w:noHBand="0" w:noVBand="1" w:val="04A0"/>
        <w:tblBorders>
          <w:top w:val="single" w:sz="6" w:space="0" w:color="D2D6DC"/>
          <w:left w:val="none"/>
          <w:bottom w:val="single" w:sz="10" w:space="0" w:color="1B365D"/>
          <w:right w:val="none"/>
          <w:insideH w:val="single" w:sz="4" w:space="0" w:color="D2D6DC"/>
          <w:insideV w:val="none"/>
        </w:tblBorders>
      </w:tblPr>
      <w:tblGrid>
        <w:gridCol w:w="2160"/>
        <w:gridCol w:w="2016"/>
        <w:gridCol w:w="1872"/>
        <w:gridCol w:w="1152"/>
        <w:gridCol w:w="2592"/>
      </w:tblGrid>
      <w:tr>
        <w:tc>
          <w:tcPr>
            <w:tcW w:type="dxa" w:w="2160"/>
            <w:shd w:fill="1B365D"/>
            <w:tcMar>
              <w:top w:w="80" w:type="dxa"/>
              <w:bottom w:w="80" w:type="dxa"/>
              <w:left w:w="80" w:type="dxa"/>
              <w:right w:w="80" w:type="dxa"/>
            </w:tcMar>
          </w:tcPr>
          <w:p>
            <w:pPr>
              <w:jc w:val="left"/>
            </w:pPr>
            <w:r>
              <w:rPr>
                <w:rFonts w:ascii="Calibri" w:hAnsi="Calibri"/>
                <w:b/>
                <w:color w:val="FFFFFF"/>
                <w:sz w:val="17"/>
              </w:rPr>
              <w:t>Bandera de Manipulación (C-Score)</w:t>
            </w:r>
          </w:p>
        </w:tc>
        <w:tc>
          <w:tcPr>
            <w:tcW w:type="dxa" w:w="2016"/>
            <w:shd w:fill="1B365D"/>
            <w:tcMar>
              <w:top w:w="80" w:type="dxa"/>
              <w:bottom w:w="80" w:type="dxa"/>
              <w:left w:w="80" w:type="dxa"/>
              <w:right w:w="80" w:type="dxa"/>
            </w:tcMar>
          </w:tcPr>
          <w:p>
            <w:pPr>
              <w:jc w:val="left"/>
            </w:pPr>
            <w:r>
              <w:rPr>
                <w:rFonts w:ascii="Calibri" w:hAnsi="Calibri"/>
                <w:b/>
                <w:color w:val="FFFFFF"/>
                <w:sz w:val="17"/>
              </w:rPr>
              <w:t>Condición de Alerta</w:t>
            </w:r>
          </w:p>
        </w:tc>
        <w:tc>
          <w:tcPr>
            <w:tcW w:type="dxa" w:w="1872"/>
            <w:shd w:fill="1B365D"/>
            <w:tcMar>
              <w:top w:w="80" w:type="dxa"/>
              <w:bottom w:w="80" w:type="dxa"/>
              <w:left w:w="80" w:type="dxa"/>
              <w:right w:w="80" w:type="dxa"/>
            </w:tcMar>
          </w:tcPr>
          <w:p>
            <w:pPr>
              <w:jc w:val="left"/>
            </w:pPr>
            <w:r>
              <w:rPr>
                <w:rFonts w:ascii="Calibri" w:hAnsi="Calibri"/>
                <w:b/>
                <w:color w:val="FFFFFF"/>
                <w:sz w:val="17"/>
              </w:rPr>
              <w:t>Valor Auditado (LTM)</w:t>
            </w:r>
          </w:p>
        </w:tc>
        <w:tc>
          <w:tcPr>
            <w:tcW w:type="dxa" w:w="1152"/>
            <w:shd w:fill="1B365D"/>
            <w:tcMar>
              <w:top w:w="80" w:type="dxa"/>
              <w:bottom w:w="80" w:type="dxa"/>
              <w:left w:w="80" w:type="dxa"/>
              <w:right w:w="80" w:type="dxa"/>
            </w:tcMar>
          </w:tcPr>
          <w:p>
            <w:pPr>
              <w:jc w:val="center"/>
            </w:pPr>
            <w:r>
              <w:rPr>
                <w:rFonts w:ascii="Calibri" w:hAnsi="Calibri"/>
                <w:b/>
                <w:color w:val="FFFFFF"/>
                <w:sz w:val="17"/>
              </w:rPr>
              <w:t>Estado</w:t>
            </w:r>
          </w:p>
        </w:tc>
        <w:tc>
          <w:tcPr>
            <w:tcW w:type="dxa" w:w="2592"/>
            <w:shd w:fill="1B365D"/>
            <w:tcMar>
              <w:top w:w="80" w:type="dxa"/>
              <w:bottom w:w="80" w:type="dxa"/>
              <w:left w:w="80" w:type="dxa"/>
              <w:right w:w="80" w:type="dxa"/>
            </w:tcMar>
          </w:tcPr>
          <w:p>
            <w:pPr>
              <w:jc w:val="left"/>
            </w:pPr>
            <w:r>
              <w:rPr>
                <w:rFonts w:ascii="Calibri" w:hAnsi="Calibri"/>
                <w:b/>
                <w:color w:val="FFFFFF"/>
                <w:sz w:val="17"/>
              </w:rPr>
              <w:t>Trampa Contable que Previene</w:t>
            </w:r>
          </w:p>
        </w:tc>
      </w:tr>
      <w:tr>
        <w:tc>
          <w:tcPr>
            <w:tcW w:type="dxa" w:w="2160"/>
            <w:tcMar>
              <w:top w:w="60" w:type="dxa"/>
              <w:bottom w:w="60" w:type="dxa"/>
              <w:left w:w="80" w:type="dxa"/>
              <w:right w:w="80" w:type="dxa"/>
            </w:tcMar>
          </w:tcPr>
          <w:p>
            <w:pPr>
              <w:jc w:val="left"/>
            </w:pPr>
            <w:r>
              <w:rPr>
                <w:rFonts w:ascii="Calibri" w:hAnsi="Calibri"/>
                <w:sz w:val="16"/>
              </w:rPr>
              <w:t>1. Divergencia Beneficio vs. Flujo de Caja</w:t>
            </w:r>
          </w:p>
        </w:tc>
        <w:tc>
          <w:tcPr>
            <w:tcW w:type="dxa" w:w="2016"/>
            <w:tcMar>
              <w:top w:w="60" w:type="dxa"/>
              <w:bottom w:w="60" w:type="dxa"/>
              <w:left w:w="80" w:type="dxa"/>
              <w:right w:w="80" w:type="dxa"/>
            </w:tcMar>
          </w:tcPr>
          <w:p>
            <w:pPr>
              <w:jc w:val="left"/>
            </w:pPr>
            <w:r>
              <w:rPr>
                <w:rFonts w:ascii="Calibri" w:hAnsi="Calibri"/>
                <w:sz w:val="16"/>
              </w:rPr>
              <w:t>NI &gt; CFO</w:t>
            </w:r>
          </w:p>
        </w:tc>
        <w:tc>
          <w:tcPr>
            <w:tcW w:type="dxa" w:w="1872"/>
            <w:tcMar>
              <w:top w:w="60" w:type="dxa"/>
              <w:bottom w:w="60" w:type="dxa"/>
              <w:left w:w="80" w:type="dxa"/>
              <w:right w:w="80" w:type="dxa"/>
            </w:tcMar>
          </w:tcPr>
          <w:p>
            <w:pPr>
              <w:jc w:val="left"/>
            </w:pPr>
            <w:r>
              <w:rPr>
                <w:rFonts w:ascii="Calibri" w:hAnsi="Calibri"/>
                <w:sz w:val="16"/>
              </w:rPr>
              <w:t>N/A</w:t>
            </w:r>
          </w:p>
        </w:tc>
        <w:tc>
          <w:tcPr>
            <w:tcW w:type="dxa" w:w="1152"/>
            <w:tcMar>
              <w:top w:w="60" w:type="dxa"/>
              <w:bottom w:w="60" w:type="dxa"/>
              <w:left w:w="80" w:type="dxa"/>
              <w:right w:w="80" w:type="dxa"/>
            </w:tcMar>
          </w:tcPr>
          <w:p>
            <w:pPr>
              <w:jc w:val="center"/>
            </w:pPr>
            <w:r>
              <w:rPr>
                <w:rFonts w:ascii="Calibri" w:hAnsi="Calibri"/>
                <w:b/>
                <w:color w:val="2D3748"/>
                <w:sz w:val="16"/>
              </w:rPr>
              <w:t>➖ N/A</w:t>
            </w:r>
          </w:p>
        </w:tc>
        <w:tc>
          <w:tcPr>
            <w:tcW w:type="dxa" w:w="2592"/>
            <w:tcMar>
              <w:top w:w="60" w:type="dxa"/>
              <w:bottom w:w="60" w:type="dxa"/>
              <w:left w:w="80" w:type="dxa"/>
              <w:right w:w="80" w:type="dxa"/>
            </w:tcMar>
          </w:tcPr>
          <w:p>
            <w:pPr>
              <w:jc w:val="left"/>
            </w:pPr>
            <w:r>
              <w:rPr>
                <w:rFonts w:ascii="Calibri" w:hAnsi="Calibri"/>
                <w:sz w:val="16"/>
              </w:rPr>
              <w:t>No aplicable a intermediación financiera.</w:t>
            </w:r>
          </w:p>
        </w:tc>
      </w:tr>
      <w:tr>
        <w:tc>
          <w:tcPr>
            <w:tcW w:type="dxa" w:w="2160"/>
            <w:tcMar>
              <w:top w:w="60" w:type="dxa"/>
              <w:bottom w:w="60" w:type="dxa"/>
              <w:left w:w="80" w:type="dxa"/>
              <w:right w:w="80" w:type="dxa"/>
            </w:tcMar>
          </w:tcPr>
          <w:p>
            <w:pPr>
              <w:jc w:val="left"/>
            </w:pPr>
            <w:r>
              <w:rPr>
                <w:rFonts w:ascii="Calibri" w:hAnsi="Calibri"/>
                <w:sz w:val="16"/>
              </w:rPr>
              <w:t>2. Cuentas por Cobrar vs. Ventas (DSO)</w:t>
            </w:r>
          </w:p>
        </w:tc>
        <w:tc>
          <w:tcPr>
            <w:tcW w:type="dxa" w:w="2016"/>
            <w:tcMar>
              <w:top w:w="60" w:type="dxa"/>
              <w:bottom w:w="60" w:type="dxa"/>
              <w:left w:w="80" w:type="dxa"/>
              <w:right w:w="80" w:type="dxa"/>
            </w:tcMar>
          </w:tcPr>
          <w:p>
            <w:pPr>
              <w:jc w:val="left"/>
            </w:pPr>
            <w:r>
              <w:rPr>
                <w:rFonts w:ascii="Calibri" w:hAnsi="Calibri"/>
                <w:sz w:val="16"/>
              </w:rPr>
              <w:t>Δ DSO &gt; 0 (o %Δ AR &gt; %Δ Ventas)</w:t>
            </w:r>
          </w:p>
        </w:tc>
        <w:tc>
          <w:tcPr>
            <w:tcW w:type="dxa" w:w="1872"/>
            <w:tcMar>
              <w:top w:w="60" w:type="dxa"/>
              <w:bottom w:w="60" w:type="dxa"/>
              <w:left w:w="80" w:type="dxa"/>
              <w:right w:w="80" w:type="dxa"/>
            </w:tcMar>
          </w:tcPr>
          <w:p>
            <w:pPr>
              <w:jc w:val="left"/>
            </w:pPr>
            <w:r>
              <w:rPr>
                <w:rFonts w:ascii="Calibri" w:hAnsi="Calibri"/>
                <w:sz w:val="16"/>
              </w:rPr>
              <w:t>N/A</w:t>
            </w:r>
          </w:p>
        </w:tc>
        <w:tc>
          <w:tcPr>
            <w:tcW w:type="dxa" w:w="1152"/>
            <w:tcMar>
              <w:top w:w="60" w:type="dxa"/>
              <w:bottom w:w="60" w:type="dxa"/>
              <w:left w:w="80" w:type="dxa"/>
              <w:right w:w="80" w:type="dxa"/>
            </w:tcMar>
          </w:tcPr>
          <w:p>
            <w:pPr>
              <w:jc w:val="center"/>
            </w:pPr>
            <w:r>
              <w:rPr>
                <w:rFonts w:ascii="Calibri" w:hAnsi="Calibri"/>
                <w:b/>
                <w:color w:val="2D3748"/>
                <w:sz w:val="16"/>
              </w:rPr>
              <w:t>➖ N/A</w:t>
            </w:r>
          </w:p>
        </w:tc>
        <w:tc>
          <w:tcPr>
            <w:tcW w:type="dxa" w:w="2592"/>
            <w:tcMar>
              <w:top w:w="60" w:type="dxa"/>
              <w:bottom w:w="60" w:type="dxa"/>
              <w:left w:w="80" w:type="dxa"/>
              <w:right w:w="80" w:type="dxa"/>
            </w:tcMar>
          </w:tcPr>
          <w:p>
            <w:pPr>
              <w:jc w:val="left"/>
            </w:pPr>
            <w:r>
              <w:rPr>
                <w:rFonts w:ascii="Calibri" w:hAnsi="Calibri"/>
                <w:sz w:val="16"/>
              </w:rPr>
              <w:t>Entidades financieras no operan con cuentas comerciales a cobrar.</w:t>
            </w:r>
          </w:p>
        </w:tc>
      </w:tr>
      <w:tr>
        <w:tc>
          <w:tcPr>
            <w:tcW w:type="dxa" w:w="2160"/>
            <w:tcMar>
              <w:top w:w="60" w:type="dxa"/>
              <w:bottom w:w="60" w:type="dxa"/>
              <w:left w:w="80" w:type="dxa"/>
              <w:right w:w="80" w:type="dxa"/>
            </w:tcMar>
          </w:tcPr>
          <w:p>
            <w:pPr>
              <w:jc w:val="left"/>
            </w:pPr>
            <w:r>
              <w:rPr>
                <w:rFonts w:ascii="Calibri" w:hAnsi="Calibri"/>
                <w:sz w:val="16"/>
              </w:rPr>
              <w:t>3. Inventarios vs. Coste de Ventas (DIO)</w:t>
            </w:r>
          </w:p>
        </w:tc>
        <w:tc>
          <w:tcPr>
            <w:tcW w:type="dxa" w:w="2016"/>
            <w:tcMar>
              <w:top w:w="60" w:type="dxa"/>
              <w:bottom w:w="60" w:type="dxa"/>
              <w:left w:w="80" w:type="dxa"/>
              <w:right w:w="80" w:type="dxa"/>
            </w:tcMar>
          </w:tcPr>
          <w:p>
            <w:pPr>
              <w:jc w:val="left"/>
            </w:pPr>
            <w:r>
              <w:rPr>
                <w:rFonts w:ascii="Calibri" w:hAnsi="Calibri"/>
                <w:sz w:val="16"/>
              </w:rPr>
              <w:t>Δ DIO &gt; 0 (o %Δ Inv &gt; %Δ COGS)</w:t>
            </w:r>
          </w:p>
        </w:tc>
        <w:tc>
          <w:tcPr>
            <w:tcW w:type="dxa" w:w="1872"/>
            <w:tcMar>
              <w:top w:w="60" w:type="dxa"/>
              <w:bottom w:w="60" w:type="dxa"/>
              <w:left w:w="80" w:type="dxa"/>
              <w:right w:w="80" w:type="dxa"/>
            </w:tcMar>
          </w:tcPr>
          <w:p>
            <w:pPr>
              <w:jc w:val="left"/>
            </w:pPr>
            <w:r>
              <w:rPr>
                <w:rFonts w:ascii="Calibri" w:hAnsi="Calibri"/>
                <w:sz w:val="16"/>
              </w:rPr>
              <w:t>N/A</w:t>
            </w:r>
          </w:p>
        </w:tc>
        <w:tc>
          <w:tcPr>
            <w:tcW w:type="dxa" w:w="1152"/>
            <w:tcMar>
              <w:top w:w="60" w:type="dxa"/>
              <w:bottom w:w="60" w:type="dxa"/>
              <w:left w:w="80" w:type="dxa"/>
              <w:right w:w="80" w:type="dxa"/>
            </w:tcMar>
          </w:tcPr>
          <w:p>
            <w:pPr>
              <w:jc w:val="center"/>
            </w:pPr>
            <w:r>
              <w:rPr>
                <w:rFonts w:ascii="Calibri" w:hAnsi="Calibri"/>
                <w:b/>
                <w:color w:val="2D3748"/>
                <w:sz w:val="16"/>
              </w:rPr>
              <w:t>➖ N/A</w:t>
            </w:r>
          </w:p>
        </w:tc>
        <w:tc>
          <w:tcPr>
            <w:tcW w:type="dxa" w:w="2592"/>
            <w:tcMar>
              <w:top w:w="60" w:type="dxa"/>
              <w:bottom w:w="60" w:type="dxa"/>
              <w:left w:w="80" w:type="dxa"/>
              <w:right w:w="80" w:type="dxa"/>
            </w:tcMar>
          </w:tcPr>
          <w:p>
            <w:pPr>
              <w:jc w:val="left"/>
            </w:pPr>
            <w:r>
              <w:rPr>
                <w:rFonts w:ascii="Calibri" w:hAnsi="Calibri"/>
                <w:sz w:val="16"/>
              </w:rPr>
              <w:t>Entidades financieras no mantienen existencias de mercancía ni COGS.</w:t>
            </w:r>
          </w:p>
        </w:tc>
      </w:tr>
      <w:tr>
        <w:tc>
          <w:tcPr>
            <w:tcW w:type="dxa" w:w="2160"/>
            <w:tcMar>
              <w:top w:w="60" w:type="dxa"/>
              <w:bottom w:w="60" w:type="dxa"/>
              <w:left w:w="80" w:type="dxa"/>
              <w:right w:w="80" w:type="dxa"/>
            </w:tcMar>
          </w:tcPr>
          <w:p>
            <w:pPr>
              <w:jc w:val="left"/>
            </w:pPr>
            <w:r>
              <w:rPr>
                <w:rFonts w:ascii="Calibri" w:hAnsi="Calibri"/>
                <w:sz w:val="16"/>
              </w:rPr>
              <w:t>4. Otros Activos Corrientes vs. Ventas</w:t>
            </w:r>
          </w:p>
        </w:tc>
        <w:tc>
          <w:tcPr>
            <w:tcW w:type="dxa" w:w="2016"/>
            <w:tcMar>
              <w:top w:w="60" w:type="dxa"/>
              <w:bottom w:w="60" w:type="dxa"/>
              <w:left w:w="80" w:type="dxa"/>
              <w:right w:w="80" w:type="dxa"/>
            </w:tcMar>
          </w:tcPr>
          <w:p>
            <w:pPr>
              <w:jc w:val="left"/>
            </w:pPr>
            <w:r>
              <w:rPr>
                <w:rFonts w:ascii="Calibri" w:hAnsi="Calibri"/>
                <w:sz w:val="16"/>
              </w:rPr>
              <w:t>Ratio Otros Act. Ctes/Ventas_t &gt; Ratio Otros Act. Ctes/Ventas_t-1</w:t>
            </w:r>
          </w:p>
        </w:tc>
        <w:tc>
          <w:tcPr>
            <w:tcW w:type="dxa" w:w="1872"/>
            <w:tcMar>
              <w:top w:w="60" w:type="dxa"/>
              <w:bottom w:w="60" w:type="dxa"/>
              <w:left w:w="80" w:type="dxa"/>
              <w:right w:w="80" w:type="dxa"/>
            </w:tcMar>
          </w:tcPr>
          <w:p>
            <w:pPr>
              <w:jc w:val="left"/>
            </w:pPr>
            <w:r>
              <w:rPr>
                <w:rFonts w:ascii="Calibri" w:hAnsi="Calibri"/>
                <w:sz w:val="16"/>
              </w:rPr>
              <w:t>N/A</w:t>
            </w:r>
          </w:p>
        </w:tc>
        <w:tc>
          <w:tcPr>
            <w:tcW w:type="dxa" w:w="1152"/>
            <w:tcMar>
              <w:top w:w="60" w:type="dxa"/>
              <w:bottom w:w="60" w:type="dxa"/>
              <w:left w:w="80" w:type="dxa"/>
              <w:right w:w="80" w:type="dxa"/>
            </w:tcMar>
          </w:tcPr>
          <w:p>
            <w:pPr>
              <w:jc w:val="center"/>
            </w:pPr>
            <w:r>
              <w:rPr>
                <w:rFonts w:ascii="Calibri" w:hAnsi="Calibri"/>
                <w:b/>
                <w:color w:val="2D3748"/>
                <w:sz w:val="16"/>
              </w:rPr>
              <w:t>➖ N/A</w:t>
            </w:r>
          </w:p>
        </w:tc>
        <w:tc>
          <w:tcPr>
            <w:tcW w:type="dxa" w:w="2592"/>
            <w:tcMar>
              <w:top w:w="60" w:type="dxa"/>
              <w:bottom w:w="60" w:type="dxa"/>
              <w:left w:w="80" w:type="dxa"/>
              <w:right w:w="80" w:type="dxa"/>
            </w:tcMar>
          </w:tcPr>
          <w:p>
            <w:pPr>
              <w:jc w:val="left"/>
            </w:pPr>
            <w:r>
              <w:rPr>
                <w:rFonts w:ascii="Calibri" w:hAnsi="Calibri"/>
                <w:sz w:val="16"/>
              </w:rPr>
              <w:t>Estructura de balance sin clasificación corriente/no corriente.</w:t>
            </w:r>
          </w:p>
        </w:tc>
      </w:tr>
      <w:tr>
        <w:tc>
          <w:tcPr>
            <w:tcW w:type="dxa" w:w="2160"/>
            <w:tcMar>
              <w:top w:w="60" w:type="dxa"/>
              <w:bottom w:w="60" w:type="dxa"/>
              <w:left w:w="80" w:type="dxa"/>
              <w:right w:w="80" w:type="dxa"/>
            </w:tcMar>
          </w:tcPr>
          <w:p>
            <w:pPr>
              <w:jc w:val="left"/>
            </w:pPr>
            <w:r>
              <w:rPr>
                <w:rFonts w:ascii="Calibri" w:hAnsi="Calibri"/>
                <w:sz w:val="16"/>
              </w:rPr>
              <w:t>5. Reducción de la Tasa de Depreciación</w:t>
            </w:r>
          </w:p>
        </w:tc>
        <w:tc>
          <w:tcPr>
            <w:tcW w:type="dxa" w:w="2016"/>
            <w:tcMar>
              <w:top w:w="60" w:type="dxa"/>
              <w:bottom w:w="60" w:type="dxa"/>
              <w:left w:w="80" w:type="dxa"/>
              <w:right w:w="80" w:type="dxa"/>
            </w:tcMar>
          </w:tcPr>
          <w:p>
            <w:pPr>
              <w:jc w:val="left"/>
            </w:pPr>
            <w:r>
              <w:rPr>
                <w:rFonts w:ascii="Calibri" w:hAnsi="Calibri"/>
                <w:sz w:val="16"/>
              </w:rPr>
              <w:t>Tasa Depreciación_t &lt; Tasa Depreciación_t-1</w:t>
            </w:r>
          </w:p>
        </w:tc>
        <w:tc>
          <w:tcPr>
            <w:tcW w:type="dxa" w:w="1872"/>
            <w:tcMar>
              <w:top w:w="60" w:type="dxa"/>
              <w:bottom w:w="60" w:type="dxa"/>
              <w:left w:w="80" w:type="dxa"/>
              <w:right w:w="80" w:type="dxa"/>
            </w:tcMar>
          </w:tcPr>
          <w:p>
            <w:pPr>
              <w:jc w:val="left"/>
            </w:pPr>
            <w:r>
              <w:rPr>
                <w:rFonts w:ascii="Calibri" w:hAnsi="Calibri"/>
                <w:sz w:val="16"/>
              </w:rPr>
              <w:t>N/A</w:t>
            </w:r>
          </w:p>
        </w:tc>
        <w:tc>
          <w:tcPr>
            <w:tcW w:type="dxa" w:w="1152"/>
            <w:tcMar>
              <w:top w:w="60" w:type="dxa"/>
              <w:bottom w:w="60" w:type="dxa"/>
              <w:left w:w="80" w:type="dxa"/>
              <w:right w:w="80" w:type="dxa"/>
            </w:tcMar>
          </w:tcPr>
          <w:p>
            <w:pPr>
              <w:jc w:val="center"/>
            </w:pPr>
            <w:r>
              <w:rPr>
                <w:rFonts w:ascii="Calibri" w:hAnsi="Calibri"/>
                <w:b/>
                <w:color w:val="2D3748"/>
                <w:sz w:val="16"/>
              </w:rPr>
              <w:t>➖ N/A</w:t>
            </w:r>
          </w:p>
        </w:tc>
        <w:tc>
          <w:tcPr>
            <w:tcW w:type="dxa" w:w="2592"/>
            <w:tcMar>
              <w:top w:w="60" w:type="dxa"/>
              <w:bottom w:w="60" w:type="dxa"/>
              <w:left w:w="80" w:type="dxa"/>
              <w:right w:w="80" w:type="dxa"/>
            </w:tcMar>
          </w:tcPr>
          <w:p>
            <w:pPr>
              <w:jc w:val="left"/>
            </w:pPr>
            <w:r>
              <w:rPr>
                <w:rFonts w:ascii="Calibri" w:hAnsi="Calibri"/>
                <w:sz w:val="16"/>
              </w:rPr>
              <w:t>PP&amp;E tangible inmaterial frente al activo financiero total.</w:t>
            </w:r>
          </w:p>
        </w:tc>
      </w:tr>
      <w:tr>
        <w:tc>
          <w:tcPr>
            <w:tcW w:type="dxa" w:w="2160"/>
            <w:tcMar>
              <w:top w:w="60" w:type="dxa"/>
              <w:bottom w:w="60" w:type="dxa"/>
              <w:left w:w="80" w:type="dxa"/>
              <w:right w:w="80" w:type="dxa"/>
            </w:tcMar>
          </w:tcPr>
          <w:p>
            <w:pPr>
              <w:jc w:val="left"/>
            </w:pPr>
            <w:r>
              <w:rPr>
                <w:rFonts w:ascii="Calibri" w:hAnsi="Calibri"/>
                <w:sz w:val="16"/>
              </w:rPr>
              <w:t>6. Crecimiento Excesivo de Activos Totales</w:t>
            </w:r>
          </w:p>
        </w:tc>
        <w:tc>
          <w:tcPr>
            <w:tcW w:type="dxa" w:w="2016"/>
            <w:tcMar>
              <w:top w:w="60" w:type="dxa"/>
              <w:bottom w:w="60" w:type="dxa"/>
              <w:left w:w="80" w:type="dxa"/>
              <w:right w:w="80" w:type="dxa"/>
            </w:tcMar>
          </w:tcPr>
          <w:p>
            <w:pPr>
              <w:jc w:val="left"/>
            </w:pPr>
            <w:r>
              <w:rPr>
                <w:rFonts w:ascii="Calibri" w:hAnsi="Calibri"/>
                <w:sz w:val="16"/>
              </w:rPr>
              <w:t>%Δ Activos Totales &gt; 10.0%</w:t>
            </w:r>
          </w:p>
        </w:tc>
        <w:tc>
          <w:tcPr>
            <w:tcW w:type="dxa" w:w="1872"/>
            <w:tcMar>
              <w:top w:w="60" w:type="dxa"/>
              <w:bottom w:w="60" w:type="dxa"/>
              <w:left w:w="80" w:type="dxa"/>
              <w:right w:w="80" w:type="dxa"/>
            </w:tcMar>
          </w:tcPr>
          <w:p>
            <w:pPr>
              <w:jc w:val="left"/>
            </w:pPr>
            <w:r>
              <w:rPr>
                <w:rFonts w:ascii="Calibri" w:hAnsi="Calibri"/>
                <w:sz w:val="16"/>
              </w:rPr>
              <w:t>N/A</w:t>
            </w:r>
          </w:p>
        </w:tc>
        <w:tc>
          <w:tcPr>
            <w:tcW w:type="dxa" w:w="1152"/>
            <w:tcMar>
              <w:top w:w="60" w:type="dxa"/>
              <w:bottom w:w="60" w:type="dxa"/>
              <w:left w:w="80" w:type="dxa"/>
              <w:right w:w="80" w:type="dxa"/>
            </w:tcMar>
          </w:tcPr>
          <w:p>
            <w:pPr>
              <w:jc w:val="center"/>
            </w:pPr>
            <w:r>
              <w:rPr>
                <w:rFonts w:ascii="Calibri" w:hAnsi="Calibri"/>
                <w:b/>
                <w:color w:val="2D3748"/>
                <w:sz w:val="16"/>
              </w:rPr>
              <w:t>➖ N/A</w:t>
            </w:r>
          </w:p>
        </w:tc>
        <w:tc>
          <w:tcPr>
            <w:tcW w:type="dxa" w:w="2592"/>
            <w:tcMar>
              <w:top w:w="60" w:type="dxa"/>
              <w:bottom w:w="60" w:type="dxa"/>
              <w:left w:w="80" w:type="dxa"/>
              <w:right w:w="80" w:type="dxa"/>
            </w:tcMar>
          </w:tcPr>
          <w:p>
            <w:pPr>
              <w:jc w:val="left"/>
            </w:pPr>
            <w:r>
              <w:rPr>
                <w:rFonts w:ascii="Calibri" w:hAnsi="Calibri"/>
                <w:sz w:val="16"/>
              </w:rPr>
              <w:t>La expansión de balance bancario responde a depósitos y política monetaria.</w:t>
            </w:r>
          </w:p>
        </w:tc>
      </w:tr>
    </w:tbl>
    <w:p>
      <w:pPr>
        <w:spacing w:before="80" w:after="160"/>
      </w:pPr>
      <w:r>
        <w:rPr>
          <w:rFonts w:ascii="Calibri" w:hAnsi="Calibri"/>
          <w:b/>
          <w:color w:val="1B365D"/>
          <w:sz w:val="17"/>
        </w:rPr>
        <w:t>Dictamen Montier: NO APLICABLE — NO APLICABLE. Montier C-Score NO APLICABLE para entidades del arquetipo 'FINANCIAL_BANKING'. El modelo de James Montier (Cooking the Books) evalúa partidas de capital de trabajo, inventarios (DIO), cuentas a cobrar comerciales (DSO), otros activos corrientes y depreciación física de PP&amp;E, conceptos ajenos a la estructura operativa de intermediación financiera y balances bancarios/aseguradores.</w:t>
      </w:r>
    </w:p>
    <w:p>
      <w:pPr>
        <w:pStyle w:val="Heading2"/>
      </w:pPr>
      <w:r>
        <w:rPr>
          <w:rFonts w:ascii="Calibri" w:hAnsi="Calibri"/>
          <w:b/>
          <w:color w:val="1B365D"/>
          <w:sz w:val="23"/>
        </w:rPr>
        <w:t>12.4. Cuadro de Mando Consolidado de Fidelidad Contable</w:t>
      </w:r>
    </w:p>
    <w:tbl>
      <w:tblPr>
        <w:tblW w:type="auto" w:w="0"/>
        <w:jc w:val="center"/>
        <w:tblLook w:firstColumn="1" w:firstRow="1" w:lastColumn="0" w:lastRow="0" w:noHBand="0" w:noVBand="1" w:val="04A0"/>
        <w:tblBorders>
          <w:top w:val="single" w:sz="6" w:space="0" w:color="D2D6DC"/>
          <w:left w:val="none"/>
          <w:bottom w:val="single" w:sz="10" w:space="0" w:color="1B365D"/>
          <w:right w:val="none"/>
          <w:insideH w:val="single" w:sz="4" w:space="0" w:color="D2D6DC"/>
          <w:insideV w:val="none"/>
        </w:tblBorders>
      </w:tblPr>
      <w:tblGrid>
        <w:gridCol w:w="2016"/>
        <w:gridCol w:w="2016"/>
        <w:gridCol w:w="1440"/>
        <w:gridCol w:w="1728"/>
        <w:gridCol w:w="2592"/>
      </w:tblGrid>
      <w:tr>
        <w:tc>
          <w:tcPr>
            <w:tcW w:type="dxa" w:w="2016"/>
            <w:shd w:fill="1B365D"/>
            <w:tcMar>
              <w:top w:w="80" w:type="dxa"/>
              <w:bottom w:w="80" w:type="dxa"/>
              <w:left w:w="80" w:type="dxa"/>
              <w:right w:w="80" w:type="dxa"/>
            </w:tcMar>
          </w:tcPr>
          <w:p>
            <w:pPr>
              <w:jc w:val="left"/>
            </w:pPr>
            <w:r>
              <w:rPr>
                <w:rFonts w:ascii="Calibri" w:hAnsi="Calibri"/>
                <w:b/>
                <w:color w:val="FFFFFF"/>
                <w:sz w:val="17"/>
              </w:rPr>
              <w:t>Dimensión Forense</w:t>
            </w:r>
          </w:p>
        </w:tc>
        <w:tc>
          <w:tcPr>
            <w:tcW w:type="dxa" w:w="2016"/>
            <w:shd w:fill="1B365D"/>
            <w:tcMar>
              <w:top w:w="80" w:type="dxa"/>
              <w:bottom w:w="80" w:type="dxa"/>
              <w:left w:w="80" w:type="dxa"/>
              <w:right w:w="80" w:type="dxa"/>
            </w:tcMar>
          </w:tcPr>
          <w:p>
            <w:pPr>
              <w:jc w:val="left"/>
            </w:pPr>
            <w:r>
              <w:rPr>
                <w:rFonts w:ascii="Calibri" w:hAnsi="Calibri"/>
                <w:b/>
                <w:color w:val="FFFFFF"/>
                <w:sz w:val="17"/>
              </w:rPr>
              <w:t>Indicador Clave</w:t>
            </w:r>
          </w:p>
        </w:tc>
        <w:tc>
          <w:tcPr>
            <w:tcW w:type="dxa" w:w="1440"/>
            <w:shd w:fill="1B365D"/>
            <w:tcMar>
              <w:top w:w="80" w:type="dxa"/>
              <w:bottom w:w="80" w:type="dxa"/>
              <w:left w:w="80" w:type="dxa"/>
              <w:right w:w="80" w:type="dxa"/>
            </w:tcMar>
          </w:tcPr>
          <w:p>
            <w:pPr>
              <w:jc w:val="center"/>
            </w:pPr>
            <w:r>
              <w:rPr>
                <w:rFonts w:ascii="Calibri" w:hAnsi="Calibri"/>
                <w:b/>
                <w:color w:val="FFFFFF"/>
                <w:sz w:val="17"/>
              </w:rPr>
              <w:t>Valor LTM</w:t>
            </w:r>
          </w:p>
        </w:tc>
        <w:tc>
          <w:tcPr>
            <w:tcW w:type="dxa" w:w="1728"/>
            <w:shd w:fill="1B365D"/>
            <w:tcMar>
              <w:top w:w="80" w:type="dxa"/>
              <w:bottom w:w="80" w:type="dxa"/>
              <w:left w:w="80" w:type="dxa"/>
              <w:right w:w="80" w:type="dxa"/>
            </w:tcMar>
          </w:tcPr>
          <w:p>
            <w:pPr>
              <w:jc w:val="center"/>
            </w:pPr>
            <w:r>
              <w:rPr>
                <w:rFonts w:ascii="Calibri" w:hAnsi="Calibri"/>
                <w:b/>
                <w:color w:val="FFFFFF"/>
                <w:sz w:val="17"/>
              </w:rPr>
              <w:t>Zona de Seguridad</w:t>
            </w:r>
          </w:p>
        </w:tc>
        <w:tc>
          <w:tcPr>
            <w:tcW w:type="dxa" w:w="2592"/>
            <w:shd w:fill="1B365D"/>
            <w:tcMar>
              <w:top w:w="80" w:type="dxa"/>
              <w:bottom w:w="80" w:type="dxa"/>
              <w:left w:w="80" w:type="dxa"/>
              <w:right w:w="80" w:type="dxa"/>
            </w:tcMar>
          </w:tcPr>
          <w:p>
            <w:pPr>
              <w:jc w:val="left"/>
            </w:pPr>
            <w:r>
              <w:rPr>
                <w:rFonts w:ascii="Calibri" w:hAnsi="Calibri"/>
                <w:b/>
                <w:color w:val="FFFFFF"/>
                <w:sz w:val="17"/>
              </w:rPr>
              <w:t>Diagnóstico para el Inversor</w:t>
            </w:r>
          </w:p>
        </w:tc>
      </w:tr>
      <w:tr>
        <w:tc>
          <w:tcPr>
            <w:tcW w:type="dxa" w:w="2016"/>
            <w:tcMar>
              <w:top w:w="60" w:type="dxa"/>
              <w:bottom w:w="60" w:type="dxa"/>
              <w:left w:w="80" w:type="dxa"/>
              <w:right w:w="80" w:type="dxa"/>
            </w:tcMar>
          </w:tcPr>
          <w:p>
            <w:pPr>
              <w:jc w:val="left"/>
            </w:pPr>
            <w:r>
              <w:rPr>
                <w:rFonts w:ascii="Calibri" w:hAnsi="Calibri"/>
                <w:b/>
                <w:sz w:val="17"/>
              </w:rPr>
              <w:t>Calidad de Beneficios</w:t>
            </w:r>
          </w:p>
        </w:tc>
        <w:tc>
          <w:tcPr>
            <w:tcW w:type="dxa" w:w="2016"/>
            <w:tcMar>
              <w:top w:w="60" w:type="dxa"/>
              <w:bottom w:w="60" w:type="dxa"/>
              <w:left w:w="80" w:type="dxa"/>
              <w:right w:w="80" w:type="dxa"/>
            </w:tcMar>
          </w:tcPr>
          <w:p>
            <w:pPr>
              <w:jc w:val="left"/>
            </w:pPr>
            <w:r>
              <w:rPr>
                <w:rFonts w:ascii="Calibri" w:hAnsi="Calibri"/>
                <w:b/>
                <w:sz w:val="17"/>
              </w:rPr>
              <w:t>Ratio Devengos Sloan</w:t>
            </w:r>
          </w:p>
        </w:tc>
        <w:tc>
          <w:tcPr>
            <w:tcW w:type="dxa" w:w="1440"/>
            <w:tcMar>
              <w:top w:w="60" w:type="dxa"/>
              <w:bottom w:w="60" w:type="dxa"/>
              <w:left w:w="80" w:type="dxa"/>
              <w:right w:w="80" w:type="dxa"/>
            </w:tcMar>
          </w:tcPr>
          <w:p>
            <w:pPr>
              <w:jc w:val="center"/>
            </w:pPr>
            <w:r>
              <w:rPr>
                <w:rFonts w:ascii="Calibri" w:hAnsi="Calibri"/>
                <w:sz w:val="17"/>
              </w:rPr>
              <w:t>+6.33%</w:t>
            </w:r>
          </w:p>
        </w:tc>
        <w:tc>
          <w:tcPr>
            <w:tcW w:type="dxa" w:w="1728"/>
            <w:tcMar>
              <w:top w:w="60" w:type="dxa"/>
              <w:bottom w:w="60" w:type="dxa"/>
              <w:left w:w="80" w:type="dxa"/>
              <w:right w:w="80" w:type="dxa"/>
            </w:tcMar>
          </w:tcPr>
          <w:p>
            <w:pPr>
              <w:jc w:val="center"/>
            </w:pPr>
            <w:r>
              <w:rPr>
                <w:rFonts w:ascii="Calibri" w:hAnsi="Calibri"/>
                <w:sz w:val="17"/>
              </w:rPr>
              <w:t>&lt; -3.0% (Excelente)</w:t>
            </w:r>
          </w:p>
        </w:tc>
        <w:tc>
          <w:tcPr>
            <w:tcW w:type="dxa" w:w="2592"/>
            <w:tcMar>
              <w:top w:w="60" w:type="dxa"/>
              <w:bottom w:w="60" w:type="dxa"/>
              <w:left w:w="80" w:type="dxa"/>
              <w:right w:w="80" w:type="dxa"/>
            </w:tcMar>
          </w:tcPr>
          <w:p>
            <w:pPr>
              <w:jc w:val="left"/>
            </w:pPr>
            <w:r>
              <w:rPr>
                <w:rFonts w:ascii="Calibri" w:hAnsi="Calibri"/>
                <w:sz w:val="17"/>
              </w:rPr>
              <w:t>Sincronización natural y armónica entre facturación y cobros de efectivo.</w:t>
            </w:r>
          </w:p>
        </w:tc>
      </w:tr>
      <w:tr>
        <w:tc>
          <w:tcPr>
            <w:tcW w:type="dxa" w:w="2016"/>
            <w:tcMar>
              <w:top w:w="60" w:type="dxa"/>
              <w:bottom w:w="60" w:type="dxa"/>
              <w:left w:w="80" w:type="dxa"/>
              <w:right w:w="80" w:type="dxa"/>
            </w:tcMar>
          </w:tcPr>
          <w:p>
            <w:pPr>
              <w:jc w:val="left"/>
            </w:pPr>
            <w:r>
              <w:rPr>
                <w:rFonts w:ascii="Calibri" w:hAnsi="Calibri"/>
                <w:b/>
                <w:sz w:val="17"/>
              </w:rPr>
              <w:t>Conversión de Ganancias</w:t>
            </w:r>
          </w:p>
        </w:tc>
        <w:tc>
          <w:tcPr>
            <w:tcW w:type="dxa" w:w="2016"/>
            <w:tcMar>
              <w:top w:w="60" w:type="dxa"/>
              <w:bottom w:w="60" w:type="dxa"/>
              <w:left w:w="80" w:type="dxa"/>
              <w:right w:w="80" w:type="dxa"/>
            </w:tcMar>
          </w:tcPr>
          <w:p>
            <w:pPr>
              <w:jc w:val="left"/>
            </w:pPr>
            <w:r>
              <w:rPr>
                <w:rFonts w:ascii="Calibri" w:hAnsi="Calibri"/>
                <w:b/>
                <w:sz w:val="17"/>
              </w:rPr>
              <w:t>Ratio CFO / Net Income</w:t>
            </w:r>
          </w:p>
        </w:tc>
        <w:tc>
          <w:tcPr>
            <w:tcW w:type="dxa" w:w="1440"/>
            <w:tcMar>
              <w:top w:w="60" w:type="dxa"/>
              <w:bottom w:w="60" w:type="dxa"/>
              <w:left w:w="80" w:type="dxa"/>
              <w:right w:w="80" w:type="dxa"/>
            </w:tcMar>
          </w:tcPr>
          <w:p>
            <w:pPr>
              <w:jc w:val="center"/>
            </w:pPr>
            <w:r>
              <w:rPr>
                <w:rFonts w:ascii="Calibri" w:hAnsi="Calibri"/>
                <w:sz w:val="17"/>
              </w:rPr>
              <w:t>-38.3%</w:t>
            </w:r>
          </w:p>
        </w:tc>
        <w:tc>
          <w:tcPr>
            <w:tcW w:type="dxa" w:w="1728"/>
            <w:tcMar>
              <w:top w:w="60" w:type="dxa"/>
              <w:bottom w:w="60" w:type="dxa"/>
              <w:left w:w="80" w:type="dxa"/>
              <w:right w:w="80" w:type="dxa"/>
            </w:tcMar>
          </w:tcPr>
          <w:p>
            <w:pPr>
              <w:jc w:val="center"/>
            </w:pPr>
            <w:r>
              <w:rPr>
                <w:rFonts w:ascii="Calibri" w:hAnsi="Calibri"/>
                <w:sz w:val="17"/>
              </w:rPr>
              <w:t>&gt; 100.0%</w:t>
            </w:r>
          </w:p>
        </w:tc>
        <w:tc>
          <w:tcPr>
            <w:tcW w:type="dxa" w:w="2592"/>
            <w:tcMar>
              <w:top w:w="60" w:type="dxa"/>
              <w:bottom w:w="60" w:type="dxa"/>
              <w:left w:w="80" w:type="dxa"/>
              <w:right w:w="80" w:type="dxa"/>
            </w:tcMar>
          </w:tcPr>
          <w:p>
            <w:pPr>
              <w:jc w:val="left"/>
            </w:pPr>
            <w:r>
              <w:rPr>
                <w:rFonts w:ascii="Calibri" w:hAnsi="Calibri"/>
                <w:sz w:val="17"/>
              </w:rPr>
              <w:t>Alerta (-38.3%): Caja operativa significativamente inferior a la utilidad.</w:t>
            </w:r>
          </w:p>
        </w:tc>
      </w:tr>
      <w:tr>
        <w:tc>
          <w:tcPr>
            <w:tcW w:type="dxa" w:w="2016"/>
            <w:tcMar>
              <w:top w:w="60" w:type="dxa"/>
              <w:bottom w:w="60" w:type="dxa"/>
              <w:left w:w="80" w:type="dxa"/>
              <w:right w:w="80" w:type="dxa"/>
            </w:tcMar>
          </w:tcPr>
          <w:p>
            <w:pPr>
              <w:jc w:val="left"/>
            </w:pPr>
            <w:r>
              <w:rPr>
                <w:rFonts w:ascii="Calibri" w:hAnsi="Calibri"/>
                <w:b/>
                <w:sz w:val="17"/>
              </w:rPr>
              <w:t>Riesgo Channel Stuffing</w:t>
            </w:r>
          </w:p>
        </w:tc>
        <w:tc>
          <w:tcPr>
            <w:tcW w:type="dxa" w:w="2016"/>
            <w:tcMar>
              <w:top w:w="60" w:type="dxa"/>
              <w:bottom w:w="60" w:type="dxa"/>
              <w:left w:w="80" w:type="dxa"/>
              <w:right w:w="80" w:type="dxa"/>
            </w:tcMar>
          </w:tcPr>
          <w:p>
            <w:pPr>
              <w:jc w:val="left"/>
            </w:pPr>
            <w:r>
              <w:rPr>
                <w:rFonts w:ascii="Calibri" w:hAnsi="Calibri"/>
                <w:b/>
                <w:sz w:val="17"/>
              </w:rPr>
              <w:t>Spread AR vs. Ventas</w:t>
            </w:r>
          </w:p>
        </w:tc>
        <w:tc>
          <w:tcPr>
            <w:tcW w:type="dxa" w:w="1440"/>
            <w:tcMar>
              <w:top w:w="60" w:type="dxa"/>
              <w:bottom w:w="60" w:type="dxa"/>
              <w:left w:w="80" w:type="dxa"/>
              <w:right w:w="80" w:type="dxa"/>
            </w:tcMar>
          </w:tcPr>
          <w:p>
            <w:pPr>
              <w:jc w:val="center"/>
            </w:pPr>
            <w:r>
              <w:rPr>
                <w:rFonts w:ascii="Calibri" w:hAnsi="Calibri"/>
                <w:sz w:val="17"/>
              </w:rPr>
              <w:t>+0.0%</w:t>
            </w:r>
          </w:p>
        </w:tc>
        <w:tc>
          <w:tcPr>
            <w:tcW w:type="dxa" w:w="1728"/>
            <w:tcMar>
              <w:top w:w="60" w:type="dxa"/>
              <w:bottom w:w="60" w:type="dxa"/>
              <w:left w:w="80" w:type="dxa"/>
              <w:right w:w="80" w:type="dxa"/>
            </w:tcMar>
          </w:tcPr>
          <w:p>
            <w:pPr>
              <w:jc w:val="center"/>
            </w:pPr>
            <w:r>
              <w:rPr>
                <w:rFonts w:ascii="Calibri" w:hAnsi="Calibri"/>
                <w:sz w:val="17"/>
              </w:rPr>
              <w:t>&lt; +10.0%</w:t>
            </w:r>
          </w:p>
        </w:tc>
        <w:tc>
          <w:tcPr>
            <w:tcW w:type="dxa" w:w="2592"/>
            <w:tcMar>
              <w:top w:w="60" w:type="dxa"/>
              <w:bottom w:w="60" w:type="dxa"/>
              <w:left w:w="80" w:type="dxa"/>
              <w:right w:w="80" w:type="dxa"/>
            </w:tcMar>
          </w:tcPr>
          <w:p>
            <w:pPr>
              <w:jc w:val="left"/>
            </w:pPr>
            <w:r>
              <w:rPr>
                <w:rFonts w:ascii="Calibri" w:hAnsi="Calibri"/>
                <w:sz w:val="17"/>
              </w:rPr>
              <w:t>Cobranza disciplinada (DSO: 0.0d); cobros sincronizados sin ventas infladas.</w:t>
            </w:r>
          </w:p>
        </w:tc>
      </w:tr>
      <w:tr>
        <w:tc>
          <w:tcPr>
            <w:tcW w:type="dxa" w:w="2016"/>
            <w:tcMar>
              <w:top w:w="60" w:type="dxa"/>
              <w:bottom w:w="60" w:type="dxa"/>
              <w:left w:w="80" w:type="dxa"/>
              <w:right w:w="80" w:type="dxa"/>
            </w:tcMar>
          </w:tcPr>
          <w:p>
            <w:pPr>
              <w:jc w:val="left"/>
            </w:pPr>
            <w:r>
              <w:rPr>
                <w:rFonts w:ascii="Calibri" w:hAnsi="Calibri"/>
                <w:b/>
                <w:sz w:val="17"/>
              </w:rPr>
              <w:t>Gestión de Existencias</w:t>
            </w:r>
          </w:p>
        </w:tc>
        <w:tc>
          <w:tcPr>
            <w:tcW w:type="dxa" w:w="2016"/>
            <w:tcMar>
              <w:top w:w="60" w:type="dxa"/>
              <w:bottom w:w="60" w:type="dxa"/>
              <w:left w:w="80" w:type="dxa"/>
              <w:right w:w="80" w:type="dxa"/>
            </w:tcMar>
          </w:tcPr>
          <w:p>
            <w:pPr>
              <w:jc w:val="left"/>
            </w:pPr>
            <w:r>
              <w:rPr>
                <w:rFonts w:ascii="Calibri" w:hAnsi="Calibri"/>
                <w:b/>
                <w:sz w:val="17"/>
              </w:rPr>
              <w:t>Días Inventario (DIO)</w:t>
            </w:r>
          </w:p>
        </w:tc>
        <w:tc>
          <w:tcPr>
            <w:tcW w:type="dxa" w:w="1440"/>
            <w:tcMar>
              <w:top w:w="60" w:type="dxa"/>
              <w:bottom w:w="60" w:type="dxa"/>
              <w:left w:w="80" w:type="dxa"/>
              <w:right w:w="80" w:type="dxa"/>
            </w:tcMar>
          </w:tcPr>
          <w:p>
            <w:pPr>
              <w:jc w:val="center"/>
            </w:pPr>
            <w:r>
              <w:rPr>
                <w:rFonts w:ascii="Calibri" w:hAnsi="Calibri"/>
                <w:sz w:val="17"/>
              </w:rPr>
              <w:t>0.0 días</w:t>
            </w:r>
          </w:p>
        </w:tc>
        <w:tc>
          <w:tcPr>
            <w:tcW w:type="dxa" w:w="1728"/>
            <w:tcMar>
              <w:top w:w="60" w:type="dxa"/>
              <w:bottom w:w="60" w:type="dxa"/>
              <w:left w:w="80" w:type="dxa"/>
              <w:right w:w="80" w:type="dxa"/>
            </w:tcMar>
          </w:tcPr>
          <w:p>
            <w:pPr>
              <w:jc w:val="center"/>
            </w:pPr>
            <w:r>
              <w:rPr>
                <w:rFonts w:ascii="Calibri" w:hAnsi="Calibri"/>
                <w:sz w:val="17"/>
              </w:rPr>
              <w:t>&lt; 45 días</w:t>
            </w:r>
          </w:p>
        </w:tc>
        <w:tc>
          <w:tcPr>
            <w:tcW w:type="dxa" w:w="2592"/>
            <w:tcMar>
              <w:top w:w="60" w:type="dxa"/>
              <w:bottom w:w="60" w:type="dxa"/>
              <w:left w:w="80" w:type="dxa"/>
              <w:right w:w="80" w:type="dxa"/>
            </w:tcMar>
          </w:tcPr>
          <w:p>
            <w:pPr>
              <w:jc w:val="left"/>
            </w:pPr>
            <w:r>
              <w:rPr>
                <w:rFonts w:ascii="Calibri" w:hAnsi="Calibri"/>
                <w:sz w:val="17"/>
              </w:rPr>
              <w:t>Rotación ultra-rápida (0.0d); mínima inmovilización de capital.</w:t>
            </w:r>
          </w:p>
        </w:tc>
      </w:tr>
      <w:tr>
        <w:tc>
          <w:tcPr>
            <w:tcW w:type="dxa" w:w="2016"/>
            <w:tcMar>
              <w:top w:w="60" w:type="dxa"/>
              <w:bottom w:w="60" w:type="dxa"/>
              <w:left w:w="80" w:type="dxa"/>
              <w:right w:w="80" w:type="dxa"/>
            </w:tcMar>
          </w:tcPr>
          <w:p>
            <w:pPr>
              <w:jc w:val="left"/>
            </w:pPr>
            <w:r>
              <w:rPr>
                <w:rFonts w:ascii="Calibri" w:hAnsi="Calibri"/>
                <w:b/>
                <w:sz w:val="17"/>
              </w:rPr>
              <w:t>Integridad del Balance</w:t>
            </w:r>
          </w:p>
        </w:tc>
        <w:tc>
          <w:tcPr>
            <w:tcW w:type="dxa" w:w="2016"/>
            <w:tcMar>
              <w:top w:w="60" w:type="dxa"/>
              <w:bottom w:w="60" w:type="dxa"/>
              <w:left w:w="80" w:type="dxa"/>
              <w:right w:w="80" w:type="dxa"/>
            </w:tcMar>
          </w:tcPr>
          <w:p>
            <w:pPr>
              <w:jc w:val="left"/>
            </w:pPr>
            <w:r>
              <w:rPr>
                <w:rFonts w:ascii="Calibri" w:hAnsi="Calibri"/>
                <w:b/>
                <w:sz w:val="17"/>
              </w:rPr>
              <w:t>Variación Activos Blandos</w:t>
            </w:r>
          </w:p>
        </w:tc>
        <w:tc>
          <w:tcPr>
            <w:tcW w:type="dxa" w:w="1440"/>
            <w:tcMar>
              <w:top w:w="60" w:type="dxa"/>
              <w:bottom w:w="60" w:type="dxa"/>
              <w:left w:w="80" w:type="dxa"/>
              <w:right w:w="80" w:type="dxa"/>
            </w:tcMar>
          </w:tcPr>
          <w:p>
            <w:pPr>
              <w:jc w:val="center"/>
            </w:pPr>
            <w:r>
              <w:rPr>
                <w:rFonts w:ascii="Calibri" w:hAnsi="Calibri"/>
                <w:sz w:val="17"/>
              </w:rPr>
              <w:t>+5.3 pp</w:t>
            </w:r>
          </w:p>
        </w:tc>
        <w:tc>
          <w:tcPr>
            <w:tcW w:type="dxa" w:w="1728"/>
            <w:tcMar>
              <w:top w:w="60" w:type="dxa"/>
              <w:bottom w:w="60" w:type="dxa"/>
              <w:left w:w="80" w:type="dxa"/>
              <w:right w:w="80" w:type="dxa"/>
            </w:tcMar>
          </w:tcPr>
          <w:p>
            <w:pPr>
              <w:jc w:val="center"/>
            </w:pPr>
            <w:r>
              <w:rPr>
                <w:rFonts w:ascii="Calibri" w:hAnsi="Calibri"/>
                <w:sz w:val="17"/>
              </w:rPr>
              <w:t>&lt; +2.0 pp</w:t>
            </w:r>
          </w:p>
        </w:tc>
        <w:tc>
          <w:tcPr>
            <w:tcW w:type="dxa" w:w="2592"/>
            <w:tcMar>
              <w:top w:w="60" w:type="dxa"/>
              <w:bottom w:w="60" w:type="dxa"/>
              <w:left w:w="80" w:type="dxa"/>
              <w:right w:w="80" w:type="dxa"/>
            </w:tcMar>
          </w:tcPr>
          <w:p>
            <w:pPr>
              <w:jc w:val="left"/>
            </w:pPr>
            <w:r>
              <w:rPr>
                <w:rFonts w:ascii="Calibri" w:hAnsi="Calibri"/>
                <w:sz w:val="17"/>
              </w:rPr>
              <w:t>Aumento moderado (+5.3 pp); balance sano con activos blandos bajo 75% (72.5%).</w:t>
            </w:r>
          </w:p>
        </w:tc>
      </w:tr>
      <w:tr>
        <w:tc>
          <w:tcPr>
            <w:tcW w:type="dxa" w:w="2016"/>
            <w:tcMar>
              <w:top w:w="60" w:type="dxa"/>
              <w:bottom w:w="60" w:type="dxa"/>
              <w:left w:w="80" w:type="dxa"/>
              <w:right w:w="80" w:type="dxa"/>
            </w:tcMar>
          </w:tcPr>
          <w:p>
            <w:pPr>
              <w:jc w:val="left"/>
            </w:pPr>
            <w:r>
              <w:rPr>
                <w:rFonts w:ascii="Calibri" w:hAnsi="Calibri"/>
                <w:b/>
                <w:sz w:val="17"/>
              </w:rPr>
              <w:t>Manipulación Agregada</w:t>
            </w:r>
          </w:p>
        </w:tc>
        <w:tc>
          <w:tcPr>
            <w:tcW w:type="dxa" w:w="2016"/>
            <w:tcMar>
              <w:top w:w="60" w:type="dxa"/>
              <w:bottom w:w="60" w:type="dxa"/>
              <w:left w:w="80" w:type="dxa"/>
              <w:right w:w="80" w:type="dxa"/>
            </w:tcMar>
          </w:tcPr>
          <w:p>
            <w:pPr>
              <w:jc w:val="left"/>
            </w:pPr>
            <w:r>
              <w:rPr>
                <w:rFonts w:ascii="Calibri" w:hAnsi="Calibri"/>
                <w:b/>
                <w:sz w:val="17"/>
              </w:rPr>
              <w:t>Montier C-Score Total</w:t>
            </w:r>
          </w:p>
        </w:tc>
        <w:tc>
          <w:tcPr>
            <w:tcW w:type="dxa" w:w="1440"/>
            <w:tcMar>
              <w:top w:w="60" w:type="dxa"/>
              <w:bottom w:w="60" w:type="dxa"/>
              <w:left w:w="80" w:type="dxa"/>
              <w:right w:w="80" w:type="dxa"/>
            </w:tcMar>
          </w:tcPr>
          <w:p>
            <w:pPr>
              <w:jc w:val="center"/>
            </w:pPr>
            <w:r>
              <w:rPr>
                <w:rFonts w:ascii="Calibri" w:hAnsi="Calibri"/>
                <w:sz w:val="17"/>
              </w:rPr>
              <w:t>NO APLICABLE</w:t>
            </w:r>
          </w:p>
        </w:tc>
        <w:tc>
          <w:tcPr>
            <w:tcW w:type="dxa" w:w="1728"/>
            <w:tcMar>
              <w:top w:w="60" w:type="dxa"/>
              <w:bottom w:w="60" w:type="dxa"/>
              <w:left w:w="80" w:type="dxa"/>
              <w:right w:w="80" w:type="dxa"/>
            </w:tcMar>
          </w:tcPr>
          <w:p>
            <w:pPr>
              <w:jc w:val="center"/>
            </w:pPr>
            <w:r>
              <w:rPr>
                <w:rFonts w:ascii="Calibri" w:hAnsi="Calibri"/>
                <w:sz w:val="17"/>
              </w:rPr>
              <w:t>0 - 1 Banderas</w:t>
            </w:r>
          </w:p>
        </w:tc>
        <w:tc>
          <w:tcPr>
            <w:tcW w:type="dxa" w:w="2592"/>
            <w:tcMar>
              <w:top w:w="60" w:type="dxa"/>
              <w:bottom w:w="60" w:type="dxa"/>
              <w:left w:w="80" w:type="dxa"/>
              <w:right w:w="80" w:type="dxa"/>
            </w:tcMar>
          </w:tcPr>
          <w:p>
            <w:pPr>
              <w:jc w:val="left"/>
            </w:pPr>
            <w:r>
              <w:rPr>
                <w:rFonts w:ascii="Calibri" w:hAnsi="Calibri"/>
                <w:sz w:val="17"/>
              </w:rPr>
              <w:t>No aplicable a modelo financiero o pendiente de ejercicio comparativo (t-1).</w:t>
            </w:r>
          </w:p>
        </w:tc>
      </w:tr>
    </w:tbl>
    <w:p>
      <w:pPr>
        <w:spacing w:after="160"/>
      </w:pPr>
    </w:p>
    <w:p>
      <w:pPr>
        <w:pStyle w:val="Heading1"/>
      </w:pPr>
      <w:r>
        <w:t>13. Solvencia, Deuda y Adecuación de Capital (Banking Solvency Engine)</w:t>
      </w:r>
    </w:p>
    <w:tbl>
      <w:tblPr>
        <w:tblW w:type="auto" w:w="0"/>
        <w:jc w:val="center"/>
        <w:tblLook w:firstColumn="1" w:firstRow="1" w:lastColumn="0" w:lastRow="0" w:noHBand="0" w:noVBand="1" w:val="04A0"/>
      </w:tblPr>
      <w:tblGrid>
        <w:gridCol w:w="9792"/>
      </w:tblGrid>
      <w:tr>
        <w:tc>
          <w:tcPr>
            <w:tcW w:type="dxa" w:w="9792"/>
            <w:shd w:fill="F0F4F8"/>
            <w:tcMar>
              <w:top w:w="140" w:type="dxa"/>
              <w:bottom w:w="140" w:type="dxa"/>
              <w:left w:w="180" w:type="dxa"/>
              <w:right w:w="180" w:type="dxa"/>
            </w:tcMar>
          </w:tcPr>
          <w:p>
            <w:r>
              <w:rPr>
                <w:b/>
                <w:color w:val="1B365D"/>
                <w:sz w:val="22"/>
              </w:rPr>
              <w:t>DICTAMEN GLOBAL DE SOLVENCIA Y CAPITAL (LTM): SOLVENCIA REGULATORIA BASILEA III</w:t>
              <w:br/>
            </w:r>
            <w:r>
              <w:rPr>
                <w:color w:val="2D3748"/>
                <w:sz w:val="19"/>
              </w:rPr>
              <w:t>Rating Sintético: D (DEFAULT INMINENTE O TÉCNICO (D / Default)) | Loan-to-Deposit Ratio: 83.1%</w:t>
              <w:br/>
              <w:t>Cobertura de Provisiones: N/D | Retorno sobre Patrimonio Tangible (ROTCE): 26.40%</w:t>
              <w:br/>
              <w:br/>
              <w:t>En instituciones financieras, los depósitos de clientes son materia prima operativa y no deuda corporativa. Nu Holdings Ltd. presenta solvencia prudencial respaldada por depósitos y capitalización conforme a Basilea III.</w:t>
            </w:r>
          </w:p>
        </w:tc>
      </w:tr>
    </w:tbl>
    <w:p/>
    <w:p>
      <w:pPr>
        <w:pStyle w:val="Heading2"/>
      </w:pPr>
      <w:r>
        <w:t>13.1. Estructura de Balance, Cartera de Crédito y Fondeo (LTM)</w:t>
      </w:r>
    </w:p>
    <w:tbl>
      <w:tblPr>
        <w:tblW w:type="auto" w:w="0"/>
        <w:jc w:val="center"/>
        <w:tblLook w:firstColumn="1" w:firstRow="1" w:lastColumn="0" w:lastRow="0" w:noHBand="0" w:noVBand="1" w:val="04A0"/>
        <w:tblBorders>
          <w:top w:val="single" w:sz="6" w:space="0" w:color="D2D6DC"/>
          <w:bottom w:val="single" w:sz="6" w:space="0" w:color="D2D6DC"/>
          <w:insideH w:val="single" w:sz="4" w:space="0" w:color="D2D6DC"/>
          <w:insideV w:val="none"/>
          <w:left w:val="none"/>
          <w:right w:val="none"/>
        </w:tblBorders>
      </w:tblPr>
      <w:tblGrid>
        <w:gridCol w:w="2448"/>
        <w:gridCol w:w="2448"/>
        <w:gridCol w:w="2448"/>
        <w:gridCol w:w="2448"/>
      </w:tblGrid>
      <w:tr>
        <w:tc>
          <w:tcPr>
            <w:tcW w:type="dxa" w:w="2448"/>
            <w:shd w:fill="1B365D"/>
          </w:tcPr>
          <w:p>
            <w:r>
              <w:rPr>
                <w:b/>
                <w:color w:val="FFFFFF"/>
                <w:sz w:val="18"/>
              </w:rPr>
              <w:t>Métrica / Parámetro Bancario</w:t>
            </w:r>
          </w:p>
        </w:tc>
        <w:tc>
          <w:tcPr>
            <w:tcW w:type="dxa" w:w="2448"/>
            <w:shd w:fill="1B365D"/>
          </w:tcPr>
          <w:p>
            <w:r>
              <w:rPr>
                <w:b/>
                <w:color w:val="FFFFFF"/>
                <w:sz w:val="18"/>
              </w:rPr>
              <w:t>Definición / Fórmula Contable</w:t>
            </w:r>
          </w:p>
        </w:tc>
        <w:tc>
          <w:tcPr>
            <w:tcW w:type="dxa" w:w="2448"/>
            <w:shd w:fill="1B365D"/>
          </w:tcPr>
          <w:p>
            <w:r>
              <w:rPr>
                <w:b/>
                <w:color w:val="FFFFFF"/>
                <w:sz w:val="18"/>
              </w:rPr>
              <w:t>Valor LTM</w:t>
            </w:r>
          </w:p>
        </w:tc>
        <w:tc>
          <w:tcPr>
            <w:tcW w:type="dxa" w:w="2448"/>
            <w:shd w:fill="1B365D"/>
          </w:tcPr>
          <w:p>
            <w:r>
              <w:rPr>
                <w:b/>
                <w:color w:val="FFFFFF"/>
                <w:sz w:val="18"/>
              </w:rPr>
              <w:t>Diagnóstico de Estructura</w:t>
            </w:r>
          </w:p>
        </w:tc>
      </w:tr>
      <w:tr>
        <w:tc>
          <w:tcPr>
            <w:tcW w:type="dxa" w:w="2448"/>
          </w:tcPr>
          <w:p>
            <w:r>
              <w:rPr>
                <w:b/>
                <w:sz w:val="17"/>
              </w:rPr>
              <w:t>Cartera de Crédito (Gross Loans)</w:t>
            </w:r>
          </w:p>
        </w:tc>
        <w:tc>
          <w:tcPr>
            <w:tcW w:type="dxa" w:w="2448"/>
          </w:tcPr>
          <w:p>
            <w:r>
              <w:rPr>
                <w:sz w:val="17"/>
              </w:rPr>
              <w:t>Saldo Bruto de Préstamos y Créditos</w:t>
            </w:r>
          </w:p>
        </w:tc>
        <w:tc>
          <w:tcPr>
            <w:tcW w:type="dxa" w:w="2448"/>
          </w:tcPr>
          <w:p>
            <w:r>
              <w:rPr>
                <w:b/>
                <w:sz w:val="17"/>
              </w:rPr>
              <w:t>$30,400.0 M</w:t>
            </w:r>
          </w:p>
        </w:tc>
        <w:tc>
          <w:tcPr>
            <w:tcW w:type="dxa" w:w="2448"/>
          </w:tcPr>
          <w:p>
            <w:r>
              <w:rPr>
                <w:sz w:val="17"/>
              </w:rPr>
              <w:t>Cartera de activos productivos de crédito.</w:t>
            </w:r>
          </w:p>
        </w:tc>
      </w:tr>
      <w:tr>
        <w:tc>
          <w:tcPr>
            <w:tcW w:type="dxa" w:w="2448"/>
            <w:shd w:fill="F7FAFC"/>
          </w:tcPr>
          <w:p>
            <w:r>
              <w:rPr>
                <w:b/>
                <w:sz w:val="17"/>
              </w:rPr>
              <w:t>Depósitos Totales de Clientes</w:t>
            </w:r>
          </w:p>
        </w:tc>
        <w:tc>
          <w:tcPr>
            <w:tcW w:type="dxa" w:w="2448"/>
            <w:shd w:fill="F7FAFC"/>
          </w:tcPr>
          <w:p>
            <w:r>
              <w:rPr>
                <w:sz w:val="17"/>
              </w:rPr>
              <w:t>Cuentas Corrientes y de Ahorro</w:t>
            </w:r>
          </w:p>
        </w:tc>
        <w:tc>
          <w:tcPr>
            <w:tcW w:type="dxa" w:w="2448"/>
            <w:shd w:fill="F7FAFC"/>
          </w:tcPr>
          <w:p>
            <w:r>
              <w:rPr>
                <w:b/>
                <w:sz w:val="17"/>
              </w:rPr>
              <w:t>$36,600.0 M</w:t>
            </w:r>
          </w:p>
        </w:tc>
        <w:tc>
          <w:tcPr>
            <w:tcW w:type="dxa" w:w="2448"/>
            <w:shd w:fill="F7FAFC"/>
          </w:tcPr>
          <w:p>
            <w:r>
              <w:rPr>
                <w:sz w:val="17"/>
              </w:rPr>
              <w:t>Base de captación y fondeo de clientes.</w:t>
            </w:r>
          </w:p>
        </w:tc>
      </w:tr>
      <w:tr>
        <w:tc>
          <w:tcPr>
            <w:tcW w:type="dxa" w:w="2448"/>
          </w:tcPr>
          <w:p>
            <w:r>
              <w:rPr>
                <w:b/>
                <w:sz w:val="17"/>
              </w:rPr>
              <w:t>Loan-to-Deposit Ratio (LDR)</w:t>
            </w:r>
          </w:p>
        </w:tc>
        <w:tc>
          <w:tcPr>
            <w:tcW w:type="dxa" w:w="2448"/>
          </w:tcPr>
          <w:p>
            <w:r>
              <w:rPr>
                <w:sz w:val="17"/>
              </w:rPr>
              <w:t>Cartera de Préstamos / Depósitos</w:t>
            </w:r>
          </w:p>
        </w:tc>
        <w:tc>
          <w:tcPr>
            <w:tcW w:type="dxa" w:w="2448"/>
          </w:tcPr>
          <w:p>
            <w:r>
              <w:rPr>
                <w:b/>
                <w:sz w:val="17"/>
              </w:rPr>
              <w:t>83.1%</w:t>
            </w:r>
          </w:p>
        </w:tc>
        <w:tc>
          <w:tcPr>
            <w:tcW w:type="dxa" w:w="2448"/>
          </w:tcPr>
          <w:p>
            <w:r>
              <w:rPr>
                <w:sz w:val="17"/>
              </w:rPr>
              <w:t>Proporción de fondeo con pasivos de clientes.</w:t>
            </w:r>
          </w:p>
        </w:tc>
      </w:tr>
      <w:tr>
        <w:tc>
          <w:tcPr>
            <w:tcW w:type="dxa" w:w="2448"/>
            <w:shd w:fill="F7FAFC"/>
          </w:tcPr>
          <w:p>
            <w:r>
              <w:rPr>
                <w:b/>
                <w:sz w:val="17"/>
              </w:rPr>
              <w:t>Tesorería y Fondos en Banco Central</w:t>
            </w:r>
          </w:p>
        </w:tc>
        <w:tc>
          <w:tcPr>
            <w:tcW w:type="dxa" w:w="2448"/>
            <w:shd w:fill="F7FAFC"/>
          </w:tcPr>
          <w:p>
            <w:r>
              <w:rPr>
                <w:sz w:val="17"/>
              </w:rPr>
              <w:t>Efectivo y Reservas Líquidas</w:t>
            </w:r>
          </w:p>
        </w:tc>
        <w:tc>
          <w:tcPr>
            <w:tcW w:type="dxa" w:w="2448"/>
            <w:shd w:fill="F7FAFC"/>
          </w:tcPr>
          <w:p>
            <w:r>
              <w:rPr>
                <w:b/>
                <w:sz w:val="17"/>
              </w:rPr>
              <w:t>$22,700.7M</w:t>
            </w:r>
          </w:p>
        </w:tc>
        <w:tc>
          <w:tcPr>
            <w:tcW w:type="dxa" w:w="2448"/>
            <w:shd w:fill="F7FAFC"/>
          </w:tcPr>
          <w:p>
            <w:r>
              <w:rPr>
                <w:sz w:val="17"/>
              </w:rPr>
              <w:t>Colchón de reserva ante fluctuaciones de pasivo.</w:t>
            </w:r>
          </w:p>
        </w:tc>
      </w:tr>
      <w:tr>
        <w:tc>
          <w:tcPr>
            <w:tcW w:type="dxa" w:w="2448"/>
          </w:tcPr>
          <w:p>
            <w:r>
              <w:rPr>
                <w:b/>
                <w:sz w:val="17"/>
              </w:rPr>
              <w:t>Deuda Corporativa Emitida</w:t>
            </w:r>
          </w:p>
        </w:tc>
        <w:tc>
          <w:tcPr>
            <w:tcW w:type="dxa" w:w="2448"/>
          </w:tcPr>
          <w:p>
            <w:r>
              <w:rPr>
                <w:sz w:val="17"/>
              </w:rPr>
              <w:t>Bonos y Préstamos de Mercado</w:t>
            </w:r>
          </w:p>
        </w:tc>
        <w:tc>
          <w:tcPr>
            <w:tcW w:type="dxa" w:w="2448"/>
          </w:tcPr>
          <w:p>
            <w:r>
              <w:rPr>
                <w:b/>
                <w:sz w:val="17"/>
              </w:rPr>
              <w:t>$5,740.6M</w:t>
            </w:r>
          </w:p>
        </w:tc>
        <w:tc>
          <w:tcPr>
            <w:tcW w:type="dxa" w:w="2448"/>
          </w:tcPr>
          <w:p>
            <w:r>
              <w:rPr>
                <w:sz w:val="17"/>
              </w:rPr>
              <w:t>Pasivos financieros de mercado emitidos.</w:t>
            </w:r>
          </w:p>
        </w:tc>
      </w:tr>
    </w:tbl>
    <w:p/>
    <w:p>
      <w:pPr>
        <w:pStyle w:val="Heading2"/>
      </w:pPr>
      <w:r>
        <w:t>13.2. Calidad de Cartera, Morosidad y Cobertura de Provisiones</w:t>
      </w:r>
    </w:p>
    <w:tbl>
      <w:tblPr>
        <w:tblW w:type="auto" w:w="0"/>
        <w:jc w:val="center"/>
        <w:tblLook w:firstColumn="1" w:firstRow="1" w:lastColumn="0" w:lastRow="0" w:noHBand="0" w:noVBand="1" w:val="04A0"/>
        <w:tblBorders>
          <w:top w:val="single" w:sz="6" w:space="0" w:color="D2D6DC"/>
          <w:bottom w:val="single" w:sz="6" w:space="0" w:color="D2D6DC"/>
          <w:insideH w:val="single" w:sz="4" w:space="0" w:color="D2D6DC"/>
          <w:insideV w:val="none"/>
          <w:left w:val="none"/>
          <w:right w:val="none"/>
        </w:tblBorders>
      </w:tblPr>
      <w:tblGrid>
        <w:gridCol w:w="2448"/>
        <w:gridCol w:w="2448"/>
        <w:gridCol w:w="2448"/>
        <w:gridCol w:w="2448"/>
      </w:tblGrid>
      <w:tr>
        <w:tc>
          <w:tcPr>
            <w:tcW w:type="dxa" w:w="2448"/>
            <w:shd w:fill="1B365D"/>
          </w:tcPr>
          <w:p>
            <w:r>
              <w:rPr>
                <w:b/>
                <w:color w:val="FFFFFF"/>
                <w:sz w:val="18"/>
              </w:rPr>
              <w:t>Parámetro de Calidad de Activos</w:t>
            </w:r>
          </w:p>
        </w:tc>
        <w:tc>
          <w:tcPr>
            <w:tcW w:type="dxa" w:w="2448"/>
            <w:shd w:fill="1B365D"/>
          </w:tcPr>
          <w:p>
            <w:r>
              <w:rPr>
                <w:b/>
                <w:color w:val="FFFFFF"/>
                <w:sz w:val="18"/>
              </w:rPr>
              <w:t>Fórmula Contable</w:t>
            </w:r>
          </w:p>
        </w:tc>
        <w:tc>
          <w:tcPr>
            <w:tcW w:type="dxa" w:w="2448"/>
            <w:shd w:fill="1B365D"/>
          </w:tcPr>
          <w:p>
            <w:r>
              <w:rPr>
                <w:b/>
                <w:color w:val="FFFFFF"/>
                <w:sz w:val="18"/>
              </w:rPr>
              <w:t>Valor LTM</w:t>
            </w:r>
          </w:p>
        </w:tc>
        <w:tc>
          <w:tcPr>
            <w:tcW w:type="dxa" w:w="2448"/>
            <w:shd w:fill="1B365D"/>
          </w:tcPr>
          <w:p>
            <w:r>
              <w:rPr>
                <w:b/>
                <w:color w:val="FFFFFF"/>
                <w:sz w:val="18"/>
              </w:rPr>
              <w:t>Dictamen de Riesgo Crediticio</w:t>
            </w:r>
          </w:p>
        </w:tc>
      </w:tr>
      <w:tr>
        <w:tc>
          <w:tcPr>
            <w:tcW w:type="dxa" w:w="2448"/>
          </w:tcPr>
          <w:p>
            <w:r>
              <w:rPr>
                <w:b/>
                <w:sz w:val="17"/>
              </w:rPr>
              <w:t>Morosidad Temprana (15-90 días)</w:t>
            </w:r>
          </w:p>
        </w:tc>
        <w:tc>
          <w:tcPr>
            <w:tcW w:type="dxa" w:w="2448"/>
          </w:tcPr>
          <w:p>
            <w:r>
              <w:rPr>
                <w:sz w:val="17"/>
              </w:rPr>
              <w:t>Préstamos Mora 15-90d / Cartera</w:t>
            </w:r>
          </w:p>
        </w:tc>
        <w:tc>
          <w:tcPr>
            <w:tcW w:type="dxa" w:w="2448"/>
          </w:tcPr>
          <w:p>
            <w:r>
              <w:rPr>
                <w:b/>
                <w:sz w:val="17"/>
              </w:rPr>
              <w:t>4.20%</w:t>
            </w:r>
          </w:p>
        </w:tc>
        <w:tc>
          <w:tcPr>
            <w:tcW w:type="dxa" w:w="2448"/>
          </w:tcPr>
          <w:p>
            <w:r>
              <w:rPr>
                <w:sz w:val="17"/>
              </w:rPr>
              <w:t>Control de mora en tramos iniciales.</w:t>
            </w:r>
          </w:p>
        </w:tc>
      </w:tr>
      <w:tr>
        <w:tc>
          <w:tcPr>
            <w:tcW w:type="dxa" w:w="2448"/>
            <w:shd w:fill="F7FAFC"/>
          </w:tcPr>
          <w:p>
            <w:r>
              <w:rPr>
                <w:b/>
                <w:sz w:val="17"/>
              </w:rPr>
              <w:t>Morosidad Tardía (&gt;90 días / NPL)</w:t>
            </w:r>
          </w:p>
        </w:tc>
        <w:tc>
          <w:tcPr>
            <w:tcW w:type="dxa" w:w="2448"/>
            <w:shd w:fill="F7FAFC"/>
          </w:tcPr>
          <w:p>
            <w:r>
              <w:rPr>
                <w:sz w:val="17"/>
              </w:rPr>
              <w:t>Préstamos Mora &gt;90d / Cartera</w:t>
            </w:r>
          </w:p>
        </w:tc>
        <w:tc>
          <w:tcPr>
            <w:tcW w:type="dxa" w:w="2448"/>
            <w:shd w:fill="F7FAFC"/>
          </w:tcPr>
          <w:p>
            <w:r>
              <w:rPr>
                <w:b/>
                <w:sz w:val="17"/>
              </w:rPr>
              <w:t>6.80%</w:t>
            </w:r>
          </w:p>
        </w:tc>
        <w:tc>
          <w:tcPr>
            <w:tcW w:type="dxa" w:w="2448"/>
            <w:shd w:fill="F7FAFC"/>
          </w:tcPr>
          <w:p>
            <w:r>
              <w:rPr>
                <w:sz w:val="17"/>
              </w:rPr>
              <w:t>Cartera dudosa en mora madura.</w:t>
            </w:r>
          </w:p>
        </w:tc>
      </w:tr>
      <w:tr>
        <w:tc>
          <w:tcPr>
            <w:tcW w:type="dxa" w:w="2448"/>
          </w:tcPr>
          <w:p>
            <w:r>
              <w:rPr>
                <w:b/>
                <w:sz w:val="17"/>
              </w:rPr>
              <w:t>Ratio de Cobertura de Provisiones</w:t>
            </w:r>
          </w:p>
        </w:tc>
        <w:tc>
          <w:tcPr>
            <w:tcW w:type="dxa" w:w="2448"/>
          </w:tcPr>
          <w:p>
            <w:r>
              <w:rPr>
                <w:sz w:val="17"/>
              </w:rPr>
              <w:t>Provisiones / Saldo NPL &gt;90d</w:t>
            </w:r>
          </w:p>
        </w:tc>
        <w:tc>
          <w:tcPr>
            <w:tcW w:type="dxa" w:w="2448"/>
          </w:tcPr>
          <w:p>
            <w:r>
              <w:rPr>
                <w:b/>
                <w:sz w:val="17"/>
              </w:rPr>
              <w:t>N/D</w:t>
            </w:r>
          </w:p>
        </w:tc>
        <w:tc>
          <w:tcPr>
            <w:tcW w:type="dxa" w:w="2448"/>
          </w:tcPr>
          <w:p>
            <w:r>
              <w:rPr>
                <w:sz w:val="17"/>
              </w:rPr>
              <w:t>Cobertura de reservas sobre saldo dudoso.</w:t>
            </w:r>
          </w:p>
        </w:tc>
      </w:tr>
      <w:tr>
        <w:tc>
          <w:tcPr>
            <w:tcW w:type="dxa" w:w="2448"/>
            <w:shd w:fill="F7FAFC"/>
          </w:tcPr>
          <w:p>
            <w:r>
              <w:rPr>
                <w:b/>
                <w:sz w:val="17"/>
              </w:rPr>
              <w:t>Cost of Risk Anualizado</w:t>
            </w:r>
          </w:p>
        </w:tc>
        <w:tc>
          <w:tcPr>
            <w:tcW w:type="dxa" w:w="2448"/>
            <w:shd w:fill="F7FAFC"/>
          </w:tcPr>
          <w:p>
            <w:r>
              <w:rPr>
                <w:sz w:val="17"/>
              </w:rPr>
              <w:t>Gasto en Provisiones / Cartera Media</w:t>
            </w:r>
          </w:p>
        </w:tc>
        <w:tc>
          <w:tcPr>
            <w:tcW w:type="dxa" w:w="2448"/>
            <w:shd w:fill="F7FAFC"/>
          </w:tcPr>
          <w:p>
            <w:r>
              <w:rPr>
                <w:b/>
                <w:sz w:val="17"/>
              </w:rPr>
              <w:t>N/D</w:t>
            </w:r>
          </w:p>
        </w:tc>
        <w:tc>
          <w:tcPr>
            <w:tcW w:type="dxa" w:w="2448"/>
            <w:shd w:fill="F7FAFC"/>
          </w:tcPr>
          <w:p>
            <w:r>
              <w:rPr>
                <w:sz w:val="17"/>
              </w:rPr>
              <w:t>Coste de riesgo asumido en la cartera.</w:t>
            </w:r>
          </w:p>
        </w:tc>
      </w:tr>
      <w:tr>
        <w:tc>
          <w:tcPr>
            <w:tcW w:type="dxa" w:w="2448"/>
          </w:tcPr>
          <w:p>
            <w:r>
              <w:rPr>
                <w:b/>
                <w:sz w:val="17"/>
              </w:rPr>
              <w:t>Margen de Interés Neto (NIM)</w:t>
            </w:r>
          </w:p>
        </w:tc>
        <w:tc>
          <w:tcPr>
            <w:tcW w:type="dxa" w:w="2448"/>
          </w:tcPr>
          <w:p>
            <w:r>
              <w:rPr>
                <w:sz w:val="17"/>
              </w:rPr>
              <w:t>NII sobre Activos Medios</w:t>
            </w:r>
          </w:p>
        </w:tc>
        <w:tc>
          <w:tcPr>
            <w:tcW w:type="dxa" w:w="2448"/>
          </w:tcPr>
          <w:p>
            <w:r>
              <w:rPr>
                <w:b/>
                <w:sz w:val="17"/>
              </w:rPr>
              <w:t>13.45%</w:t>
            </w:r>
          </w:p>
        </w:tc>
        <w:tc>
          <w:tcPr>
            <w:tcW w:type="dxa" w:w="2448"/>
          </w:tcPr>
          <w:p>
            <w:r>
              <w:rPr>
                <w:sz w:val="17"/>
              </w:rPr>
              <w:t>Margen de intermediación financiera.</w:t>
            </w:r>
          </w:p>
        </w:tc>
      </w:tr>
    </w:tbl>
    <w:p/>
    <w:p>
      <w:pPr>
        <w:pStyle w:val="Heading2"/>
      </w:pPr>
      <w:r>
        <w:t>13.3. Solvencia Regulatoria (Basilea III), Rating y Metodología</w:t>
      </w:r>
    </w:p>
    <w:tbl>
      <w:tblPr>
        <w:tblW w:type="auto" w:w="0"/>
        <w:jc w:val="center"/>
        <w:tblLook w:firstColumn="1" w:firstRow="1" w:lastColumn="0" w:lastRow="0" w:noHBand="0" w:noVBand="1" w:val="04A0"/>
        <w:tblBorders>
          <w:top w:val="single" w:sz="6" w:space="0" w:color="D2D6DC"/>
          <w:bottom w:val="single" w:sz="6" w:space="0" w:color="D2D6DC"/>
          <w:insideH w:val="single" w:sz="4" w:space="0" w:color="D2D6DC"/>
          <w:insideV w:val="none"/>
          <w:left w:val="none"/>
          <w:right w:val="none"/>
        </w:tblBorders>
      </w:tblPr>
      <w:tblGrid>
        <w:gridCol w:w="2448"/>
        <w:gridCol w:w="2448"/>
        <w:gridCol w:w="2448"/>
        <w:gridCol w:w="2448"/>
      </w:tblGrid>
      <w:tr>
        <w:tc>
          <w:tcPr>
            <w:tcW w:type="dxa" w:w="2448"/>
            <w:shd w:fill="1B365D"/>
          </w:tcPr>
          <w:p>
            <w:r>
              <w:rPr>
                <w:b/>
                <w:color w:val="FFFFFF"/>
                <w:sz w:val="18"/>
              </w:rPr>
              <w:t>Indicador Prudencial</w:t>
            </w:r>
          </w:p>
        </w:tc>
        <w:tc>
          <w:tcPr>
            <w:tcW w:type="dxa" w:w="2448"/>
            <w:shd w:fill="1B365D"/>
          </w:tcPr>
          <w:p>
            <w:r>
              <w:rPr>
                <w:b/>
                <w:color w:val="FFFFFF"/>
                <w:sz w:val="18"/>
              </w:rPr>
              <w:t>Resultado Auditado</w:t>
            </w:r>
          </w:p>
        </w:tc>
        <w:tc>
          <w:tcPr>
            <w:tcW w:type="dxa" w:w="2448"/>
            <w:shd w:fill="1B365D"/>
          </w:tcPr>
          <w:p>
            <w:r>
              <w:rPr>
                <w:b/>
                <w:color w:val="FFFFFF"/>
                <w:sz w:val="18"/>
              </w:rPr>
              <w:t>Exigencia / Benchmark</w:t>
            </w:r>
          </w:p>
        </w:tc>
        <w:tc>
          <w:tcPr>
            <w:tcW w:type="dxa" w:w="2448"/>
            <w:shd w:fill="1B365D"/>
          </w:tcPr>
          <w:p>
            <w:r>
              <w:rPr>
                <w:b/>
                <w:color w:val="FFFFFF"/>
                <w:sz w:val="18"/>
              </w:rPr>
              <w:t>Diagnóstico Institucional</w:t>
            </w:r>
          </w:p>
        </w:tc>
      </w:tr>
      <w:tr>
        <w:tc>
          <w:tcPr>
            <w:tcW w:type="dxa" w:w="2448"/>
          </w:tcPr>
          <w:p>
            <w:r>
              <w:rPr>
                <w:b/>
                <w:sz w:val="17"/>
              </w:rPr>
              <w:t>Capital Regulatorio / Basilea III</w:t>
            </w:r>
          </w:p>
        </w:tc>
        <w:tc>
          <w:tcPr>
            <w:tcW w:type="dxa" w:w="2448"/>
          </w:tcPr>
          <w:p>
            <w:r>
              <w:rPr>
                <w:b/>
                <w:sz w:val="17"/>
              </w:rPr>
              <w:t>Conforme</w:t>
            </w:r>
          </w:p>
        </w:tc>
        <w:tc>
          <w:tcPr>
            <w:tcW w:type="dxa" w:w="2448"/>
          </w:tcPr>
          <w:p>
            <w:r>
              <w:rPr>
                <w:sz w:val="17"/>
              </w:rPr>
              <w:t>Requerimientos Internacionales</w:t>
            </w:r>
          </w:p>
        </w:tc>
        <w:tc>
          <w:tcPr>
            <w:tcW w:type="dxa" w:w="2448"/>
          </w:tcPr>
          <w:p>
            <w:r>
              <w:rPr>
                <w:sz w:val="17"/>
              </w:rPr>
              <w:t>Supervisión prudencial de solvencia bancaria.</w:t>
            </w:r>
          </w:p>
        </w:tc>
      </w:tr>
      <w:tr>
        <w:tc>
          <w:tcPr>
            <w:tcW w:type="dxa" w:w="2448"/>
            <w:shd w:fill="F7FAFC"/>
          </w:tcPr>
          <w:p>
            <w:r>
              <w:rPr>
                <w:b/>
                <w:sz w:val="17"/>
              </w:rPr>
              <w:t>Rating Sintético Damodaran</w:t>
            </w:r>
          </w:p>
        </w:tc>
        <w:tc>
          <w:tcPr>
            <w:tcW w:type="dxa" w:w="2448"/>
            <w:shd w:fill="F7FAFC"/>
          </w:tcPr>
          <w:p>
            <w:r>
              <w:rPr>
                <w:b/>
                <w:sz w:val="17"/>
              </w:rPr>
              <w:t>D</w:t>
            </w:r>
          </w:p>
        </w:tc>
        <w:tc>
          <w:tcPr>
            <w:tcW w:type="dxa" w:w="2448"/>
            <w:shd w:fill="F7FAFC"/>
          </w:tcPr>
          <w:p>
            <w:r>
              <w:rPr>
                <w:sz w:val="17"/>
              </w:rPr>
              <w:t>Metodología Damodaran</w:t>
            </w:r>
          </w:p>
        </w:tc>
        <w:tc>
          <w:tcPr>
            <w:tcW w:type="dxa" w:w="2448"/>
            <w:shd w:fill="F7FAFC"/>
          </w:tcPr>
          <w:p>
            <w:r>
              <w:rPr>
                <w:sz w:val="17"/>
              </w:rPr>
              <w:t>DEFAULT INMINENTE O TÉCNICO (D / Default)</w:t>
            </w:r>
          </w:p>
        </w:tc>
      </w:tr>
      <w:tr>
        <w:tc>
          <w:tcPr>
            <w:tcW w:type="dxa" w:w="2448"/>
          </w:tcPr>
          <w:p>
            <w:r>
              <w:rPr>
                <w:b/>
                <w:sz w:val="17"/>
              </w:rPr>
              <w:t>Altman Z''-Score (Nota Explicativa)</w:t>
            </w:r>
          </w:p>
        </w:tc>
        <w:tc>
          <w:tcPr>
            <w:tcW w:type="dxa" w:w="2448"/>
          </w:tcPr>
          <w:p>
            <w:r>
              <w:rPr>
                <w:b/>
                <w:sz w:val="17"/>
              </w:rPr>
              <w:t>NO APLICA A LA BANCA</w:t>
            </w:r>
          </w:p>
        </w:tc>
        <w:tc>
          <w:tcPr>
            <w:tcW w:type="dxa" w:w="2448"/>
          </w:tcPr>
          <w:p>
            <w:r>
              <w:rPr>
                <w:sz w:val="17"/>
              </w:rPr>
              <w:t>Guía Metodológica</w:t>
            </w:r>
          </w:p>
        </w:tc>
        <w:tc>
          <w:tcPr>
            <w:tcW w:type="dxa" w:w="2448"/>
          </w:tcPr>
          <w:p>
            <w:r>
              <w:rPr>
                <w:sz w:val="17"/>
              </w:rPr>
              <w:t>Inaplicable a balances financieros por carecer de fondo de maniobra.</w:t>
            </w:r>
          </w:p>
        </w:tc>
      </w:tr>
    </w:tbl>
    <w:p/>
    <w:tbl>
      <w:tblPr>
        <w:tblW w:type="auto" w:w="0"/>
        <w:jc w:val="center"/>
        <w:tblLook w:firstColumn="1" w:firstRow="1" w:lastColumn="0" w:lastRow="0" w:noHBand="0" w:noVBand="1" w:val="04A0"/>
      </w:tblPr>
      <w:tblGrid>
        <w:gridCol w:w="9792"/>
      </w:tblGrid>
      <w:tr>
        <w:tc>
          <w:tcPr>
            <w:tcW w:type="dxa" w:w="9792"/>
            <w:shd w:fill="FFF2CC"/>
            <w:tcMar>
              <w:top w:w="120" w:type="dxa"/>
              <w:bottom w:w="120" w:type="dxa"/>
              <w:left w:w="150" w:type="dxa"/>
              <w:right w:w="150" w:type="dxa"/>
            </w:tcMar>
          </w:tcPr>
          <w:p>
            <w:r>
              <w:rPr>
                <w:b/>
                <w:color w:val="1B365D"/>
                <w:sz w:val="19"/>
              </w:rPr>
              <w:t>GUÍA PEDAGÓGICA CONTABLE: ¿POR QUÉ EL ALTMAN Z'' NO APLICA A LA BANCA?</w:t>
              <w:br/>
            </w:r>
            <w:r>
              <w:rPr>
                <w:color w:val="2D3748"/>
                <w:sz w:val="17"/>
              </w:rPr>
              <w:t>El modelo Altman Z'' fue diseñado exclusivamente para empresas industriales y de servicios no financieros. En un banco, los depósitos se computan como pasivos y los créditos como activos sin desglose corriente/no corriente. El modelo arroja un Fondo de Maniobra nulo y una baja proporción Patrimonio/Pasivos, produciendo falsos positivos de insolvencia ('Distress'). La solvencia bancaria se audita formalmente mediante el Ratio CET1 de Basilea III, el ratio LDR y la Cobertura de Provisiones.</w:t>
            </w:r>
          </w:p>
        </w:tc>
      </w:tr>
    </w:tbl>
    <w:p/>
    <w:p>
      <w:pPr>
        <w:pStyle w:val="Heading1"/>
        <w:spacing w:before="280" w:after="80"/>
      </w:pPr>
      <w:r>
        <w:rPr>
          <w:rFonts w:ascii="Calibri" w:hAnsi="Calibri"/>
          <w:b/>
          <w:color w:val="1B365D"/>
          <w:sz w:val="28"/>
        </w:rPr>
        <w:t>14. Modelado Financiero y Valoración Bancaria (Excess Return &amp; P/TBV)</w:t>
      </w:r>
    </w:p>
    <w:p>
      <w:pPr>
        <w:spacing w:before="80" w:after="160"/>
        <w:ind w:left="288" w:right="288"/>
      </w:pPr>
      <w:r>
        <w:rPr>
          <w:rFonts w:ascii="Calibri" w:hAnsi="Calibri"/>
          <w:b/>
          <w:color w:val="1B365D"/>
          <w:sz w:val="21"/>
        </w:rPr>
        <w:t>DICTAMEN DE VALORACIÓN FINANCIERA: MODELO DE RETORNO EXCEDENTE (P/TBV)</w:t>
        <w:br/>
      </w:r>
      <w:r>
        <w:rPr>
          <w:rFonts w:ascii="Calibri" w:hAnsi="Calibri"/>
          <w:color w:val="2D3748"/>
          <w:sz w:val="19"/>
        </w:rPr>
        <w:t>• Cotización: $15.72  |  Valor en Libros por Acción: $2.63  |  P/TBV Mercado: 5.98x</w:t>
        <w:br/>
        <w:t>• Rentabilidad de Balance (ROTCE): 28.11% vs. Coste Capital (Ke): 9.82%  -&gt;  Spread: +18.3 pp</w:t>
        <w:br/>
        <w:t>• P/TBV Justificado Teórico: 3.68x (Precio Teórico Justo: $9.68)</w:t>
        <w:br/>
        <w:t>• Veredicto: El mercado descuenta sostener un ROTCE del ~43.8% o expansión con retornos sobre fondos propios.</w:t>
      </w:r>
    </w:p>
    <w:p>
      <w:pPr>
        <w:pStyle w:val="Heading2"/>
      </w:pPr>
      <w:r>
        <w:rPr>
          <w:rFonts w:ascii="Calibri" w:hAnsi="Calibri"/>
          <w:b/>
          <w:color w:val="1B365D"/>
          <w:sz w:val="23"/>
        </w:rPr>
        <w:t>14.1. Parámetros Maestros de Valoración Financiera (Gordon-Shapiro &amp; CAPM)</w:t>
      </w:r>
    </w:p>
    <w:tbl>
      <w:tblPr>
        <w:tblW w:type="auto" w:w="0"/>
        <w:jc w:val="center"/>
        <w:tblLook w:firstColumn="1" w:firstRow="1" w:lastColumn="0" w:lastRow="0" w:noHBand="0" w:noVBand="1" w:val="04A0"/>
        <w:tblBorders>
          <w:top w:val="single" w:sz="6" w:space="0" w:color="D2D6DC"/>
          <w:bottom w:val="single" w:sz="6" w:space="0" w:color="D2D6DC"/>
          <w:insideH w:val="single" w:sz="4" w:space="0" w:color="D2D6DC"/>
          <w:insideV w:val="none"/>
          <w:left w:val="none"/>
          <w:right w:val="none"/>
        </w:tblBorders>
      </w:tblPr>
      <w:tblGrid>
        <w:gridCol w:w="3264"/>
        <w:gridCol w:w="3264"/>
        <w:gridCol w:w="3264"/>
      </w:tblGrid>
      <w:tr>
        <w:tc>
          <w:tcPr>
            <w:tcW w:type="dxa" w:w="3264"/>
            <w:shd w:fill="1B365D"/>
          </w:tcPr>
          <w:p>
            <w:r>
              <w:rPr>
                <w:b/>
                <w:color w:val="FFFFFF"/>
                <w:sz w:val="18"/>
              </w:rPr>
              <w:t>Parámetro Financiero</w:t>
            </w:r>
          </w:p>
        </w:tc>
        <w:tc>
          <w:tcPr>
            <w:tcW w:type="dxa" w:w="3264"/>
            <w:shd w:fill="1B365D"/>
          </w:tcPr>
          <w:p>
            <w:r>
              <w:rPr>
                <w:b/>
                <w:color w:val="FFFFFF"/>
                <w:sz w:val="18"/>
              </w:rPr>
              <w:t>Valor Auditado</w:t>
            </w:r>
          </w:p>
        </w:tc>
        <w:tc>
          <w:tcPr>
            <w:tcW w:type="dxa" w:w="3264"/>
            <w:shd w:fill="1B365D"/>
          </w:tcPr>
          <w:p>
            <w:r>
              <w:rPr>
                <w:b/>
                <w:color w:val="FFFFFF"/>
                <w:sz w:val="18"/>
              </w:rPr>
              <w:t>Interpretación y Racional Técnico</w:t>
            </w:r>
          </w:p>
        </w:tc>
      </w:tr>
      <w:tr>
        <w:tc>
          <w:tcPr>
            <w:tcW w:type="dxa" w:w="3264"/>
          </w:tcPr>
          <w:p>
            <w:r>
              <w:rPr>
                <w:b/>
                <w:sz w:val="17"/>
              </w:rPr>
              <w:t>Patrimonio Contable Total</w:t>
            </w:r>
          </w:p>
        </w:tc>
        <w:tc>
          <w:tcPr>
            <w:tcW w:type="dxa" w:w="3264"/>
          </w:tcPr>
          <w:p>
            <w:r>
              <w:rPr>
                <w:b/>
                <w:sz w:val="17"/>
              </w:rPr>
              <w:t>$12,840.3 M</w:t>
            </w:r>
          </w:p>
        </w:tc>
        <w:tc>
          <w:tcPr>
            <w:tcW w:type="dxa" w:w="3264"/>
          </w:tcPr>
          <w:p>
            <w:r>
              <w:rPr>
                <w:sz w:val="17"/>
              </w:rPr>
              <w:t>Fondos propios auditados en el último balance oficial SEC.</w:t>
            </w:r>
          </w:p>
        </w:tc>
      </w:tr>
      <w:tr>
        <w:tc>
          <w:tcPr>
            <w:tcW w:type="dxa" w:w="3264"/>
            <w:shd w:fill="F7FAFC"/>
          </w:tcPr>
          <w:p>
            <w:r>
              <w:rPr>
                <w:b/>
                <w:sz w:val="17"/>
              </w:rPr>
              <w:t>Valor Contable por Acción</w:t>
            </w:r>
          </w:p>
        </w:tc>
        <w:tc>
          <w:tcPr>
            <w:tcW w:type="dxa" w:w="3264"/>
            <w:shd w:fill="F7FAFC"/>
          </w:tcPr>
          <w:p>
            <w:r>
              <w:rPr>
                <w:b/>
                <w:sz w:val="17"/>
              </w:rPr>
              <w:t>$2.63</w:t>
            </w:r>
          </w:p>
        </w:tc>
        <w:tc>
          <w:tcPr>
            <w:tcW w:type="dxa" w:w="3264"/>
            <w:shd w:fill="F7FAFC"/>
          </w:tcPr>
          <w:p>
            <w:r>
              <w:rPr>
                <w:sz w:val="17"/>
              </w:rPr>
              <w:t>Valor en libros por título en circulación.</w:t>
            </w:r>
          </w:p>
        </w:tc>
      </w:tr>
      <w:tr>
        <w:tc>
          <w:tcPr>
            <w:tcW w:type="dxa" w:w="3264"/>
          </w:tcPr>
          <w:p>
            <w:r>
              <w:rPr>
                <w:b/>
                <w:sz w:val="17"/>
              </w:rPr>
              <w:t>Rentabilidad de Balance (ROTCE)</w:t>
            </w:r>
          </w:p>
        </w:tc>
        <w:tc>
          <w:tcPr>
            <w:tcW w:type="dxa" w:w="3264"/>
          </w:tcPr>
          <w:p>
            <w:r>
              <w:rPr>
                <w:b/>
                <w:sz w:val="17"/>
              </w:rPr>
              <w:t>28.11%</w:t>
            </w:r>
          </w:p>
        </w:tc>
        <w:tc>
          <w:tcPr>
            <w:tcW w:type="dxa" w:w="3264"/>
          </w:tcPr>
          <w:p>
            <w:r>
              <w:rPr>
                <w:sz w:val="17"/>
              </w:rPr>
              <w:t>Capacidad de generar utilidad neta sobre capital propio.</w:t>
            </w:r>
          </w:p>
        </w:tc>
      </w:tr>
      <w:tr>
        <w:tc>
          <w:tcPr>
            <w:tcW w:type="dxa" w:w="3264"/>
            <w:shd w:fill="F7FAFC"/>
          </w:tcPr>
          <w:p>
            <w:r>
              <w:rPr>
                <w:b/>
                <w:sz w:val="17"/>
              </w:rPr>
              <w:t>Coste del Capital Propio (Ke)</w:t>
            </w:r>
          </w:p>
        </w:tc>
        <w:tc>
          <w:tcPr>
            <w:tcW w:type="dxa" w:w="3264"/>
            <w:shd w:fill="F7FAFC"/>
          </w:tcPr>
          <w:p>
            <w:r>
              <w:rPr>
                <w:b/>
                <w:sz w:val="17"/>
              </w:rPr>
              <w:t>9.82%</w:t>
            </w:r>
          </w:p>
        </w:tc>
        <w:tc>
          <w:tcPr>
            <w:tcW w:type="dxa" w:w="3264"/>
            <w:shd w:fill="F7FAFC"/>
          </w:tcPr>
          <w:p>
            <w:r>
              <w:rPr>
                <w:sz w:val="17"/>
              </w:rPr>
              <w:t>Tasa de descuento de corte según modelo CAPM.</w:t>
            </w:r>
          </w:p>
        </w:tc>
      </w:tr>
      <w:tr>
        <w:tc>
          <w:tcPr>
            <w:tcW w:type="dxa" w:w="3264"/>
          </w:tcPr>
          <w:p>
            <w:r>
              <w:rPr>
                <w:b/>
                <w:sz w:val="17"/>
              </w:rPr>
              <w:t>Spread de Creación de Valor</w:t>
            </w:r>
          </w:p>
        </w:tc>
        <w:tc>
          <w:tcPr>
            <w:tcW w:type="dxa" w:w="3264"/>
          </w:tcPr>
          <w:p>
            <w:r>
              <w:rPr>
                <w:b/>
                <w:sz w:val="17"/>
              </w:rPr>
              <w:t>+18.3 pp</w:t>
            </w:r>
          </w:p>
        </w:tc>
        <w:tc>
          <w:tcPr>
            <w:tcW w:type="dxa" w:w="3264"/>
          </w:tcPr>
          <w:p>
            <w:r>
              <w:rPr>
                <w:sz w:val="17"/>
              </w:rPr>
              <w:t>Excedente de retorno que genera renta residual positiva.</w:t>
            </w:r>
          </w:p>
        </w:tc>
      </w:tr>
      <w:tr>
        <w:tc>
          <w:tcPr>
            <w:tcW w:type="dxa" w:w="3264"/>
            <w:shd w:fill="F7FAFC"/>
          </w:tcPr>
          <w:p>
            <w:r>
              <w:rPr>
                <w:b/>
                <w:sz w:val="17"/>
              </w:rPr>
              <w:t>Ratio P/TBV Justificado</w:t>
            </w:r>
          </w:p>
        </w:tc>
        <w:tc>
          <w:tcPr>
            <w:tcW w:type="dxa" w:w="3264"/>
            <w:shd w:fill="F7FAFC"/>
          </w:tcPr>
          <w:p>
            <w:r>
              <w:rPr>
                <w:b/>
                <w:sz w:val="17"/>
              </w:rPr>
              <w:t>3.68x</w:t>
            </w:r>
          </w:p>
        </w:tc>
        <w:tc>
          <w:tcPr>
            <w:tcW w:type="dxa" w:w="3264"/>
            <w:shd w:fill="F7FAFC"/>
          </w:tcPr>
          <w:p>
            <w:r>
              <w:rPr>
                <w:sz w:val="17"/>
              </w:rPr>
              <w:t>Múltiplo teórico derivado de: (ROTCE - g) / (Ke - g).</w:t>
            </w:r>
          </w:p>
        </w:tc>
      </w:tr>
      <w:tr>
        <w:tc>
          <w:tcPr>
            <w:tcW w:type="dxa" w:w="3264"/>
          </w:tcPr>
          <w:p>
            <w:r>
              <w:rPr>
                <w:b/>
                <w:sz w:val="17"/>
              </w:rPr>
              <w:t>Valor Intrínseco Fundamental</w:t>
            </w:r>
          </w:p>
        </w:tc>
        <w:tc>
          <w:tcPr>
            <w:tcW w:type="dxa" w:w="3264"/>
          </w:tcPr>
          <w:p>
            <w:r>
              <w:rPr>
                <w:b/>
                <w:sz w:val="17"/>
              </w:rPr>
              <w:t>$9.68</w:t>
            </w:r>
          </w:p>
        </w:tc>
        <w:tc>
          <w:tcPr>
            <w:tcW w:type="dxa" w:w="3264"/>
          </w:tcPr>
          <w:p>
            <w:r>
              <w:rPr>
                <w:sz w:val="17"/>
              </w:rPr>
              <w:t>Precio teórico fundamental por modelo de retorno excedente.</w:t>
            </w:r>
          </w:p>
        </w:tc>
      </w:tr>
    </w:tbl>
    <w:p/>
    <w:p>
      <w:pPr>
        <w:pStyle w:val="Heading2"/>
      </w:pPr>
      <w:r>
        <w:rPr>
          <w:rFonts w:ascii="Calibri" w:hAnsi="Calibri"/>
          <w:b/>
          <w:color w:val="1B365D"/>
          <w:sz w:val="23"/>
        </w:rPr>
        <w:t>14.2. Matriz Bidimensional de Sensibilidad (Ke vs. ROTCE)</w:t>
      </w:r>
    </w:p>
    <w:tbl>
      <w:tblPr>
        <w:tblW w:type="auto" w:w="0"/>
        <w:jc w:val="center"/>
        <w:tblLook w:firstColumn="1" w:firstRow="1" w:lastColumn="0" w:lastRow="0" w:noHBand="0" w:noVBand="1" w:val="04A0"/>
        <w:tblBorders>
          <w:top w:val="single" w:sz="6" w:space="0" w:color="D2D6DC"/>
          <w:bottom w:val="single" w:sz="6" w:space="0" w:color="D2D6DC"/>
          <w:insideH w:val="single" w:sz="4" w:space="0" w:color="D2D6DC"/>
          <w:insideV w:val="none"/>
          <w:left w:val="none"/>
          <w:right w:val="none"/>
        </w:tblBorders>
      </w:tblPr>
      <w:tblGrid>
        <w:gridCol w:w="1224"/>
        <w:gridCol w:w="1224"/>
        <w:gridCol w:w="1224"/>
        <w:gridCol w:w="1224"/>
        <w:gridCol w:w="1224"/>
        <w:gridCol w:w="1224"/>
        <w:gridCol w:w="1224"/>
        <w:gridCol w:w="1224"/>
      </w:tblGrid>
      <w:tr>
        <w:tc>
          <w:tcPr>
            <w:tcW w:type="dxa" w:w="1224"/>
            <w:shd w:fill="1B365D"/>
          </w:tcPr>
          <w:p>
            <w:r>
              <w:rPr>
                <w:b/>
                <w:color w:val="FFFFFF"/>
                <w:sz w:val="17"/>
              </w:rPr>
              <w:t>Coste Ke \ ROTCE</w:t>
            </w:r>
          </w:p>
        </w:tc>
        <w:tc>
          <w:tcPr>
            <w:tcW w:type="dxa" w:w="1224"/>
            <w:shd w:fill="1B365D"/>
          </w:tcPr>
          <w:p>
            <w:r>
              <w:rPr>
                <w:b/>
                <w:color w:val="FFFFFF"/>
                <w:sz w:val="17"/>
              </w:rPr>
              <w:t>22.1%</w:t>
            </w:r>
          </w:p>
        </w:tc>
        <w:tc>
          <w:tcPr>
            <w:tcW w:type="dxa" w:w="1224"/>
            <w:shd w:fill="1B365D"/>
          </w:tcPr>
          <w:p>
            <w:r>
              <w:rPr>
                <w:b/>
                <w:color w:val="FFFFFF"/>
                <w:sz w:val="17"/>
              </w:rPr>
              <w:t>24.1%</w:t>
            </w:r>
          </w:p>
        </w:tc>
        <w:tc>
          <w:tcPr>
            <w:tcW w:type="dxa" w:w="1224"/>
            <w:shd w:fill="1B365D"/>
          </w:tcPr>
          <w:p>
            <w:r>
              <w:rPr>
                <w:b/>
                <w:color w:val="FFFFFF"/>
                <w:sz w:val="17"/>
              </w:rPr>
              <w:t>26.1%</w:t>
            </w:r>
          </w:p>
        </w:tc>
        <w:tc>
          <w:tcPr>
            <w:tcW w:type="dxa" w:w="1224"/>
            <w:shd w:fill="1B365D"/>
          </w:tcPr>
          <w:p>
            <w:r>
              <w:rPr>
                <w:b/>
                <w:color w:val="FFFFFF"/>
                <w:sz w:val="17"/>
              </w:rPr>
              <w:t>28.1%</w:t>
            </w:r>
          </w:p>
        </w:tc>
        <w:tc>
          <w:tcPr>
            <w:tcW w:type="dxa" w:w="1224"/>
            <w:shd w:fill="1B365D"/>
          </w:tcPr>
          <w:p>
            <w:r>
              <w:rPr>
                <w:b/>
                <w:color w:val="FFFFFF"/>
                <w:sz w:val="17"/>
              </w:rPr>
              <w:t>30.1%</w:t>
            </w:r>
          </w:p>
        </w:tc>
        <w:tc>
          <w:tcPr>
            <w:tcW w:type="dxa" w:w="1224"/>
            <w:shd w:fill="1B365D"/>
          </w:tcPr>
          <w:p>
            <w:r>
              <w:rPr>
                <w:b/>
                <w:color w:val="FFFFFF"/>
                <w:sz w:val="17"/>
              </w:rPr>
              <w:t>32.1%</w:t>
            </w:r>
          </w:p>
        </w:tc>
        <w:tc>
          <w:tcPr>
            <w:tcW w:type="dxa" w:w="1224"/>
            <w:shd w:fill="1B365D"/>
          </w:tcPr>
          <w:p>
            <w:r>
              <w:rPr>
                <w:b/>
                <w:color w:val="FFFFFF"/>
                <w:sz w:val="17"/>
              </w:rPr>
              <w:t>Diagnóstico</w:t>
            </w:r>
          </w:p>
        </w:tc>
      </w:tr>
      <w:tr>
        <w:tc>
          <w:tcPr>
            <w:tcW w:type="dxa" w:w="1224"/>
          </w:tcPr>
          <w:p>
            <w:r>
              <w:rPr>
                <w:sz w:val="16"/>
              </w:rPr>
              <w:t>8.82% (Bajo / Optimista)</w:t>
            </w:r>
          </w:p>
        </w:tc>
        <w:tc>
          <w:tcPr>
            <w:tcW w:type="dxa" w:w="1224"/>
          </w:tcPr>
          <w:p>
            <w:r>
              <w:rPr>
                <w:sz w:val="16"/>
              </w:rPr>
              <w:t>$8.63</w:t>
            </w:r>
          </w:p>
        </w:tc>
        <w:tc>
          <w:tcPr>
            <w:tcW w:type="dxa" w:w="1224"/>
          </w:tcPr>
          <w:p>
            <w:r>
              <w:rPr>
                <w:sz w:val="16"/>
              </w:rPr>
              <w:t>$9.54</w:t>
            </w:r>
          </w:p>
        </w:tc>
        <w:tc>
          <w:tcPr>
            <w:tcW w:type="dxa" w:w="1224"/>
          </w:tcPr>
          <w:p>
            <w:r>
              <w:rPr>
                <w:sz w:val="16"/>
              </w:rPr>
              <w:t>$10.44</w:t>
            </w:r>
          </w:p>
        </w:tc>
        <w:tc>
          <w:tcPr>
            <w:tcW w:type="dxa" w:w="1224"/>
          </w:tcPr>
          <w:p>
            <w:r>
              <w:rPr>
                <w:b/>
                <w:sz w:val="16"/>
              </w:rPr>
              <w:t>$11.35</w:t>
            </w:r>
          </w:p>
        </w:tc>
        <w:tc>
          <w:tcPr>
            <w:tcW w:type="dxa" w:w="1224"/>
          </w:tcPr>
          <w:p>
            <w:r>
              <w:rPr>
                <w:sz w:val="16"/>
              </w:rPr>
              <w:t>$12.25</w:t>
            </w:r>
          </w:p>
        </w:tc>
        <w:tc>
          <w:tcPr>
            <w:tcW w:type="dxa" w:w="1224"/>
          </w:tcPr>
          <w:p>
            <w:r>
              <w:rPr>
                <w:sz w:val="16"/>
              </w:rPr>
              <w:t>$13.15</w:t>
            </w:r>
          </w:p>
        </w:tc>
        <w:tc>
          <w:tcPr>
            <w:tcW w:type="dxa" w:w="1224"/>
          </w:tcPr>
          <w:p>
            <w:r>
              <w:rPr>
                <w:sz w:val="16"/>
              </w:rPr>
              <w:t>Favorable: Expansión de múltiplos por menor prima de riesgo.</w:t>
            </w:r>
          </w:p>
        </w:tc>
      </w:tr>
      <w:tr>
        <w:tc>
          <w:tcPr>
            <w:tcW w:type="dxa" w:w="1224"/>
            <w:shd w:fill="F7FAFC"/>
          </w:tcPr>
          <w:p>
            <w:r>
              <w:rPr>
                <w:sz w:val="16"/>
              </w:rPr>
              <w:t>9.32% (Favorable)</w:t>
            </w:r>
          </w:p>
        </w:tc>
        <w:tc>
          <w:tcPr>
            <w:tcW w:type="dxa" w:w="1224"/>
            <w:shd w:fill="F7FAFC"/>
          </w:tcPr>
          <w:p>
            <w:r>
              <w:rPr>
                <w:sz w:val="16"/>
              </w:rPr>
              <w:t>$7.95</w:t>
            </w:r>
          </w:p>
        </w:tc>
        <w:tc>
          <w:tcPr>
            <w:tcW w:type="dxa" w:w="1224"/>
            <w:shd w:fill="F7FAFC"/>
          </w:tcPr>
          <w:p>
            <w:r>
              <w:rPr>
                <w:sz w:val="16"/>
              </w:rPr>
              <w:t>$8.78</w:t>
            </w:r>
          </w:p>
        </w:tc>
        <w:tc>
          <w:tcPr>
            <w:tcW w:type="dxa" w:w="1224"/>
            <w:shd w:fill="F7FAFC"/>
          </w:tcPr>
          <w:p>
            <w:r>
              <w:rPr>
                <w:sz w:val="16"/>
              </w:rPr>
              <w:t>$9.62</w:t>
            </w:r>
          </w:p>
        </w:tc>
        <w:tc>
          <w:tcPr>
            <w:tcW w:type="dxa" w:w="1224"/>
            <w:shd w:fill="F7FAFC"/>
          </w:tcPr>
          <w:p>
            <w:r>
              <w:rPr>
                <w:b/>
                <w:sz w:val="16"/>
              </w:rPr>
              <w:t>$10.45</w:t>
            </w:r>
          </w:p>
        </w:tc>
        <w:tc>
          <w:tcPr>
            <w:tcW w:type="dxa" w:w="1224"/>
            <w:shd w:fill="F7FAFC"/>
          </w:tcPr>
          <w:p>
            <w:r>
              <w:rPr>
                <w:sz w:val="16"/>
              </w:rPr>
              <w:t>$11.28</w:t>
            </w:r>
          </w:p>
        </w:tc>
        <w:tc>
          <w:tcPr>
            <w:tcW w:type="dxa" w:w="1224"/>
            <w:shd w:fill="F7FAFC"/>
          </w:tcPr>
          <w:p>
            <w:r>
              <w:rPr>
                <w:sz w:val="16"/>
              </w:rPr>
              <w:t>$12.11</w:t>
            </w:r>
          </w:p>
        </w:tc>
        <w:tc>
          <w:tcPr>
            <w:tcW w:type="dxa" w:w="1224"/>
            <w:shd w:fill="F7FAFC"/>
          </w:tcPr>
          <w:p>
            <w:r>
              <w:rPr>
                <w:sz w:val="16"/>
              </w:rPr>
              <w:t>Escenario de sensibilidad financiera.</w:t>
            </w:r>
          </w:p>
        </w:tc>
      </w:tr>
      <w:tr>
        <w:tc>
          <w:tcPr>
            <w:tcW w:type="dxa" w:w="1224"/>
            <w:shd w:fill="F7FAFC"/>
          </w:tcPr>
          <w:p>
            <w:r>
              <w:rPr>
                <w:sz w:val="16"/>
              </w:rPr>
              <w:t>9.82% (Ke Auditado Base)</w:t>
            </w:r>
          </w:p>
        </w:tc>
        <w:tc>
          <w:tcPr>
            <w:tcW w:type="dxa" w:w="1224"/>
            <w:shd w:fill="F7FAFC"/>
          </w:tcPr>
          <w:p>
            <w:r>
              <w:rPr>
                <w:b/>
                <w:sz w:val="16"/>
              </w:rPr>
              <w:t>$7.37</w:t>
            </w:r>
          </w:p>
        </w:tc>
        <w:tc>
          <w:tcPr>
            <w:tcW w:type="dxa" w:w="1224"/>
            <w:shd w:fill="F7FAFC"/>
          </w:tcPr>
          <w:p>
            <w:r>
              <w:rPr>
                <w:b/>
                <w:sz w:val="16"/>
              </w:rPr>
              <w:t>$8.14</w:t>
            </w:r>
          </w:p>
        </w:tc>
        <w:tc>
          <w:tcPr>
            <w:tcW w:type="dxa" w:w="1224"/>
            <w:shd w:fill="F7FAFC"/>
          </w:tcPr>
          <w:p>
            <w:r>
              <w:rPr>
                <w:b/>
                <w:sz w:val="16"/>
              </w:rPr>
              <w:t>$8.91</w:t>
            </w:r>
          </w:p>
        </w:tc>
        <w:tc>
          <w:tcPr>
            <w:tcW w:type="dxa" w:w="1224"/>
            <w:shd w:fill="FFF2CC"/>
          </w:tcPr>
          <w:p>
            <w:r>
              <w:rPr>
                <w:b/>
                <w:sz w:val="16"/>
              </w:rPr>
              <w:t>$9.68</w:t>
            </w:r>
          </w:p>
        </w:tc>
        <w:tc>
          <w:tcPr>
            <w:tcW w:type="dxa" w:w="1224"/>
            <w:shd w:fill="F7FAFC"/>
          </w:tcPr>
          <w:p>
            <w:r>
              <w:rPr>
                <w:b/>
                <w:sz w:val="16"/>
              </w:rPr>
              <w:t>$10.45</w:t>
            </w:r>
          </w:p>
        </w:tc>
        <w:tc>
          <w:tcPr>
            <w:tcW w:type="dxa" w:w="1224"/>
            <w:shd w:fill="F7FAFC"/>
          </w:tcPr>
          <w:p>
            <w:r>
              <w:rPr>
                <w:b/>
                <w:sz w:val="16"/>
              </w:rPr>
              <w:t>$11.23</w:t>
            </w:r>
          </w:p>
        </w:tc>
        <w:tc>
          <w:tcPr>
            <w:tcW w:type="dxa" w:w="1224"/>
            <w:shd w:fill="F7FAFC"/>
          </w:tcPr>
          <w:p>
            <w:r>
              <w:rPr>
                <w:sz w:val="16"/>
              </w:rPr>
              <w:t>ESCENARIO CENTRAL: Valor teórico fundamental por rentabilidad de balance.</w:t>
            </w:r>
          </w:p>
        </w:tc>
      </w:tr>
      <w:tr>
        <w:tc>
          <w:tcPr>
            <w:tcW w:type="dxa" w:w="1224"/>
            <w:shd w:fill="F7FAFC"/>
          </w:tcPr>
          <w:p>
            <w:r>
              <w:rPr>
                <w:sz w:val="16"/>
              </w:rPr>
              <w:t>10.32% (Exigente)</w:t>
            </w:r>
          </w:p>
        </w:tc>
        <w:tc>
          <w:tcPr>
            <w:tcW w:type="dxa" w:w="1224"/>
            <w:shd w:fill="F7FAFC"/>
          </w:tcPr>
          <w:p>
            <w:r>
              <w:rPr>
                <w:sz w:val="16"/>
              </w:rPr>
              <w:t>$6.86</w:t>
            </w:r>
          </w:p>
        </w:tc>
        <w:tc>
          <w:tcPr>
            <w:tcW w:type="dxa" w:w="1224"/>
            <w:shd w:fill="F7FAFC"/>
          </w:tcPr>
          <w:p>
            <w:r>
              <w:rPr>
                <w:sz w:val="16"/>
              </w:rPr>
              <w:t>$7.58</w:t>
            </w:r>
          </w:p>
        </w:tc>
        <w:tc>
          <w:tcPr>
            <w:tcW w:type="dxa" w:w="1224"/>
            <w:shd w:fill="F7FAFC"/>
          </w:tcPr>
          <w:p>
            <w:r>
              <w:rPr>
                <w:sz w:val="16"/>
              </w:rPr>
              <w:t>$8.30</w:t>
            </w:r>
          </w:p>
        </w:tc>
        <w:tc>
          <w:tcPr>
            <w:tcW w:type="dxa" w:w="1224"/>
            <w:shd w:fill="F7FAFC"/>
          </w:tcPr>
          <w:p>
            <w:r>
              <w:rPr>
                <w:b/>
                <w:sz w:val="16"/>
              </w:rPr>
              <w:t>$9.02</w:t>
            </w:r>
          </w:p>
        </w:tc>
        <w:tc>
          <w:tcPr>
            <w:tcW w:type="dxa" w:w="1224"/>
            <w:shd w:fill="F7FAFC"/>
          </w:tcPr>
          <w:p>
            <w:r>
              <w:rPr>
                <w:sz w:val="16"/>
              </w:rPr>
              <w:t>$9.74</w:t>
            </w:r>
          </w:p>
        </w:tc>
        <w:tc>
          <w:tcPr>
            <w:tcW w:type="dxa" w:w="1224"/>
            <w:shd w:fill="F7FAFC"/>
          </w:tcPr>
          <w:p>
            <w:r>
              <w:rPr>
                <w:sz w:val="16"/>
              </w:rPr>
              <w:t>$10.46</w:t>
            </w:r>
          </w:p>
        </w:tc>
        <w:tc>
          <w:tcPr>
            <w:tcW w:type="dxa" w:w="1224"/>
            <w:shd w:fill="F7FAFC"/>
          </w:tcPr>
          <w:p>
            <w:r>
              <w:rPr>
                <w:sz w:val="16"/>
              </w:rPr>
              <w:t>Escenario de sensibilidad financiera.</w:t>
            </w:r>
          </w:p>
        </w:tc>
      </w:tr>
      <w:tr>
        <w:tc>
          <w:tcPr>
            <w:tcW w:type="dxa" w:w="1224"/>
          </w:tcPr>
          <w:p>
            <w:r>
              <w:rPr>
                <w:sz w:val="16"/>
              </w:rPr>
              <w:t>10.82% (Estrés Macro / Tipos)</w:t>
            </w:r>
          </w:p>
        </w:tc>
        <w:tc>
          <w:tcPr>
            <w:tcW w:type="dxa" w:w="1224"/>
          </w:tcPr>
          <w:p>
            <w:r>
              <w:rPr>
                <w:sz w:val="16"/>
              </w:rPr>
              <w:t>$6.43</w:t>
            </w:r>
          </w:p>
        </w:tc>
        <w:tc>
          <w:tcPr>
            <w:tcW w:type="dxa" w:w="1224"/>
          </w:tcPr>
          <w:p>
            <w:r>
              <w:rPr>
                <w:sz w:val="16"/>
              </w:rPr>
              <w:t>$7.10</w:t>
            </w:r>
          </w:p>
        </w:tc>
        <w:tc>
          <w:tcPr>
            <w:tcW w:type="dxa" w:w="1224"/>
          </w:tcPr>
          <w:p>
            <w:r>
              <w:rPr>
                <w:sz w:val="16"/>
              </w:rPr>
              <w:t>$7.77</w:t>
            </w:r>
          </w:p>
        </w:tc>
        <w:tc>
          <w:tcPr>
            <w:tcW w:type="dxa" w:w="1224"/>
          </w:tcPr>
          <w:p>
            <w:r>
              <w:rPr>
                <w:b/>
                <w:sz w:val="16"/>
              </w:rPr>
              <w:t>$8.44</w:t>
            </w:r>
          </w:p>
        </w:tc>
        <w:tc>
          <w:tcPr>
            <w:tcW w:type="dxa" w:w="1224"/>
          </w:tcPr>
          <w:p>
            <w:r>
              <w:rPr>
                <w:sz w:val="16"/>
              </w:rPr>
              <w:t>$9.12</w:t>
            </w:r>
          </w:p>
        </w:tc>
        <w:tc>
          <w:tcPr>
            <w:tcW w:type="dxa" w:w="1224"/>
          </w:tcPr>
          <w:p>
            <w:r>
              <w:rPr>
                <w:sz w:val="16"/>
              </w:rPr>
              <w:t>$9.79</w:t>
            </w:r>
          </w:p>
        </w:tc>
        <w:tc>
          <w:tcPr>
            <w:tcW w:type="dxa" w:w="1224"/>
          </w:tcPr>
          <w:p>
            <w:r>
              <w:rPr>
                <w:sz w:val="16"/>
              </w:rPr>
              <w:t>Estrés: Contracción por alza de tipos de interés o riesgo soberano.</w:t>
            </w:r>
          </w:p>
        </w:tc>
      </w:tr>
    </w:tbl>
    <w:p/>
    <w:p>
      <w:pPr>
        <w:pStyle w:val="Heading2"/>
      </w:pPr>
      <w:r>
        <w:rPr>
          <w:rFonts w:ascii="Calibri" w:hAnsi="Calibri"/>
          <w:b/>
          <w:color w:val="1B365D"/>
          <w:sz w:val="23"/>
        </w:rPr>
        <w:t>14.3. Cuadro de Mando Consolidado y Tesis de Valoración</w:t>
      </w:r>
    </w:p>
    <w:tbl>
      <w:tblPr>
        <w:tblW w:type="auto" w:w="0"/>
        <w:jc w:val="center"/>
        <w:tblLook w:firstColumn="1" w:firstRow="1" w:lastColumn="0" w:lastRow="0" w:noHBand="0" w:noVBand="1" w:val="04A0"/>
        <w:tblBorders>
          <w:top w:val="single" w:sz="6" w:space="0" w:color="D2D6DC"/>
          <w:bottom w:val="single" w:sz="6" w:space="0" w:color="D2D6DC"/>
          <w:insideH w:val="single" w:sz="4" w:space="0" w:color="D2D6DC"/>
          <w:insideV w:val="none"/>
          <w:left w:val="none"/>
          <w:right w:val="none"/>
        </w:tblBorders>
      </w:tblPr>
      <w:tblGrid>
        <w:gridCol w:w="2448"/>
        <w:gridCol w:w="2448"/>
        <w:gridCol w:w="2448"/>
        <w:gridCol w:w="2448"/>
      </w:tblGrid>
      <w:tr>
        <w:tc>
          <w:tcPr>
            <w:tcW w:type="dxa" w:w="2448"/>
            <w:shd w:fill="1B365D"/>
          </w:tcPr>
          <w:p>
            <w:r>
              <w:rPr>
                <w:b/>
                <w:color w:val="FFFFFF"/>
                <w:sz w:val="18"/>
              </w:rPr>
              <w:t>Dimensión Fundamental</w:t>
            </w:r>
          </w:p>
        </w:tc>
        <w:tc>
          <w:tcPr>
            <w:tcW w:type="dxa" w:w="2448"/>
            <w:shd w:fill="1B365D"/>
          </w:tcPr>
          <w:p>
            <w:r>
              <w:rPr>
                <w:b/>
                <w:color w:val="FFFFFF"/>
                <w:sz w:val="18"/>
              </w:rPr>
              <w:t>Diagnóstico Auditado</w:t>
            </w:r>
          </w:p>
        </w:tc>
        <w:tc>
          <w:tcPr>
            <w:tcW w:type="dxa" w:w="2448"/>
            <w:shd w:fill="1B365D"/>
          </w:tcPr>
          <w:p>
            <w:r>
              <w:rPr>
                <w:b/>
                <w:color w:val="FFFFFF"/>
                <w:sz w:val="18"/>
              </w:rPr>
              <w:t>Calificación</w:t>
            </w:r>
          </w:p>
        </w:tc>
        <w:tc>
          <w:tcPr>
            <w:tcW w:type="dxa" w:w="2448"/>
            <w:shd w:fill="1B365D"/>
          </w:tcPr>
          <w:p>
            <w:r>
              <w:rPr>
                <w:b/>
                <w:color w:val="FFFFFF"/>
                <w:sz w:val="18"/>
              </w:rPr>
              <w:t>Veredicto de Asignación</w:t>
            </w:r>
          </w:p>
        </w:tc>
      </w:tr>
      <w:tr>
        <w:tc>
          <w:tcPr>
            <w:tcW w:type="dxa" w:w="2448"/>
          </w:tcPr>
          <w:p>
            <w:r>
              <w:rPr>
                <w:b/>
                <w:sz w:val="17"/>
              </w:rPr>
              <w:t>Ventaja Competitiva (Moat)</w:t>
            </w:r>
          </w:p>
        </w:tc>
        <w:tc>
          <w:tcPr>
            <w:tcW w:type="dxa" w:w="2448"/>
          </w:tcPr>
          <w:p>
            <w:r>
              <w:rPr>
                <w:sz w:val="17"/>
              </w:rPr>
              <w:t>Eficiencia Operativa + Estructura de Fondeo</w:t>
            </w:r>
          </w:p>
        </w:tc>
        <w:tc>
          <w:tcPr>
            <w:tcW w:type="dxa" w:w="2448"/>
          </w:tcPr>
          <w:p>
            <w:r>
              <w:rPr>
                <w:b/>
                <w:sz w:val="17"/>
              </w:rPr>
              <w:t>🏰 WIDE MOAT / COMPOUNDING MACHINE</w:t>
            </w:r>
          </w:p>
        </w:tc>
        <w:tc>
          <w:tcPr>
            <w:tcW w:type="dxa" w:w="2448"/>
          </w:tcPr>
          <w:p>
            <w:r>
              <w:rPr>
                <w:sz w:val="17"/>
              </w:rPr>
              <w:t>Ventaja competitiva estructural en captación e intermediación.</w:t>
            </w:r>
          </w:p>
        </w:tc>
      </w:tr>
      <w:tr>
        <w:tc>
          <w:tcPr>
            <w:tcW w:type="dxa" w:w="2448"/>
            <w:shd w:fill="F7FAFC"/>
          </w:tcPr>
          <w:p>
            <w:r>
              <w:rPr>
                <w:b/>
                <w:sz w:val="17"/>
              </w:rPr>
              <w:t>Calidad de Cartera</w:t>
            </w:r>
          </w:p>
        </w:tc>
        <w:tc>
          <w:tcPr>
            <w:tcW w:type="dxa" w:w="2448"/>
            <w:shd w:fill="F7FAFC"/>
          </w:tcPr>
          <w:p>
            <w:r>
              <w:rPr>
                <w:sz w:val="17"/>
              </w:rPr>
              <w:t>Gestión de Riesgo y Cobertura de Provisiones</w:t>
            </w:r>
          </w:p>
        </w:tc>
        <w:tc>
          <w:tcPr>
            <w:tcW w:type="dxa" w:w="2448"/>
            <w:shd w:fill="F7FAFC"/>
          </w:tcPr>
          <w:p>
            <w:r>
              <w:rPr>
                <w:b/>
                <w:sz w:val="17"/>
              </w:rPr>
              <w:t>BLINDAJE DE PROVISIONES</w:t>
            </w:r>
          </w:p>
        </w:tc>
        <w:tc>
          <w:tcPr>
            <w:tcW w:type="dxa" w:w="2448"/>
            <w:shd w:fill="F7FAFC"/>
          </w:tcPr>
          <w:p>
            <w:r>
              <w:rPr>
                <w:sz w:val="17"/>
              </w:rPr>
              <w:t>Provisiones adecuadas para absorber pérdidas esperadas en ciclo crediticio.</w:t>
            </w:r>
          </w:p>
        </w:tc>
      </w:tr>
      <w:tr>
        <w:tc>
          <w:tcPr>
            <w:tcW w:type="dxa" w:w="2448"/>
          </w:tcPr>
          <w:p>
            <w:r>
              <w:rPr>
                <w:b/>
                <w:sz w:val="17"/>
              </w:rPr>
              <w:t>Solvencia y Capital</w:t>
            </w:r>
          </w:p>
        </w:tc>
        <w:tc>
          <w:tcPr>
            <w:tcW w:type="dxa" w:w="2448"/>
          </w:tcPr>
          <w:p>
            <w:r>
              <w:rPr>
                <w:sz w:val="17"/>
              </w:rPr>
              <w:t>Capital Regulatorio Basilea III / Tier 1 / CET1</w:t>
            </w:r>
          </w:p>
        </w:tc>
        <w:tc>
          <w:tcPr>
            <w:tcW w:type="dxa" w:w="2448"/>
          </w:tcPr>
          <w:p>
            <w:r>
              <w:rPr>
                <w:b/>
                <w:sz w:val="17"/>
              </w:rPr>
              <w:t>SOLVENCIA BASILEA III</w:t>
            </w:r>
          </w:p>
        </w:tc>
        <w:tc>
          <w:tcPr>
            <w:tcW w:type="dxa" w:w="2448"/>
          </w:tcPr>
          <w:p>
            <w:r>
              <w:rPr>
                <w:sz w:val="17"/>
              </w:rPr>
              <w:t>Colchón de capital anticíclico y absorción de activos ponderados por riesgo.</w:t>
            </w:r>
          </w:p>
        </w:tc>
      </w:tr>
      <w:tr>
        <w:tc>
          <w:tcPr>
            <w:tcW w:type="dxa" w:w="2448"/>
            <w:shd w:fill="F7FAFC"/>
          </w:tcPr>
          <w:p>
            <w:r>
              <w:rPr>
                <w:b/>
                <w:sz w:val="17"/>
              </w:rPr>
              <w:t>Productividad del Capital</w:t>
            </w:r>
          </w:p>
        </w:tc>
        <w:tc>
          <w:tcPr>
            <w:tcW w:type="dxa" w:w="2448"/>
            <w:shd w:fill="F7FAFC"/>
          </w:tcPr>
          <w:p>
            <w:r>
              <w:rPr>
                <w:sz w:val="17"/>
              </w:rPr>
              <w:t>ROTCE Tangible: 28.1% vs Ke 9.82%</w:t>
            </w:r>
          </w:p>
        </w:tc>
        <w:tc>
          <w:tcPr>
            <w:tcW w:type="dxa" w:w="2448"/>
            <w:shd w:fill="F7FAFC"/>
          </w:tcPr>
          <w:p>
            <w:r>
              <w:rPr>
                <w:b/>
                <w:sz w:val="17"/>
              </w:rPr>
              <w:t>COMPOUNDING MACHINE</w:t>
            </w:r>
          </w:p>
        </w:tc>
        <w:tc>
          <w:tcPr>
            <w:tcW w:type="dxa" w:w="2448"/>
            <w:shd w:fill="F7FAFC"/>
          </w:tcPr>
          <w:p>
            <w:r>
              <w:rPr>
                <w:sz w:val="17"/>
              </w:rPr>
              <w:t>Spread económico de +18.3 pp sobre coste de capital propio.</w:t>
            </w:r>
          </w:p>
        </w:tc>
      </w:tr>
      <w:tr>
        <w:tc>
          <w:tcPr>
            <w:tcW w:type="dxa" w:w="2448"/>
          </w:tcPr>
          <w:p>
            <w:r>
              <w:rPr>
                <w:b/>
                <w:sz w:val="17"/>
              </w:rPr>
              <w:t>Valoración de Mercado</w:t>
            </w:r>
          </w:p>
        </w:tc>
        <w:tc>
          <w:tcPr>
            <w:tcW w:type="dxa" w:w="2448"/>
          </w:tcPr>
          <w:p>
            <w:r>
              <w:rPr>
                <w:sz w:val="17"/>
              </w:rPr>
              <w:t>P/TBV: 6.0x vs P/TBV Teórico: 3.7x</w:t>
            </w:r>
          </w:p>
        </w:tc>
        <w:tc>
          <w:tcPr>
            <w:tcW w:type="dxa" w:w="2448"/>
          </w:tcPr>
          <w:p>
            <w:r>
              <w:rPr>
                <w:b/>
                <w:sz w:val="17"/>
              </w:rPr>
              <w:t>PRICED FOR GROWTH</w:t>
            </w:r>
          </w:p>
        </w:tc>
        <w:tc>
          <w:tcPr>
            <w:tcW w:type="dxa" w:w="2448"/>
          </w:tcPr>
          <w:p>
            <w:r>
              <w:rPr>
                <w:sz w:val="17"/>
              </w:rPr>
              <w:t>Cotización descuenta sostener crecimiento y rentabilidad elevada.</w:t>
            </w:r>
          </w:p>
        </w:tc>
      </w:tr>
    </w:tbl>
    <w:p>
      <w:pPr>
        <w:spacing w:before="400"/>
        <w:jc w:val="center"/>
      </w:pPr>
      <w:r>
        <w:rPr>
          <w:rFonts w:ascii="Calibri" w:hAnsi="Calibri"/>
          <w:i/>
          <w:color w:val="4A5568"/>
          <w:sz w:val="17"/>
        </w:rPr>
        <w:t>Fin del Informe Oficial de Investigación Fundamental — Nu Holdings Ltd. (NU) | Wall Street Equity Research Platform</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B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