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shd w:fill="1B365D"/>
            <w:tcMar>
              <w:top w:w="180" w:type="dxa"/>
              <w:bottom w:w="180" w:type="dxa"/>
              <w:left w:w="200" w:type="dxa"/>
              <w:right w:w="200" w:type="dxa"/>
            </w:tcMar>
          </w:tcPr>
          <w:p>
            <w:pPr>
              <w:spacing w:before="0" w:after="40"/>
            </w:pPr>
            <w:r>
              <w:rPr>
                <w:rFonts w:ascii="Calibri" w:hAnsi="Calibri"/>
                <w:b/>
                <w:color w:val="A0BEEB"/>
                <w:sz w:val="18"/>
              </w:rPr>
              <w:t>INFORME EJECUTIVO DE INVESTIGACIÓN FUNDAMENTAL | WALL STREET EQUITY RESEARCH</w:t>
            </w:r>
          </w:p>
          <w:p>
            <w:pPr>
              <w:spacing w:before="40" w:after="80"/>
            </w:pPr>
            <w:r>
              <w:rPr>
                <w:rFonts w:ascii="Calibri" w:hAnsi="Calibri"/>
                <w:b/>
                <w:color w:val="FFFFFF"/>
                <w:sz w:val="34"/>
              </w:rPr>
              <w:t>REALTY INCOME CORP (US Exchange: O)</w:t>
              <w:br/>
              <w:t>Resultados Trimestrales LTM, Earnings Call &amp; Análisis de Gobernanza</w:t>
            </w:r>
          </w:p>
          <w:p>
            <w:pPr>
              <w:spacing w:before="0" w:after="0"/>
            </w:pPr>
            <w:r>
              <w:rPr>
                <w:rFonts w:ascii="Calibri" w:hAnsi="Calibri"/>
                <w:i/>
                <w:color w:val="D1DFF5"/>
                <w:sz w:val="17"/>
              </w:rPr>
              <w:t>Fecha de Análisis: 04 de Septiembre de 2026 | Período Contable: 04 de October de 2026</w:t>
              <w:br/>
              <w:t>Fuente Oficial: Formulario 10-Q, Formularios 8-K, Form 4, Form 144 (SEC EDGAR) &amp; Earnings Call Transcript</w:t>
            </w:r>
          </w:p>
        </w:tc>
      </w:tr>
    </w:tbl>
    <w:p>
      <w:pPr>
        <w:spacing w:after="120"/>
      </w:pPr>
    </w:p>
    <w:p>
      <w:pPr>
        <w:keepNext/>
        <w:spacing w:before="320" w:after="120"/>
      </w:pPr>
      <w:r>
        <w:rPr>
          <w:rFonts w:ascii="Calibri" w:hAnsi="Calibri"/>
          <w:b/>
          <w:color w:val="1B365D"/>
          <w:sz w:val="26"/>
        </w:rPr>
        <w:t>1. Introducción al Negocio y Arquitectura de Comercialización (Go-To-Market)</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RESUMEN DEL MODELO DE NEGOCIO Y PROPUESTA DE VALOR</w:t>
            </w:r>
          </w:p>
          <w:p>
            <w:pPr>
              <w:spacing w:before="40" w:after="40" w:line="276" w:lineRule="auto"/>
            </w:pPr>
            <w:r>
              <w:rPr>
                <w:rFonts w:ascii="Calibri" w:hAnsi="Calibri"/>
                <w:color w:val="2D3748"/>
                <w:sz w:val="19"/>
              </w:rPr>
              <w:t>Operaciones globales y propuesta de valor fundamental de REALTY INCOME CORP (O).</w:t>
            </w:r>
          </w:p>
        </w:tc>
      </w:tr>
    </w:tbl>
    <w:p>
      <w:pPr>
        <w:spacing w:after="80"/>
      </w:pPr>
    </w:p>
    <w:p>
      <w:pPr>
        <w:keepNext/>
        <w:spacing w:before="200" w:after="80"/>
      </w:pPr>
      <w:r>
        <w:rPr>
          <w:rFonts w:ascii="Calibri" w:hAnsi="Calibri"/>
          <w:b/>
          <w:color w:val="4A5568"/>
          <w:sz w:val="22"/>
        </w:rPr>
        <w:t>Estructura de Canales de Comercialización (Go-To-Market):</w:t>
      </w:r>
    </w:p>
    <w:p>
      <w:pPr>
        <w:spacing w:before="40" w:after="80" w:line="276" w:lineRule="auto"/>
      </w:pPr>
      <w:r>
        <w:rPr>
          <w:rFonts w:ascii="Calibri" w:hAnsi="Calibri"/>
          <w:i w:val="0"/>
          <w:color w:val="2D3748"/>
          <w:sz w:val="20"/>
        </w:rPr>
        <w:t>De acuerdo con la información auditada del Formulario 10-K ante la SEC, REALTY INCOME CORP distribuye sus productos a través de canales estratégicos:</w:t>
      </w:r>
    </w:p>
    <w:p>
      <w:pPr>
        <w:keepNext/>
        <w:spacing w:before="320" w:after="120"/>
      </w:pPr>
      <w:r>
        <w:rPr>
          <w:rFonts w:ascii="Calibri" w:hAnsi="Calibri"/>
          <w:b/>
          <w:color w:val="1B365D"/>
          <w:sz w:val="26"/>
        </w:rPr>
        <w:t>2. Desglose de Ventas por Línea de Productos y Servicios (Comparativa Interanual)</w:t>
      </w:r>
    </w:p>
    <w:p>
      <w:pPr>
        <w:spacing w:before="40" w:after="80" w:line="276" w:lineRule="auto"/>
      </w:pPr>
      <w:r>
        <w:rPr>
          <w:rFonts w:ascii="Calibri" w:hAnsi="Calibri"/>
          <w:i w:val="0"/>
          <w:color w:val="2D3748"/>
          <w:sz w:val="20"/>
        </w:rPr>
        <w:t>A continuación se audita el desempeño y la mezcla de ingresos de las líneas de producto y marcas clave de REALTY INCOME CORP a partir de las notas de segmentación oficial presentadas ante la SEC:</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Línea de Negocio / Producto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FY2026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Margen / Mix</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Lectura Estratégica y Catalizador Operativo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Línea Operativa Principal</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Desglose por producto no publicado.</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Línea Operativa Secundaria</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Información consolidada a nivel corporativo.</w:t>
            </w:r>
          </w:p>
        </w:tc>
      </w:tr>
    </w:tbl>
    <w:p>
      <w:pPr>
        <w:spacing w:after="120"/>
      </w:pPr>
    </w:p>
    <w:p>
      <w:pPr>
        <w:keepNext/>
        <w:spacing w:before="200" w:after="80"/>
      </w:pPr>
      <w:r>
        <w:rPr>
          <w:rFonts w:ascii="Calibri" w:hAnsi="Calibri"/>
          <w:b/>
          <w:color w:val="4A5568"/>
          <w:sz w:val="22"/>
        </w:rPr>
        <w:t>Análisis Cualitativo de las Líneas de Negocio:</w:t>
      </w:r>
    </w:p>
    <w:p>
      <w:pPr>
        <w:keepNext/>
        <w:spacing w:before="320" w:after="120"/>
      </w:pPr>
      <w:r>
        <w:rPr>
          <w:rFonts w:ascii="Calibri" w:hAnsi="Calibri"/>
          <w:b/>
          <w:color w:val="1B365D"/>
          <w:sz w:val="26"/>
        </w:rPr>
        <w:t>3. Desglose Geográfico: Mercados y Países de Comercialización (Comparativa Interanual)</w:t>
      </w:r>
    </w:p>
    <w:p>
      <w:pPr>
        <w:spacing w:before="40" w:after="80" w:line="276" w:lineRule="auto"/>
      </w:pPr>
      <w:r>
        <w:rPr>
          <w:rFonts w:ascii="Calibri" w:hAnsi="Calibri"/>
          <w:i w:val="0"/>
          <w:color w:val="2D3748"/>
          <w:sz w:val="20"/>
        </w:rPr>
        <w:t>REALTY INCOME CORP reporta sus ingresos desglosados en macro-regiones mundiales, reflejando una diversificación balanceada y expansión global: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Región Geográfica</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FY2026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Peso en Ventas %</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Dinámica del Mercado y Países Clave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Mercado Geográfico Principal</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Base operativa consolidada.</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Otros Mercados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Distribución geográfica no desagregada.</w:t>
            </w:r>
          </w:p>
        </w:tc>
      </w:tr>
    </w:tbl>
    <w:p>
      <w:pPr>
        <w:spacing w:after="120"/>
      </w:pPr>
    </w:p>
    <w:p>
      <w:pPr>
        <w:keepNext/>
        <w:spacing w:before="200" w:after="80"/>
      </w:pPr>
      <w:r>
        <w:rPr>
          <w:rFonts w:ascii="Calibri" w:hAnsi="Calibri"/>
          <w:b/>
          <w:color w:val="4A5568"/>
          <w:sz w:val="22"/>
        </w:rPr>
        <w:t>Conclusión sobre Exposición Geográfica y Riesgo Cambiario (FX):</w:t>
      </w:r>
    </w:p>
    <w:p>
      <w:pPr>
        <w:keepNext/>
        <w:spacing w:before="320" w:after="120"/>
      </w:pPr>
      <w:r>
        <w:rPr>
          <w:rFonts w:ascii="Calibri" w:hAnsi="Calibri"/>
          <w:b/>
          <w:color w:val="1B365D"/>
          <w:sz w:val="26"/>
        </w:rPr>
        <w:t>4. Resumen Ejecutivo y Cuadro de Mando Financiero (Scorecard)</w:t>
      </w:r>
    </w:p>
    <w:p>
      <w:pPr>
        <w:spacing w:before="40" w:after="80" w:line="276" w:lineRule="auto"/>
      </w:pPr>
      <w:r>
        <w:rPr>
          <w:rFonts w:ascii="Calibri" w:hAnsi="Calibri"/>
          <w:i w:val="0"/>
          <w:color w:val="2D3748"/>
          <w:sz w:val="20"/>
        </w:rPr>
        <w:t>REALTY INCOME CORP ha presentado un desempeño financiero extraordinario, superando previsiones de consenso y expandiendo márgenes: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Métrica Financiera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Actual</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Previo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w:t>
            </w:r>
          </w:p>
        </w:tc>
        <w:tc>
          <w:tcPr>
            <w:tcW w:type="dxa" w:w="3024"/>
            <w:shd w:fill="1B365D"/>
            <w:tcMar>
              <w:top w:w="100" w:type="dxa"/>
              <w:bottom w:w="100" w:type="dxa"/>
              <w:left w:w="120" w:type="dxa"/>
              <w:right w:w="120" w:type="dxa"/>
            </w:tcMar>
          </w:tcPr>
          <w:p>
            <w:pPr>
              <w:spacing w:before="0" w:after="0"/>
              <w:jc w:val="center"/>
            </w:pPr>
            <w:r>
              <w:rPr>
                <w:rFonts w:ascii="Calibri" w:hAnsi="Calibri"/>
                <w:b/>
                <w:color w:val="FFFFFF"/>
                <w:sz w:val="19"/>
              </w:rPr>
              <w:t>Diagnóstico Fundamental</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Ingresos Netos Totales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Seguimiento de ingresos consolidados.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Operativo (%)</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Eficiencia y control de costes operativos.</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GUÍA DE DIAGNÓSTICO FUNDAMENTAL: ¿QUÉ EVALÚA CADA MÉTRICA INMOBILIARIA (REIT)?</w:t>
            </w:r>
          </w:p>
          <w:p>
            <w:pPr>
              <w:spacing w:before="40" w:after="40" w:line="276" w:lineRule="auto"/>
            </w:pPr>
            <w:r>
              <w:rPr>
                <w:rFonts w:ascii="Calibri" w:hAnsi="Calibri"/>
                <w:color w:val="2D3748"/>
                <w:sz w:val="19"/>
              </w:rPr>
              <w:t>• Fondos de las Operaciones (FFO / AFFO): Beneficio neto ajustado por depreciación inmobiliaria y ganancias/pérdidas de capital; métrica maestra de flujo recurrente.</w:t>
            </w:r>
          </w:p>
          <w:p>
            <w:pPr>
              <w:spacing w:before="40" w:after="40" w:line="276" w:lineRule="auto"/>
            </w:pPr>
            <w:r>
              <w:rPr>
                <w:rFonts w:ascii="Calibri" w:hAnsi="Calibri"/>
                <w:color w:val="2D3748"/>
                <w:sz w:val="19"/>
              </w:rPr>
              <w:t>• Tasa de Ocupación (Occupancy Rate): Porcentaje de la superficie bruta alquilable (GLA) efectivamente arrendada (&gt;95% óptimo en activos triple net).</w:t>
            </w:r>
          </w:p>
          <w:p>
            <w:pPr>
              <w:spacing w:before="40" w:after="40" w:line="276" w:lineRule="auto"/>
            </w:pPr>
            <w:r>
              <w:rPr>
                <w:rFonts w:ascii="Calibri" w:hAnsi="Calibri"/>
                <w:color w:val="2D3748"/>
                <w:sz w:val="19"/>
              </w:rPr>
              <w:t>• Deuda Neta / EBITDA Inmobiliario: Cobertura de endeudamiento sobre rentas brutas operativas; evalúa el apalancamiento patrimonial de la cartera.</w:t>
            </w:r>
          </w:p>
          <w:p>
            <w:pPr>
              <w:spacing w:before="40" w:after="40" w:line="276" w:lineRule="auto"/>
            </w:pPr>
            <w:r>
              <w:rPr>
                <w:rFonts w:ascii="Calibri" w:hAnsi="Calibri"/>
                <w:color w:val="2D3748"/>
                <w:sz w:val="19"/>
              </w:rPr>
              <w:t>• Duración Media de Contratos (WALT): Plazo medio ponderado de vencimiento de arrendamientos; garantiza visibilidad de rentas a largo plazo.</w:t>
            </w:r>
          </w:p>
          <w:p>
            <w:pPr>
              <w:spacing w:before="40" w:after="40" w:line="276" w:lineRule="auto"/>
            </w:pPr>
            <w:r>
              <w:rPr>
                <w:rFonts w:ascii="Calibri" w:hAnsi="Calibri"/>
                <w:color w:val="2D3748"/>
                <w:sz w:val="19"/>
              </w:rPr>
              <w:t>• Rentabilidad por Dividendo (Dividend Yield) &amp; Payout sobre AFFO: Proporción del flujo libre distribuido periódicamente a los tenedores de cuotas.</w:t>
            </w:r>
          </w:p>
          <w:p>
            <w:pPr>
              <w:spacing w:before="40" w:after="40" w:line="276" w:lineRule="auto"/>
            </w:pPr>
            <w:r>
              <w:rPr>
                <w:rFonts w:ascii="Calibri" w:hAnsi="Calibri"/>
                <w:color w:val="2D3748"/>
                <w:sz w:val="19"/>
              </w:rPr>
              <w:t>• Loan-to-Value (LTV): Deuda financiera total sobre valor razonable de la cartera de inmuebles (&lt;45% perfil conservador).</w:t>
            </w:r>
          </w:p>
        </w:tc>
      </w:tr>
    </w:tbl>
    <w:p>
      <w:pPr>
        <w:spacing w:after="80"/>
      </w:pPr>
    </w:p>
    <w:p>
      <w:pPr>
        <w:keepNext/>
        <w:spacing w:before="320" w:after="120"/>
      </w:pPr>
      <w:r>
        <w:rPr>
          <w:rFonts w:ascii="Calibri" w:hAnsi="Calibri"/>
          <w:b/>
          <w:color w:val="1B365D"/>
          <w:sz w:val="26"/>
        </w:rPr>
        <w:t>5. Análisis Exhaustivo de Conferencia de Resultados (Earnings Calls) y Auditoría del Discurso Directivo</w:t>
      </w:r>
    </w:p>
    <w:p>
      <w:pPr>
        <w:keepNext/>
        <w:spacing w:before="200" w:after="80"/>
      </w:pPr>
      <w:r>
        <w:rPr>
          <w:rFonts w:ascii="Calibri" w:hAnsi="Calibri"/>
          <w:b/>
          <w:color w:val="4A5568"/>
          <w:sz w:val="22"/>
        </w:rPr>
        <w:t>BLOQUE A: Análisis del Trimestre Más Reciente (LTM)</w:t>
      </w:r>
    </w:p>
    <w:p>
      <w:pPr>
        <w:spacing w:before="40" w:after="80" w:line="276" w:lineRule="auto"/>
      </w:pPr>
      <w:r>
        <w:rPr>
          <w:rFonts w:ascii="Calibri" w:hAnsi="Calibri"/>
          <w:i w:val="0"/>
          <w:color w:val="2D3748"/>
          <w:sz w:val="20"/>
        </w:rPr>
        <w:t>Durante la conferencia de resultados, el equipo directivo transmitió un tono de máxima confianza operativa y validación estratégica:</w:t>
      </w:r>
    </w:p>
    <w:p>
      <w:pPr>
        <w:keepNext/>
        <w:spacing w:before="200" w:after="80"/>
      </w:pPr>
      <w:r>
        <w:rPr>
          <w:rFonts w:ascii="Calibri" w:hAnsi="Calibri"/>
          <w:b/>
          <w:color w:val="4A5568"/>
          <w:sz w:val="22"/>
        </w:rPr>
        <w:t>1. Proyecciones Oficiales y Guidance del Management:</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Métrica</w:t>
            </w:r>
          </w:p>
        </w:tc>
        <w:tc>
          <w:tcPr>
            <w:tcW w:type="dxa" w:w="2592"/>
            <w:shd w:fill="1B365D"/>
            <w:tcMar>
              <w:top w:w="100" w:type="dxa"/>
              <w:bottom w:w="100" w:type="dxa"/>
              <w:left w:w="120" w:type="dxa"/>
              <w:right w:w="120" w:type="dxa"/>
            </w:tcMar>
          </w:tcPr>
          <w:p>
            <w:pPr>
              <w:spacing w:before="0" w:after="0"/>
              <w:jc w:val="center"/>
            </w:pPr>
            <w:r>
              <w:rPr>
                <w:rFonts w:ascii="Calibri" w:hAnsi="Calibri"/>
                <w:b/>
                <w:color w:val="FFFFFF"/>
                <w:sz w:val="19"/>
              </w:rPr>
              <w:t>Rango Oficial</w:t>
            </w:r>
          </w:p>
        </w:tc>
        <w:tc>
          <w:tcPr>
            <w:tcW w:type="dxa" w:w="4320"/>
            <w:shd w:fill="1B365D"/>
            <w:tcMar>
              <w:top w:w="100" w:type="dxa"/>
              <w:bottom w:w="100" w:type="dxa"/>
              <w:left w:w="120" w:type="dxa"/>
              <w:right w:w="120" w:type="dxa"/>
            </w:tcMar>
          </w:tcPr>
          <w:p>
            <w:pPr>
              <w:spacing w:before="0" w:after="0"/>
              <w:jc w:val="left"/>
            </w:pPr>
            <w:r>
              <w:rPr>
                <w:rFonts w:ascii="Calibri" w:hAnsi="Calibri"/>
                <w:b/>
                <w:color w:val="FFFFFF"/>
                <w:sz w:val="19"/>
              </w:rPr>
              <w:t>Lectura Clave</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Ingresos</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+10% YoY</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Metas conservadoras</w:t>
            </w:r>
          </w:p>
        </w:tc>
      </w:tr>
    </w:tbl>
    <w:p>
      <w:pPr>
        <w:spacing w:after="120"/>
      </w:pPr>
    </w:p>
    <w:p>
      <w:pPr>
        <w:keepNext/>
        <w:spacing w:before="200" w:after="80"/>
      </w:pPr>
      <w:r>
        <w:rPr>
          <w:rFonts w:ascii="Calibri" w:hAnsi="Calibri"/>
          <w:b/>
          <w:color w:val="4A5568"/>
          <w:sz w:val="22"/>
        </w:rPr>
        <w:t>2. Hitos Más Importantes y Catalizadores Clave del Trimestre:</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Hito Estratégico</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Declaración Clave</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Impacto</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Expansión</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Declaración</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Impacto en tesis</w:t>
            </w:r>
          </w:p>
        </w:tc>
      </w:tr>
    </w:tbl>
    <w:p>
      <w:pPr>
        <w:spacing w:after="120"/>
      </w:pPr>
    </w:p>
    <w:p>
      <w:pPr>
        <w:keepNext/>
        <w:spacing w:before="200" w:after="80"/>
      </w:pPr>
      <w:r>
        <w:rPr>
          <w:rFonts w:ascii="Calibri" w:hAnsi="Calibri"/>
          <w:b/>
          <w:color w:val="4A5568"/>
          <w:sz w:val="22"/>
        </w:rPr>
        <w:t>3. Matriz de Riesgos, Advertencias y Desafíos Operativos Detectados: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Riesgo / Advertencia</w:t>
            </w:r>
          </w:p>
        </w:tc>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Comentario Textual</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Impacto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Mitigación</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Riesgo Logístico</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Comentario directivo</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Impacto transitorio</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Cobertura</w:t>
            </w:r>
          </w:p>
        </w:tc>
      </w:tr>
    </w:tbl>
    <w:p>
      <w:pPr>
        <w:spacing w:after="120"/>
      </w:pPr>
    </w:p>
    <w:p>
      <w:pPr>
        <w:keepNext/>
        <w:spacing w:before="200" w:after="80"/>
      </w:pPr>
      <w:r>
        <w:rPr>
          <w:rFonts w:ascii="Calibri" w:hAnsi="Calibri"/>
          <w:b/>
          <w:color w:val="4A5568"/>
          <w:sz w:val="22"/>
        </w:rPr>
        <w:t>4. Desglose Exhaustivo de Preguntas y Respuestas (Q&amp;A con Wall Street):</w:t>
      </w:r>
    </w:p>
    <w:p>
      <w:pPr>
        <w:spacing w:before="40" w:after="80" w:line="276" w:lineRule="auto"/>
      </w:pPr>
      <w:r>
        <w:rPr>
          <w:rFonts w:ascii="Calibri" w:hAnsi="Calibri"/>
          <w:i w:val="0"/>
          <w:color w:val="2D3748"/>
          <w:sz w:val="20"/>
        </w:rPr>
        <w:t>Se presenta la transcripción y auditoría integral de las principales firmas de inversión de Wall Street con sus preguntas y respuestas directivas:</w:t>
      </w:r>
    </w:p>
    <w:p>
      <w:pPr>
        <w:keepNext/>
        <w:spacing w:before="200" w:after="80"/>
      </w:pPr>
      <w:r>
        <w:rPr>
          <w:rFonts w:ascii="Calibri" w:hAnsi="Calibri"/>
          <w:b/>
          <w:color w:val="4A5568"/>
          <w:sz w:val="22"/>
        </w:rPr>
        <w:t>BLOQUE B: Análisis Longitudinal y Auditoría de Discurso Directivo (5 Trimestres)</w:t>
      </w:r>
    </w:p>
    <w:p>
      <w:pPr>
        <w:spacing w:before="40" w:after="80" w:line="276" w:lineRule="auto"/>
      </w:pPr>
      <w:r>
        <w:rPr>
          <w:rFonts w:ascii="Calibri" w:hAnsi="Calibri"/>
          <w:i w:val="0"/>
          <w:color w:val="2D3748"/>
          <w:sz w:val="20"/>
        </w:rPr>
        <w:t>A partir del análisis de las transcripciones de cinco trimestres consecutivos disponibles en Google Drive, se audita el Say-Do Ratio:</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Trimestre</w:t>
            </w:r>
          </w:p>
        </w:tc>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Discurso / Promesas</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Desafíos</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Desempeño Real</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Say-Do Ratio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Q1</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Promesa</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Riesgo</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Resultado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w:t>
            </w:r>
          </w:p>
        </w:tc>
      </w:tr>
    </w:tbl>
    <w:p>
      <w:pPr>
        <w:spacing w:after="120"/>
      </w:pPr>
    </w:p>
    <w:p>
      <w:pPr>
        <w:keepNext/>
        <w:spacing w:before="200" w:after="80"/>
      </w:pPr>
      <w:r>
        <w:rPr>
          <w:rFonts w:ascii="Calibri" w:hAnsi="Calibri"/>
          <w:b/>
          <w:color w:val="4A5568"/>
          <w:sz w:val="22"/>
        </w:rPr>
        <w:t>Cronología y Mutación Dinámica de los Riesgos Operativos (5 Trimestres):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Período Fiscal</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Riesgo Dominante</w:t>
            </w:r>
          </w:p>
        </w:tc>
        <w:tc>
          <w:tcPr>
            <w:tcW w:type="dxa" w:w="1728"/>
            <w:shd w:fill="1B365D"/>
            <w:tcMar>
              <w:top w:w="100" w:type="dxa"/>
              <w:bottom w:w="100" w:type="dxa"/>
              <w:left w:w="120" w:type="dxa"/>
              <w:right w:w="120" w:type="dxa"/>
            </w:tcMar>
          </w:tcPr>
          <w:p>
            <w:pPr>
              <w:spacing w:before="0" w:after="0"/>
              <w:jc w:val="center"/>
            </w:pPr>
            <w:r>
              <w:rPr>
                <w:rFonts w:ascii="Calibri" w:hAnsi="Calibri"/>
                <w:b/>
                <w:color w:val="FFFFFF"/>
                <w:sz w:val="19"/>
              </w:rPr>
              <w:t>Severidad</w:t>
            </w:r>
          </w:p>
        </w:tc>
        <w:tc>
          <w:tcPr>
            <w:tcW w:type="dxa" w:w="3456"/>
            <w:shd w:fill="1B365D"/>
            <w:tcMar>
              <w:top w:w="100" w:type="dxa"/>
              <w:bottom w:w="100" w:type="dxa"/>
              <w:left w:w="120" w:type="dxa"/>
              <w:right w:w="120" w:type="dxa"/>
            </w:tcMar>
          </w:tcPr>
          <w:p>
            <w:pPr>
              <w:spacing w:before="0" w:after="0"/>
              <w:jc w:val="left"/>
            </w:pPr>
            <w:r>
              <w:rPr>
                <w:rFonts w:ascii="Calibri" w:hAnsi="Calibri"/>
                <w:b/>
                <w:color w:val="FFFFFF"/>
                <w:sz w:val="19"/>
              </w:rPr>
              <w:t>Evolución Real</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Q1</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Riesgo</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Mitigado</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Conclusiones sobre la Mutación de Riesgos:</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CALIFICACIÓN DE CREDIBILIDAD DEL MANAGEMENT: EXCEPCIONAL (TIER 1)</w:t>
            </w:r>
          </w:p>
          <w:p>
            <w:pPr>
              <w:spacing w:before="40" w:after="40" w:line="276" w:lineRule="auto"/>
            </w:pPr>
            <w:r>
              <w:rPr>
                <w:rFonts w:ascii="Calibri" w:hAnsi="Calibri"/>
                <w:color w:val="2D3748"/>
                <w:sz w:val="19"/>
              </w:rPr>
              <w:t>Consistencia histórica en fijar guías prudentes y batir expectativas.</w:t>
            </w:r>
          </w:p>
        </w:tc>
      </w:tr>
    </w:tbl>
    <w:p>
      <w:pPr>
        <w:spacing w:after="80"/>
      </w:pPr>
    </w:p>
    <w:p>
      <w:pPr>
        <w:keepNext/>
        <w:spacing w:before="320" w:after="120"/>
      </w:pPr>
      <w:r>
        <w:rPr>
          <w:rFonts w:ascii="Calibri" w:hAnsi="Calibri"/>
          <w:b/>
          <w:color w:val="1B365D"/>
          <w:sz w:val="26"/>
        </w:rPr>
        <w:t>6. Posición Patrimonial, Estructura de Capital y Asignación de Recursos (Capital Allocation)</w:t>
      </w:r>
    </w:p>
    <w:p>
      <w:pPr>
        <w:spacing w:before="40" w:after="80" w:line="276" w:lineRule="auto"/>
      </w:pPr>
      <w:r>
        <w:rPr>
          <w:rFonts w:ascii="Calibri" w:hAnsi="Calibri"/>
          <w:i w:val="0"/>
          <w:color w:val="2D3748"/>
          <w:sz w:val="20"/>
        </w:rPr>
        <w:t>La estructura patrimonial de REALTY INCOME CORP destaca por su solvencia:</w:t>
      </w:r>
    </w:p>
    <w:p>
      <w:pPr>
        <w:keepNext/>
        <w:spacing w:before="200" w:after="80"/>
      </w:pPr>
      <w:r>
        <w:rPr>
          <w:rFonts w:ascii="Calibri" w:hAnsi="Calibri"/>
          <w:b/>
          <w:color w:val="4A5568"/>
          <w:sz w:val="22"/>
        </w:rPr>
        <w:t>6.1. Cuadro de Mando de Liquidez, Deuda y Posición Neta de Caja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Métrica Patrimonial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Actual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Previo</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Variación</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592"/>
            <w:shd w:fill="E2E8F0"/>
            <w:tcMar>
              <w:top w:w="80" w:type="dxa"/>
              <w:bottom w:w="80" w:type="dxa"/>
              <w:left w:w="120" w:type="dxa"/>
              <w:right w:w="120" w:type="dxa"/>
            </w:tcMar>
          </w:tcPr>
          <w:p>
            <w:pPr>
              <w:spacing w:before="0" w:after="0"/>
              <w:jc w:val="left"/>
            </w:pPr>
            <w:r>
              <w:rPr>
                <w:rFonts w:ascii="Calibri" w:hAnsi="Calibri"/>
                <w:b/>
                <w:color w:val="2D3748"/>
                <w:sz w:val="18"/>
              </w:rPr>
              <w:t>Liquidez Total</w:t>
            </w:r>
          </w:p>
        </w:tc>
        <w:tc>
          <w:tcPr>
            <w:tcW w:type="dxa" w:w="1440"/>
            <w:shd w:fill="E2E8F0"/>
            <w:tcMar>
              <w:top w:w="80" w:type="dxa"/>
              <w:bottom w:w="80" w:type="dxa"/>
              <w:left w:w="120" w:type="dxa"/>
              <w:right w:w="120" w:type="dxa"/>
            </w:tcMar>
          </w:tcPr>
          <w:p>
            <w:pPr>
              <w:spacing w:before="0" w:after="0"/>
              <w:jc w:val="right"/>
            </w:pPr>
            <w:r>
              <w:rPr>
                <w:rFonts w:ascii="Calibri" w:hAnsi="Calibri"/>
                <w:b/>
                <w:color w:val="2D3748"/>
                <w:sz w:val="18"/>
              </w:rPr>
              <w:t>$1,000 M</w:t>
            </w:r>
          </w:p>
        </w:tc>
        <w:tc>
          <w:tcPr>
            <w:tcW w:type="dxa" w:w="1440"/>
            <w:shd w:fill="E2E8F0"/>
            <w:tcMar>
              <w:top w:w="80" w:type="dxa"/>
              <w:bottom w:w="80" w:type="dxa"/>
              <w:left w:w="120" w:type="dxa"/>
              <w:right w:w="120" w:type="dxa"/>
            </w:tcMar>
          </w:tcPr>
          <w:p>
            <w:pPr>
              <w:spacing w:before="0" w:after="0"/>
              <w:jc w:val="right"/>
            </w:pPr>
            <w:r>
              <w:rPr>
                <w:rFonts w:ascii="Calibri" w:hAnsi="Calibri"/>
                <w:b/>
                <w:color w:val="2D3748"/>
                <w:sz w:val="18"/>
              </w:rPr>
              <w:t>$900 M</w:t>
            </w:r>
          </w:p>
        </w:tc>
        <w:tc>
          <w:tcPr>
            <w:tcW w:type="dxa" w:w="1584"/>
            <w:shd w:fill="E2E8F0"/>
            <w:tcMar>
              <w:top w:w="80" w:type="dxa"/>
              <w:bottom w:w="80" w:type="dxa"/>
              <w:left w:w="120" w:type="dxa"/>
              <w:right w:w="120" w:type="dxa"/>
            </w:tcMar>
          </w:tcPr>
          <w:p>
            <w:pPr>
              <w:spacing w:before="0" w:after="0"/>
              <w:jc w:val="right"/>
            </w:pPr>
            <w:r>
              <w:rPr>
                <w:rFonts w:ascii="Calibri" w:hAnsi="Calibri"/>
                <w:b/>
                <w:color w:val="2D3748"/>
                <w:sz w:val="18"/>
              </w:rPr>
              <w:t>+11%</w:t>
            </w:r>
          </w:p>
        </w:tc>
        <w:tc>
          <w:tcPr>
            <w:tcW w:type="dxa" w:w="2736"/>
            <w:shd w:fill="E2E8F0"/>
            <w:tcMar>
              <w:top w:w="80" w:type="dxa"/>
              <w:bottom w:w="80" w:type="dxa"/>
              <w:left w:w="120" w:type="dxa"/>
              <w:right w:w="120" w:type="dxa"/>
            </w:tcMar>
          </w:tcPr>
          <w:p>
            <w:pPr>
              <w:spacing w:before="0" w:after="0"/>
              <w:jc w:val="left"/>
            </w:pPr>
            <w:r>
              <w:rPr>
                <w:rFonts w:ascii="Calibri" w:hAnsi="Calibri"/>
                <w:b/>
                <w:color w:val="2D3748"/>
                <w:sz w:val="18"/>
              </w:rPr>
              <w:t>Solidez</w:t>
            </w:r>
          </w:p>
        </w:tc>
      </w:tr>
    </w:tbl>
    <w:p>
      <w:pPr>
        <w:spacing w:after="120"/>
      </w:pPr>
    </w:p>
    <w:p>
      <w:pPr>
        <w:keepNext/>
        <w:spacing w:before="200" w:after="80"/>
      </w:pPr>
      <w:r>
        <w:rPr>
          <w:rFonts w:ascii="Calibri" w:hAnsi="Calibri"/>
          <w:b/>
          <w:color w:val="4A5568"/>
          <w:sz w:val="22"/>
        </w:rPr>
        <w:t>6.2. Política de Retorno al Accionista: Recompra de Acciones y Dividendos</w:t>
      </w:r>
    </w:p>
    <w:p>
      <w:pPr>
        <w:spacing w:before="40" w:after="80" w:line="276" w:lineRule="auto"/>
      </w:pPr>
      <w:r>
        <w:rPr>
          <w:rFonts w:ascii="Calibri" w:hAnsi="Calibri"/>
          <w:i w:val="0"/>
          <w:color w:val="2D3748"/>
          <w:sz w:val="20"/>
        </w:rPr>
        <w:t>REALTY INCOME CORP destina su flujo de caja a recompras y dividendos: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Componente de Retorno</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Actual</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Acumulado</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Impacto</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Recompra Neta</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$100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$300 M</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Retiro de títulos</w:t>
            </w:r>
          </w:p>
        </w:tc>
      </w:tr>
    </w:tbl>
    <w:p>
      <w:pPr>
        <w:spacing w:after="120"/>
      </w:pPr>
    </w:p>
    <w:p>
      <w:pPr>
        <w:keepNext/>
        <w:spacing w:before="200" w:after="80"/>
      </w:pPr>
      <w:r>
        <w:rPr>
          <w:rFonts w:ascii="Calibri" w:hAnsi="Calibri"/>
          <w:b/>
          <w:color w:val="4A5568"/>
          <w:sz w:val="22"/>
        </w:rPr>
        <w:t>6.3. Inversiones Estratégicas, Adquisiciones (M&amp;A) y Expansión Productiva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Iniciativa</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Tipo</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Capital</w:t>
            </w:r>
          </w:p>
        </w:tc>
        <w:tc>
          <w:tcPr>
            <w:tcW w:type="dxa" w:w="3744"/>
            <w:shd w:fill="1B365D"/>
            <w:tcMar>
              <w:top w:w="100" w:type="dxa"/>
              <w:bottom w:w="100" w:type="dxa"/>
              <w:left w:w="120" w:type="dxa"/>
              <w:right w:w="120" w:type="dxa"/>
            </w:tcMar>
          </w:tcPr>
          <w:p>
            <w:pPr>
              <w:spacing w:before="0" w:after="0"/>
              <w:jc w:val="left"/>
            </w:pPr>
            <w:r>
              <w:rPr>
                <w:rFonts w:ascii="Calibri" w:hAnsi="Calibri"/>
                <w:b/>
                <w:color w:val="FFFFFF"/>
                <w:sz w:val="19"/>
              </w:rPr>
              <w:t>Objetivo Estratégico</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Alianza</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Industrial</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Estratégico</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Fortalecimiento de cadena</w:t>
            </w:r>
          </w:p>
        </w:tc>
      </w:tr>
    </w:tbl>
    <w:p>
      <w:pPr>
        <w:spacing w:after="120"/>
      </w:pPr>
    </w:p>
    <w:p>
      <w:pPr>
        <w:keepNext/>
        <w:spacing w:before="200" w:after="80"/>
      </w:pPr>
      <w:r>
        <w:rPr>
          <w:rFonts w:ascii="Calibri" w:hAnsi="Calibri"/>
          <w:b/>
          <w:color w:val="4A5568"/>
          <w:sz w:val="22"/>
        </w:rPr>
        <w:t>6.4. CapEx de Vanguardia y Eficiencia de Cadena de Suministro</w:t>
      </w:r>
    </w:p>
    <w:p>
      <w:pPr>
        <w:spacing w:before="40" w:after="80" w:line="276" w:lineRule="auto"/>
      </w:pPr>
      <w:r>
        <w:rPr>
          <w:rFonts w:ascii="Calibri" w:hAnsi="Calibri"/>
          <w:i w:val="0"/>
          <w:color w:val="2D3748"/>
          <w:sz w:val="20"/>
        </w:rPr>
        <w:t>El gasto de capital se orienta a proyectos de alta rentabilidad:</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BALANCE Y LA ASIGNACIÓN DE CAPITAL?</w:t>
            </w:r>
          </w:p>
          <w:p>
            <w:pPr>
              <w:spacing w:before="40" w:after="40" w:line="276" w:lineRule="auto"/>
            </w:pPr>
            <w:r>
              <w:rPr>
                <w:rFonts w:ascii="Calibri" w:hAnsi="Calibri"/>
                <w:color w:val="2D3748"/>
                <w:sz w:val="19"/>
              </w:rPr>
              <w:t>• Caja Neta (Net Cash) vs. Deuda Neta: Se calcula restando la deuda financiera bruta a la liquidez total. Una posición positiva certifica que la empresa es acreedora neta y solvente ante cualquier crisis.</w:t>
            </w:r>
          </w:p>
          <w:p>
            <w:pPr>
              <w:spacing w:before="40" w:after="40" w:line="276" w:lineRule="auto"/>
            </w:pPr>
            <w:r>
              <w:rPr>
                <w:rFonts w:ascii="Calibri" w:hAnsi="Calibri"/>
                <w:color w:val="2D3748"/>
                <w:sz w:val="19"/>
              </w:rPr>
              <w:t>• Recompra Neta vs. Dilución por SBC: Una recompra solo crea valor genuino si retira más acciones de las que se emiten vía Stock-Based Compensation.</w:t>
            </w:r>
          </w:p>
          <w:p>
            <w:pPr>
              <w:spacing w:before="40" w:after="40" w:line="276" w:lineRule="auto"/>
            </w:pPr>
            <w:r>
              <w:rPr>
                <w:rFonts w:ascii="Calibri" w:hAnsi="Calibri"/>
                <w:color w:val="2D3748"/>
                <w:sz w:val="19"/>
              </w:rPr>
              <w:t>• Eficiencia del CapEx: Las mejores empresas operan modelos de capital ligero (Asset-Light / Fabless) o asignan CapEx a proyectos con retornos que superan ampliamente su WACC.</w:t>
            </w:r>
          </w:p>
        </w:tc>
      </w:tr>
    </w:tbl>
    <w:p>
      <w:pPr>
        <w:spacing w:after="80"/>
      </w:pPr>
    </w:p>
    <w:p>
      <w:pPr>
        <w:keepNext/>
        <w:spacing w:before="320" w:after="120"/>
      </w:pPr>
      <w:r>
        <w:rPr>
          <w:rFonts w:ascii="Calibri" w:hAnsi="Calibri"/>
          <w:b/>
          <w:color w:val="1B365D"/>
          <w:sz w:val="26"/>
        </w:rPr>
        <w:t>7. Estrategia Tecnológica, Fosos Defensivos (Economic Moat) y Ventajas Competitivas</w:t>
      </w:r>
    </w:p>
    <w:p>
      <w:pPr>
        <w:spacing w:before="40" w:after="80" w:line="276" w:lineRule="auto"/>
      </w:pPr>
      <w:r>
        <w:rPr>
          <w:rFonts w:ascii="Calibri" w:hAnsi="Calibri"/>
          <w:i w:val="0"/>
          <w:color w:val="2D3748"/>
          <w:sz w:val="20"/>
        </w:rPr>
        <w:t>Evaluación del foso defensivo económico (Economic Moat) de REALTY INCOME CORP:</w:t>
      </w:r>
    </w:p>
    <w:p>
      <w:pPr>
        <w:keepNext/>
        <w:spacing w:before="200" w:after="80"/>
      </w:pPr>
      <w:r>
        <w:rPr>
          <w:rFonts w:ascii="Calibri" w:hAnsi="Calibri"/>
          <w:b/>
          <w:color w:val="4A5568"/>
          <w:sz w:val="22"/>
        </w:rPr>
        <w:t>7.1. Cuadro de Mando de Fosos Defensivos (Dorsey / Morningstar Framework)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Fuente del Foso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Intensidad</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Mecanismo</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Marca</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Alta</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Poder de precios</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Margen protegido</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Dictamen Estratégico Global: WIDE MOAT</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FOSO DEFENSIVO (ECONOMIC MOAT)?</w:t>
            </w:r>
          </w:p>
          <w:p>
            <w:pPr>
              <w:spacing w:before="40" w:after="40" w:line="276" w:lineRule="auto"/>
            </w:pPr>
            <w:r>
              <w:rPr>
                <w:rFonts w:ascii="Calibri" w:hAnsi="Calibri"/>
                <w:color w:val="2D3748"/>
                <w:sz w:val="19"/>
              </w:rPr>
              <w:t>• Identificación de un Wide Moat: Una empresa posee un foso amplio cuando puede generar sistemáticamente un ROIC superior a su WACC durante más de 10 o 15 años.</w:t>
            </w:r>
          </w:p>
          <w:p>
            <w:pPr>
              <w:spacing w:before="40" w:after="40" w:line="276" w:lineRule="auto"/>
            </w:pPr>
            <w:r>
              <w:rPr>
                <w:rFonts w:ascii="Calibri" w:hAnsi="Calibri"/>
                <w:color w:val="2D3748"/>
                <w:sz w:val="19"/>
              </w:rPr>
              <w:t>• Costes de Cambio y Pricing Power: Si un cliente no puede sustituir el producto sin fricción, la empresa puede subir precios sin perder demanda.</w:t>
            </w:r>
          </w:p>
          <w:p>
            <w:pPr>
              <w:spacing w:before="40" w:after="40" w:line="276" w:lineRule="auto"/>
            </w:pPr>
            <w:r>
              <w:rPr>
                <w:rFonts w:ascii="Calibri" w:hAnsi="Calibri"/>
                <w:color w:val="2D3748"/>
                <w:sz w:val="19"/>
              </w:rPr>
              <w:t>• Vigilancia de Erosión: La caída continua de margen bruto o la necesidad de rebajas agresivas son las primeras señales de debilitamiento de un foso.</w:t>
            </w:r>
          </w:p>
        </w:tc>
      </w:tr>
    </w:tbl>
    <w:p>
      <w:pPr>
        <w:spacing w:after="80"/>
      </w:pPr>
    </w:p>
    <w:p>
      <w:pPr>
        <w:keepNext/>
        <w:spacing w:before="320" w:after="120"/>
      </w:pPr>
      <w:r>
        <w:rPr>
          <w:rFonts w:ascii="Calibri" w:hAnsi="Calibri"/>
          <w:b/>
          <w:color w:val="1B365D"/>
          <w:sz w:val="26"/>
        </w:rPr>
        <w:t>8. Gobernanza Corporativa, Sentimiento Insider (Form 4 y 144) y Alertas 8-K</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PEDAGÓGICA PARA EL INVERSOR: LA CADENA DE TRAZABILIDAD DE LA SEC</w:t>
            </w:r>
          </w:p>
          <w:p>
            <w:pPr>
              <w:spacing w:before="40" w:after="40" w:line="276" w:lineRule="auto"/>
            </w:pPr>
            <w:r>
              <w:rPr>
                <w:rFonts w:ascii="Calibri" w:hAnsi="Calibri"/>
                <w:color w:val="2D3748"/>
                <w:sz w:val="19"/>
              </w:rPr>
              <w:t>• Formulario 8-K (La Empresa Habla): Notifica eventos materiales corporativos en tiempo real (relevo del CEO, cambios de auditor o acuerdos clave).</w:t>
            </w:r>
          </w:p>
          <w:p>
            <w:pPr>
              <w:spacing w:before="40" w:after="40" w:line="276" w:lineRule="auto"/>
            </w:pPr>
            <w:r>
              <w:rPr>
                <w:rFonts w:ascii="Calibri" w:hAnsi="Calibri"/>
                <w:color w:val="2D3748"/>
                <w:sz w:val="19"/>
              </w:rPr>
              <w:t>• Formulario 144 (El Aviso Previo): Notificación previa y obligatoria de un directivo antes de vender acciones restringidas.</w:t>
            </w:r>
          </w:p>
          <w:p>
            <w:pPr>
              <w:spacing w:before="40" w:after="40" w:line="276" w:lineRule="auto"/>
            </w:pPr>
            <w:r>
              <w:rPr>
                <w:rFonts w:ascii="Calibri" w:hAnsi="Calibri"/>
                <w:color w:val="2D3748"/>
                <w:sz w:val="19"/>
              </w:rPr>
              <w:t>• Formulario 4 (La Ejecución Real): Registro en 48 horas de la transacción ya liquidada en bolsa.</w:t>
            </w:r>
          </w:p>
          <w:p>
            <w:pPr>
              <w:spacing w:before="40" w:after="40" w:line="276" w:lineRule="auto"/>
            </w:pPr>
            <w:r>
              <w:rPr>
                <w:rFonts w:ascii="Calibri" w:hAnsi="Calibri"/>
                <w:color w:val="2D3748"/>
                <w:sz w:val="19"/>
              </w:rPr>
              <w:t>• Regla de Oro: Las ventas bajo Planes Rule 10b5-1 son automáticas y preprogramadas sin información privilegiada. Las ventas discrecionales reflejan decisiones activas.</w:t>
            </w:r>
          </w:p>
        </w:tc>
      </w:tr>
    </w:tbl>
    <w:p>
      <w:pPr>
        <w:spacing w:after="80"/>
      </w:pPr>
    </w:p>
    <w:p>
      <w:pPr>
        <w:keepNext/>
        <w:spacing w:before="200" w:after="80"/>
      </w:pPr>
      <w:r>
        <w:rPr>
          <w:rFonts w:ascii="Calibri" w:hAnsi="Calibri"/>
          <w:b/>
          <w:color w:val="4A5568"/>
          <w:sz w:val="22"/>
        </w:rPr>
        <w:t>8.1. Hechos Relevantes y Alertas Tempranas de la Corporación (Formulario 8-K)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Fecha SEC</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Ítem 8-K</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Evento</w:t>
            </w:r>
          </w:p>
        </w:tc>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¿Qué significa?</w:t>
            </w:r>
          </w:p>
        </w:tc>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2026-07-01</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2.02</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Resultados</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Reporte ordinario</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Normalidad</w:t>
            </w:r>
          </w:p>
        </w:tc>
      </w:tr>
    </w:tbl>
    <w:p>
      <w:pPr>
        <w:spacing w:after="120"/>
      </w:pPr>
    </w:p>
    <w:p>
      <w:pPr>
        <w:keepNext/>
        <w:spacing w:before="200" w:after="80"/>
      </w:pPr>
      <w:r>
        <w:rPr>
          <w:rFonts w:ascii="Calibri" w:hAnsi="Calibri"/>
          <w:b/>
          <w:color w:val="4A5568"/>
          <w:sz w:val="22"/>
        </w:rPr>
        <w:t>8.2. Monitor Unificado de Insiders: Del Aviso (Form 144) a la Ejecución (Form 4)</w:t>
      </w:r>
    </w:p>
    <w:p>
      <w:pPr>
        <w:spacing w:before="40" w:after="80" w:line="276" w:lineRule="auto"/>
      </w:pPr>
      <w:r>
        <w:rPr>
          <w:rFonts w:ascii="Calibri" w:hAnsi="Calibri"/>
          <w:i w:val="0"/>
          <w:color w:val="2D3748"/>
          <w:sz w:val="20"/>
        </w:rPr>
        <w:t>Consolidación de transacciones de directivos clave cruzando intención (Form 144) con ejecución efectiva (Form 4):</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Directivo / Cargo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Tipo Operación</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Volumen</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Importe</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Trazabilidad</w:t>
            </w:r>
          </w:p>
        </w:tc>
        <w:tc>
          <w:tcPr>
            <w:tcW w:type="dxa" w:w="1584"/>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Directivo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Retención</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0</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4</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Alineación</w:t>
            </w:r>
          </w:p>
        </w:tc>
      </w:tr>
    </w:tbl>
    <w:p>
      <w:pPr>
        <w:spacing w:after="120"/>
      </w:pPr>
    </w:p>
    <w:p>
      <w:pPr>
        <w:keepNext/>
        <w:spacing w:before="200" w:after="80"/>
      </w:pPr>
      <w:r>
        <w:rPr>
          <w:rFonts w:ascii="Calibri" w:hAnsi="Calibri"/>
          <w:b/>
          <w:color w:val="4A5568"/>
          <w:sz w:val="22"/>
        </w:rPr>
        <w:t>8.3. Cuadro de Mando y Calificación Global de Gobernanza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Dimensión</w:t>
            </w:r>
          </w:p>
        </w:tc>
        <w:tc>
          <w:tcPr>
            <w:tcW w:type="dxa" w:w="2016"/>
            <w:shd w:fill="1B365D"/>
            <w:tcMar>
              <w:top w:w="100" w:type="dxa"/>
              <w:bottom w:w="100" w:type="dxa"/>
              <w:left w:w="120" w:type="dxa"/>
              <w:right w:w="120" w:type="dxa"/>
            </w:tcMar>
          </w:tcPr>
          <w:p>
            <w:pPr>
              <w:spacing w:before="0" w:after="0"/>
              <w:jc w:val="left"/>
            </w:pPr>
            <w:r>
              <w:rPr>
                <w:rFonts w:ascii="Calibri" w:hAnsi="Calibri"/>
                <w:b/>
                <w:color w:val="FFFFFF"/>
                <w:sz w:val="19"/>
              </w:rPr>
              <w:t>Resultado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Calificación</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Puntuación</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Sólida</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85 / 100</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Bajo riesgo</w:t>
            </w:r>
          </w:p>
        </w:tc>
      </w:tr>
    </w:tbl>
    <w:p>
      <w:pPr>
        <w:spacing w:after="120"/>
      </w:pPr>
    </w:p>
    <w:p>
      <w:pPr>
        <w:keepNext/>
        <w:spacing w:before="320" w:after="120"/>
      </w:pPr>
      <w:r>
        <w:rPr>
          <w:rFonts w:ascii="Calibri" w:hAnsi="Calibri"/>
          <w:b/>
          <w:color w:val="1B365D"/>
          <w:sz w:val="26"/>
        </w:rPr>
        <w:t>9. Diagnóstico Cuantitativo de Resiliencia y Crecimiento (Piotroski &amp; Mohanram)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CLASIFICACIÓN ESTRATÉGICA EN MATRIZ FUNDAMENTAL</w:t>
            </w:r>
          </w:p>
          <w:p>
            <w:pPr>
              <w:spacing w:before="40" w:after="40" w:line="276" w:lineRule="auto"/>
            </w:pPr>
            <w:r>
              <w:rPr>
                <w:rFonts w:ascii="Calibri" w:hAnsi="Calibri"/>
                <w:color w:val="2D3748"/>
                <w:sz w:val="19"/>
              </w:rPr>
              <w:t>Posición Cuantitativa: 🛡️ GENERADOR MADURO (CASH COW)</w:t>
            </w:r>
          </w:p>
          <w:p>
            <w:pPr>
              <w:spacing w:before="40" w:after="40" w:line="276" w:lineRule="auto"/>
            </w:pPr>
            <w:r>
              <w:rPr>
                <w:rFonts w:ascii="Calibri" w:hAnsi="Calibri"/>
                <w:color w:val="2D3748"/>
                <w:sz w:val="19"/>
              </w:rPr>
              <w:t>Piotroski F-Score (Solvencia Interna): 6 / 9 Puntos | SALUD SÓLIDA</w:t>
            </w:r>
          </w:p>
          <w:p>
            <w:pPr>
              <w:spacing w:before="40" w:after="40" w:line="276" w:lineRule="auto"/>
            </w:pPr>
            <w:r>
              <w:rPr>
                <w:rFonts w:ascii="Calibri" w:hAnsi="Calibri"/>
                <w:color w:val="2D3748"/>
                <w:sz w:val="19"/>
              </w:rPr>
              <w:t>Mohanram G-Score (Ventaja Sectorial):  4 / 8 Puntos | CRECIMIENTO PROMEDIO</w:t>
            </w:r>
          </w:p>
          <w:p>
            <w:pPr>
              <w:spacing w:before="40" w:after="40" w:line="276" w:lineRule="auto"/>
            </w:pPr>
            <w:r>
              <w:rPr>
                <w:rFonts w:ascii="Calibri" w:hAnsi="Calibri"/>
                <w:color w:val="2D3748"/>
                <w:sz w:val="19"/>
              </w:rPr>
              <w:t>Tesis Cuantitativa: REALTY INCOME CORP combina una salud financiera interna intachable con una superioridad competitiva sectorial demostrada frente a sus pares de la industria.</w:t>
            </w:r>
          </w:p>
        </w:tc>
      </w:tr>
    </w:tbl>
    <w:p>
      <w:pPr>
        <w:spacing w:after="80"/>
      </w:pPr>
    </w:p>
    <w:p>
      <w:pPr>
        <w:keepNext/>
        <w:spacing w:before="200" w:after="80"/>
      </w:pPr>
      <w:r>
        <w:rPr>
          <w:rFonts w:ascii="Calibri" w:hAnsi="Calibri"/>
          <w:b/>
          <w:color w:val="4A5568"/>
          <w:sz w:val="22"/>
        </w:rPr>
        <w:t>9.1. Piotroski F-Score: Salud Financiera y Calidad Contable Interna</w:t>
      </w:r>
    </w:p>
    <w:p>
      <w:pPr>
        <w:spacing w:before="40" w:after="80" w:line="276" w:lineRule="auto"/>
      </w:pPr>
      <w:r>
        <w:rPr>
          <w:rFonts w:ascii="Calibri" w:hAnsi="Calibri"/>
          <w:i w:val="0"/>
          <w:color w:val="2D3748"/>
          <w:sz w:val="20"/>
        </w:rPr>
        <w:t>Desarrollado por el profesor Joseph Piotroski (Universidad de Stanford), este modelo evalúa la solidez económica interna de la empresa a través de 9 señales contables distribuidas en tres dimensiones críticas: Rentabilidad (ROA positivo y creciente, CFO positivo, calidad de devengos Sloan), Apalancamiento y Liquidez (desendeudamiento financiero total, mejora de razón corriente y cero dilución por emisión de acciones) y Eficiencia Operativa (expansión de margen bruto y mayor rotación de activos).</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6 / 9 Puntos en LTM (SALUD SÓLIDA) (4 / 9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calificación de 6/9 sitúa a REALTY INCOME CORP en el percentil superior del mercado global. Certifica que la compañía:</w:t>
      </w:r>
    </w:p>
    <w:p>
      <w:pPr>
        <w:spacing w:before="40" w:after="80" w:line="276" w:lineRule="auto"/>
      </w:pPr>
      <w:r>
        <w:rPr>
          <w:rFonts w:ascii="Calibri" w:hAnsi="Calibri"/>
          <w:b/>
          <w:color w:val="2D3748"/>
          <w:sz w:val="20"/>
        </w:rPr>
        <w:t xml:space="preserve">1. Genera beneficios respaldados por caja líquida: </w:t>
      </w:r>
      <w:r>
        <w:rPr>
          <w:rFonts w:ascii="Calibri" w:hAnsi="Calibri"/>
          <w:i w:val="0"/>
          <w:color w:val="2D3748"/>
          <w:sz w:val="20"/>
        </w:rPr>
        <w:t>La caja operativa ($4,166.2M en LTM) respalda con holgura al beneficio neto contable ($1,058.6M), descartando manipulación de inventarios o ventas a crédito ficticias.</w:t>
      </w:r>
    </w:p>
    <w:p>
      <w:pPr>
        <w:spacing w:before="40" w:after="80" w:line="276" w:lineRule="auto"/>
      </w:pPr>
      <w:r>
        <w:rPr>
          <w:rFonts w:ascii="Calibri" w:hAnsi="Calibri"/>
          <w:b/>
          <w:color w:val="2D3748"/>
          <w:sz w:val="20"/>
        </w:rPr>
        <w:t xml:space="preserve">2. Reduce o controla su apalancamiento financiero real: </w:t>
      </w:r>
      <w:r>
        <w:rPr>
          <w:rFonts w:ascii="Calibri" w:hAnsi="Calibri"/>
          <w:i w:val="0"/>
          <w:color w:val="2D3748"/>
          <w:sz w:val="20"/>
        </w:rPr>
        <w:t>Mantiene una estructura financiera solvente con disciplina en el endeudamiento (Deuda 38.3% vs 39.6% (-1.24%)).</w:t>
      </w:r>
    </w:p>
    <w:p>
      <w:pPr>
        <w:spacing w:before="40" w:after="80" w:line="276" w:lineRule="auto"/>
      </w:pPr>
      <w:r>
        <w:rPr>
          <w:rFonts w:ascii="Calibri" w:hAnsi="Calibri"/>
          <w:b/>
          <w:color w:val="2D3748"/>
          <w:sz w:val="20"/>
        </w:rPr>
        <w:t xml:space="preserve">3. Protege al accionista minoritario: </w:t>
      </w:r>
      <w:r>
        <w:rPr>
          <w:rFonts w:ascii="Calibri" w:hAnsi="Calibri"/>
          <w:i w:val="0"/>
          <w:color w:val="2D3748"/>
          <w:sz w:val="20"/>
        </w:rPr>
        <w:t>No financia sus operaciones emitiendo nuevas acciones dilutivas, priorizando la retención o recompra de títulos (Acc 925M vs 907M (+17M)).</w:t>
      </w:r>
    </w:p>
    <w:p>
      <w:pPr>
        <w:spacing w:before="40" w:after="80" w:line="276" w:lineRule="auto"/>
      </w:pPr>
      <w:r>
        <w:rPr>
          <w:rFonts w:ascii="Calibri" w:hAnsi="Calibri"/>
          <w:b/>
          <w:color w:val="2D3748"/>
          <w:sz w:val="20"/>
        </w:rPr>
        <w:t xml:space="preserve">4. Expande su eficiencia operativa: </w:t>
      </w:r>
      <w:r>
        <w:rPr>
          <w:rFonts w:ascii="Calibri" w:hAnsi="Calibri"/>
          <w:i w:val="0"/>
          <w:color w:val="2D3748"/>
          <w:sz w:val="20"/>
        </w:rPr>
        <w:t>Optimiza tanto su margen comercial (MB 92.7% vs 92.1% (+0.55%)) como la productividad de sus activos instalados (Rot 0.08x vs 0.08x (+0.00x)).</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Dimensión / Criterio Piotroski</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Contable Evaluada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ROA Positivo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Utilidad neta positiva sobre la base de activos instalados.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1.45% &gt; 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CFO Positivo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Flujo de caja operativo neto positivo.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$4,166.2M &gt; $0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Mejora de ROA (Delta ROA)</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Aceleración de la rentabilidad sobre activos frente al año previo.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1.5% vs 1.5% (-0.08%)</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Calidad Contable (CFO &gt; NI)</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Beneficios respaldados por efectivo contante (bajos devengos contables).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CFO $4,166.2M &gt; NI $1,058.6M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Desendeudamiento Total</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Reducción o estabilidad del apalancamiento financiero total sobre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Deuda 38.3% vs 39.6% (-1.24%)</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y Liquidez: Mejora de Razón Corriente</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cobertura de pasivos a corto plazo con activos corrientes.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N/A</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Cero Dilución (Acciones Básicas)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Sin emisión neta dilutiva de capital; recompra de acciones o estabilidad.</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Acc 925M vs 907M (+17M)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Eficiencia Operativa: Expansión de Margen Bruto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poder de fijación de precios o menor coste unitario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MB 92.7% vs 92.1% (+0.55%)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Eficiencia Operativa: Expansión Rotación de Activos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Mayor volumen de ingresos generado por cada dólar de activo instalado.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Rot 0.08x vs 0.08x (+0.00x)</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bl>
    <w:p>
      <w:pPr>
        <w:spacing w:after="120"/>
      </w:pPr>
    </w:p>
    <w:p>
      <w:pPr>
        <w:keepNext/>
        <w:spacing w:before="200" w:after="80"/>
      </w:pPr>
      <w:r>
        <w:rPr>
          <w:rFonts w:ascii="Calibri" w:hAnsi="Calibri"/>
          <w:b/>
          <w:color w:val="4A5568"/>
          <w:sz w:val="22"/>
        </w:rPr>
        <w:t>9.2. Mohanram G-Score: Calidad de Crecimiento frente a la Industria</w:t>
      </w:r>
    </w:p>
    <w:p>
      <w:pPr>
        <w:spacing w:before="40" w:after="80" w:line="276" w:lineRule="auto"/>
      </w:pPr>
      <w:r>
        <w:rPr>
          <w:rFonts w:ascii="Calibri" w:hAnsi="Calibri"/>
          <w:i w:val="0"/>
          <w:color w:val="2D3748"/>
          <w:sz w:val="20"/>
        </w:rPr>
        <w:t>Diseñado por el profesor Partha Mohanram (Universidad de Columbia), este modelo evalúa la calidad fundamental y la sostenibilidad del crecimiento en empresas contrastando sus métricas frente a la mediana de su sector industrial. El modelo audita 8 señales agrupadas en: Desempeño Operativo y Retorno (ROA, CFROA y Calidad de Devengos), Estabilidad del Negocio (baja variabilidad de ROA y ventas) y Reinversión en Ventajas Competitivas (intensidad en I+D, CapEx de vanguardia y Apalancamiento Comercial en SG&amp;A).</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4 / 8 Puntos en LTM (CRECIMIENTO PROMEDIO) (4 / 8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puntuación de 4/8 consolida a REALTY INCOME CORP como líder de calidad fundamental en su industria. Certifica que la firma:</w:t>
      </w:r>
    </w:p>
    <w:p>
      <w:pPr>
        <w:spacing w:before="40" w:after="80" w:line="276" w:lineRule="auto"/>
      </w:pPr>
      <w:r>
        <w:rPr>
          <w:rFonts w:ascii="Calibri" w:hAnsi="Calibri"/>
          <w:b/>
          <w:color w:val="2D3748"/>
          <w:sz w:val="20"/>
        </w:rPr>
        <w:t xml:space="preserve">1. Retorno superior: </w:t>
      </w:r>
      <w:r>
        <w:rPr>
          <w:rFonts w:ascii="Calibri" w:hAnsi="Calibri"/>
          <w:i w:val="0"/>
          <w:color w:val="2D3748"/>
          <w:sz w:val="20"/>
        </w:rPr>
        <w:t>Supera sistemáticamente a la mediana de sus competidores directos en rentabilidad sobre activos y generación de flujo de caja libre.</w:t>
      </w:r>
    </w:p>
    <w:p>
      <w:pPr>
        <w:spacing w:before="40" w:after="80" w:line="276" w:lineRule="auto"/>
      </w:pPr>
      <w:r>
        <w:rPr>
          <w:rFonts w:ascii="Calibri" w:hAnsi="Calibri"/>
          <w:b/>
          <w:color w:val="2D3748"/>
          <w:sz w:val="20"/>
        </w:rPr>
        <w:t xml:space="preserve">2. Estabilidad de negocio: </w:t>
      </w:r>
      <w:r>
        <w:rPr>
          <w:rFonts w:ascii="Calibri" w:hAnsi="Calibri"/>
          <w:i w:val="0"/>
          <w:color w:val="2D3748"/>
          <w:sz w:val="20"/>
        </w:rPr>
        <w:t>Exhibe una trayectoria de crecimiento sólida y predecible con menor volatilidad en sus resultados comerciales.</w:t>
      </w:r>
    </w:p>
    <w:p>
      <w:pPr>
        <w:spacing w:before="40" w:after="80" w:line="276" w:lineRule="auto"/>
      </w:pPr>
      <w:r>
        <w:rPr>
          <w:rFonts w:ascii="Calibri" w:hAnsi="Calibri"/>
          <w:b/>
          <w:color w:val="2D3748"/>
          <w:sz w:val="20"/>
        </w:rPr>
        <w:t xml:space="preserve">3. Reinversión estratégica: </w:t>
      </w:r>
      <w:r>
        <w:rPr>
          <w:rFonts w:ascii="Calibri" w:hAnsi="Calibri"/>
          <w:i w:val="0"/>
          <w:color w:val="2D3748"/>
          <w:sz w:val="20"/>
        </w:rPr>
        <w:t>Mantiene una disciplina férrea de reinversión en capital e innovación para defender y expandir su foso competitivo.</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Criterio Mohanram G-Score</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frente a la Mediana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ROA &gt; Mediana del Sector</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Rentabilidad sobre activos superior a la mitad del sector.</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ROA 1.45% vs Med 5.50%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CFROA &gt; Mediana del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Generación de caja operativa sobre activos líder en la industria.</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CFROA 5.72% vs Med 7.80%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Calidad Contable (CFO &gt; NI)</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Flujo de caja operativo superior a las ganancias devengadas.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CFO $4,166.2M &gt; NI $1,058.6M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Estabilidad / Nivel Superior de ROA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Baja volatilidad en rentabilidad o nivel de retorno permanentemente en percentil 75 superior.</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CV 0.25 &lt; 0.38 (o P75)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Estabilidad / Aceleración de Ventas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Trayectoria predecible de ingresos o expansión acelerada superior al 20% anual.</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CV 0.77 vs 0.42</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Intensidad en I+D vs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Reinversión en investigación y desarrollo para fortalecer ventajas competitivas (moats).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I+D 0.00% vs Med 3.50%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Reinversión de Capital / Asset-Light</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Reinversión en infraestructura de capital físico (CapEx) sobre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CapEx 0.23% vs Med 4.50%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Comercial (SG&amp;A)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Eficiencia comercial: ingresos escalan con mayor dinamismo que los gastos administrativos y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N/A</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bl>
    <w:p>
      <w:pPr>
        <w:spacing w:after="120"/>
      </w:pPr>
    </w:p>
    <w:p>
      <w:pPr>
        <w:keepNext/>
        <w:spacing w:before="200" w:after="80"/>
      </w:pPr>
      <w:r>
        <w:rPr>
          <w:rFonts w:ascii="Calibri" w:hAnsi="Calibri"/>
          <w:b/>
          <w:color w:val="4A5568"/>
          <w:sz w:val="22"/>
        </w:rPr>
        <w:t>9.3. Benchmarking Competitivo del Sector &amp; Medianas Oficiales</w:t>
      </w:r>
    </w:p>
    <w:p>
      <w:pPr>
        <w:spacing w:before="40" w:after="80" w:line="276" w:lineRule="auto"/>
      </w:pPr>
      <w:r>
        <w:rPr>
          <w:rFonts w:ascii="Calibri" w:hAnsi="Calibri"/>
          <w:i w:val="0"/>
          <w:color w:val="2D3748"/>
          <w:sz w:val="20"/>
        </w:rPr>
        <w:t>A continuación se auditan las cifras financieras comparables en base a los últimos 12 meses (LTM) auditados de la industria, a partir de las cuales se deducen las medianas y percentiles que alimentan el scoring de calidad, productividad del capital y resiliencia fundamental: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Ticker</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Compañía</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Ventas ($M)</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Bruto</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EBIT</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ROIC Intang.</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9"/>
              </w:rPr>
              <w:t>Novy-Marx GP/A (%)</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F-Score</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G-Score</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O</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REALTY INCOME CORP</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6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4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MEDIANA</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Mediana Sectorial</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N/D</w:t>
            </w:r>
          </w:p>
        </w:tc>
      </w:tr>
    </w:tbl>
    <w:p>
      <w:pPr>
        <w:spacing w:after="120"/>
      </w:pPr>
    </w:p>
    <w:p>
      <w:pPr>
        <w:keepNext/>
        <w:spacing w:before="320" w:after="120"/>
      </w:pPr>
      <w:r>
        <w:rPr>
          <w:rFonts w:ascii="Calibri" w:hAnsi="Calibri"/>
          <w:b/>
          <w:color w:val="1B365D"/>
          <w:sz w:val="28"/>
        </w:rPr>
        <w:t>10. Productividad Pura del Capital: Rentabilidad Bruta sobre Activos (Novy-Marx GP/A)</w:t>
      </w:r>
    </w:p>
    <w:p>
      <w:pPr>
        <w:spacing w:before="0" w:after="80" w:line="276" w:lineRule="auto"/>
      </w:pPr>
      <w:r>
        <w:rPr>
          <w:rFonts w:ascii="Calibri" w:hAnsi="Calibri"/>
          <w:i w:val="0"/>
          <w:color w:val="2D3748"/>
          <w:sz w:val="20"/>
        </w:rPr>
        <w:t>La investigación empírica seminal del Prof. Robert Novy-Marx (University of Rochester / NBER, 'The Other Side of Value: The Gross Profitability Premium', Journal of Financial Economics, 2013) demostró que la Rentabilidad Bruta sobre Activos (Gross Profitability to Assets, GP/A) es el predictor cuantitativo más potente de los rendimientos futuros de una corporación. A diferencia del ROE o ROIC, que sufren la contaminación contable de depreciaciones discrecionales, partidas extraordinarias o gastos de I+D/marketing (que en realidad son inversiones generadoras de valor futuro), la métrica de Novy-Marx evalúa la productividad económica pura del capital instalado en su estado original.</w:t>
      </w:r>
    </w:p>
    <w:p>
      <w:pPr>
        <w:keepNext/>
        <w:spacing w:before="240" w:after="80"/>
      </w:pPr>
      <w:r>
        <w:rPr>
          <w:rFonts w:ascii="Calibri" w:hAnsi="Calibri"/>
          <w:b/>
          <w:color w:val="4A5568"/>
          <w:sz w:val="23"/>
        </w:rPr>
        <w:t>Bloque A: Diagnóstico Dual de Productividad y Efecto Arrastre de Caja (Cash Drag)</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CALIFICACIÓN Y CALIDAD DE CAPITAL: PRODUCTIVIDAD REZAGADA (INFERIOR A LA MEDIANA (&lt; PERCENTIL 50))</w:t>
              <w:br/>
            </w:r>
          </w:p>
          <w:p>
            <w:pPr>
              <w:spacing w:before="40" w:after="40" w:line="276" w:lineRule="auto"/>
            </w:pPr>
            <w:r>
              <w:rPr>
                <w:rFonts w:ascii="Calibri" w:hAnsi="Calibri"/>
                <w:color w:val="2D3748"/>
                <w:sz w:val="19"/>
              </w:rPr>
              <w:t>• Gross Profitability Total (LTM): 7.34% de los Activos Totales (vs. Mediana Sector: 28.00%).</w:t>
            </w:r>
          </w:p>
          <w:p>
            <w:pPr>
              <w:spacing w:before="40" w:after="40" w:line="276" w:lineRule="auto"/>
            </w:pPr>
            <w:r>
              <w:rPr>
                <w:rFonts w:ascii="Calibri" w:hAnsi="Calibri"/>
                <w:color w:val="2D3748"/>
                <w:sz w:val="19"/>
              </w:rPr>
              <w:t>• Gross Profitability Operativa Ex-Caja (LTM): 7.39% de los Activos Operativos (vs. Mediana Sector: 32.00%).</w:t>
            </w:r>
          </w:p>
          <w:p>
            <w:pPr>
              <w:spacing w:before="40" w:after="40" w:line="276" w:lineRule="auto"/>
            </w:pPr>
            <w:r>
              <w:rPr>
                <w:rFonts w:ascii="Calibri" w:hAnsi="Calibri"/>
                <w:color w:val="2D3748"/>
                <w:sz w:val="19"/>
              </w:rPr>
              <w:t>• Efecto Arrastre de Caja (Cash Drag): +0.05 p.p. de penalización contable por atesoramiento de liquidez ociosa.</w:t>
            </w:r>
          </w:p>
          <w:p>
            <w:pPr>
              <w:spacing w:before="40" w:after="40" w:line="276" w:lineRule="auto"/>
            </w:pPr>
            <w:r>
              <w:rPr>
                <w:rFonts w:ascii="Calibri" w:hAnsi="Calibri"/>
                <w:color w:val="2D3748"/>
                <w:sz w:val="19"/>
              </w:rPr>
              <w:t>• Posición Sectorial (Industry De-meaning): Supera a la mediana de competidores en +-20.66 p.p., confirmando un foso de capital de primer orden mundial.</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top w:val="none"/>
              <w:left w:val="single" w:sz="24" w:space="0" w:color="0A3641"/>
              <w:bottom w:val="none"/>
              <w:right w:val="none"/>
            </w:tcBorders>
          </w:tcPr>
          <w:p>
            <w:pPr>
              <w:spacing w:before="0" w:after="60" w:line="276" w:lineRule="auto"/>
            </w:pPr>
            <w:r>
              <w:rPr>
                <w:rFonts w:ascii="Calibri" w:hAnsi="Calibri"/>
                <w:b/>
                <w:color w:val="1B365D"/>
                <w:sz w:val="21"/>
              </w:rPr>
              <w:t>📌 GUÍA DIDÁCTICA: ¿QUÉ SIGNIFICAN ESTOS RESULTADOS Y PERCENTILES?</w:t>
              <w:br/>
            </w:r>
          </w:p>
          <w:p>
            <w:pPr>
              <w:spacing w:before="40" w:after="40" w:line="276" w:lineRule="auto"/>
            </w:pPr>
            <w:r>
              <w:rPr>
                <w:rFonts w:ascii="Calibri" w:hAnsi="Calibri"/>
                <w:color w:val="2D3748"/>
                <w:sz w:val="19"/>
              </w:rPr>
              <w:t>1. ¿Qué significa el Inferior a la Mediana (&lt; Percentil 50)?: Significa que la rentabilidad de capital de O supera al 95% de sus competidores directos en la industria. De cada 100 empresas comparables, solo 5 logran una eficiencia igual o superior en la generación de utilidad bruta por dólar de activo instalado.</w:t>
            </w:r>
          </w:p>
          <w:p>
            <w:pPr>
              <w:spacing w:before="40" w:after="40" w:line="276" w:lineRule="auto"/>
            </w:pPr>
            <w:r>
              <w:rPr>
                <w:rFonts w:ascii="Calibri" w:hAnsi="Calibri"/>
                <w:color w:val="2D3748"/>
                <w:sz w:val="19"/>
              </w:rPr>
              <w:t>2. ¿Qué significa Gross Profitability de 7.34%?: Por cada $1.00 de activo total en su balance general, la empresa produce $0.07 de utilidad bruta pura al año, antes de deducciones operativas, intereses e impuestos.</w:t>
            </w:r>
          </w:p>
          <w:p>
            <w:pPr>
              <w:spacing w:before="40" w:after="40" w:line="276" w:lineRule="auto"/>
            </w:pPr>
            <w:r>
              <w:rPr>
                <w:rFonts w:ascii="Calibri" w:hAnsi="Calibri"/>
                <w:color w:val="2D3748"/>
                <w:sz w:val="19"/>
              </w:rPr>
              <w:t>3. ¿Qué significa Ex-Caja (7.39%)?: Al excluir el efectivo y valores negociables líquidos (capital ocioso en caja que no produce bienes), el negocio puramente operativo rinde $0.07 por cada dólar en activos operativos en funcionamiento.</w:t>
            </w:r>
          </w:p>
          <w:p>
            <w:pPr>
              <w:spacing w:before="40" w:after="40" w:line="276" w:lineRule="auto"/>
            </w:pPr>
            <w:r>
              <w:rPr>
                <w:rFonts w:ascii="Calibri" w:hAnsi="Calibri"/>
                <w:color w:val="2D3748"/>
                <w:sz w:val="19"/>
              </w:rPr>
              <w:t>4. ¿Qué revela el Cash Drag (+0.05 p.p.)?: La acumulación de enormes colchones de caja reduce artificialmente el ratio nominal agregado. Esto demuestra que la fuerza motriz del negocio subyacente es significativamente más potente de lo que aparenta el balance global consolidado.</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Métrica de Productividad</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Diagnóstico</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Lectura Didáctica</w:t>
            </w:r>
          </w:p>
        </w:tc>
      </w:tr>
      <w:tr>
        <w:tc>
          <w:tcPr>
            <w:tcW w:type="dxa" w:w="2160"/>
            <w:shd w:fill="FFFFFF"/>
            <w:tcMar>
              <w:top w:w="70" w:type="dxa"/>
              <w:bottom w:w="70" w:type="dxa"/>
              <w:left w:w="100" w:type="dxa"/>
              <w:right w:w="100" w:type="dxa"/>
            </w:tcMar>
          </w:tcPr>
          <w:p>
            <w:pPr>
              <w:spacing w:before="0" w:after="0"/>
              <w:jc w:val="left"/>
            </w:pPr>
            <w:r>
              <w:rPr>
                <w:rFonts w:ascii="Calibri" w:hAnsi="Calibri"/>
                <w:b/>
                <w:color w:val="1B365D"/>
                <w:sz w:val="17"/>
              </w:rPr>
              <w:t>GP / Activos Totales (Nominal)</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7.34%</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6.88%</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28.00%</w:t>
            </w:r>
          </w:p>
        </w:tc>
        <w:tc>
          <w:tcPr>
            <w:tcW w:type="dxa" w:w="1728"/>
            <w:shd w:fill="FFFFFF"/>
            <w:tcMar>
              <w:top w:w="70" w:type="dxa"/>
              <w:bottom w:w="70" w:type="dxa"/>
              <w:left w:w="100" w:type="dxa"/>
              <w:right w:w="100" w:type="dxa"/>
            </w:tcMar>
          </w:tcPr>
          <w:p>
            <w:pPr>
              <w:spacing w:before="0" w:after="0"/>
              <w:jc w:val="right"/>
            </w:pPr>
            <w:r>
              <w:rPr>
                <w:rFonts w:ascii="Calibri" w:hAnsi="Calibri"/>
                <w:b/>
                <w:color w:val="1B365D"/>
                <w:sz w:val="17"/>
              </w:rPr>
              <w:t>✅ Inferior a la Mediana (&lt; Percentil 50)</w:t>
            </w:r>
          </w:p>
        </w:tc>
        <w:tc>
          <w:tcPr>
            <w:tcW w:type="dxa" w:w="2448"/>
            <w:shd w:fill="FFFFFF"/>
            <w:tcMar>
              <w:top w:w="70" w:type="dxa"/>
              <w:bottom w:w="70" w:type="dxa"/>
              <w:left w:w="100" w:type="dxa"/>
              <w:right w:w="100" w:type="dxa"/>
            </w:tcMar>
          </w:tcPr>
          <w:p>
            <w:pPr>
              <w:spacing w:before="0" w:after="0"/>
              <w:jc w:val="left"/>
            </w:pPr>
            <w:r>
              <w:rPr>
                <w:rFonts w:ascii="Calibri" w:hAnsi="Calibri"/>
                <w:b/>
                <w:color w:val="1B365D"/>
                <w:sz w:val="17"/>
              </w:rPr>
              <w:t>Genera $0.07 de utilidad bruta por cada $1.00 de activo total.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 / Activos Operativos (Ex-Caja)</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7.39%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6.92%</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32.00%</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Alta Eficiencia</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Al aislar la caja ociosa, rinde $0.07 por dólar productivo.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Efecto Arrastre de Caja (Cash Drag)</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+0.05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+0.04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+4.00 pp</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ℹ️ Dilución Solvente</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La acumulación de liquidez deprime el ratio nominal.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GP/A Ajustada (De-meaning)</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+-20.66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+-21.12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Ventaja Fuerte</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Supera en +-20.66 puntos porcentuales a la mediana del sector.</w:t>
            </w:r>
          </w:p>
        </w:tc>
      </w:tr>
    </w:tbl>
    <w:p>
      <w:pPr>
        <w:spacing w:after="120"/>
      </w:pPr>
    </w:p>
    <w:p>
      <w:pPr>
        <w:keepNext/>
        <w:spacing w:before="240" w:after="80"/>
      </w:pPr>
      <w:r>
        <w:rPr>
          <w:rFonts w:ascii="Calibri" w:hAnsi="Calibri"/>
          <w:b/>
          <w:color w:val="4A5568"/>
          <w:sz w:val="23"/>
        </w:rPr>
        <w:t>Bloque B: Descomposición DuPont de Novy-Marx &amp; Matriz de 4 Cuadrantes</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MATRIZ DE DECISIÓN COMPETITIVA: 👑 MONOPOLIO / PODER DE MARCA</w:t>
              <w:br/>
            </w:r>
          </w:p>
          <w:p>
            <w:pPr>
              <w:spacing w:before="40" w:after="40" w:line="276" w:lineRule="auto"/>
            </w:pPr>
            <w:r>
              <w:rPr>
                <w:rFonts w:ascii="Calibri" w:hAnsi="Calibri"/>
                <w:color w:val="2D3748"/>
                <w:sz w:val="19"/>
              </w:rPr>
              <w:t>Ventaja impulsada por precios: margen bruto destacado (92.7% vs mediana 38.0%), pero rotación de capital moderada o baja (0.08x vs mediana 0.75x). Típico de modelos de alto valor unitario, patentes exclusivas o marcas de lujo.</w:t>
            </w:r>
          </w:p>
          <w:p>
            <w:pPr>
              <w:spacing w:before="40" w:after="40" w:line="276" w:lineRule="auto"/>
            </w:pPr>
            <w:r>
              <w:rPr>
                <w:rFonts w:ascii="Calibri" w:hAnsi="Calibri"/>
                <w:color w:val="2D3748"/>
                <w:sz w:val="19"/>
              </w:rPr>
              <w:t>• Verificación Matemática de Identidad DuPont (LTM):</w:t>
            </w:r>
          </w:p>
          <w:p>
            <w:pPr>
              <w:spacing w:before="40" w:after="40" w:line="276" w:lineRule="auto"/>
            </w:pPr>
            <w:r>
              <w:rPr>
                <w:rFonts w:ascii="Calibri" w:hAnsi="Calibri"/>
                <w:color w:val="2D3748"/>
                <w:sz w:val="19"/>
              </w:rPr>
              <w:t xml:space="preserve">  Margen Bruto (92.67%) × Rotación de Activos (0.079x) = 7.34% (Concilia al 100.0% con GP/A de 7.34%).</w:t>
            </w:r>
          </w:p>
          <w:p>
            <w:pPr>
              <w:spacing w:before="40" w:after="40" w:line="276" w:lineRule="auto"/>
            </w:pPr>
            <w:r>
              <w:rPr>
                <w:rFonts w:ascii="Calibri" w:hAnsi="Calibri"/>
                <w:color w:val="2D3748"/>
                <w:sz w:val="19"/>
              </w:rPr>
              <w:t>• Identidad Operativa Ex-Caja: Margen Bruto (92.67%) × Rotación Ex-Caja (0.080x) = 7.39% (concilia con 7.39%).</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Palanca DuPont</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Estatus vs Mediana</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Implicación Estratégica</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Margen Bruto (Utilidad Bruta / Ventas)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92.67%</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92.11%</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38.00%</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+54.67 pp</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Pricing power, lealtad de clientes y disciplina de costes directos.</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Rotación Activos Totales (Ventas / Activos)</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0.079x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0.075x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0.750x</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-0.67x</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Velocidad de comercialización y aprovechamiento del capital instalado.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Rotación Activos Ex-Caja (Ventas / Act. Operativos)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0.080x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0.075x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0.825x</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Expansión Operativa</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Velocidad pura del capital en planta, logística y desarrollo.</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PRODUCTIVIDAD CONSOLIDADA (GP/A)</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7.34%</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6.88%</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28.00%</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+-20.66 pp</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CAPITAL PRODUCTIVO DE MÁXIMA GENERACIÓN ECONÓMICA.</w:t>
            </w:r>
          </w:p>
        </w:tc>
      </w:tr>
    </w:tbl>
    <w:p>
      <w:pPr>
        <w:spacing w:after="120"/>
      </w:pPr>
    </w:p>
    <w:p>
      <w:pPr>
        <w:keepNext/>
        <w:spacing w:before="240" w:after="80"/>
      </w:pPr>
      <w:r>
        <w:rPr>
          <w:rFonts w:ascii="Calibri" w:hAnsi="Calibri"/>
          <w:b/>
          <w:color w:val="4A5568"/>
          <w:sz w:val="23"/>
        </w:rPr>
        <w:t>Bloque C: Evolución Histórica Multianual y Consistencia de Tendencia</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DIAGNÓSTICO DE SOSTENIBILIDAD TEMPORAL</w:t>
              <w:br/>
            </w:r>
          </w:p>
          <w:p>
            <w:pPr>
              <w:spacing w:before="40" w:after="40" w:line="276" w:lineRule="auto"/>
            </w:pPr>
            <w:r>
              <w:rPr>
                <w:rFonts w:ascii="Calibri" w:hAnsi="Calibri"/>
                <w:color w:val="2D3748"/>
                <w:sz w:val="19"/>
              </w:rPr>
              <w:t>• Expansión a 3 Años (vs. FY2023): +1.04 puntos porcentuales.</w:t>
            </w:r>
          </w:p>
          <w:p>
            <w:pPr>
              <w:spacing w:before="40" w:after="40" w:line="276" w:lineRule="auto"/>
            </w:pPr>
            <w:r>
              <w:rPr>
                <w:rFonts w:ascii="Calibri" w:hAnsi="Calibri"/>
                <w:color w:val="2D3748"/>
                <w:sz w:val="19"/>
              </w:rPr>
              <w:t>• Expansión a 5 Años (vs. FY2021): +2.86 puntos porcentuales.</w:t>
            </w:r>
          </w:p>
          <w:p>
            <w:pPr>
              <w:spacing w:before="40" w:after="40" w:line="276" w:lineRule="auto"/>
            </w:pPr>
            <w:r>
              <w:rPr>
                <w:rFonts w:ascii="Calibri" w:hAnsi="Calibri"/>
                <w:color w:val="2D3748"/>
                <w:sz w:val="19"/>
              </w:rPr>
              <w:t>• Coeficiente de Variación (CV GP/A): 0.158 (indica una trayectoria predecible y baja volatilidad operativa).</w:t>
            </w:r>
          </w:p>
          <w:p>
            <w:pPr>
              <w:spacing w:before="40" w:after="40" w:line="276" w:lineRule="auto"/>
            </w:pPr>
            <w:r>
              <w:rPr>
                <w:rFonts w:ascii="Calibri" w:hAnsi="Calibri"/>
                <w:color w:val="2D3748"/>
                <w:sz w:val="19"/>
              </w:rPr>
              <w:t>• Conclusión de Tendencia: Trayectoria constructiva y estable (+2.86 p.p. en 5 años); foso económico protegido.</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399"/>
        <w:gridCol w:w="1399"/>
        <w:gridCol w:w="1399"/>
        <w:gridCol w:w="1399"/>
        <w:gridCol w:w="1399"/>
        <w:gridCol w:w="1399"/>
        <w:gridCol w:w="1399"/>
      </w:tblGrid>
      <w:tr>
        <w:tc>
          <w:tcPr>
            <w:tcW w:type="dxa" w:w="1440"/>
            <w:shd w:fill="1B365D"/>
            <w:tcMar>
              <w:top w:w="90" w:type="dxa"/>
              <w:bottom w:w="90" w:type="dxa"/>
              <w:left w:w="100" w:type="dxa"/>
              <w:right w:w="100" w:type="dxa"/>
            </w:tcMar>
          </w:tcPr>
          <w:p>
            <w:pPr>
              <w:spacing w:before="0" w:after="0"/>
              <w:jc w:val="left"/>
            </w:pPr>
            <w:r>
              <w:rPr>
                <w:rFonts w:ascii="Calibri" w:hAnsi="Calibri"/>
                <w:b/>
                <w:color w:val="FFFFFF"/>
                <w:sz w:val="18"/>
              </w:rPr>
              <w:t>Período Fiscal</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 Activos (%)</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Ex-Caja (%)</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Cash Drag (pp)</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Margen Bruto (%)</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Rotación (x)</w:t>
            </w:r>
          </w:p>
        </w:tc>
        <w:tc>
          <w:tcPr>
            <w:tcW w:type="dxa" w:w="1584"/>
            <w:shd w:fill="1B365D"/>
            <w:tcMar>
              <w:top w:w="90" w:type="dxa"/>
              <w:bottom w:w="90" w:type="dxa"/>
              <w:left w:w="100" w:type="dxa"/>
              <w:right w:w="100" w:type="dxa"/>
            </w:tcMar>
          </w:tcPr>
          <w:p>
            <w:pPr>
              <w:spacing w:before="0" w:after="0"/>
              <w:jc w:val="left"/>
            </w:pPr>
            <w:r>
              <w:rPr>
                <w:rFonts w:ascii="Calibri" w:hAnsi="Calibri"/>
                <w:b/>
                <w:color w:val="FFFFFF"/>
                <w:sz w:val="18"/>
              </w:rPr>
              <w:t>Cuadrante Estratégico</w:t>
            </w:r>
          </w:p>
        </w:tc>
      </w:tr>
      <w:tr>
        <w:tc>
          <w:tcPr>
            <w:tcW w:type="dxa" w:w="1440"/>
            <w:shd w:fill="FFFFFF"/>
            <w:tcMar>
              <w:top w:w="70" w:type="dxa"/>
              <w:bottom w:w="70" w:type="dxa"/>
              <w:left w:w="100" w:type="dxa"/>
              <w:right w:w="100" w:type="dxa"/>
            </w:tcMar>
          </w:tcPr>
          <w:p>
            <w:pPr>
              <w:spacing w:before="0" w:after="0"/>
              <w:jc w:val="left"/>
            </w:pPr>
            <w:r>
              <w:rPr>
                <w:rFonts w:ascii="Calibri" w:hAnsi="Calibri"/>
                <w:b/>
                <w:color w:val="1B365D"/>
                <w:sz w:val="17"/>
              </w:rPr>
              <w:t>LTM</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7.34%</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7.39%</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+0.05 pp</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92.67%</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0.079x</w:t>
            </w:r>
          </w:p>
        </w:tc>
        <w:tc>
          <w:tcPr>
            <w:tcW w:type="dxa" w:w="1584"/>
            <w:shd w:fill="FFFFFF"/>
            <w:tcMar>
              <w:top w:w="70" w:type="dxa"/>
              <w:bottom w:w="70" w:type="dxa"/>
              <w:left w:w="100" w:type="dxa"/>
              <w:right w:w="100" w:type="dxa"/>
            </w:tcMar>
          </w:tcPr>
          <w:p>
            <w:pPr>
              <w:spacing w:before="0" w:after="0"/>
              <w:jc w:val="left"/>
            </w:pPr>
            <w:r>
              <w:rPr>
                <w:rFonts w:ascii="Calibri" w:hAnsi="Calibri"/>
                <w:b/>
                <w:color w:val="1B365D"/>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FY2025</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6.88%</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6.92%</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+0.04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92.11%</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0.075x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FY2024</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6.78%</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6.82%</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+0.04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92.51%</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0.073x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6.30%</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6.33%</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+0.03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91.99%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0.069x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FY2022</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6.19%</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6.21%</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+0.02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93.14%</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0.066x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FY2021</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4.48%</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4.50%</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+0.03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93.53%</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0.048x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FY2020</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7.40%</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7.71%</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+0.31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93.62%</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0.079x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FY2019</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7.52%</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7.55%</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+0.02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94.03%</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0.080x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bl>
    <w:p>
      <w:pPr>
        <w:spacing w:after="120"/>
      </w:pPr>
    </w:p>
    <w:p>
      <w:pPr>
        <w:keepNext/>
        <w:spacing w:before="240" w:after="80"/>
      </w:pPr>
      <w:r>
        <w:rPr>
          <w:rFonts w:ascii="Calibri" w:hAnsi="Calibri"/>
          <w:b/>
          <w:color w:val="4A5568"/>
          <w:sz w:val="23"/>
        </w:rPr>
        <w:t>Bloque D: Benchmarking Sectorial y Ranking Competitivo de la Industria</w:t>
      </w:r>
    </w:p>
    <w:p>
      <w:pPr>
        <w:spacing w:before="0" w:after="80" w:line="276" w:lineRule="auto"/>
      </w:pPr>
      <w:r>
        <w:rPr>
          <w:rFonts w:ascii="Calibri" w:hAnsi="Calibri"/>
          <w:i w:val="0"/>
          <w:color w:val="2D3748"/>
          <w:sz w:val="20"/>
        </w:rPr>
        <w:t>A continuación se presenta el ranking institucional de la canasta de pares directos ordenados rigurosamente por su Rentabilidad Bruta sobre Activos Totales (Gross Profitability de Novy-Marx), contrastando la métrica nominal con la métrica operativa ex-caja y la distancia en puntos porcentuales frente a la mediana de la industria: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720"/>
            <w:shd w:fill="1B365D"/>
            <w:tcMar>
              <w:top w:w="90" w:type="dxa"/>
              <w:bottom w:w="90" w:type="dxa"/>
              <w:left w:w="100" w:type="dxa"/>
              <w:right w:w="100" w:type="dxa"/>
            </w:tcMar>
          </w:tcPr>
          <w:p>
            <w:pPr>
              <w:spacing w:before="0" w:after="0"/>
              <w:jc w:val="left"/>
            </w:pPr>
            <w:r>
              <w:rPr>
                <w:rFonts w:ascii="Calibri" w:hAnsi="Calibri"/>
                <w:b/>
                <w:color w:val="FFFFFF"/>
                <w:sz w:val="18"/>
              </w:rPr>
              <w:t>Rank</w:t>
            </w:r>
          </w:p>
        </w:tc>
        <w:tc>
          <w:tcPr>
            <w:tcW w:type="dxa" w:w="1008"/>
            <w:shd w:fill="1B365D"/>
            <w:tcMar>
              <w:top w:w="90" w:type="dxa"/>
              <w:bottom w:w="90" w:type="dxa"/>
              <w:left w:w="100" w:type="dxa"/>
              <w:right w:w="100" w:type="dxa"/>
            </w:tcMar>
          </w:tcPr>
          <w:p>
            <w:pPr>
              <w:spacing w:before="0" w:after="0"/>
              <w:jc w:val="right"/>
            </w:pPr>
            <w:r>
              <w:rPr>
                <w:rFonts w:ascii="Calibri" w:hAnsi="Calibri"/>
                <w:b/>
                <w:color w:val="FFFFFF"/>
                <w:sz w:val="18"/>
              </w:rPr>
              <w:t>Ticker</w:t>
            </w:r>
          </w:p>
        </w:tc>
        <w:tc>
          <w:tcPr>
            <w:tcW w:type="dxa" w:w="2016"/>
            <w:shd w:fill="1B365D"/>
            <w:tcMar>
              <w:top w:w="90" w:type="dxa"/>
              <w:bottom w:w="90" w:type="dxa"/>
              <w:left w:w="100" w:type="dxa"/>
              <w:right w:w="100" w:type="dxa"/>
            </w:tcMar>
          </w:tcPr>
          <w:p>
            <w:pPr>
              <w:spacing w:before="0" w:after="0"/>
              <w:jc w:val="right"/>
            </w:pPr>
            <w:r>
              <w:rPr>
                <w:rFonts w:ascii="Calibri" w:hAnsi="Calibri"/>
                <w:b/>
                <w:color w:val="FFFFFF"/>
                <w:sz w:val="18"/>
              </w:rPr>
              <w:t>Empresa Competidora</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Período</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 Activos</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Ex-Caja</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Margen Bruto</w:t>
            </w:r>
          </w:p>
        </w:tc>
        <w:tc>
          <w:tcPr>
            <w:tcW w:type="dxa" w:w="720"/>
            <w:shd w:fill="1B365D"/>
            <w:tcMar>
              <w:top w:w="90" w:type="dxa"/>
              <w:bottom w:w="90" w:type="dxa"/>
              <w:left w:w="100" w:type="dxa"/>
              <w:right w:w="100" w:type="dxa"/>
            </w:tcMar>
          </w:tcPr>
          <w:p>
            <w:pPr>
              <w:spacing w:before="0" w:after="0"/>
              <w:jc w:val="right"/>
            </w:pPr>
            <w:r>
              <w:rPr>
                <w:rFonts w:ascii="Calibri" w:hAnsi="Calibri"/>
                <w:b/>
                <w:color w:val="FFFFFF"/>
                <w:sz w:val="18"/>
              </w:rPr>
              <w:t>Rotación</w:t>
            </w:r>
          </w:p>
        </w:tc>
        <w:tc>
          <w:tcPr>
            <w:tcW w:type="dxa" w:w="1152"/>
            <w:shd w:fill="1B365D"/>
            <w:tcMar>
              <w:top w:w="90" w:type="dxa"/>
              <w:bottom w:w="90" w:type="dxa"/>
              <w:left w:w="100" w:type="dxa"/>
              <w:right w:w="100" w:type="dxa"/>
            </w:tcMar>
          </w:tcPr>
          <w:p>
            <w:pPr>
              <w:spacing w:before="0" w:after="0"/>
              <w:jc w:val="left"/>
            </w:pPr>
            <w:r>
              <w:rPr>
                <w:rFonts w:ascii="Calibri" w:hAnsi="Calibri"/>
                <w:b/>
                <w:color w:val="FFFFFF"/>
                <w:sz w:val="18"/>
              </w:rPr>
              <w:t>Brecha vs Mediana</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MEDIANA</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Mediana Sectorial</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28.00%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32.00%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38.00%</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0.75x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P75</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Percentil 75 Líder</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42.00%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+14.00 pp</w:t>
            </w:r>
          </w:p>
        </w:tc>
      </w:tr>
    </w:tbl>
    <w:p>
      <w:pPr>
        <w:spacing w:after="120"/>
      </w:pPr>
    </w:p>
    <w:p>
      <w:pPr>
        <w:keepNext/>
        <w:spacing w:before="240" w:after="80"/>
      </w:pPr>
      <w:r>
        <w:rPr>
          <w:rFonts w:ascii="Calibri" w:hAnsi="Calibri"/>
          <w:b/>
          <w:color w:val="4A5568"/>
          <w:sz w:val="23"/>
        </w:rPr>
        <w:t>Conclusiones Fundamentales para Modelos de Valoración</w:t>
      </w:r>
    </w:p>
    <w:p>
      <w:pPr>
        <w:spacing w:before="0" w:after="80" w:line="276" w:lineRule="auto"/>
      </w:pPr>
      <w:r>
        <w:rPr>
          <w:rFonts w:ascii="Calibri" w:hAnsi="Calibri"/>
          <w:i w:val="0"/>
          <w:color w:val="2D3748"/>
          <w:sz w:val="20"/>
        </w:rPr>
        <w:t>Conclusión Analítica: O lidera o se consolida en la cúspide de su industria en la métrica de Novy-Marx. Al conjugar poder de fijación de precios con una rotación de activos disciplinada, su modelo de negocio es inmune a la compresión de márgenes que sufren competidores con activos sobredimensionados o márgenes brutos deprimidos.</w:t>
      </w:r>
    </w:p>
    <w:p>
      <w:pPr>
        <w:pStyle w:val="Heading1"/>
        <w:spacing w:before="360" w:after="160"/>
      </w:pPr>
      <w:r>
        <w:t>11. Rendimiento del Capital Ajustado por Intangibles, Costo de Capital (WACC) y Creación de Valor Económico</w:t>
      </w:r>
    </w:p>
    <w:p>
      <w:r>
        <w:rPr>
          <w:i/>
          <w:sz w:val="20"/>
        </w:rPr>
        <w:t>Evaluación del retorno económico del capital y la sostenibilidad de las ventajas competitivas (Economic Moat) para REALTY INCOME CORP (O) al período LTM.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DICTAMEN DE VALOR ECONÓMICO: ⚠️ DESTRUCCIÓN DE VALOR ECONÓMICO (SPREAD -5.25 p.p.)</w:t>
              <w:br/>
            </w:r>
          </w:p>
          <w:p>
            <w:pPr>
              <w:spacing w:before="40" w:after="40" w:line="276" w:lineRule="auto"/>
            </w:pPr>
            <w:r>
              <w:rPr>
                <w:rFonts w:ascii="Calibri" w:hAnsi="Calibri"/>
                <w:color w:val="2D3748"/>
                <w:sz w:val="19"/>
              </w:rPr>
              <w:t>• ROC Greenblatt Tangible (LTM): 2.24% (Productividad operativa pura pre-tax sobre capital de trabajo y PP&amp;E físico instalado).</w:t>
            </w:r>
          </w:p>
          <w:p>
            <w:pPr>
              <w:spacing w:before="40" w:after="40" w:line="276" w:lineRule="auto"/>
            </w:pPr>
            <w:r>
              <w:rPr>
                <w:rFonts w:ascii="Calibri" w:hAnsi="Calibri"/>
                <w:color w:val="2D3748"/>
                <w:sz w:val="19"/>
              </w:rPr>
              <w:t>• ROIC Ajustado por Intangibles (LTM): 1.56% frente a un ROIC contable tradicional de 1.56%.</w:t>
            </w:r>
          </w:p>
          <w:p>
            <w:pPr>
              <w:spacing w:before="40" w:after="40" w:line="276" w:lineRule="auto"/>
            </w:pPr>
            <w:r>
              <w:rPr>
                <w:rFonts w:ascii="Calibri" w:hAnsi="Calibri"/>
                <w:color w:val="2D3748"/>
                <w:sz w:val="19"/>
              </w:rPr>
              <w:t>• Costo Promedio Ponderado de Capital (WACC): 6.81% (Costo del Equity Ke: 8.53%, Deuda Neta Kd: 3.85%).</w:t>
            </w:r>
          </w:p>
          <w:p>
            <w:pPr>
              <w:spacing w:before="40" w:after="40" w:line="276" w:lineRule="auto"/>
            </w:pPr>
            <w:r>
              <w:rPr>
                <w:rFonts w:ascii="Calibri" w:hAnsi="Calibri"/>
                <w:color w:val="2D3748"/>
                <w:sz w:val="19"/>
              </w:rPr>
              <w:t>• Spread Económico Neto: -5.25 p.p. de rendimiento por encima del costo de capital exigido por el mercado.</w:t>
            </w:r>
          </w:p>
          <w:p>
            <w:pPr>
              <w:spacing w:before="40" w:after="40" w:line="276" w:lineRule="auto"/>
            </w:pPr>
            <w:r>
              <w:rPr>
                <w:rFonts w:ascii="Calibri" w:hAnsi="Calibri"/>
                <w:color w:val="2D3748"/>
                <w:sz w:val="19"/>
              </w:rPr>
              <w:t>• Stock de Intangibles Fuera de Balance: $0.0M capitalizados en innovación y amortizados económicamente a 4 años.</w:t>
            </w:r>
          </w:p>
          <w:p>
            <w:pPr>
              <w:spacing w:before="40" w:after="40" w:line="276" w:lineRule="auto"/>
            </w:pPr>
            <w:r>
              <w:rPr>
                <w:rFonts w:ascii="Calibri" w:hAnsi="Calibri"/>
                <w:color w:val="2D3748"/>
                <w:sz w:val="19"/>
              </w:rPr>
              <w:t>• Tesis de Foso Defensivo: El retorno (1.56%) es inferior al costo de capital exigido (6.81%), destruyendo 5.25 puntos porcentuales de valor por cada ciclo operativo.</w:t>
            </w:r>
          </w:p>
        </w:tc>
      </w:tr>
    </w:tbl>
    <w:p>
      <w:pPr>
        <w:spacing w:before="0" w:after="120"/>
      </w:pPr>
    </w:p>
    <w:p>
      <w:pPr>
        <w:pStyle w:val="Heading2"/>
      </w:pPr>
      <w:r>
        <w:t>11.1. Bloque A: Auditoría de Parámetros de Mercado en Tiempo Real</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3168"/>
        <w:gridCol w:w="1728"/>
        <w:gridCol w:w="2592"/>
        <w:gridCol w:w="2304"/>
      </w:tblGrid>
      <w:tr>
        <w:tc>
          <w:tcPr>
            <w:tcW w:type="dxa" w:w="2448"/>
            <w:shd w:fill="1B365D"/>
            <w:tcMar>
              <w:top w:w="80" w:type="dxa"/>
              <w:bottom w:w="80" w:type="dxa"/>
              <w:left w:w="100" w:type="dxa"/>
              <w:right w:w="100" w:type="dxa"/>
            </w:tcMar>
          </w:tcPr>
          <w:p>
            <w:r>
              <w:rPr>
                <w:b/>
                <w:color w:val="FFFFFF"/>
                <w:sz w:val="18"/>
              </w:rPr>
              <w:t>Variable de Mercado</w:t>
            </w:r>
          </w:p>
        </w:tc>
        <w:tc>
          <w:tcPr>
            <w:tcW w:type="dxa" w:w="2448"/>
            <w:shd w:fill="1B365D"/>
            <w:tcMar>
              <w:top w:w="80" w:type="dxa"/>
              <w:bottom w:w="80" w:type="dxa"/>
              <w:left w:w="100" w:type="dxa"/>
              <w:right w:w="100" w:type="dxa"/>
            </w:tcMar>
          </w:tcPr>
          <w:p>
            <w:r>
              <w:rPr>
                <w:b/>
                <w:color w:val="FFFFFF"/>
                <w:sz w:val="18"/>
              </w:rPr>
              <w:t>Valor Validado</w:t>
            </w:r>
          </w:p>
        </w:tc>
        <w:tc>
          <w:tcPr>
            <w:tcW w:type="dxa" w:w="2448"/>
            <w:shd w:fill="1B365D"/>
            <w:tcMar>
              <w:top w:w="80" w:type="dxa"/>
              <w:bottom w:w="80" w:type="dxa"/>
              <w:left w:w="100" w:type="dxa"/>
              <w:right w:w="100" w:type="dxa"/>
            </w:tcMar>
          </w:tcPr>
          <w:p>
            <w:r>
              <w:rPr>
                <w:b/>
                <w:color w:val="FFFFFF"/>
                <w:sz w:val="18"/>
              </w:rPr>
              <w:t>Fuentes Consultadas</w:t>
            </w:r>
          </w:p>
        </w:tc>
        <w:tc>
          <w:tcPr>
            <w:tcW w:type="dxa" w:w="2448"/>
            <w:shd w:fill="1B365D"/>
            <w:tcMar>
              <w:top w:w="80" w:type="dxa"/>
              <w:bottom w:w="80" w:type="dxa"/>
              <w:left w:w="100" w:type="dxa"/>
              <w:right w:w="100" w:type="dxa"/>
            </w:tcMar>
          </w:tcPr>
          <w:p>
            <w:r>
              <w:rPr>
                <w:b/>
                <w:color w:val="FFFFFF"/>
                <w:sz w:val="18"/>
              </w:rPr>
              <w:t>Estatus de Auditoría</w:t>
            </w:r>
          </w:p>
        </w:tc>
      </w:tr>
      <w:tr>
        <w:tc>
          <w:tcPr>
            <w:tcW w:type="dxa" w:w="2448"/>
            <w:tcMar>
              <w:top w:w="60" w:type="dxa"/>
              <w:bottom w:w="60" w:type="dxa"/>
              <w:left w:w="100" w:type="dxa"/>
              <w:right w:w="100" w:type="dxa"/>
            </w:tcMar>
          </w:tcPr>
          <w:p>
            <w:r>
              <w:rPr>
                <w:b/>
                <w:sz w:val="17"/>
              </w:rPr>
              <w:t>Precio de Mercado de la Acción</w:t>
            </w:r>
          </w:p>
        </w:tc>
        <w:tc>
          <w:tcPr>
            <w:tcW w:type="dxa" w:w="2448"/>
            <w:tcMar>
              <w:top w:w="60" w:type="dxa"/>
              <w:bottom w:w="60" w:type="dxa"/>
              <w:left w:w="100" w:type="dxa"/>
              <w:right w:w="100" w:type="dxa"/>
            </w:tcMar>
          </w:tcPr>
          <w:p>
            <w:r>
              <w:rPr>
                <w:sz w:val="17"/>
              </w:rPr>
              <w:t>$54.13</w:t>
            </w:r>
          </w:p>
        </w:tc>
        <w:tc>
          <w:tcPr>
            <w:tcW w:type="dxa" w:w="2448"/>
            <w:tcMar>
              <w:top w:w="60" w:type="dxa"/>
              <w:bottom w:w="60" w:type="dxa"/>
              <w:left w:w="100" w:type="dxa"/>
              <w:right w:w="100" w:type="dxa"/>
            </w:tcMar>
          </w:tcPr>
          <w:p>
            <w:r>
              <w:rPr>
                <w:sz w:val="17"/>
              </w:rPr>
              <w:t>Yahoo Finance / CNBC Quotes</w:t>
            </w:r>
          </w:p>
        </w:tc>
        <w:tc>
          <w:tcPr>
            <w:tcW w:type="dxa" w:w="2448"/>
            <w:tcMar>
              <w:top w:w="60" w:type="dxa"/>
              <w:bottom w:w="60" w:type="dxa"/>
              <w:left w:w="100" w:type="dxa"/>
              <w:right w:w="100" w:type="dxa"/>
            </w:tcMar>
          </w:tcPr>
          <w:p>
            <w:r>
              <w:rPr>
                <w:sz w:val="17"/>
              </w:rPr>
              <w:t>Consenso Validado (Δ &lt; 0.1%)</w:t>
            </w:r>
          </w:p>
        </w:tc>
      </w:tr>
      <w:tr>
        <w:tc>
          <w:tcPr>
            <w:tcW w:type="dxa" w:w="2448"/>
            <w:tcMar>
              <w:top w:w="60" w:type="dxa"/>
              <w:bottom w:w="60" w:type="dxa"/>
              <w:left w:w="100" w:type="dxa"/>
              <w:right w:w="100" w:type="dxa"/>
            </w:tcMar>
            <w:shd w:fill="F7FAFC"/>
          </w:tcPr>
          <w:p>
            <w:r>
              <w:rPr>
                <w:b/>
                <w:sz w:val="17"/>
              </w:rPr>
              <w:t>Capitalización Bursátil (Market Cap - E)</w:t>
            </w:r>
          </w:p>
        </w:tc>
        <w:tc>
          <w:tcPr>
            <w:tcW w:type="dxa" w:w="2448"/>
            <w:tcMar>
              <w:top w:w="60" w:type="dxa"/>
              <w:bottom w:w="60" w:type="dxa"/>
              <w:left w:w="100" w:type="dxa"/>
              <w:right w:w="100" w:type="dxa"/>
            </w:tcMar>
            <w:shd w:fill="F7FAFC"/>
          </w:tcPr>
          <w:p>
            <w:r>
              <w:rPr>
                <w:sz w:val="17"/>
              </w:rPr>
              <w:t>$50,146.1M</w:t>
            </w:r>
          </w:p>
        </w:tc>
        <w:tc>
          <w:tcPr>
            <w:tcW w:type="dxa" w:w="2448"/>
            <w:tcMar>
              <w:top w:w="60" w:type="dxa"/>
              <w:bottom w:w="60" w:type="dxa"/>
              <w:left w:w="100" w:type="dxa"/>
              <w:right w:w="100" w:type="dxa"/>
            </w:tcMar>
            <w:shd w:fill="F7FAFC"/>
          </w:tcPr>
          <w:p>
            <w:r>
              <w:rPr>
                <w:sz w:val="17"/>
              </w:rPr>
              <w:t>Arbitraje SEC 10-Q &amp; Mercado</w:t>
            </w:r>
          </w:p>
        </w:tc>
        <w:tc>
          <w:tcPr>
            <w:tcW w:type="dxa" w:w="2448"/>
            <w:tcMar>
              <w:top w:w="60" w:type="dxa"/>
              <w:bottom w:w="60" w:type="dxa"/>
              <w:left w:w="100" w:type="dxa"/>
              <w:right w:w="100" w:type="dxa"/>
            </w:tcMar>
            <w:shd w:fill="F7FAFC"/>
          </w:tcPr>
          <w:p>
            <w:r>
              <w:rPr>
                <w:sz w:val="17"/>
              </w:rPr>
              <w:t>Conteo Diluido Auditado</w:t>
            </w:r>
          </w:p>
        </w:tc>
      </w:tr>
      <w:tr>
        <w:tc>
          <w:tcPr>
            <w:tcW w:type="dxa" w:w="2448"/>
            <w:tcMar>
              <w:top w:w="60" w:type="dxa"/>
              <w:bottom w:w="60" w:type="dxa"/>
              <w:left w:w="100" w:type="dxa"/>
              <w:right w:w="100" w:type="dxa"/>
            </w:tcMar>
          </w:tcPr>
          <w:p>
            <w:r>
              <w:rPr>
                <w:b/>
                <w:sz w:val="17"/>
              </w:rPr>
              <w:t>Tasa Libre de Riesgo (Rf - Bono 10Y)</w:t>
            </w:r>
          </w:p>
        </w:tc>
        <w:tc>
          <w:tcPr>
            <w:tcW w:type="dxa" w:w="2448"/>
            <w:tcMar>
              <w:top w:w="60" w:type="dxa"/>
              <w:bottom w:w="60" w:type="dxa"/>
              <w:left w:w="100" w:type="dxa"/>
              <w:right w:w="100" w:type="dxa"/>
            </w:tcMar>
          </w:tcPr>
          <w:p>
            <w:r>
              <w:rPr>
                <w:sz w:val="17"/>
              </w:rPr>
              <w:t>5.27%</w:t>
            </w:r>
          </w:p>
        </w:tc>
        <w:tc>
          <w:tcPr>
            <w:tcW w:type="dxa" w:w="2448"/>
            <w:tcMar>
              <w:top w:w="60" w:type="dxa"/>
              <w:bottom w:w="60" w:type="dxa"/>
              <w:left w:w="100" w:type="dxa"/>
              <w:right w:w="100" w:type="dxa"/>
            </w:tcMar>
          </w:tcPr>
          <w:p>
            <w:r>
              <w:rPr>
                <w:sz w:val="17"/>
              </w:rPr>
              <w:t>Yahoo ^TNX / CNBC US10Y</w:t>
            </w:r>
          </w:p>
        </w:tc>
        <w:tc>
          <w:tcPr>
            <w:tcW w:type="dxa" w:w="2448"/>
            <w:tcMar>
              <w:top w:w="60" w:type="dxa"/>
              <w:bottom w:w="60" w:type="dxa"/>
              <w:left w:w="100" w:type="dxa"/>
              <w:right w:w="100" w:type="dxa"/>
            </w:tcMar>
          </w:tcPr>
          <w:p>
            <w:r>
              <w:rPr>
                <w:sz w:val="17"/>
              </w:rPr>
              <w:t>Δ &lt; 0.05% (Consensuado)</w:t>
            </w:r>
          </w:p>
        </w:tc>
      </w:tr>
      <w:tr>
        <w:tc>
          <w:tcPr>
            <w:tcW w:type="dxa" w:w="2448"/>
            <w:tcMar>
              <w:top w:w="60" w:type="dxa"/>
              <w:bottom w:w="60" w:type="dxa"/>
              <w:left w:w="100" w:type="dxa"/>
              <w:right w:w="100" w:type="dxa"/>
            </w:tcMar>
            <w:shd w:fill="F7FAFC"/>
          </w:tcPr>
          <w:p>
            <w:r>
              <w:rPr>
                <w:b/>
                <w:sz w:val="17"/>
              </w:rPr>
              <w:t>Beta de la Acción (β)</w:t>
            </w:r>
          </w:p>
        </w:tc>
        <w:tc>
          <w:tcPr>
            <w:tcW w:type="dxa" w:w="2448"/>
            <w:tcMar>
              <w:top w:w="60" w:type="dxa"/>
              <w:bottom w:w="60" w:type="dxa"/>
              <w:left w:w="100" w:type="dxa"/>
              <w:right w:w="100" w:type="dxa"/>
            </w:tcMar>
            <w:shd w:fill="F7FAFC"/>
          </w:tcPr>
          <w:p>
            <w:r>
              <w:rPr>
                <w:sz w:val="17"/>
              </w:rPr>
              <w:t>0.69</w:t>
            </w:r>
          </w:p>
        </w:tc>
        <w:tc>
          <w:tcPr>
            <w:tcW w:type="dxa" w:w="2448"/>
            <w:tcMar>
              <w:top w:w="60" w:type="dxa"/>
              <w:bottom w:w="60" w:type="dxa"/>
              <w:left w:w="100" w:type="dxa"/>
              <w:right w:w="100" w:type="dxa"/>
            </w:tcMar>
            <w:shd w:fill="F7FAFC"/>
          </w:tcPr>
          <w:p>
            <w:r>
              <w:rPr>
                <w:sz w:val="17"/>
              </w:rPr>
              <w:t>Yahoo 5Y Monthly / CNBC</w:t>
            </w:r>
          </w:p>
        </w:tc>
        <w:tc>
          <w:tcPr>
            <w:tcW w:type="dxa" w:w="2448"/>
            <w:tcMar>
              <w:top w:w="60" w:type="dxa"/>
              <w:bottom w:w="60" w:type="dxa"/>
              <w:left w:w="100" w:type="dxa"/>
              <w:right w:w="100" w:type="dxa"/>
            </w:tcMar>
            <w:shd w:fill="F7FAFC"/>
          </w:tcPr>
          <w:p>
            <w:r>
              <w:rPr>
                <w:sz w:val="17"/>
              </w:rPr>
              <w:t>Rango Estadístico Sectorial</w:t>
            </w:r>
          </w:p>
        </w:tc>
      </w:tr>
      <w:tr>
        <w:tc>
          <w:tcPr>
            <w:tcW w:type="dxa" w:w="2448"/>
            <w:tcMar>
              <w:top w:w="60" w:type="dxa"/>
              <w:bottom w:w="60" w:type="dxa"/>
              <w:left w:w="100" w:type="dxa"/>
              <w:right w:w="100" w:type="dxa"/>
            </w:tcMar>
          </w:tcPr>
          <w:p>
            <w:r>
              <w:rPr>
                <w:b/>
                <w:sz w:val="17"/>
              </w:rPr>
              <w:t>Prima de Riesgo de Mercado (ERP)</w:t>
            </w:r>
          </w:p>
        </w:tc>
        <w:tc>
          <w:tcPr>
            <w:tcW w:type="dxa" w:w="2448"/>
            <w:tcMar>
              <w:top w:w="60" w:type="dxa"/>
              <w:bottom w:w="60" w:type="dxa"/>
              <w:left w:w="100" w:type="dxa"/>
              <w:right w:w="100" w:type="dxa"/>
            </w:tcMar>
          </w:tcPr>
          <w:p>
            <w:r>
              <w:rPr>
                <w:sz w:val="17"/>
              </w:rPr>
              <w:t>4.75%</w:t>
            </w:r>
          </w:p>
        </w:tc>
        <w:tc>
          <w:tcPr>
            <w:tcW w:type="dxa" w:w="2448"/>
            <w:tcMar>
              <w:top w:w="60" w:type="dxa"/>
              <w:bottom w:w="60" w:type="dxa"/>
              <w:left w:w="100" w:type="dxa"/>
              <w:right w:w="100" w:type="dxa"/>
            </w:tcMar>
          </w:tcPr>
          <w:p>
            <w:r>
              <w:rPr>
                <w:sz w:val="17"/>
              </w:rPr>
              <w:t>Benchmark NYU Stern (Damodaran)</w:t>
            </w:r>
          </w:p>
        </w:tc>
        <w:tc>
          <w:tcPr>
            <w:tcW w:type="dxa" w:w="2448"/>
            <w:tcMar>
              <w:top w:w="60" w:type="dxa"/>
              <w:bottom w:w="60" w:type="dxa"/>
              <w:left w:w="100" w:type="dxa"/>
              <w:right w:w="100" w:type="dxa"/>
            </w:tcMar>
          </w:tcPr>
          <w:p>
            <w:r>
              <w:rPr>
                <w:sz w:val="17"/>
              </w:rPr>
              <w:t>Estándar Institucional</w:t>
            </w:r>
          </w:p>
        </w:tc>
      </w:tr>
    </w:tbl>
    <w:p/>
    <w:p>
      <w:pPr>
        <w:pStyle w:val="Heading2"/>
      </w:pPr>
      <w:r>
        <w:t>11.2. Desglose y Explicación del ROC Tangible (Joel Greenblatt)</w:t>
      </w:r>
    </w:p>
    <w:p>
      <w:r>
        <w:rPr>
          <w:sz w:val="19"/>
        </w:rPr>
        <w:t>El Return on Capital (ROC) de Joel Greenblatt evalúa la rentabilidad operativa pura antes de impuestos (EBIT) sobre los activos físicos tangibles (Capital de Trabajo Neto Operativo + PP&amp;E Físico). Para REALTY INCOME CORP, el ROC de 2.24% refleja la eficiencia operativa sobre activos tangibles instalados, optimizando la rotación de capital y la productividad física instalada.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296"/>
        <w:gridCol w:w="1296"/>
        <w:gridCol w:w="2160"/>
        <w:gridCol w:w="2448"/>
      </w:tblGrid>
      <w:tr>
        <w:tc>
          <w:tcPr>
            <w:tcW w:type="dxa" w:w="1958"/>
            <w:shd w:fill="1B365D"/>
            <w:tcMar>
              <w:top w:w="80" w:type="dxa"/>
              <w:bottom w:w="80" w:type="dxa"/>
              <w:left w:w="100" w:type="dxa"/>
              <w:right w:w="100" w:type="dxa"/>
            </w:tcMar>
          </w:tcPr>
          <w:p>
            <w:r>
              <w:rPr>
                <w:b/>
                <w:color w:val="FFFFFF"/>
                <w:sz w:val="17"/>
              </w:rPr>
              <w:t>Partida Contable / Paso</w:t>
            </w:r>
          </w:p>
        </w:tc>
        <w:tc>
          <w:tcPr>
            <w:tcW w:type="dxa" w:w="1958"/>
            <w:shd w:fill="1B365D"/>
            <w:tcMar>
              <w:top w:w="80" w:type="dxa"/>
              <w:bottom w:w="80" w:type="dxa"/>
              <w:left w:w="100" w:type="dxa"/>
              <w:right w:w="100" w:type="dxa"/>
            </w:tcMar>
          </w:tcPr>
          <w:p>
            <w:r>
              <w:rPr>
                <w:b/>
                <w:color w:val="FFFFFF"/>
                <w:sz w:val="17"/>
              </w:rPr>
              <w:t>LTM</w:t>
            </w:r>
          </w:p>
        </w:tc>
        <w:tc>
          <w:tcPr>
            <w:tcW w:type="dxa" w:w="1958"/>
            <w:shd w:fill="1B365D"/>
            <w:tcMar>
              <w:top w:w="80" w:type="dxa"/>
              <w:bottom w:w="80" w:type="dxa"/>
              <w:left w:w="100" w:type="dxa"/>
              <w:right w:w="100" w:type="dxa"/>
            </w:tcMar>
          </w:tcPr>
          <w:p>
            <w:r>
              <w:rPr>
                <w:b/>
                <w:color w:val="FFFFFF"/>
                <w:sz w:val="17"/>
              </w:rPr>
              <w:t>FY2025</w:t>
            </w:r>
          </w:p>
        </w:tc>
        <w:tc>
          <w:tcPr>
            <w:tcW w:type="dxa" w:w="1958"/>
            <w:shd w:fill="1B365D"/>
            <w:tcMar>
              <w:top w:w="80" w:type="dxa"/>
              <w:bottom w:w="80" w:type="dxa"/>
              <w:left w:w="100" w:type="dxa"/>
              <w:right w:w="100" w:type="dxa"/>
            </w:tcMar>
          </w:tcPr>
          <w:p>
            <w:r>
              <w:rPr>
                <w:b/>
                <w:color w:val="FFFFFF"/>
                <w:sz w:val="17"/>
              </w:rPr>
              <w:t>Origen en Balances SEC</w:t>
            </w:r>
          </w:p>
        </w:tc>
        <w:tc>
          <w:tcPr>
            <w:tcW w:type="dxa" w:w="1958"/>
            <w:shd w:fill="1B365D"/>
            <w:tcMar>
              <w:top w:w="80" w:type="dxa"/>
              <w:bottom w:w="80" w:type="dxa"/>
              <w:left w:w="100" w:type="dxa"/>
              <w:right w:w="100" w:type="dxa"/>
            </w:tcMar>
          </w:tcPr>
          <w:p>
            <w:r>
              <w:rPr>
                <w:b/>
                <w:color w:val="FFFFFF"/>
                <w:sz w:val="17"/>
              </w:rPr>
              <w:t>Criterio y Salvaguarda Contable</w:t>
            </w:r>
          </w:p>
        </w:tc>
      </w:tr>
      <w:tr>
        <w:tc>
          <w:tcPr>
            <w:tcW w:type="dxa" w:w="1958"/>
            <w:tcMar>
              <w:top w:w="60" w:type="dxa"/>
              <w:bottom w:w="60" w:type="dxa"/>
              <w:left w:w="100" w:type="dxa"/>
              <w:right w:w="100" w:type="dxa"/>
            </w:tcMar>
          </w:tcPr>
          <w:p>
            <w:r>
              <w:rPr>
                <w:b/>
                <w:sz w:val="17"/>
              </w:rPr>
              <w:t>(+) Beneficio Operativo (EBIT)</w:t>
            </w:r>
          </w:p>
        </w:tc>
        <w:tc>
          <w:tcPr>
            <w:tcW w:type="dxa" w:w="1958"/>
            <w:tcMar>
              <w:top w:w="60" w:type="dxa"/>
              <w:bottom w:w="60" w:type="dxa"/>
              <w:left w:w="100" w:type="dxa"/>
              <w:right w:w="100" w:type="dxa"/>
            </w:tcMar>
          </w:tcPr>
          <w:p>
            <w:r>
              <w:rPr>
                <w:b/>
                <w:sz w:val="17"/>
              </w:rPr>
              <w:t>$1,217.7M</w:t>
            </w:r>
          </w:p>
        </w:tc>
        <w:tc>
          <w:tcPr>
            <w:tcW w:type="dxa" w:w="1958"/>
            <w:tcMar>
              <w:top w:w="60" w:type="dxa"/>
              <w:bottom w:w="60" w:type="dxa"/>
              <w:left w:w="100" w:type="dxa"/>
              <w:right w:w="100" w:type="dxa"/>
            </w:tcMar>
          </w:tcPr>
          <w:p>
            <w:r>
              <w:rPr>
                <w:sz w:val="17"/>
              </w:rPr>
              <w:t>$651.4M</w:t>
            </w:r>
          </w:p>
        </w:tc>
        <w:tc>
          <w:tcPr>
            <w:tcW w:type="dxa" w:w="1958"/>
            <w:tcMar>
              <w:top w:w="60" w:type="dxa"/>
              <w:bottom w:w="60" w:type="dxa"/>
              <w:left w:w="100" w:type="dxa"/>
              <w:right w:w="100" w:type="dxa"/>
            </w:tcMar>
          </w:tcPr>
          <w:p>
            <w:r>
              <w:rPr>
                <w:sz w:val="17"/>
              </w:rPr>
              <w:t>Income Statement (Operating Income)</w:t>
            </w:r>
          </w:p>
        </w:tc>
        <w:tc>
          <w:tcPr>
            <w:tcW w:type="dxa" w:w="1958"/>
            <w:tcMar>
              <w:top w:w="60" w:type="dxa"/>
              <w:bottom w:w="60" w:type="dxa"/>
              <w:left w:w="100" w:type="dxa"/>
              <w:right w:w="100" w:type="dxa"/>
            </w:tcMar>
          </w:tcPr>
          <w:p>
            <w:r>
              <w:rPr>
                <w:sz w:val="17"/>
              </w:rPr>
              <w:t>Beneficio operativo puro antes de intereses e impuestos.</w:t>
            </w:r>
          </w:p>
        </w:tc>
      </w:tr>
      <w:tr>
        <w:tc>
          <w:tcPr>
            <w:tcW w:type="dxa" w:w="1958"/>
            <w:tcMar>
              <w:top w:w="60" w:type="dxa"/>
              <w:bottom w:w="60" w:type="dxa"/>
              <w:left w:w="100" w:type="dxa"/>
              <w:right w:w="100" w:type="dxa"/>
            </w:tcMar>
            <w:shd w:fill="F7FAFC"/>
          </w:tcPr>
          <w:p>
            <w:r>
              <w:rPr>
                <w:b/>
                <w:sz w:val="17"/>
              </w:rPr>
              <w:t>(+) Activos Corrientes Operativos</w:t>
            </w:r>
          </w:p>
        </w:tc>
        <w:tc>
          <w:tcPr>
            <w:tcW w:type="dxa" w:w="1958"/>
            <w:tcMar>
              <w:top w:w="60" w:type="dxa"/>
              <w:bottom w:w="60" w:type="dxa"/>
              <w:left w:w="100" w:type="dxa"/>
              <w:right w:w="100" w:type="dxa"/>
            </w:tcMar>
            <w:shd w:fill="F7FAFC"/>
          </w:tcPr>
          <w:p>
            <w:r>
              <w:rPr>
                <w:b/>
                <w:sz w:val="17"/>
              </w:rPr>
              <w:t>$0.0M</w:t>
            </w:r>
          </w:p>
        </w:tc>
        <w:tc>
          <w:tcPr>
            <w:tcW w:type="dxa" w:w="1958"/>
            <w:tcMar>
              <w:top w:w="60" w:type="dxa"/>
              <w:bottom w:w="60" w:type="dxa"/>
              <w:left w:w="100" w:type="dxa"/>
              <w:right w:w="100" w:type="dxa"/>
            </w:tcMar>
            <w:shd w:fill="F7FAFC"/>
          </w:tcPr>
          <w:p>
            <w:r>
              <w:rPr>
                <w:sz w:val="17"/>
              </w:rPr>
              <w:t>$0.0M</w:t>
            </w:r>
          </w:p>
        </w:tc>
        <w:tc>
          <w:tcPr>
            <w:tcW w:type="dxa" w:w="1958"/>
            <w:tcMar>
              <w:top w:w="60" w:type="dxa"/>
              <w:bottom w:w="60" w:type="dxa"/>
              <w:left w:w="100" w:type="dxa"/>
              <w:right w:w="100" w:type="dxa"/>
            </w:tcMar>
            <w:shd w:fill="F7FAFC"/>
          </w:tcPr>
          <w:p>
            <w:r>
              <w:rPr>
                <w:sz w:val="17"/>
              </w:rPr>
              <w:t>Balance Sheet (Current Assets)</w:t>
            </w:r>
          </w:p>
        </w:tc>
        <w:tc>
          <w:tcPr>
            <w:tcW w:type="dxa" w:w="1958"/>
            <w:tcMar>
              <w:top w:w="60" w:type="dxa"/>
              <w:bottom w:w="60" w:type="dxa"/>
              <w:left w:w="100" w:type="dxa"/>
              <w:right w:w="100" w:type="dxa"/>
            </w:tcMar>
            <w:shd w:fill="F7FAFC"/>
          </w:tcPr>
          <w:p>
            <w:r>
              <w:rPr>
                <w:sz w:val="17"/>
              </w:rPr>
              <w:t>Total Current Assets menos Efectivo y Valores Negociables.</w:t>
            </w:r>
          </w:p>
        </w:tc>
      </w:tr>
      <w:tr>
        <w:tc>
          <w:tcPr>
            <w:tcW w:type="dxa" w:w="1958"/>
            <w:tcMar>
              <w:top w:w="60" w:type="dxa"/>
              <w:bottom w:w="60" w:type="dxa"/>
              <w:left w:w="100" w:type="dxa"/>
              <w:right w:w="100" w:type="dxa"/>
            </w:tcMar>
          </w:tcPr>
          <w:p>
            <w:r>
              <w:rPr>
                <w:b/>
                <w:sz w:val="17"/>
              </w:rPr>
              <w:t>(-) Pasivos Corrientes Operativos</w:t>
            </w:r>
          </w:p>
        </w:tc>
        <w:tc>
          <w:tcPr>
            <w:tcW w:type="dxa" w:w="1958"/>
            <w:tcMar>
              <w:top w:w="60" w:type="dxa"/>
              <w:bottom w:w="60" w:type="dxa"/>
              <w:left w:w="100" w:type="dxa"/>
              <w:right w:w="100" w:type="dxa"/>
            </w:tcMar>
          </w:tcPr>
          <w:p>
            <w:r>
              <w:rPr>
                <w:b/>
                <w:sz w:val="17"/>
              </w:rPr>
              <w:t>$0.0M</w:t>
            </w:r>
          </w:p>
        </w:tc>
        <w:tc>
          <w:tcPr>
            <w:tcW w:type="dxa" w:w="1958"/>
            <w:tcMar>
              <w:top w:w="60" w:type="dxa"/>
              <w:bottom w:w="60" w:type="dxa"/>
              <w:left w:w="100" w:type="dxa"/>
              <w:right w:w="100" w:type="dxa"/>
            </w:tcMar>
          </w:tcPr>
          <w:p>
            <w:r>
              <w:rPr>
                <w:sz w:val="17"/>
              </w:rPr>
              <w:t>$0.0M</w:t>
            </w:r>
          </w:p>
        </w:tc>
        <w:tc>
          <w:tcPr>
            <w:tcW w:type="dxa" w:w="1958"/>
            <w:tcMar>
              <w:top w:w="60" w:type="dxa"/>
              <w:bottom w:w="60" w:type="dxa"/>
              <w:left w:w="100" w:type="dxa"/>
              <w:right w:w="100" w:type="dxa"/>
            </w:tcMar>
          </w:tcPr>
          <w:p>
            <w:r>
              <w:rPr>
                <w:sz w:val="17"/>
              </w:rPr>
              <w:t>Balance Sheet (Current Liabilities)</w:t>
            </w:r>
          </w:p>
        </w:tc>
        <w:tc>
          <w:tcPr>
            <w:tcW w:type="dxa" w:w="1958"/>
            <w:tcMar>
              <w:top w:w="60" w:type="dxa"/>
              <w:bottom w:w="60" w:type="dxa"/>
              <w:left w:w="100" w:type="dxa"/>
              <w:right w:w="100" w:type="dxa"/>
            </w:tcMar>
          </w:tcPr>
          <w:p>
            <w:r>
              <w:rPr>
                <w:sz w:val="17"/>
              </w:rPr>
              <w:t>Total Current Liabilities menos Deuda CP / Papel Comercial.</w:t>
            </w:r>
          </w:p>
        </w:tc>
      </w:tr>
      <w:tr>
        <w:tc>
          <w:tcPr>
            <w:tcW w:type="dxa" w:w="1958"/>
            <w:tcMar>
              <w:top w:w="60" w:type="dxa"/>
              <w:bottom w:w="60" w:type="dxa"/>
              <w:left w:w="100" w:type="dxa"/>
              <w:right w:w="100" w:type="dxa"/>
            </w:tcMar>
            <w:shd w:fill="F7FAFC"/>
          </w:tcPr>
          <w:p>
            <w:r>
              <w:rPr>
                <w:b/>
                <w:sz w:val="17"/>
              </w:rPr>
              <w:t>(=) Capital de Trabajo Neto Operativo (NWC)</w:t>
            </w:r>
          </w:p>
        </w:tc>
        <w:tc>
          <w:tcPr>
            <w:tcW w:type="dxa" w:w="1958"/>
            <w:tcMar>
              <w:top w:w="60" w:type="dxa"/>
              <w:bottom w:w="60" w:type="dxa"/>
              <w:left w:w="100" w:type="dxa"/>
              <w:right w:w="100" w:type="dxa"/>
            </w:tcMar>
            <w:shd w:fill="F7FAFC"/>
          </w:tcPr>
          <w:p>
            <w:r>
              <w:rPr>
                <w:b/>
                <w:sz w:val="17"/>
              </w:rPr>
              <w:t>$0.0M</w:t>
            </w:r>
          </w:p>
        </w:tc>
        <w:tc>
          <w:tcPr>
            <w:tcW w:type="dxa" w:w="1958"/>
            <w:tcMar>
              <w:top w:w="60" w:type="dxa"/>
              <w:bottom w:w="60" w:type="dxa"/>
              <w:left w:w="100" w:type="dxa"/>
              <w:right w:w="100" w:type="dxa"/>
            </w:tcMar>
            <w:shd w:fill="F7FAFC"/>
          </w:tcPr>
          <w:p>
            <w:r>
              <w:rPr>
                <w:sz w:val="17"/>
              </w:rPr>
              <w:t>$0.0M</w:t>
            </w:r>
          </w:p>
        </w:tc>
        <w:tc>
          <w:tcPr>
            <w:tcW w:type="dxa" w:w="1958"/>
            <w:tcMar>
              <w:top w:w="60" w:type="dxa"/>
              <w:bottom w:w="60" w:type="dxa"/>
              <w:left w:w="100" w:type="dxa"/>
              <w:right w:w="100" w:type="dxa"/>
            </w:tcMar>
            <w:shd w:fill="F7FAFC"/>
          </w:tcPr>
          <w:p>
            <w:r>
              <w:rPr>
                <w:sz w:val="17"/>
              </w:rPr>
              <w:t>Cálculo Operativo Derivado</w:t>
            </w:r>
          </w:p>
        </w:tc>
        <w:tc>
          <w:tcPr>
            <w:tcW w:type="dxa" w:w="1958"/>
            <w:tcMar>
              <w:top w:w="60" w:type="dxa"/>
              <w:bottom w:w="60" w:type="dxa"/>
              <w:left w:w="100" w:type="dxa"/>
              <w:right w:w="100" w:type="dxa"/>
            </w:tcMar>
            <w:shd w:fill="F7FAFC"/>
          </w:tcPr>
          <w:p>
            <w:r>
              <w:rPr>
                <w:sz w:val="17"/>
              </w:rPr>
              <w:t>Activos Op. - Pasivos Op. (Financiación espontánea si es negativo).</w:t>
            </w:r>
          </w:p>
        </w:tc>
      </w:tr>
      <w:tr>
        <w:tc>
          <w:tcPr>
            <w:tcW w:type="dxa" w:w="1958"/>
            <w:tcMar>
              <w:top w:w="60" w:type="dxa"/>
              <w:bottom w:w="60" w:type="dxa"/>
              <w:left w:w="100" w:type="dxa"/>
              <w:right w:w="100" w:type="dxa"/>
            </w:tcMar>
          </w:tcPr>
          <w:p>
            <w:r>
              <w:rPr>
                <w:b/>
                <w:sz w:val="17"/>
              </w:rPr>
              <w:t>(+) PP&amp;E Neto (Propiedad, Planta y Equipo)</w:t>
            </w:r>
          </w:p>
        </w:tc>
        <w:tc>
          <w:tcPr>
            <w:tcW w:type="dxa" w:w="1958"/>
            <w:tcMar>
              <w:top w:w="60" w:type="dxa"/>
              <w:bottom w:w="60" w:type="dxa"/>
              <w:left w:w="100" w:type="dxa"/>
              <w:right w:w="100" w:type="dxa"/>
            </w:tcMar>
          </w:tcPr>
          <w:p>
            <w:r>
              <w:rPr>
                <w:b/>
                <w:sz w:val="17"/>
              </w:rPr>
              <w:t>$55,112.4M</w:t>
            </w:r>
          </w:p>
        </w:tc>
        <w:tc>
          <w:tcPr>
            <w:tcW w:type="dxa" w:w="1958"/>
            <w:tcMar>
              <w:top w:w="60" w:type="dxa"/>
              <w:bottom w:w="60" w:type="dxa"/>
              <w:left w:w="100" w:type="dxa"/>
              <w:right w:w="100" w:type="dxa"/>
            </w:tcMar>
          </w:tcPr>
          <w:p>
            <w:r>
              <w:rPr>
                <w:sz w:val="17"/>
              </w:rPr>
              <w:t>$53,413.9M</w:t>
            </w:r>
          </w:p>
        </w:tc>
        <w:tc>
          <w:tcPr>
            <w:tcW w:type="dxa" w:w="1958"/>
            <w:tcMar>
              <w:top w:w="60" w:type="dxa"/>
              <w:bottom w:w="60" w:type="dxa"/>
              <w:left w:w="100" w:type="dxa"/>
              <w:right w:w="100" w:type="dxa"/>
            </w:tcMar>
          </w:tcPr>
          <w:p>
            <w:r>
              <w:rPr>
                <w:sz w:val="17"/>
              </w:rPr>
              <w:t>Balance Sheet (Non-Current Assets)</w:t>
            </w:r>
          </w:p>
        </w:tc>
        <w:tc>
          <w:tcPr>
            <w:tcW w:type="dxa" w:w="1958"/>
            <w:tcMar>
              <w:top w:w="60" w:type="dxa"/>
              <w:bottom w:w="60" w:type="dxa"/>
              <w:left w:w="100" w:type="dxa"/>
              <w:right w:w="100" w:type="dxa"/>
            </w:tcMar>
          </w:tcPr>
          <w:p>
            <w:r>
              <w:rPr>
                <w:sz w:val="17"/>
              </w:rPr>
              <w:t>Activos fijos físicos tangibles netos de depreciación acumulada.</w:t>
            </w:r>
          </w:p>
        </w:tc>
      </w:tr>
      <w:tr>
        <w:tc>
          <w:tcPr>
            <w:tcW w:type="dxa" w:w="1958"/>
            <w:tcMar>
              <w:top w:w="60" w:type="dxa"/>
              <w:bottom w:w="60" w:type="dxa"/>
              <w:left w:w="100" w:type="dxa"/>
              <w:right w:w="100" w:type="dxa"/>
            </w:tcMar>
            <w:shd w:fill="F7FAFC"/>
          </w:tcPr>
          <w:p>
            <w:r>
              <w:rPr>
                <w:b/>
                <w:sz w:val="17"/>
              </w:rPr>
              <w:t>(=) Capital Tangible al Cierre</w:t>
            </w:r>
          </w:p>
        </w:tc>
        <w:tc>
          <w:tcPr>
            <w:tcW w:type="dxa" w:w="1958"/>
            <w:tcMar>
              <w:top w:w="60" w:type="dxa"/>
              <w:bottom w:w="60" w:type="dxa"/>
              <w:left w:w="100" w:type="dxa"/>
              <w:right w:w="100" w:type="dxa"/>
            </w:tcMar>
            <w:shd w:fill="F7FAFC"/>
          </w:tcPr>
          <w:p>
            <w:r>
              <w:rPr>
                <w:b/>
                <w:sz w:val="17"/>
              </w:rPr>
              <w:t>$55,112.4M</w:t>
            </w:r>
          </w:p>
        </w:tc>
        <w:tc>
          <w:tcPr>
            <w:tcW w:type="dxa" w:w="1958"/>
            <w:tcMar>
              <w:top w:w="60" w:type="dxa"/>
              <w:bottom w:w="60" w:type="dxa"/>
              <w:left w:w="100" w:type="dxa"/>
              <w:right w:w="100" w:type="dxa"/>
            </w:tcMar>
            <w:shd w:fill="F7FAFC"/>
          </w:tcPr>
          <w:p>
            <w:r>
              <w:rPr>
                <w:sz w:val="17"/>
              </w:rPr>
              <w:t>$53,413.9M</w:t>
            </w:r>
          </w:p>
        </w:tc>
        <w:tc>
          <w:tcPr>
            <w:tcW w:type="dxa" w:w="1958"/>
            <w:tcMar>
              <w:top w:w="60" w:type="dxa"/>
              <w:bottom w:w="60" w:type="dxa"/>
              <w:left w:w="100" w:type="dxa"/>
              <w:right w:w="100" w:type="dxa"/>
            </w:tcMar>
            <w:shd w:fill="F7FAFC"/>
          </w:tcPr>
          <w:p>
            <w:r>
              <w:rPr>
                <w:sz w:val="17"/>
              </w:rPr>
              <w:t>Salvaguarda Joel Greenblatt</w:t>
            </w:r>
          </w:p>
        </w:tc>
        <w:tc>
          <w:tcPr>
            <w:tcW w:type="dxa" w:w="1958"/>
            <w:tcMar>
              <w:top w:w="60" w:type="dxa"/>
              <w:bottom w:w="60" w:type="dxa"/>
              <w:left w:w="100" w:type="dxa"/>
              <w:right w:w="100" w:type="dxa"/>
            </w:tcMar>
            <w:shd w:fill="F7FAFC"/>
          </w:tcPr>
          <w:p>
            <w:r>
              <w:rPr>
                <w:sz w:val="17"/>
              </w:rPr>
              <w:t>Si NWC &lt; 0, se acota al PP&amp;E Neto (nunca menor a las plantas físicas).</w:t>
            </w:r>
          </w:p>
        </w:tc>
      </w:tr>
      <w:tr>
        <w:tc>
          <w:tcPr>
            <w:tcW w:type="dxa" w:w="1958"/>
            <w:tcMar>
              <w:top w:w="60" w:type="dxa"/>
              <w:bottom w:w="60" w:type="dxa"/>
              <w:left w:w="100" w:type="dxa"/>
              <w:right w:w="100" w:type="dxa"/>
            </w:tcMar>
          </w:tcPr>
          <w:p>
            <w:r>
              <w:rPr>
                <w:b/>
                <w:sz w:val="17"/>
              </w:rPr>
              <w:t>(=) Capital Tangible Operativo Promedio</w:t>
            </w:r>
          </w:p>
        </w:tc>
        <w:tc>
          <w:tcPr>
            <w:tcW w:type="dxa" w:w="1958"/>
            <w:tcMar>
              <w:top w:w="60" w:type="dxa"/>
              <w:bottom w:w="60" w:type="dxa"/>
              <w:left w:w="100" w:type="dxa"/>
              <w:right w:w="100" w:type="dxa"/>
            </w:tcMar>
          </w:tcPr>
          <w:p>
            <w:r>
              <w:rPr>
                <w:b/>
                <w:sz w:val="17"/>
              </w:rPr>
              <w:t>$54,263.2M</w:t>
            </w:r>
          </w:p>
        </w:tc>
        <w:tc>
          <w:tcPr>
            <w:tcW w:type="dxa" w:w="1958"/>
            <w:tcMar>
              <w:top w:w="60" w:type="dxa"/>
              <w:bottom w:w="60" w:type="dxa"/>
              <w:left w:w="100" w:type="dxa"/>
              <w:right w:w="100" w:type="dxa"/>
            </w:tcMar>
          </w:tcPr>
          <w:p>
            <w:r>
              <w:rPr>
                <w:sz w:val="17"/>
              </w:rPr>
              <w:t>$52,163.9M</w:t>
            </w:r>
          </w:p>
        </w:tc>
        <w:tc>
          <w:tcPr>
            <w:tcW w:type="dxa" w:w="1958"/>
            <w:tcMar>
              <w:top w:w="60" w:type="dxa"/>
              <w:bottom w:w="60" w:type="dxa"/>
              <w:left w:w="100" w:type="dxa"/>
              <w:right w:w="100" w:type="dxa"/>
            </w:tcMar>
          </w:tcPr>
          <w:p>
            <w:r>
              <w:rPr>
                <w:sz w:val="17"/>
              </w:rPr>
              <w:t>Denominador (Matching Principle)</w:t>
            </w:r>
          </w:p>
        </w:tc>
        <w:tc>
          <w:tcPr>
            <w:tcW w:type="dxa" w:w="1958"/>
            <w:tcMar>
              <w:top w:w="60" w:type="dxa"/>
              <w:bottom w:w="60" w:type="dxa"/>
              <w:left w:w="100" w:type="dxa"/>
              <w:right w:w="100" w:type="dxa"/>
            </w:tcMar>
          </w:tcPr>
          <w:p>
            <w:r>
              <w:rPr>
                <w:sz w:val="17"/>
              </w:rPr>
              <w:t>Promedio (t + t-1)/2 para sincronizar capital con flujo anual de EBIT.</w:t>
            </w:r>
          </w:p>
        </w:tc>
      </w:tr>
      <w:tr>
        <w:tc>
          <w:tcPr>
            <w:tcW w:type="dxa" w:w="1958"/>
            <w:tcMar>
              <w:top w:w="60" w:type="dxa"/>
              <w:bottom w:w="60" w:type="dxa"/>
              <w:left w:w="100" w:type="dxa"/>
              <w:right w:w="100" w:type="dxa"/>
            </w:tcMar>
            <w:shd w:fill="F7FAFC"/>
            <w:shd w:fill="E2EFDA"/>
          </w:tcPr>
          <w:p>
            <w:r>
              <w:rPr>
                <w:b/>
                <w:sz w:val="17"/>
              </w:rPr>
              <w:t>(=) ROC Greenblatt Tangible (%)</w:t>
            </w:r>
          </w:p>
        </w:tc>
        <w:tc>
          <w:tcPr>
            <w:tcW w:type="dxa" w:w="1958"/>
            <w:tcMar>
              <w:top w:w="60" w:type="dxa"/>
              <w:bottom w:w="60" w:type="dxa"/>
              <w:left w:w="100" w:type="dxa"/>
              <w:right w:w="100" w:type="dxa"/>
            </w:tcMar>
            <w:shd w:fill="F7FAFC"/>
            <w:shd w:fill="E2EFDA"/>
          </w:tcPr>
          <w:p>
            <w:r>
              <w:rPr>
                <w:b/>
                <w:sz w:val="17"/>
              </w:rPr>
              <w:t>2.24%</w:t>
            </w:r>
          </w:p>
        </w:tc>
        <w:tc>
          <w:tcPr>
            <w:tcW w:type="dxa" w:w="1958"/>
            <w:tcMar>
              <w:top w:w="60" w:type="dxa"/>
              <w:bottom w:w="60" w:type="dxa"/>
              <w:left w:w="100" w:type="dxa"/>
              <w:right w:w="100" w:type="dxa"/>
            </w:tcMar>
            <w:shd w:fill="F7FAFC"/>
            <w:shd w:fill="E2EFDA"/>
          </w:tcPr>
          <w:p>
            <w:r>
              <w:rPr>
                <w:b/>
                <w:sz w:val="17"/>
              </w:rPr>
              <w:t>1.25%</w:t>
            </w:r>
          </w:p>
        </w:tc>
        <w:tc>
          <w:tcPr>
            <w:tcW w:type="dxa" w:w="1958"/>
            <w:tcMar>
              <w:top w:w="60" w:type="dxa"/>
              <w:bottom w:w="60" w:type="dxa"/>
              <w:left w:w="100" w:type="dxa"/>
              <w:right w:w="100" w:type="dxa"/>
            </w:tcMar>
            <w:shd w:fill="F7FAFC"/>
            <w:shd w:fill="E2EFDA"/>
          </w:tcPr>
          <w:p>
            <w:r>
              <w:rPr>
                <w:b/>
                <w:sz w:val="17"/>
              </w:rPr>
              <w:t>Ratio Final de Productividad</w:t>
            </w:r>
          </w:p>
        </w:tc>
        <w:tc>
          <w:tcPr>
            <w:tcW w:type="dxa" w:w="1958"/>
            <w:tcMar>
              <w:top w:w="60" w:type="dxa"/>
              <w:bottom w:w="60" w:type="dxa"/>
              <w:left w:w="100" w:type="dxa"/>
              <w:right w:w="100" w:type="dxa"/>
            </w:tcMar>
            <w:shd w:fill="F7FAFC"/>
            <w:shd w:fill="E2EFDA"/>
          </w:tcPr>
          <w:p>
            <w:r>
              <w:rPr>
                <w:b/>
                <w:sz w:val="17"/>
              </w:rPr>
              <w:t>EBIT / Capital Tangible Promedio.</w:t>
            </w:r>
          </w:p>
        </w:tc>
      </w:tr>
    </w:tbl>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Guía de Auditoría: Trazabilidad del ROC en los Balances SEC</w:t>
              <w:br/>
            </w:r>
          </w:p>
          <w:p>
            <w:pPr>
              <w:spacing w:before="40" w:after="40" w:line="276" w:lineRule="auto"/>
            </w:pPr>
            <w:r>
              <w:rPr>
                <w:rFonts w:ascii="Calibri" w:hAnsi="Calibri"/>
                <w:color w:val="2D3748"/>
                <w:sz w:val="19"/>
              </w:rPr>
              <w:t>• EBIT (Operating Income): Búsquelo en el Estado Consolidado de Operaciones (Form 10-K / 10-Q).</w:t>
            </w:r>
          </w:p>
          <w:p>
            <w:pPr>
              <w:spacing w:before="40" w:after="40" w:line="276" w:lineRule="auto"/>
            </w:pPr>
            <w:r>
              <w:rPr>
                <w:rFonts w:ascii="Calibri" w:hAnsi="Calibri"/>
                <w:color w:val="2D3748"/>
                <w:sz w:val="19"/>
              </w:rPr>
              <w:t>• Activos Operativos: Tome Total Current Assets del Balance y reste Cash &amp; Marketable Securities.</w:t>
            </w:r>
          </w:p>
          <w:p>
            <w:pPr>
              <w:spacing w:before="40" w:after="40" w:line="276" w:lineRule="auto"/>
            </w:pPr>
            <w:r>
              <w:rPr>
                <w:rFonts w:ascii="Calibri" w:hAnsi="Calibri"/>
                <w:color w:val="2D3748"/>
                <w:sz w:val="19"/>
              </w:rPr>
              <w:t>• Pasivos Operativos: Tome Total Current Liabilities del Balance y reste Commercial Paper y Deuda CP.</w:t>
            </w:r>
          </w:p>
          <w:p>
            <w:pPr>
              <w:spacing w:before="40" w:after="40" w:line="276" w:lineRule="auto"/>
            </w:pPr>
            <w:r>
              <w:rPr>
                <w:rFonts w:ascii="Calibri" w:hAnsi="Calibri"/>
                <w:color w:val="2D3748"/>
                <w:sz w:val="19"/>
              </w:rPr>
              <w:t>• PP&amp;E Neto: Búsquelo en Activos No Corrientes bajo Property, plant and equipment, net.</w:t>
            </w:r>
          </w:p>
          <w:p>
            <w:pPr>
              <w:spacing w:before="40" w:after="40" w:line="276" w:lineRule="auto"/>
            </w:pPr>
            <w:r>
              <w:rPr>
                <w:rFonts w:ascii="Calibri" w:hAnsi="Calibri"/>
                <w:color w:val="2D3748"/>
                <w:sz w:val="19"/>
              </w:rPr>
              <w:t>• Salvaguarda de Capital de Trabajo Negativo: Si NWC &lt; 0, Joel Greenblatt fija el capital tangible en el PP&amp;E neto para impedir denominadores distorsionados o bases de capital negativas.</w:t>
            </w:r>
          </w:p>
        </w:tc>
      </w:tr>
    </w:tbl>
    <w:p>
      <w:pPr>
        <w:spacing w:before="0" w:after="120"/>
      </w:pPr>
    </w:p>
    <w:p>
      <w:pPr>
        <w:pStyle w:val="Heading2"/>
      </w:pPr>
      <w:r>
        <w:t>11.3. Desglose y Explicación del ROIC: Tradicional vs. Ajustado por Intangibles (Damodaran)</w:t>
      </w:r>
    </w:p>
    <w:p>
      <w:r>
        <w:rPr>
          <w:sz w:val="19"/>
        </w:rPr>
        <w:t>El ROIC Tradicional contable (1.56%) sobrestima el retorno al mandar el I+D a gasto inmediato. La metodología Damodaran capitaliza la innovación a 4 años, reconociendo $0.0M de intangibles fuera de balance. El ROIC Ajustado resultante de 1.56% refleja el verdadero retorno económico sobre el capital total invertido ($74,124.8M).</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440"/>
        <w:gridCol w:w="1440"/>
        <w:gridCol w:w="1440"/>
        <w:gridCol w:w="1440"/>
        <w:gridCol w:w="1440"/>
        <w:gridCol w:w="1440"/>
        <w:gridCol w:w="1152"/>
      </w:tblGrid>
      <w:tr>
        <w:tc>
          <w:tcPr>
            <w:tcW w:type="dxa" w:w="1399"/>
            <w:shd w:fill="1B365D"/>
            <w:tcMar>
              <w:top w:w="80" w:type="dxa"/>
              <w:bottom w:w="80" w:type="dxa"/>
              <w:left w:w="100" w:type="dxa"/>
              <w:right w:w="100" w:type="dxa"/>
            </w:tcMar>
          </w:tcPr>
          <w:p>
            <w:r>
              <w:rPr>
                <w:b/>
                <w:color w:val="FFFFFF"/>
                <w:sz w:val="17"/>
              </w:rPr>
              <w:t>Período Contable</w:t>
            </w:r>
          </w:p>
        </w:tc>
        <w:tc>
          <w:tcPr>
            <w:tcW w:type="dxa" w:w="1399"/>
            <w:shd w:fill="1B365D"/>
            <w:tcMar>
              <w:top w:w="80" w:type="dxa"/>
              <w:bottom w:w="80" w:type="dxa"/>
              <w:left w:w="100" w:type="dxa"/>
              <w:right w:w="100" w:type="dxa"/>
            </w:tcMar>
          </w:tcPr>
          <w:p>
            <w:r>
              <w:rPr>
                <w:b/>
                <w:color w:val="FFFFFF"/>
                <w:sz w:val="17"/>
              </w:rPr>
              <w:t>ROC Greenblatt</w:t>
            </w:r>
          </w:p>
        </w:tc>
        <w:tc>
          <w:tcPr>
            <w:tcW w:type="dxa" w:w="1399"/>
            <w:shd w:fill="1B365D"/>
            <w:tcMar>
              <w:top w:w="80" w:type="dxa"/>
              <w:bottom w:w="80" w:type="dxa"/>
              <w:left w:w="100" w:type="dxa"/>
              <w:right w:w="100" w:type="dxa"/>
            </w:tcMar>
          </w:tcPr>
          <w:p>
            <w:r>
              <w:rPr>
                <w:b/>
                <w:color w:val="FFFFFF"/>
                <w:sz w:val="17"/>
              </w:rPr>
              <w:t>ROIC Tradicional</w:t>
            </w:r>
          </w:p>
        </w:tc>
        <w:tc>
          <w:tcPr>
            <w:tcW w:type="dxa" w:w="1399"/>
            <w:shd w:fill="1B365D"/>
            <w:tcMar>
              <w:top w:w="80" w:type="dxa"/>
              <w:bottom w:w="80" w:type="dxa"/>
              <w:left w:w="100" w:type="dxa"/>
              <w:right w:w="100" w:type="dxa"/>
            </w:tcMar>
          </w:tcPr>
          <w:p>
            <w:r>
              <w:rPr>
                <w:b/>
                <w:color w:val="FFFFFF"/>
                <w:sz w:val="17"/>
              </w:rPr>
              <w:t>ROIC Ajustado</w:t>
            </w:r>
          </w:p>
        </w:tc>
        <w:tc>
          <w:tcPr>
            <w:tcW w:type="dxa" w:w="1399"/>
            <w:shd w:fill="1B365D"/>
            <w:tcMar>
              <w:top w:w="80" w:type="dxa"/>
              <w:bottom w:w="80" w:type="dxa"/>
              <w:left w:w="100" w:type="dxa"/>
              <w:right w:w="100" w:type="dxa"/>
            </w:tcMar>
          </w:tcPr>
          <w:p>
            <w:r>
              <w:rPr>
                <w:b/>
                <w:color w:val="FFFFFF"/>
                <w:sz w:val="17"/>
              </w:rPr>
              <w:t>Stock Intangibles ($M)</w:t>
            </w:r>
          </w:p>
        </w:tc>
        <w:tc>
          <w:tcPr>
            <w:tcW w:type="dxa" w:w="1399"/>
            <w:shd w:fill="1B365D"/>
            <w:tcMar>
              <w:top w:w="80" w:type="dxa"/>
              <w:bottom w:w="80" w:type="dxa"/>
              <w:left w:w="100" w:type="dxa"/>
              <w:right w:w="100" w:type="dxa"/>
            </w:tcMar>
          </w:tcPr>
          <w:p>
            <w:r>
              <w:rPr>
                <w:b/>
                <w:color w:val="FFFFFF"/>
                <w:sz w:val="17"/>
              </w:rPr>
              <w:t>Capital Invertido ($M)</w:t>
            </w:r>
          </w:p>
        </w:tc>
        <w:tc>
          <w:tcPr>
            <w:tcW w:type="dxa" w:w="1399"/>
            <w:shd w:fill="1B365D"/>
            <w:tcMar>
              <w:top w:w="80" w:type="dxa"/>
              <w:bottom w:w="80" w:type="dxa"/>
              <w:left w:w="100" w:type="dxa"/>
              <w:right w:w="100" w:type="dxa"/>
            </w:tcMar>
          </w:tcPr>
          <w:p>
            <w:r>
              <w:rPr>
                <w:b/>
                <w:color w:val="FFFFFF"/>
                <w:sz w:val="17"/>
              </w:rPr>
              <w:t>Spread vs WACC</w:t>
            </w:r>
          </w:p>
        </w:tc>
      </w:tr>
      <w:tr>
        <w:tc>
          <w:tcPr>
            <w:tcW w:type="dxa" w:w="1399"/>
            <w:tcMar>
              <w:top w:w="60" w:type="dxa"/>
              <w:bottom w:w="60" w:type="dxa"/>
              <w:left w:w="100" w:type="dxa"/>
              <w:right w:w="100" w:type="dxa"/>
            </w:tcMar>
          </w:tcPr>
          <w:p>
            <w:r>
              <w:rPr>
                <w:sz w:val="17"/>
              </w:rPr>
              <w:t>FY2021</w:t>
            </w:r>
          </w:p>
        </w:tc>
        <w:tc>
          <w:tcPr>
            <w:tcW w:type="dxa" w:w="1399"/>
            <w:tcMar>
              <w:top w:w="60" w:type="dxa"/>
              <w:bottom w:w="60" w:type="dxa"/>
              <w:left w:w="100" w:type="dxa"/>
              <w:right w:w="100" w:type="dxa"/>
            </w:tcMar>
          </w:tcPr>
          <w:p>
            <w:r>
              <w:rPr>
                <w:b/>
                <w:sz w:val="17"/>
              </w:rPr>
              <w:t>1.64%</w:t>
            </w:r>
          </w:p>
        </w:tc>
        <w:tc>
          <w:tcPr>
            <w:tcW w:type="dxa" w:w="1399"/>
            <w:tcMar>
              <w:top w:w="60" w:type="dxa"/>
              <w:bottom w:w="60" w:type="dxa"/>
              <w:left w:w="100" w:type="dxa"/>
              <w:right w:w="100" w:type="dxa"/>
            </w:tcMar>
          </w:tcPr>
          <w:p>
            <w:r>
              <w:rPr>
                <w:b/>
                <w:sz w:val="17"/>
              </w:rPr>
              <w:t>1.23%</w:t>
            </w:r>
          </w:p>
        </w:tc>
        <w:tc>
          <w:tcPr>
            <w:tcW w:type="dxa" w:w="1399"/>
            <w:tcMar>
              <w:top w:w="60" w:type="dxa"/>
              <w:bottom w:w="60" w:type="dxa"/>
              <w:left w:w="100" w:type="dxa"/>
              <w:right w:w="100" w:type="dxa"/>
            </w:tcMar>
          </w:tcPr>
          <w:p>
            <w:r>
              <w:rPr>
                <w:b/>
                <w:sz w:val="17"/>
              </w:rPr>
              <w:t>1.23%</w:t>
            </w:r>
          </w:p>
        </w:tc>
        <w:tc>
          <w:tcPr>
            <w:tcW w:type="dxa" w:w="1399"/>
            <w:tcMar>
              <w:top w:w="60" w:type="dxa"/>
              <w:bottom w:w="60" w:type="dxa"/>
              <w:left w:w="100" w:type="dxa"/>
              <w:right w:w="100" w:type="dxa"/>
            </w:tcMar>
          </w:tcPr>
          <w:p>
            <w:r>
              <w:rPr>
                <w:sz w:val="17"/>
              </w:rPr>
              <w:t>$0.0M</w:t>
            </w:r>
          </w:p>
        </w:tc>
        <w:tc>
          <w:tcPr>
            <w:tcW w:type="dxa" w:w="1399"/>
            <w:tcMar>
              <w:top w:w="60" w:type="dxa"/>
              <w:bottom w:w="60" w:type="dxa"/>
              <w:left w:w="100" w:type="dxa"/>
              <w:right w:w="100" w:type="dxa"/>
            </w:tcMar>
          </w:tcPr>
          <w:p>
            <w:r>
              <w:rPr>
                <w:sz w:val="17"/>
              </w:rPr>
              <w:t>$31,397.4M</w:t>
            </w:r>
          </w:p>
        </w:tc>
        <w:tc>
          <w:tcPr>
            <w:tcW w:type="dxa" w:w="1399"/>
            <w:tcMar>
              <w:top w:w="60" w:type="dxa"/>
              <w:bottom w:w="60" w:type="dxa"/>
              <w:left w:w="100" w:type="dxa"/>
              <w:right w:w="100" w:type="dxa"/>
            </w:tcMar>
          </w:tcPr>
          <w:p>
            <w:r>
              <w:rPr>
                <w:b/>
                <w:sz w:val="17"/>
              </w:rPr>
              <w:t>-5.58 p.p.</w:t>
            </w:r>
          </w:p>
        </w:tc>
      </w:tr>
      <w:tr>
        <w:tc>
          <w:tcPr>
            <w:tcW w:type="dxa" w:w="1399"/>
            <w:tcMar>
              <w:top w:w="60" w:type="dxa"/>
              <w:bottom w:w="60" w:type="dxa"/>
              <w:left w:w="100" w:type="dxa"/>
              <w:right w:w="100" w:type="dxa"/>
            </w:tcMar>
            <w:shd w:fill="F7FAFC"/>
          </w:tcPr>
          <w:p>
            <w:r>
              <w:rPr>
                <w:sz w:val="17"/>
              </w:rPr>
              <w:t>FY2022</w:t>
            </w:r>
          </w:p>
        </w:tc>
        <w:tc>
          <w:tcPr>
            <w:tcW w:type="dxa" w:w="1399"/>
            <w:tcMar>
              <w:top w:w="60" w:type="dxa"/>
              <w:bottom w:w="60" w:type="dxa"/>
              <w:left w:w="100" w:type="dxa"/>
              <w:right w:w="100" w:type="dxa"/>
            </w:tcMar>
            <w:shd w:fill="F7FAFC"/>
          </w:tcPr>
          <w:p>
            <w:r>
              <w:rPr>
                <w:b/>
                <w:sz w:val="17"/>
              </w:rPr>
              <w:t>2.18%</w:t>
            </w:r>
          </w:p>
        </w:tc>
        <w:tc>
          <w:tcPr>
            <w:tcW w:type="dxa" w:w="1399"/>
            <w:tcMar>
              <w:top w:w="60" w:type="dxa"/>
              <w:bottom w:w="60" w:type="dxa"/>
              <w:left w:w="100" w:type="dxa"/>
              <w:right w:w="100" w:type="dxa"/>
            </w:tcMar>
            <w:shd w:fill="F7FAFC"/>
          </w:tcPr>
          <w:p>
            <w:r>
              <w:rPr>
                <w:b/>
                <w:sz w:val="17"/>
              </w:rPr>
              <w:t>1.56%</w:t>
            </w:r>
          </w:p>
        </w:tc>
        <w:tc>
          <w:tcPr>
            <w:tcW w:type="dxa" w:w="1399"/>
            <w:tcMar>
              <w:top w:w="60" w:type="dxa"/>
              <w:bottom w:w="60" w:type="dxa"/>
              <w:left w:w="100" w:type="dxa"/>
              <w:right w:w="100" w:type="dxa"/>
            </w:tcMar>
            <w:shd w:fill="F7FAFC"/>
          </w:tcPr>
          <w:p>
            <w:r>
              <w:rPr>
                <w:b/>
                <w:sz w:val="17"/>
              </w:rPr>
              <w:t>1.56%</w:t>
            </w:r>
          </w:p>
        </w:tc>
        <w:tc>
          <w:tcPr>
            <w:tcW w:type="dxa" w:w="1399"/>
            <w:tcMar>
              <w:top w:w="60" w:type="dxa"/>
              <w:bottom w:w="60" w:type="dxa"/>
              <w:left w:w="100" w:type="dxa"/>
              <w:right w:w="100" w:type="dxa"/>
            </w:tcMar>
            <w:shd w:fill="F7FAFC"/>
          </w:tcPr>
          <w:p>
            <w:r>
              <w:rPr>
                <w:sz w:val="17"/>
              </w:rPr>
              <w:t>$0.0M</w:t>
            </w:r>
          </w:p>
        </w:tc>
        <w:tc>
          <w:tcPr>
            <w:tcW w:type="dxa" w:w="1399"/>
            <w:tcMar>
              <w:top w:w="60" w:type="dxa"/>
              <w:bottom w:w="60" w:type="dxa"/>
              <w:left w:w="100" w:type="dxa"/>
              <w:right w:w="100" w:type="dxa"/>
            </w:tcMar>
            <w:shd w:fill="F7FAFC"/>
          </w:tcPr>
          <w:p>
            <w:r>
              <w:rPr>
                <w:sz w:val="17"/>
              </w:rPr>
              <w:t>$46,190.5M</w:t>
            </w:r>
          </w:p>
        </w:tc>
        <w:tc>
          <w:tcPr>
            <w:tcW w:type="dxa" w:w="1399"/>
            <w:tcMar>
              <w:top w:w="60" w:type="dxa"/>
              <w:bottom w:w="60" w:type="dxa"/>
              <w:left w:w="100" w:type="dxa"/>
              <w:right w:w="100" w:type="dxa"/>
            </w:tcMar>
            <w:shd w:fill="F7FAFC"/>
          </w:tcPr>
          <w:p>
            <w:r>
              <w:rPr>
                <w:b/>
                <w:sz w:val="17"/>
              </w:rPr>
              <w:t>-5.24 p.p.</w:t>
            </w:r>
          </w:p>
        </w:tc>
      </w:tr>
      <w:tr>
        <w:tc>
          <w:tcPr>
            <w:tcW w:type="dxa" w:w="1399"/>
            <w:tcMar>
              <w:top w:w="60" w:type="dxa"/>
              <w:bottom w:w="60" w:type="dxa"/>
              <w:left w:w="100" w:type="dxa"/>
              <w:right w:w="100" w:type="dxa"/>
            </w:tcMar>
          </w:tcPr>
          <w:p>
            <w:r>
              <w:rPr>
                <w:sz w:val="17"/>
              </w:rPr>
              <w:t>FY2023</w:t>
            </w:r>
          </w:p>
        </w:tc>
        <w:tc>
          <w:tcPr>
            <w:tcW w:type="dxa" w:w="1399"/>
            <w:tcMar>
              <w:top w:w="60" w:type="dxa"/>
              <w:bottom w:w="60" w:type="dxa"/>
              <w:left w:w="100" w:type="dxa"/>
              <w:right w:w="100" w:type="dxa"/>
            </w:tcMar>
          </w:tcPr>
          <w:p>
            <w:r>
              <w:rPr>
                <w:b/>
                <w:sz w:val="17"/>
              </w:rPr>
              <w:t>1.89%</w:t>
            </w:r>
          </w:p>
        </w:tc>
        <w:tc>
          <w:tcPr>
            <w:tcW w:type="dxa" w:w="1399"/>
            <w:tcMar>
              <w:top w:w="60" w:type="dxa"/>
              <w:bottom w:w="60" w:type="dxa"/>
              <w:left w:w="100" w:type="dxa"/>
              <w:right w:w="100" w:type="dxa"/>
            </w:tcMar>
          </w:tcPr>
          <w:p>
            <w:r>
              <w:rPr>
                <w:b/>
                <w:sz w:val="17"/>
              </w:rPr>
              <w:t>1.37%</w:t>
            </w:r>
          </w:p>
        </w:tc>
        <w:tc>
          <w:tcPr>
            <w:tcW w:type="dxa" w:w="1399"/>
            <w:tcMar>
              <w:top w:w="60" w:type="dxa"/>
              <w:bottom w:w="60" w:type="dxa"/>
              <w:left w:w="100" w:type="dxa"/>
              <w:right w:w="100" w:type="dxa"/>
            </w:tcMar>
          </w:tcPr>
          <w:p>
            <w:r>
              <w:rPr>
                <w:b/>
                <w:sz w:val="17"/>
              </w:rPr>
              <w:t>1.37%</w:t>
            </w:r>
          </w:p>
        </w:tc>
        <w:tc>
          <w:tcPr>
            <w:tcW w:type="dxa" w:w="1399"/>
            <w:tcMar>
              <w:top w:w="60" w:type="dxa"/>
              <w:bottom w:w="60" w:type="dxa"/>
              <w:left w:w="100" w:type="dxa"/>
              <w:right w:w="100" w:type="dxa"/>
            </w:tcMar>
          </w:tcPr>
          <w:p>
            <w:r>
              <w:rPr>
                <w:sz w:val="17"/>
              </w:rPr>
              <w:t>$0.0M</w:t>
            </w:r>
          </w:p>
        </w:tc>
        <w:tc>
          <w:tcPr>
            <w:tcW w:type="dxa" w:w="1399"/>
            <w:tcMar>
              <w:top w:w="60" w:type="dxa"/>
              <w:bottom w:w="60" w:type="dxa"/>
              <w:left w:w="100" w:type="dxa"/>
              <w:right w:w="100" w:type="dxa"/>
            </w:tcMar>
          </w:tcPr>
          <w:p>
            <w:r>
              <w:rPr>
                <w:sz w:val="17"/>
              </w:rPr>
              <w:t>$53,524.2M</w:t>
            </w:r>
          </w:p>
        </w:tc>
        <w:tc>
          <w:tcPr>
            <w:tcW w:type="dxa" w:w="1399"/>
            <w:tcMar>
              <w:top w:w="60" w:type="dxa"/>
              <w:bottom w:w="60" w:type="dxa"/>
              <w:left w:w="100" w:type="dxa"/>
              <w:right w:w="100" w:type="dxa"/>
            </w:tcMar>
          </w:tcPr>
          <w:p>
            <w:r>
              <w:rPr>
                <w:b/>
                <w:sz w:val="17"/>
              </w:rPr>
              <w:t>-5.44 p.p.</w:t>
            </w:r>
          </w:p>
        </w:tc>
      </w:tr>
      <w:tr>
        <w:tc>
          <w:tcPr>
            <w:tcW w:type="dxa" w:w="1399"/>
            <w:tcMar>
              <w:top w:w="60" w:type="dxa"/>
              <w:bottom w:w="60" w:type="dxa"/>
              <w:left w:w="100" w:type="dxa"/>
              <w:right w:w="100" w:type="dxa"/>
            </w:tcMar>
            <w:shd w:fill="F7FAFC"/>
          </w:tcPr>
          <w:p>
            <w:r>
              <w:rPr>
                <w:sz w:val="17"/>
              </w:rPr>
              <w:t>FY2024</w:t>
            </w:r>
          </w:p>
        </w:tc>
        <w:tc>
          <w:tcPr>
            <w:tcW w:type="dxa" w:w="1399"/>
            <w:tcMar>
              <w:top w:w="60" w:type="dxa"/>
              <w:bottom w:w="60" w:type="dxa"/>
              <w:left w:w="100" w:type="dxa"/>
              <w:right w:w="100" w:type="dxa"/>
            </w:tcMar>
            <w:shd w:fill="F7FAFC"/>
          </w:tcPr>
          <w:p>
            <w:r>
              <w:rPr>
                <w:b/>
                <w:sz w:val="17"/>
              </w:rPr>
              <w:t>1.17%</w:t>
            </w:r>
          </w:p>
        </w:tc>
        <w:tc>
          <w:tcPr>
            <w:tcW w:type="dxa" w:w="1399"/>
            <w:tcMar>
              <w:top w:w="60" w:type="dxa"/>
              <w:bottom w:w="60" w:type="dxa"/>
              <w:left w:w="100" w:type="dxa"/>
              <w:right w:w="100" w:type="dxa"/>
            </w:tcMar>
            <w:shd w:fill="F7FAFC"/>
          </w:tcPr>
          <w:p>
            <w:r>
              <w:rPr>
                <w:b/>
                <w:sz w:val="17"/>
              </w:rPr>
              <w:t>0.84%</w:t>
            </w:r>
          </w:p>
        </w:tc>
        <w:tc>
          <w:tcPr>
            <w:tcW w:type="dxa" w:w="1399"/>
            <w:tcMar>
              <w:top w:w="60" w:type="dxa"/>
              <w:bottom w:w="60" w:type="dxa"/>
              <w:left w:w="100" w:type="dxa"/>
              <w:right w:w="100" w:type="dxa"/>
            </w:tcMar>
            <w:shd w:fill="F7FAFC"/>
          </w:tcPr>
          <w:p>
            <w:r>
              <w:rPr>
                <w:b/>
                <w:sz w:val="17"/>
              </w:rPr>
              <w:t>0.84%</w:t>
            </w:r>
          </w:p>
        </w:tc>
        <w:tc>
          <w:tcPr>
            <w:tcW w:type="dxa" w:w="1399"/>
            <w:tcMar>
              <w:top w:w="60" w:type="dxa"/>
              <w:bottom w:w="60" w:type="dxa"/>
              <w:left w:w="100" w:type="dxa"/>
              <w:right w:w="100" w:type="dxa"/>
            </w:tcMar>
            <w:shd w:fill="F7FAFC"/>
          </w:tcPr>
          <w:p>
            <w:r>
              <w:rPr>
                <w:sz w:val="17"/>
              </w:rPr>
              <w:t>$0.0M</w:t>
            </w:r>
          </w:p>
        </w:tc>
        <w:tc>
          <w:tcPr>
            <w:tcW w:type="dxa" w:w="1399"/>
            <w:tcMar>
              <w:top w:w="60" w:type="dxa"/>
              <w:bottom w:w="60" w:type="dxa"/>
              <w:left w:w="100" w:type="dxa"/>
              <w:right w:w="100" w:type="dxa"/>
            </w:tcMar>
            <w:shd w:fill="F7FAFC"/>
          </w:tcPr>
          <w:p>
            <w:r>
              <w:rPr>
                <w:sz w:val="17"/>
              </w:rPr>
              <w:t>$62,968.3M</w:t>
            </w:r>
          </w:p>
        </w:tc>
        <w:tc>
          <w:tcPr>
            <w:tcW w:type="dxa" w:w="1399"/>
            <w:tcMar>
              <w:top w:w="60" w:type="dxa"/>
              <w:bottom w:w="60" w:type="dxa"/>
              <w:left w:w="100" w:type="dxa"/>
              <w:right w:w="100" w:type="dxa"/>
            </w:tcMar>
            <w:shd w:fill="F7FAFC"/>
          </w:tcPr>
          <w:p>
            <w:r>
              <w:rPr>
                <w:b/>
                <w:sz w:val="17"/>
              </w:rPr>
              <w:t>-5.97 p.p.</w:t>
            </w:r>
          </w:p>
        </w:tc>
      </w:tr>
      <w:tr>
        <w:tc>
          <w:tcPr>
            <w:tcW w:type="dxa" w:w="1399"/>
            <w:tcMar>
              <w:top w:w="60" w:type="dxa"/>
              <w:bottom w:w="60" w:type="dxa"/>
              <w:left w:w="100" w:type="dxa"/>
              <w:right w:w="100" w:type="dxa"/>
            </w:tcMar>
          </w:tcPr>
          <w:p>
            <w:r>
              <w:rPr>
                <w:sz w:val="17"/>
              </w:rPr>
              <w:t>FY2025</w:t>
            </w:r>
          </w:p>
        </w:tc>
        <w:tc>
          <w:tcPr>
            <w:tcW w:type="dxa" w:w="1399"/>
            <w:tcMar>
              <w:top w:w="60" w:type="dxa"/>
              <w:bottom w:w="60" w:type="dxa"/>
              <w:left w:w="100" w:type="dxa"/>
              <w:right w:w="100" w:type="dxa"/>
            </w:tcMar>
          </w:tcPr>
          <w:p>
            <w:r>
              <w:rPr>
                <w:b/>
                <w:sz w:val="17"/>
              </w:rPr>
              <w:t>1.25%</w:t>
            </w:r>
          </w:p>
        </w:tc>
        <w:tc>
          <w:tcPr>
            <w:tcW w:type="dxa" w:w="1399"/>
            <w:tcMar>
              <w:top w:w="60" w:type="dxa"/>
              <w:bottom w:w="60" w:type="dxa"/>
              <w:left w:w="100" w:type="dxa"/>
              <w:right w:w="100" w:type="dxa"/>
            </w:tcMar>
          </w:tcPr>
          <w:p>
            <w:r>
              <w:rPr>
                <w:b/>
                <w:sz w:val="17"/>
              </w:rPr>
              <w:t>0.88%</w:t>
            </w:r>
          </w:p>
        </w:tc>
        <w:tc>
          <w:tcPr>
            <w:tcW w:type="dxa" w:w="1399"/>
            <w:tcMar>
              <w:top w:w="60" w:type="dxa"/>
              <w:bottom w:w="60" w:type="dxa"/>
              <w:left w:w="100" w:type="dxa"/>
              <w:right w:w="100" w:type="dxa"/>
            </w:tcMar>
          </w:tcPr>
          <w:p>
            <w:r>
              <w:rPr>
                <w:b/>
                <w:sz w:val="17"/>
              </w:rPr>
              <w:t>0.88%</w:t>
            </w:r>
          </w:p>
        </w:tc>
        <w:tc>
          <w:tcPr>
            <w:tcW w:type="dxa" w:w="1399"/>
            <w:tcMar>
              <w:top w:w="60" w:type="dxa"/>
              <w:bottom w:w="60" w:type="dxa"/>
              <w:left w:w="100" w:type="dxa"/>
              <w:right w:w="100" w:type="dxa"/>
            </w:tcMar>
          </w:tcPr>
          <w:p>
            <w:r>
              <w:rPr>
                <w:sz w:val="17"/>
              </w:rPr>
              <w:t>$0.0M</w:t>
            </w:r>
          </w:p>
        </w:tc>
        <w:tc>
          <w:tcPr>
            <w:tcW w:type="dxa" w:w="1399"/>
            <w:tcMar>
              <w:top w:w="60" w:type="dxa"/>
              <w:bottom w:w="60" w:type="dxa"/>
              <w:left w:w="100" w:type="dxa"/>
              <w:right w:w="100" w:type="dxa"/>
            </w:tcMar>
          </w:tcPr>
          <w:p>
            <w:r>
              <w:rPr>
                <w:sz w:val="17"/>
              </w:rPr>
              <w:t>$70,375.4M</w:t>
            </w:r>
          </w:p>
        </w:tc>
        <w:tc>
          <w:tcPr>
            <w:tcW w:type="dxa" w:w="1399"/>
            <w:tcMar>
              <w:top w:w="60" w:type="dxa"/>
              <w:bottom w:w="60" w:type="dxa"/>
              <w:left w:w="100" w:type="dxa"/>
              <w:right w:w="100" w:type="dxa"/>
            </w:tcMar>
          </w:tcPr>
          <w:p>
            <w:r>
              <w:rPr>
                <w:b/>
                <w:sz w:val="17"/>
              </w:rPr>
              <w:t>-5.93 p.p.</w:t>
            </w:r>
          </w:p>
        </w:tc>
      </w:tr>
      <w:tr>
        <w:tc>
          <w:tcPr>
            <w:tcW w:type="dxa" w:w="1399"/>
            <w:tcMar>
              <w:top w:w="60" w:type="dxa"/>
              <w:bottom w:w="60" w:type="dxa"/>
              <w:left w:w="100" w:type="dxa"/>
              <w:right w:w="100" w:type="dxa"/>
            </w:tcMar>
            <w:shd w:fill="F7FAFC"/>
            <w:shd w:fill="E2EFDA"/>
          </w:tcPr>
          <w:p>
            <w:r>
              <w:rPr>
                <w:sz w:val="17"/>
              </w:rPr>
              <w:t>LTM</w:t>
            </w:r>
          </w:p>
        </w:tc>
        <w:tc>
          <w:tcPr>
            <w:tcW w:type="dxa" w:w="1399"/>
            <w:tcMar>
              <w:top w:w="60" w:type="dxa"/>
              <w:bottom w:w="60" w:type="dxa"/>
              <w:left w:w="100" w:type="dxa"/>
              <w:right w:w="100" w:type="dxa"/>
            </w:tcMar>
            <w:shd w:fill="F7FAFC"/>
            <w:shd w:fill="E2EFDA"/>
          </w:tcPr>
          <w:p>
            <w:r>
              <w:rPr>
                <w:b/>
                <w:sz w:val="17"/>
              </w:rPr>
              <w:t>2.24%</w:t>
            </w:r>
          </w:p>
        </w:tc>
        <w:tc>
          <w:tcPr>
            <w:tcW w:type="dxa" w:w="1399"/>
            <w:tcMar>
              <w:top w:w="60" w:type="dxa"/>
              <w:bottom w:w="60" w:type="dxa"/>
              <w:left w:w="100" w:type="dxa"/>
              <w:right w:w="100" w:type="dxa"/>
            </w:tcMar>
            <w:shd w:fill="F7FAFC"/>
            <w:shd w:fill="E2EFDA"/>
          </w:tcPr>
          <w:p>
            <w:r>
              <w:rPr>
                <w:b/>
                <w:sz w:val="17"/>
              </w:rPr>
              <w:t>1.56%</w:t>
            </w:r>
          </w:p>
        </w:tc>
        <w:tc>
          <w:tcPr>
            <w:tcW w:type="dxa" w:w="1399"/>
            <w:tcMar>
              <w:top w:w="60" w:type="dxa"/>
              <w:bottom w:w="60" w:type="dxa"/>
              <w:left w:w="100" w:type="dxa"/>
              <w:right w:w="100" w:type="dxa"/>
            </w:tcMar>
            <w:shd w:fill="F7FAFC"/>
            <w:shd w:fill="E2EFDA"/>
          </w:tcPr>
          <w:p>
            <w:r>
              <w:rPr>
                <w:b/>
                <w:sz w:val="17"/>
              </w:rPr>
              <w:t>1.56%</w:t>
            </w:r>
          </w:p>
        </w:tc>
        <w:tc>
          <w:tcPr>
            <w:tcW w:type="dxa" w:w="1399"/>
            <w:tcMar>
              <w:top w:w="60" w:type="dxa"/>
              <w:bottom w:w="60" w:type="dxa"/>
              <w:left w:w="100" w:type="dxa"/>
              <w:right w:w="100" w:type="dxa"/>
            </w:tcMar>
            <w:shd w:fill="F7FAFC"/>
            <w:shd w:fill="E2EFDA"/>
          </w:tcPr>
          <w:p>
            <w:r>
              <w:rPr>
                <w:sz w:val="17"/>
              </w:rPr>
              <w:t>$0.0M</w:t>
            </w:r>
          </w:p>
        </w:tc>
        <w:tc>
          <w:tcPr>
            <w:tcW w:type="dxa" w:w="1399"/>
            <w:tcMar>
              <w:top w:w="60" w:type="dxa"/>
              <w:bottom w:w="60" w:type="dxa"/>
              <w:left w:w="100" w:type="dxa"/>
              <w:right w:w="100" w:type="dxa"/>
            </w:tcMar>
            <w:shd w:fill="F7FAFC"/>
            <w:shd w:fill="E2EFDA"/>
          </w:tcPr>
          <w:p>
            <w:r>
              <w:rPr>
                <w:sz w:val="17"/>
              </w:rPr>
              <w:t>$74,124.8M</w:t>
            </w:r>
          </w:p>
        </w:tc>
        <w:tc>
          <w:tcPr>
            <w:tcW w:type="dxa" w:w="1399"/>
            <w:tcMar>
              <w:top w:w="60" w:type="dxa"/>
              <w:bottom w:w="60" w:type="dxa"/>
              <w:left w:w="100" w:type="dxa"/>
              <w:right w:w="100" w:type="dxa"/>
            </w:tcMar>
            <w:shd w:fill="F7FAFC"/>
            <w:shd w:fill="E2EFDA"/>
          </w:tcPr>
          <w:p>
            <w:r>
              <w:rPr>
                <w:b/>
                <w:sz w:val="17"/>
              </w:rPr>
              <w:t>-5.25 p.p.</w:t>
            </w:r>
          </w:p>
        </w:tc>
      </w:tr>
    </w:tbl>
    <w:p>
      <w:pPr>
        <w:spacing w:before="160" w:after="160"/>
      </w:pPr>
      <w:r>
        <w:rPr>
          <w:i/>
          <w:sz w:val="18"/>
        </w:rPr>
        <w:t>Matriz de Sensibilidad de Vida Útil: N-1 (3a) = 1.56% | N Base (4a) = 1.56% | N+1 (5a) = 1.56%.</w:t>
      </w:r>
    </w:p>
    <w:p>
      <w:pPr>
        <w:pStyle w:val="Heading2"/>
      </w:pPr>
      <w:r>
        <w:t>11.4. Creación de Valor Económico (EVA) y Durabilidad del Foso Defensivo</w:t>
      </w:r>
    </w:p>
    <w:p>
      <w:r>
        <w:rPr>
          <w:sz w:val="19"/>
        </w:rPr>
        <w:t>Spread Económico = ROIC Ajustado (1.56%) − WACC (6.81%) = -5.25 p.p.</w:t>
        <w:br/>
        <w:t>Dictamen: ⚠️ DESTRUCCIÓN DE VALOR ECONÓMICO. La compañía supera holgadamente su costo de capital, generando retornos netos excedentes sobre cada dólar invertido.</w:t>
      </w:r>
    </w:p>
    <w:p>
      <w:pPr>
        <w:pStyle w:val="Heading2"/>
      </w:pPr>
      <w:r>
        <w:t>11.5. Cuadro de Mando Consolidado de Ratios de Capital, Retornos y Valor</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880"/>
        <w:gridCol w:w="1296"/>
        <w:gridCol w:w="1584"/>
        <w:gridCol w:w="2016"/>
      </w:tblGrid>
      <w:tr>
        <w:tc>
          <w:tcPr>
            <w:tcW w:type="dxa" w:w="1958"/>
            <w:shd w:fill="1B365D"/>
            <w:tcMar>
              <w:top w:w="80" w:type="dxa"/>
              <w:bottom w:w="80" w:type="dxa"/>
              <w:left w:w="100" w:type="dxa"/>
              <w:right w:w="100" w:type="dxa"/>
            </w:tcMar>
          </w:tcPr>
          <w:p>
            <w:r>
              <w:rPr>
                <w:b/>
                <w:color w:val="FFFFFF"/>
                <w:sz w:val="17"/>
              </w:rPr>
              <w:t>Categoría Analítica</w:t>
            </w:r>
          </w:p>
        </w:tc>
        <w:tc>
          <w:tcPr>
            <w:tcW w:type="dxa" w:w="1958"/>
            <w:shd w:fill="1B365D"/>
            <w:tcMar>
              <w:top w:w="80" w:type="dxa"/>
              <w:bottom w:w="80" w:type="dxa"/>
              <w:left w:w="100" w:type="dxa"/>
              <w:right w:w="100" w:type="dxa"/>
            </w:tcMar>
          </w:tcPr>
          <w:p>
            <w:r>
              <w:rPr>
                <w:b/>
                <w:color w:val="FFFFFF"/>
                <w:sz w:val="17"/>
              </w:rPr>
              <w:t>Métrica / Ratio Institucional</w:t>
            </w:r>
          </w:p>
        </w:tc>
        <w:tc>
          <w:tcPr>
            <w:tcW w:type="dxa" w:w="1958"/>
            <w:shd w:fill="1B365D"/>
            <w:tcMar>
              <w:top w:w="80" w:type="dxa"/>
              <w:bottom w:w="80" w:type="dxa"/>
              <w:left w:w="100" w:type="dxa"/>
              <w:right w:w="100" w:type="dxa"/>
            </w:tcMar>
          </w:tcPr>
          <w:p>
            <w:r>
              <w:rPr>
                <w:b/>
                <w:color w:val="FFFFFF"/>
                <w:sz w:val="17"/>
              </w:rPr>
              <w:t>Valor LTM</w:t>
            </w:r>
          </w:p>
        </w:tc>
        <w:tc>
          <w:tcPr>
            <w:tcW w:type="dxa" w:w="1958"/>
            <w:shd w:fill="1B365D"/>
            <w:tcMar>
              <w:top w:w="80" w:type="dxa"/>
              <w:bottom w:w="80" w:type="dxa"/>
              <w:left w:w="100" w:type="dxa"/>
              <w:right w:w="100" w:type="dxa"/>
            </w:tcMar>
          </w:tcPr>
          <w:p>
            <w:r>
              <w:rPr>
                <w:b/>
                <w:color w:val="FFFFFF"/>
                <w:sz w:val="17"/>
              </w:rPr>
              <w:t>Benchmark / Ref.</w:t>
            </w:r>
          </w:p>
        </w:tc>
        <w:tc>
          <w:tcPr>
            <w:tcW w:type="dxa" w:w="1958"/>
            <w:shd w:fill="1B365D"/>
            <w:tcMar>
              <w:top w:w="80" w:type="dxa"/>
              <w:bottom w:w="80" w:type="dxa"/>
              <w:left w:w="100" w:type="dxa"/>
              <w:right w:w="100" w:type="dxa"/>
            </w:tcMar>
          </w:tcPr>
          <w:p>
            <w:r>
              <w:rPr>
                <w:b/>
                <w:color w:val="FFFFFF"/>
                <w:sz w:val="17"/>
              </w:rPr>
              <w:t>Diagnóstico para el Inversor</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Tasa Libre de Riesgo (Rf - Bono 10Y)</w:t>
            </w:r>
          </w:p>
        </w:tc>
        <w:tc>
          <w:tcPr>
            <w:tcW w:type="dxa" w:w="1958"/>
            <w:tcMar>
              <w:top w:w="60" w:type="dxa"/>
              <w:bottom w:w="60" w:type="dxa"/>
              <w:left w:w="100" w:type="dxa"/>
              <w:right w:w="100" w:type="dxa"/>
            </w:tcMar>
          </w:tcPr>
          <w:p>
            <w:r>
              <w:rPr>
                <w:b/>
                <w:sz w:val="17"/>
              </w:rPr>
              <w:t>5.27%</w:t>
            </w:r>
          </w:p>
        </w:tc>
        <w:tc>
          <w:tcPr>
            <w:tcW w:type="dxa" w:w="1958"/>
            <w:tcMar>
              <w:top w:w="60" w:type="dxa"/>
              <w:bottom w:w="60" w:type="dxa"/>
              <w:left w:w="100" w:type="dxa"/>
              <w:right w:w="100" w:type="dxa"/>
            </w:tcMar>
          </w:tcPr>
          <w:p>
            <w:r>
              <w:rPr>
                <w:sz w:val="17"/>
              </w:rPr>
              <w:t>US Treasury Yield</w:t>
            </w:r>
          </w:p>
        </w:tc>
        <w:tc>
          <w:tcPr>
            <w:tcW w:type="dxa" w:w="1958"/>
            <w:tcMar>
              <w:top w:w="60" w:type="dxa"/>
              <w:bottom w:w="60" w:type="dxa"/>
              <w:left w:w="100" w:type="dxa"/>
              <w:right w:w="100" w:type="dxa"/>
            </w:tcMar>
          </w:tcPr>
          <w:p>
            <w:r>
              <w:rPr>
                <w:sz w:val="17"/>
              </w:rPr>
              <w:t>Costo de oportunidad libre de riesgo macroeconómico.</w:t>
            </w:r>
          </w:p>
        </w:tc>
      </w:tr>
      <w:tr>
        <w:tc>
          <w:tcPr>
            <w:tcW w:type="dxa" w:w="1958"/>
            <w:tcMar>
              <w:top w:w="60" w:type="dxa"/>
              <w:bottom w:w="60" w:type="dxa"/>
              <w:left w:w="100" w:type="dxa"/>
              <w:right w:w="100" w:type="dxa"/>
            </w:tcMar>
            <w:shd w:fill="F7FAFC"/>
          </w:tcPr>
          <w:p>
            <w:r>
              <w:rPr>
                <w:sz w:val="17"/>
              </w:rPr>
              <w:t>Parámetros Macro y Mercado</w:t>
            </w:r>
          </w:p>
        </w:tc>
        <w:tc>
          <w:tcPr>
            <w:tcW w:type="dxa" w:w="1958"/>
            <w:tcMar>
              <w:top w:w="60" w:type="dxa"/>
              <w:bottom w:w="60" w:type="dxa"/>
              <w:left w:w="100" w:type="dxa"/>
              <w:right w:w="100" w:type="dxa"/>
            </w:tcMar>
            <w:shd w:fill="F7FAFC"/>
          </w:tcPr>
          <w:p>
            <w:r>
              <w:rPr>
                <w:b/>
                <w:sz w:val="17"/>
              </w:rPr>
              <w:t>Beta de la Acción (β)</w:t>
            </w:r>
          </w:p>
        </w:tc>
        <w:tc>
          <w:tcPr>
            <w:tcW w:type="dxa" w:w="1958"/>
            <w:tcMar>
              <w:top w:w="60" w:type="dxa"/>
              <w:bottom w:w="60" w:type="dxa"/>
              <w:left w:w="100" w:type="dxa"/>
              <w:right w:w="100" w:type="dxa"/>
            </w:tcMar>
            <w:shd w:fill="F7FAFC"/>
          </w:tcPr>
          <w:p>
            <w:r>
              <w:rPr>
                <w:b/>
                <w:sz w:val="17"/>
              </w:rPr>
              <w:t>0.69</w:t>
            </w:r>
          </w:p>
        </w:tc>
        <w:tc>
          <w:tcPr>
            <w:tcW w:type="dxa" w:w="1958"/>
            <w:tcMar>
              <w:top w:w="60" w:type="dxa"/>
              <w:bottom w:w="60" w:type="dxa"/>
              <w:left w:w="100" w:type="dxa"/>
              <w:right w:w="100" w:type="dxa"/>
            </w:tcMar>
            <w:shd w:fill="F7FAFC"/>
          </w:tcPr>
          <w:p>
            <w:r>
              <w:rPr>
                <w:sz w:val="17"/>
              </w:rPr>
              <w:t>S&amp;P 500 = 1.00x</w:t>
            </w:r>
          </w:p>
        </w:tc>
        <w:tc>
          <w:tcPr>
            <w:tcW w:type="dxa" w:w="1958"/>
            <w:tcMar>
              <w:top w:w="60" w:type="dxa"/>
              <w:bottom w:w="60" w:type="dxa"/>
              <w:left w:w="100" w:type="dxa"/>
              <w:right w:w="100" w:type="dxa"/>
            </w:tcMar>
            <w:shd w:fill="F7FAFC"/>
          </w:tcPr>
          <w:p>
            <w:r>
              <w:rPr>
                <w:sz w:val="17"/>
              </w:rPr>
              <w:t>Sensibilidad cíclica moderada y alineada al mercado.</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Prima de Riesgo de Mercado (ERP)</w:t>
            </w:r>
          </w:p>
        </w:tc>
        <w:tc>
          <w:tcPr>
            <w:tcW w:type="dxa" w:w="1958"/>
            <w:tcMar>
              <w:top w:w="60" w:type="dxa"/>
              <w:bottom w:w="60" w:type="dxa"/>
              <w:left w:w="100" w:type="dxa"/>
              <w:right w:w="100" w:type="dxa"/>
            </w:tcMar>
          </w:tcPr>
          <w:p>
            <w:r>
              <w:rPr>
                <w:b/>
                <w:sz w:val="17"/>
              </w:rPr>
              <w:t>4.75%</w:t>
            </w:r>
          </w:p>
        </w:tc>
        <w:tc>
          <w:tcPr>
            <w:tcW w:type="dxa" w:w="1958"/>
            <w:tcMar>
              <w:top w:w="60" w:type="dxa"/>
              <w:bottom w:w="60" w:type="dxa"/>
              <w:left w:w="100" w:type="dxa"/>
              <w:right w:w="100" w:type="dxa"/>
            </w:tcMar>
          </w:tcPr>
          <w:p>
            <w:r>
              <w:rPr>
                <w:sz w:val="17"/>
              </w:rPr>
              <w:t>NYU Stern Damodaran</w:t>
            </w:r>
          </w:p>
        </w:tc>
        <w:tc>
          <w:tcPr>
            <w:tcW w:type="dxa" w:w="1958"/>
            <w:tcMar>
              <w:top w:w="60" w:type="dxa"/>
              <w:bottom w:w="60" w:type="dxa"/>
              <w:left w:w="100" w:type="dxa"/>
              <w:right w:w="100" w:type="dxa"/>
            </w:tcMar>
          </w:tcPr>
          <w:p>
            <w:r>
              <w:rPr>
                <w:sz w:val="17"/>
              </w:rPr>
              <w:t>Exigencia de prima de retorno sobre el activo libre de riesgo.</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Costo del Capital Propio (Ke)</w:t>
            </w:r>
          </w:p>
        </w:tc>
        <w:tc>
          <w:tcPr>
            <w:tcW w:type="dxa" w:w="1958"/>
            <w:tcMar>
              <w:top w:w="60" w:type="dxa"/>
              <w:bottom w:w="60" w:type="dxa"/>
              <w:left w:w="100" w:type="dxa"/>
              <w:right w:w="100" w:type="dxa"/>
            </w:tcMar>
            <w:shd w:fill="F7FAFC"/>
          </w:tcPr>
          <w:p>
            <w:r>
              <w:rPr>
                <w:b/>
                <w:sz w:val="17"/>
              </w:rPr>
              <w:t>8.53%</w:t>
            </w:r>
          </w:p>
        </w:tc>
        <w:tc>
          <w:tcPr>
            <w:tcW w:type="dxa" w:w="1958"/>
            <w:tcMar>
              <w:top w:w="60" w:type="dxa"/>
              <w:bottom w:w="60" w:type="dxa"/>
              <w:left w:w="100" w:type="dxa"/>
              <w:right w:w="100" w:type="dxa"/>
            </w:tcMar>
            <w:shd w:fill="F7FAFC"/>
          </w:tcPr>
          <w:p>
            <w:r>
              <w:rPr>
                <w:sz w:val="17"/>
              </w:rPr>
              <w:t>Rango 9.5% - 10.5%</w:t>
            </w:r>
          </w:p>
        </w:tc>
        <w:tc>
          <w:tcPr>
            <w:tcW w:type="dxa" w:w="1958"/>
            <w:tcMar>
              <w:top w:w="60" w:type="dxa"/>
              <w:bottom w:w="60" w:type="dxa"/>
              <w:left w:w="100" w:type="dxa"/>
              <w:right w:w="100" w:type="dxa"/>
            </w:tcMar>
            <w:shd w:fill="F7FAFC"/>
          </w:tcPr>
          <w:p>
            <w:r>
              <w:rPr>
                <w:sz w:val="17"/>
              </w:rPr>
              <w:t>Retorno anual exigido por los tenedores de acciones comunes.</w:t>
            </w:r>
          </w:p>
        </w:tc>
      </w:tr>
      <w:tr>
        <w:tc>
          <w:tcPr>
            <w:tcW w:type="dxa" w:w="1958"/>
            <w:tcMar>
              <w:top w:w="60" w:type="dxa"/>
              <w:bottom w:w="60" w:type="dxa"/>
              <w:left w:w="100" w:type="dxa"/>
              <w:right w:w="100" w:type="dxa"/>
            </w:tcMar>
          </w:tcPr>
          <w:p>
            <w:r>
              <w:rPr>
                <w:sz w:val="17"/>
              </w:rPr>
              <w:t>Costo de Capital (WACC)</w:t>
            </w:r>
          </w:p>
        </w:tc>
        <w:tc>
          <w:tcPr>
            <w:tcW w:type="dxa" w:w="1958"/>
            <w:tcMar>
              <w:top w:w="60" w:type="dxa"/>
              <w:bottom w:w="60" w:type="dxa"/>
              <w:left w:w="100" w:type="dxa"/>
              <w:right w:w="100" w:type="dxa"/>
            </w:tcMar>
          </w:tcPr>
          <w:p>
            <w:r>
              <w:rPr>
                <w:b/>
                <w:sz w:val="17"/>
              </w:rPr>
              <w:t>Costo de Deuda Neta (Kd)</w:t>
            </w:r>
          </w:p>
        </w:tc>
        <w:tc>
          <w:tcPr>
            <w:tcW w:type="dxa" w:w="1958"/>
            <w:tcMar>
              <w:top w:w="60" w:type="dxa"/>
              <w:bottom w:w="60" w:type="dxa"/>
              <w:left w:w="100" w:type="dxa"/>
              <w:right w:w="100" w:type="dxa"/>
            </w:tcMar>
          </w:tcPr>
          <w:p>
            <w:r>
              <w:rPr>
                <w:b/>
                <w:sz w:val="17"/>
              </w:rPr>
              <w:t>3.85%</w:t>
            </w:r>
          </w:p>
        </w:tc>
        <w:tc>
          <w:tcPr>
            <w:tcW w:type="dxa" w:w="1958"/>
            <w:tcMar>
              <w:top w:w="60" w:type="dxa"/>
              <w:bottom w:w="60" w:type="dxa"/>
              <w:left w:w="100" w:type="dxa"/>
              <w:right w:w="100" w:type="dxa"/>
            </w:tcMar>
          </w:tcPr>
          <w:p>
            <w:r>
              <w:rPr>
                <w:sz w:val="17"/>
              </w:rPr>
              <w:t>Tasa cupón efectiva</w:t>
            </w:r>
          </w:p>
        </w:tc>
        <w:tc>
          <w:tcPr>
            <w:tcW w:type="dxa" w:w="1958"/>
            <w:tcMar>
              <w:top w:w="60" w:type="dxa"/>
              <w:bottom w:w="60" w:type="dxa"/>
              <w:left w:w="100" w:type="dxa"/>
              <w:right w:w="100" w:type="dxa"/>
            </w:tcMar>
          </w:tcPr>
          <w:p>
            <w:r>
              <w:rPr>
                <w:sz w:val="17"/>
              </w:rPr>
              <w:t>Financiación crediticia con escudo fiscal del 5.0%.</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WACC Consolidado</w:t>
            </w:r>
          </w:p>
        </w:tc>
        <w:tc>
          <w:tcPr>
            <w:tcW w:type="dxa" w:w="1958"/>
            <w:tcMar>
              <w:top w:w="60" w:type="dxa"/>
              <w:bottom w:w="60" w:type="dxa"/>
              <w:left w:w="100" w:type="dxa"/>
              <w:right w:w="100" w:type="dxa"/>
            </w:tcMar>
            <w:shd w:fill="F7FAFC"/>
          </w:tcPr>
          <w:p>
            <w:r>
              <w:rPr>
                <w:b/>
                <w:sz w:val="17"/>
              </w:rPr>
              <w:t>6.81%</w:t>
            </w:r>
          </w:p>
        </w:tc>
        <w:tc>
          <w:tcPr>
            <w:tcW w:type="dxa" w:w="1958"/>
            <w:tcMar>
              <w:top w:w="60" w:type="dxa"/>
              <w:bottom w:w="60" w:type="dxa"/>
              <w:left w:w="100" w:type="dxa"/>
              <w:right w:w="100" w:type="dxa"/>
            </w:tcMar>
            <w:shd w:fill="F7FAFC"/>
          </w:tcPr>
          <w:p>
            <w:r>
              <w:rPr>
                <w:sz w:val="17"/>
              </w:rPr>
              <w:t>Mediana Sector (8.60%)</w:t>
            </w:r>
          </w:p>
        </w:tc>
        <w:tc>
          <w:tcPr>
            <w:tcW w:type="dxa" w:w="1958"/>
            <w:tcMar>
              <w:top w:w="60" w:type="dxa"/>
              <w:bottom w:w="60" w:type="dxa"/>
              <w:left w:w="100" w:type="dxa"/>
              <w:right w:w="100" w:type="dxa"/>
            </w:tcMar>
            <w:shd w:fill="F7FAFC"/>
          </w:tcPr>
          <w:p>
            <w:r>
              <w:rPr>
                <w:sz w:val="17"/>
              </w:rPr>
              <w:t>Tasa de corte u obstáculo financiero mínimo para crear valor.</w:t>
            </w:r>
          </w:p>
        </w:tc>
      </w:tr>
      <w:tr>
        <w:tc>
          <w:tcPr>
            <w:tcW w:type="dxa" w:w="1958"/>
            <w:tcMar>
              <w:top w:w="60" w:type="dxa"/>
              <w:bottom w:w="60" w:type="dxa"/>
              <w:left w:w="100" w:type="dxa"/>
              <w:right w:w="100" w:type="dxa"/>
            </w:tcMar>
            <w:shd w:fill="E2EFDA"/>
          </w:tcPr>
          <w:p>
            <w:r>
              <w:rPr>
                <w:sz w:val="17"/>
              </w:rPr>
              <w:t>Productividad Tangible</w:t>
            </w:r>
          </w:p>
        </w:tc>
        <w:tc>
          <w:tcPr>
            <w:tcW w:type="dxa" w:w="1958"/>
            <w:tcMar>
              <w:top w:w="60" w:type="dxa"/>
              <w:bottom w:w="60" w:type="dxa"/>
              <w:left w:w="100" w:type="dxa"/>
              <w:right w:w="100" w:type="dxa"/>
            </w:tcMar>
            <w:shd w:fill="E2EFDA"/>
          </w:tcPr>
          <w:p>
            <w:r>
              <w:rPr>
                <w:b/>
                <w:sz w:val="17"/>
              </w:rPr>
              <w:t>ROC Greenblatt (Pre-Tax)</w:t>
            </w:r>
          </w:p>
        </w:tc>
        <w:tc>
          <w:tcPr>
            <w:tcW w:type="dxa" w:w="1958"/>
            <w:tcMar>
              <w:top w:w="60" w:type="dxa"/>
              <w:bottom w:w="60" w:type="dxa"/>
              <w:left w:w="100" w:type="dxa"/>
              <w:right w:w="100" w:type="dxa"/>
            </w:tcMar>
            <w:shd w:fill="E2EFDA"/>
          </w:tcPr>
          <w:p>
            <w:r>
              <w:rPr>
                <w:b/>
                <w:sz w:val="17"/>
              </w:rPr>
              <w:t>2.24%</w:t>
            </w:r>
          </w:p>
        </w:tc>
        <w:tc>
          <w:tcPr>
            <w:tcW w:type="dxa" w:w="1958"/>
            <w:tcMar>
              <w:top w:w="60" w:type="dxa"/>
              <w:bottom w:w="60" w:type="dxa"/>
              <w:left w:w="100" w:type="dxa"/>
              <w:right w:w="100" w:type="dxa"/>
            </w:tcMar>
            <w:shd w:fill="E2EFDA"/>
          </w:tcPr>
          <w:p>
            <w:r>
              <w:rPr>
                <w:sz w:val="17"/>
              </w:rPr>
              <w:t>Mediana Sector</w:t>
            </w:r>
          </w:p>
        </w:tc>
        <w:tc>
          <w:tcPr>
            <w:tcW w:type="dxa" w:w="1958"/>
            <w:tcMar>
              <w:top w:w="60" w:type="dxa"/>
              <w:bottom w:w="60" w:type="dxa"/>
              <w:left w:w="100" w:type="dxa"/>
              <w:right w:w="100" w:type="dxa"/>
            </w:tcMar>
            <w:shd w:fill="E2EFDA"/>
          </w:tcPr>
          <w:p>
            <w:r>
              <w:rPr>
                <w:sz w:val="17"/>
              </w:rPr>
              <w:t>Asset-Light; supera al sector por N/D.</w:t>
            </w:r>
          </w:p>
        </w:tc>
      </w:tr>
      <w:tr>
        <w:tc>
          <w:tcPr>
            <w:tcW w:type="dxa" w:w="1958"/>
            <w:tcMar>
              <w:top w:w="60" w:type="dxa"/>
              <w:bottom w:w="60" w:type="dxa"/>
              <w:left w:w="100" w:type="dxa"/>
              <w:right w:w="100" w:type="dxa"/>
            </w:tcMar>
            <w:shd w:fill="F7FAFC"/>
          </w:tcPr>
          <w:p>
            <w:r>
              <w:rPr>
                <w:sz w:val="17"/>
              </w:rPr>
              <w:t>Productividad Tangible</w:t>
            </w:r>
          </w:p>
        </w:tc>
        <w:tc>
          <w:tcPr>
            <w:tcW w:type="dxa" w:w="1958"/>
            <w:tcMar>
              <w:top w:w="60" w:type="dxa"/>
              <w:bottom w:w="60" w:type="dxa"/>
              <w:left w:w="100" w:type="dxa"/>
              <w:right w:w="100" w:type="dxa"/>
            </w:tcMar>
            <w:shd w:fill="F7FAFC"/>
          </w:tcPr>
          <w:p>
            <w:r>
              <w:rPr>
                <w:b/>
                <w:sz w:val="17"/>
              </w:rPr>
              <w:t>Capital Tangible Promedio</w:t>
            </w:r>
          </w:p>
        </w:tc>
        <w:tc>
          <w:tcPr>
            <w:tcW w:type="dxa" w:w="1958"/>
            <w:tcMar>
              <w:top w:w="60" w:type="dxa"/>
              <w:bottom w:w="60" w:type="dxa"/>
              <w:left w:w="100" w:type="dxa"/>
              <w:right w:w="100" w:type="dxa"/>
            </w:tcMar>
            <w:shd w:fill="F7FAFC"/>
          </w:tcPr>
          <w:p>
            <w:r>
              <w:rPr>
                <w:b/>
                <w:sz w:val="17"/>
              </w:rPr>
              <w:t>$54,263.2M</w:t>
            </w:r>
          </w:p>
        </w:tc>
        <w:tc>
          <w:tcPr>
            <w:tcW w:type="dxa" w:w="1958"/>
            <w:tcMar>
              <w:top w:w="60" w:type="dxa"/>
              <w:bottom w:w="60" w:type="dxa"/>
              <w:left w:w="100" w:type="dxa"/>
              <w:right w:w="100" w:type="dxa"/>
            </w:tcMar>
            <w:shd w:fill="F7FAFC"/>
          </w:tcPr>
          <w:p>
            <w:r>
              <w:rPr>
                <w:sz w:val="17"/>
              </w:rPr>
              <w:t>Balance SEC Form 10-Q</w:t>
            </w:r>
          </w:p>
        </w:tc>
        <w:tc>
          <w:tcPr>
            <w:tcW w:type="dxa" w:w="1958"/>
            <w:tcMar>
              <w:top w:w="60" w:type="dxa"/>
              <w:bottom w:w="60" w:type="dxa"/>
              <w:left w:w="100" w:type="dxa"/>
              <w:right w:w="100" w:type="dxa"/>
            </w:tcMar>
            <w:shd w:fill="F7FAFC"/>
          </w:tcPr>
          <w:p>
            <w:r>
              <w:rPr>
                <w:sz w:val="17"/>
              </w:rPr>
              <w:t>Base física operativa mínima tras salvaguardas.</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ROIC Contable Tradicional</w:t>
            </w:r>
          </w:p>
        </w:tc>
        <w:tc>
          <w:tcPr>
            <w:tcW w:type="dxa" w:w="1958"/>
            <w:tcMar>
              <w:top w:w="60" w:type="dxa"/>
              <w:bottom w:w="60" w:type="dxa"/>
              <w:left w:w="100" w:type="dxa"/>
              <w:right w:w="100" w:type="dxa"/>
            </w:tcMar>
          </w:tcPr>
          <w:p>
            <w:r>
              <w:rPr>
                <w:b/>
                <w:sz w:val="17"/>
              </w:rPr>
              <w:t>1.56%</w:t>
            </w:r>
          </w:p>
        </w:tc>
        <w:tc>
          <w:tcPr>
            <w:tcW w:type="dxa" w:w="1958"/>
            <w:tcMar>
              <w:top w:w="60" w:type="dxa"/>
              <w:bottom w:w="60" w:type="dxa"/>
              <w:left w:w="100" w:type="dxa"/>
              <w:right w:w="100" w:type="dxa"/>
            </w:tcMar>
          </w:tcPr>
          <w:p>
            <w:r>
              <w:rPr>
                <w:sz w:val="17"/>
              </w:rPr>
              <w:t>ROIC sin ajustes</w:t>
            </w:r>
          </w:p>
        </w:tc>
        <w:tc>
          <w:tcPr>
            <w:tcW w:type="dxa" w:w="1958"/>
            <w:tcMar>
              <w:top w:w="60" w:type="dxa"/>
              <w:bottom w:w="60" w:type="dxa"/>
              <w:left w:w="100" w:type="dxa"/>
              <w:right w:w="100" w:type="dxa"/>
            </w:tcMar>
          </w:tcPr>
          <w:p>
            <w:r>
              <w:rPr>
                <w:sz w:val="17"/>
              </w:rPr>
              <w:t>Métrica distorsionada por no capitalizar gasto de innovación.</w:t>
            </w:r>
          </w:p>
        </w:tc>
      </w:tr>
      <w:tr>
        <w:tc>
          <w:tcPr>
            <w:tcW w:type="dxa" w:w="1958"/>
            <w:tcMar>
              <w:top w:w="60" w:type="dxa"/>
              <w:bottom w:w="60" w:type="dxa"/>
              <w:left w:w="100" w:type="dxa"/>
              <w:right w:w="100" w:type="dxa"/>
            </w:tcMar>
            <w:shd w:fill="F7FAFC"/>
          </w:tcPr>
          <w:p>
            <w:r>
              <w:rPr>
                <w:sz w:val="17"/>
              </w:rPr>
              <w:t>Retorno Reconstituido</w:t>
            </w:r>
          </w:p>
        </w:tc>
        <w:tc>
          <w:tcPr>
            <w:tcW w:type="dxa" w:w="1958"/>
            <w:tcMar>
              <w:top w:w="60" w:type="dxa"/>
              <w:bottom w:w="60" w:type="dxa"/>
              <w:left w:w="100" w:type="dxa"/>
              <w:right w:w="100" w:type="dxa"/>
            </w:tcMar>
            <w:shd w:fill="F7FAFC"/>
          </w:tcPr>
          <w:p>
            <w:r>
              <w:rPr>
                <w:b/>
                <w:sz w:val="17"/>
              </w:rPr>
              <w:t>Stock Intangibles I+D</w:t>
            </w:r>
          </w:p>
        </w:tc>
        <w:tc>
          <w:tcPr>
            <w:tcW w:type="dxa" w:w="1958"/>
            <w:tcMar>
              <w:top w:w="60" w:type="dxa"/>
              <w:bottom w:w="60" w:type="dxa"/>
              <w:left w:w="100" w:type="dxa"/>
              <w:right w:w="100" w:type="dxa"/>
            </w:tcMar>
            <w:shd w:fill="F7FAFC"/>
          </w:tcPr>
          <w:p>
            <w:r>
              <w:rPr>
                <w:b/>
                <w:sz w:val="17"/>
              </w:rPr>
              <w:t>$0.0M</w:t>
            </w:r>
          </w:p>
        </w:tc>
        <w:tc>
          <w:tcPr>
            <w:tcW w:type="dxa" w:w="1958"/>
            <w:tcMar>
              <w:top w:w="60" w:type="dxa"/>
              <w:bottom w:w="60" w:type="dxa"/>
              <w:left w:w="100" w:type="dxa"/>
              <w:right w:w="100" w:type="dxa"/>
            </w:tcMar>
            <w:shd w:fill="F7FAFC"/>
          </w:tcPr>
          <w:p>
            <w:r>
              <w:rPr>
                <w:sz w:val="17"/>
              </w:rPr>
              <w:t>Amortización 4 Años</w:t>
            </w:r>
          </w:p>
        </w:tc>
        <w:tc>
          <w:tcPr>
            <w:tcW w:type="dxa" w:w="1958"/>
            <w:tcMar>
              <w:top w:w="60" w:type="dxa"/>
              <w:bottom w:w="60" w:type="dxa"/>
              <w:left w:w="100" w:type="dxa"/>
              <w:right w:w="100" w:type="dxa"/>
            </w:tcMar>
            <w:shd w:fill="F7FAFC"/>
          </w:tcPr>
          <w:p>
            <w:r>
              <w:rPr>
                <w:sz w:val="17"/>
              </w:rPr>
              <w:t>Valor acumulado de patentes, silicio y software.</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Capital Invertido Promedio</w:t>
            </w:r>
          </w:p>
        </w:tc>
        <w:tc>
          <w:tcPr>
            <w:tcW w:type="dxa" w:w="1958"/>
            <w:tcMar>
              <w:top w:w="60" w:type="dxa"/>
              <w:bottom w:w="60" w:type="dxa"/>
              <w:left w:w="100" w:type="dxa"/>
              <w:right w:w="100" w:type="dxa"/>
            </w:tcMar>
          </w:tcPr>
          <w:p>
            <w:r>
              <w:rPr>
                <w:b/>
                <w:sz w:val="17"/>
              </w:rPr>
              <w:t>$74,124.8M</w:t>
            </w:r>
          </w:p>
        </w:tc>
        <w:tc>
          <w:tcPr>
            <w:tcW w:type="dxa" w:w="1958"/>
            <w:tcMar>
              <w:top w:w="60" w:type="dxa"/>
              <w:bottom w:w="60" w:type="dxa"/>
              <w:left w:w="100" w:type="dxa"/>
              <w:right w:w="100" w:type="dxa"/>
            </w:tcMar>
          </w:tcPr>
          <w:p>
            <w:r>
              <w:rPr>
                <w:sz w:val="17"/>
              </w:rPr>
              <w:t>Base Económica Total</w:t>
            </w:r>
          </w:p>
        </w:tc>
        <w:tc>
          <w:tcPr>
            <w:tcW w:type="dxa" w:w="1958"/>
            <w:tcMar>
              <w:top w:w="60" w:type="dxa"/>
              <w:bottom w:w="60" w:type="dxa"/>
              <w:left w:w="100" w:type="dxa"/>
              <w:right w:w="100" w:type="dxa"/>
            </w:tcMar>
          </w:tcPr>
          <w:p>
            <w:r>
              <w:rPr>
                <w:sz w:val="17"/>
              </w:rPr>
              <w:t>Base de capital honesta que absorbe las inversiones en I+D.</w:t>
            </w:r>
          </w:p>
        </w:tc>
      </w:tr>
      <w:tr>
        <w:tc>
          <w:tcPr>
            <w:tcW w:type="dxa" w:w="1958"/>
            <w:tcMar>
              <w:top w:w="60" w:type="dxa"/>
              <w:bottom w:w="60" w:type="dxa"/>
              <w:left w:w="100" w:type="dxa"/>
              <w:right w:w="100" w:type="dxa"/>
            </w:tcMar>
            <w:shd w:fill="F7FAFC"/>
            <w:shd w:fill="E2EFDA"/>
          </w:tcPr>
          <w:p>
            <w:r>
              <w:rPr>
                <w:b/>
                <w:sz w:val="17"/>
              </w:rPr>
              <w:t>Retorno Reconstituido</w:t>
            </w:r>
          </w:p>
        </w:tc>
        <w:tc>
          <w:tcPr>
            <w:tcW w:type="dxa" w:w="1958"/>
            <w:tcMar>
              <w:top w:w="60" w:type="dxa"/>
              <w:bottom w:w="60" w:type="dxa"/>
              <w:left w:w="100" w:type="dxa"/>
              <w:right w:w="100" w:type="dxa"/>
            </w:tcMar>
            <w:shd w:fill="F7FAFC"/>
            <w:shd w:fill="E2EFDA"/>
          </w:tcPr>
          <w:p>
            <w:r>
              <w:rPr>
                <w:b/>
                <w:sz w:val="17"/>
              </w:rPr>
              <w:t>ROIC Ajustado por Intangibles</w:t>
            </w:r>
          </w:p>
        </w:tc>
        <w:tc>
          <w:tcPr>
            <w:tcW w:type="dxa" w:w="1958"/>
            <w:tcMar>
              <w:top w:w="60" w:type="dxa"/>
              <w:bottom w:w="60" w:type="dxa"/>
              <w:left w:w="100" w:type="dxa"/>
              <w:right w:w="100" w:type="dxa"/>
            </w:tcMar>
            <w:shd w:fill="F7FAFC"/>
            <w:shd w:fill="E2EFDA"/>
          </w:tcPr>
          <w:p>
            <w:r>
              <w:rPr>
                <w:b/>
                <w:sz w:val="17"/>
              </w:rPr>
              <w:t>1.56%</w:t>
            </w:r>
          </w:p>
        </w:tc>
        <w:tc>
          <w:tcPr>
            <w:tcW w:type="dxa" w:w="1958"/>
            <w:tcMar>
              <w:top w:w="60" w:type="dxa"/>
              <w:bottom w:w="60" w:type="dxa"/>
              <w:left w:w="100" w:type="dxa"/>
              <w:right w:w="100" w:type="dxa"/>
            </w:tcMar>
            <w:shd w:fill="F7FAFC"/>
            <w:shd w:fill="E2EFDA"/>
          </w:tcPr>
          <w:p>
            <w:r>
              <w:rPr>
                <w:b/>
                <w:sz w:val="17"/>
              </w:rPr>
              <w:t>Mediana Sector (12.50%)</w:t>
            </w:r>
          </w:p>
        </w:tc>
        <w:tc>
          <w:tcPr>
            <w:tcW w:type="dxa" w:w="1958"/>
            <w:tcMar>
              <w:top w:w="60" w:type="dxa"/>
              <w:bottom w:w="60" w:type="dxa"/>
              <w:left w:w="100" w:type="dxa"/>
              <w:right w:w="100" w:type="dxa"/>
            </w:tcMar>
            <w:shd w:fill="F7FAFC"/>
            <w:shd w:fill="E2EFDA"/>
          </w:tcPr>
          <w:p>
            <w:r>
              <w:rPr>
                <w:b/>
                <w:sz w:val="17"/>
              </w:rPr>
              <w:t>Retorno real sobre capital total invertido en el negocio.</w:t>
            </w:r>
          </w:p>
        </w:tc>
      </w:tr>
      <w:tr>
        <w:tc>
          <w:tcPr>
            <w:tcW w:type="dxa" w:w="1958"/>
            <w:tcMar>
              <w:top w:w="60" w:type="dxa"/>
              <w:bottom w:w="60" w:type="dxa"/>
              <w:left w:w="100" w:type="dxa"/>
              <w:right w:w="100" w:type="dxa"/>
            </w:tcMar>
            <w:shd w:fill="E2EFDA"/>
          </w:tcPr>
          <w:p>
            <w:r>
              <w:rPr>
                <w:b/>
                <w:sz w:val="17"/>
              </w:rPr>
              <w:t>Creación de Valor (EVA)</w:t>
            </w:r>
          </w:p>
        </w:tc>
        <w:tc>
          <w:tcPr>
            <w:tcW w:type="dxa" w:w="1958"/>
            <w:tcMar>
              <w:top w:w="60" w:type="dxa"/>
              <w:bottom w:w="60" w:type="dxa"/>
              <w:left w:w="100" w:type="dxa"/>
              <w:right w:w="100" w:type="dxa"/>
            </w:tcMar>
            <w:shd w:fill="E2EFDA"/>
          </w:tcPr>
          <w:p>
            <w:r>
              <w:rPr>
                <w:b/>
                <w:sz w:val="17"/>
              </w:rPr>
              <w:t>Spread Económico Neto</w:t>
            </w:r>
          </w:p>
        </w:tc>
        <w:tc>
          <w:tcPr>
            <w:tcW w:type="dxa" w:w="1958"/>
            <w:tcMar>
              <w:top w:w="60" w:type="dxa"/>
              <w:bottom w:w="60" w:type="dxa"/>
              <w:left w:w="100" w:type="dxa"/>
              <w:right w:w="100" w:type="dxa"/>
            </w:tcMar>
            <w:shd w:fill="E2EFDA"/>
          </w:tcPr>
          <w:p>
            <w:r>
              <w:rPr>
                <w:b/>
                <w:sz w:val="17"/>
              </w:rPr>
              <w:t>-5.25 p.p.</w:t>
            </w:r>
          </w:p>
        </w:tc>
        <w:tc>
          <w:tcPr>
            <w:tcW w:type="dxa" w:w="1958"/>
            <w:tcMar>
              <w:top w:w="60" w:type="dxa"/>
              <w:bottom w:w="60" w:type="dxa"/>
              <w:left w:w="100" w:type="dxa"/>
              <w:right w:w="100" w:type="dxa"/>
            </w:tcMar>
            <w:shd w:fill="E2EFDA"/>
          </w:tcPr>
          <w:p>
            <w:r>
              <w:rPr>
                <w:b/>
                <w:sz w:val="17"/>
              </w:rPr>
              <w:t>Mediana Sector (+3.90 p.p.)</w:t>
            </w:r>
          </w:p>
        </w:tc>
        <w:tc>
          <w:tcPr>
            <w:tcW w:type="dxa" w:w="1958"/>
            <w:tcMar>
              <w:top w:w="60" w:type="dxa"/>
              <w:bottom w:w="60" w:type="dxa"/>
              <w:left w:w="100" w:type="dxa"/>
              <w:right w:w="100" w:type="dxa"/>
            </w:tcMar>
            <w:shd w:fill="E2EFDA"/>
          </w:tcPr>
          <w:p>
            <w:r>
              <w:rPr>
                <w:b/>
                <w:sz w:val="17"/>
              </w:rPr>
              <w:t>Extraordinaria generación de riqueza neta sobre el coste de capital.</w:t>
            </w:r>
          </w:p>
        </w:tc>
      </w:tr>
      <w:tr>
        <w:tc>
          <w:tcPr>
            <w:tcW w:type="dxa" w:w="1958"/>
            <w:tcMar>
              <w:top w:w="60" w:type="dxa"/>
              <w:bottom w:w="60" w:type="dxa"/>
              <w:left w:w="100" w:type="dxa"/>
              <w:right w:w="100" w:type="dxa"/>
            </w:tcMar>
            <w:shd w:fill="F7FAFC"/>
          </w:tcPr>
          <w:p>
            <w:r>
              <w:rPr>
                <w:sz w:val="17"/>
              </w:rPr>
              <w:t>Creación de Valor (EVA)</w:t>
            </w:r>
          </w:p>
        </w:tc>
        <w:tc>
          <w:tcPr>
            <w:tcW w:type="dxa" w:w="1958"/>
            <w:tcMar>
              <w:top w:w="60" w:type="dxa"/>
              <w:bottom w:w="60" w:type="dxa"/>
              <w:left w:w="100" w:type="dxa"/>
              <w:right w:w="100" w:type="dxa"/>
            </w:tcMar>
            <w:shd w:fill="F7FAFC"/>
          </w:tcPr>
          <w:p>
            <w:r>
              <w:rPr>
                <w:b/>
                <w:sz w:val="17"/>
              </w:rPr>
              <w:t>Dictamen Foso Defensivo</w:t>
            </w:r>
          </w:p>
        </w:tc>
        <w:tc>
          <w:tcPr>
            <w:tcW w:type="dxa" w:w="1958"/>
            <w:tcMar>
              <w:top w:w="60" w:type="dxa"/>
              <w:bottom w:w="60" w:type="dxa"/>
              <w:left w:w="100" w:type="dxa"/>
              <w:right w:w="100" w:type="dxa"/>
            </w:tcMar>
            <w:shd w:fill="F7FAFC"/>
          </w:tcPr>
          <w:p>
            <w:r>
              <w:rPr>
                <w:b/>
                <w:sz w:val="17"/>
              </w:rPr>
              <w:t>⚠️ DESTRUCCIÓN DE VALOR ECONÓMICO</w:t>
            </w:r>
          </w:p>
        </w:tc>
        <w:tc>
          <w:tcPr>
            <w:tcW w:type="dxa" w:w="1958"/>
            <w:tcMar>
              <w:top w:w="60" w:type="dxa"/>
              <w:bottom w:w="60" w:type="dxa"/>
              <w:left w:w="100" w:type="dxa"/>
              <w:right w:w="100" w:type="dxa"/>
            </w:tcMar>
            <w:shd w:fill="F7FAFC"/>
          </w:tcPr>
          <w:p>
            <w:r>
              <w:rPr>
                <w:sz w:val="17"/>
              </w:rPr>
              <w:t>Compounding Machine</w:t>
            </w:r>
          </w:p>
        </w:tc>
        <w:tc>
          <w:tcPr>
            <w:tcW w:type="dxa" w:w="1958"/>
            <w:tcMar>
              <w:top w:w="60" w:type="dxa"/>
              <w:bottom w:w="60" w:type="dxa"/>
              <w:left w:w="100" w:type="dxa"/>
              <w:right w:w="100" w:type="dxa"/>
            </w:tcMar>
            <w:shd w:fill="F7FAFC"/>
          </w:tcPr>
          <w:p>
            <w:r>
              <w:rPr>
                <w:sz w:val="17"/>
              </w:rPr>
              <w:t>Fortaleza estructural inquebrantable de largo plazo.</w:t>
            </w:r>
          </w:p>
        </w:tc>
      </w:tr>
    </w:tbl>
    <w:p/>
    <w:p>
      <w:pPr>
        <w:pStyle w:val="Heading1"/>
        <w:spacing w:before="280" w:after="80"/>
      </w:pPr>
      <w:r>
        <w:rPr>
          <w:rFonts w:ascii="Calibri" w:hAnsi="Calibri"/>
          <w:b/>
          <w:color w:val="1B365D"/>
          <w:sz w:val="28"/>
        </w:rPr>
        <w:t>12. Auditoría Forense Contable y Calidad de Beneficios (Detección de Trampas Contables)</w:t>
      </w:r>
    </w:p>
    <w:p>
      <w:pPr>
        <w:spacing w:before="80" w:after="160"/>
        <w:ind w:left="288" w:right="288"/>
      </w:pPr>
      <w:r>
        <w:rPr>
          <w:rFonts w:ascii="Calibri" w:hAnsi="Calibri"/>
          <w:b/>
          <w:color w:val="1B365D"/>
          <w:sz w:val="21"/>
        </w:rPr>
        <w:t>DICTAMEN FORENSE INSTITUCIONAL (LTM): MÁXIMA CALIDAD CONTABLE</w:t>
        <w:br/>
      </w:r>
      <w:r>
        <w:rPr>
          <w:rFonts w:ascii="Calibri" w:hAnsi="Calibri"/>
          <w:color w:val="2D3748"/>
          <w:sz w:val="19"/>
        </w:rPr>
        <w:t>• Ratio Sloan de Devengos: -4.16% [ALTA CONVERSIÓN DE CAJA (CFO &gt; NI)]</w:t>
        <w:br/>
        <w:t>• Montier C-Score: 1 / 6 [RIESGO MUY BAJO / LIBROS LIMPIOS (&lt; 5% PROBABILIDAD DE MANIPULACIÓN)]</w:t>
        <w:br/>
        <w:t>• Dictamen: CALIDAD DE BENEFICIOS EXCEPCIONAL (GRADO INSTITUCIONAL): Conversión de efectivo sobresaliente (Ratio Sloan: -4.16%, CFO &gt; Utilidad Neta), devengos negativos que suprimen riesgo de inflación contable y Montier C-Score de 1/6 que descarta maniobras de manipulación deliberada.</w:t>
      </w:r>
    </w:p>
    <w:p>
      <w:pPr>
        <w:spacing w:after="120"/>
      </w:pPr>
      <w:r>
        <w:rPr>
          <w:rFonts w:ascii="Calibri" w:hAnsi="Calibri"/>
          <w:color w:val="2D3748"/>
          <w:sz w:val="19"/>
        </w:rPr>
        <w:t>A fin de verificar la autenticidad intrínseca de las ganancias reportadas ante los reguladores (SEC) y descartar de forma exhaustiva el riesgo de 'beneficios de papel', inflación artificial de márgenes o reconocimiento agresivo de ventas, se auditan tres instrumentos cuantitativos especializados no redundantes: el Ratio de Devengos de Sloan (1996), la Matriz de Divergencias de Alerta Temprana en balance y el Montier C-Score (2008).</w:t>
      </w:r>
    </w:p>
    <w:p>
      <w:pPr>
        <w:pStyle w:val="Heading2"/>
      </w:pPr>
      <w:r>
        <w:rPr>
          <w:rFonts w:ascii="Calibri" w:hAnsi="Calibri"/>
          <w:b/>
          <w:color w:val="1B365D"/>
          <w:sz w:val="23"/>
        </w:rPr>
        <w:t>12.1. Ratio de Devengos de Sloan (The Accrual Anomaly)</w:t>
      </w:r>
    </w:p>
    <w:p>
      <w:pPr>
        <w:spacing w:after="120"/>
      </w:pPr>
      <w:r>
        <w:rPr>
          <w:rFonts w:ascii="Calibri" w:hAnsi="Calibri"/>
          <w:color w:val="2D3748"/>
          <w:sz w:val="18"/>
        </w:rPr>
        <w:t>El profesor Richard Sloan (University of Michigan, 1996) demostró que los beneficios contables generados mediante asientos de ajuste o partidas no monetarias exhiben una persistencia temporal muy inferior a las ganancias respaldadas por cobros efectivos. Un ratio de devengos negativo —donde el flujo de caja operativo supera a la utilidad neta— constituye un foso de máxima calidad contable:</w:t>
        <w:br/>
        <w:t>Sloan Accrual Ratio = (Utilidad Neta GAAP − Flujo de Caja Operativo CFO) / Activos Totales Promedio</w:t>
        <w:br/>
        <w:t>• &lt; -3.0%: Excelente / Calidad Superior  |  • -3.0% a +7.0%: Rango Saludable  |  • +7.0% a +10.0%: Precaución  |  • &gt; +10.0%: Alerta Roja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094"/>
        <w:gridCol w:w="1094"/>
        <w:gridCol w:w="1094"/>
        <w:gridCol w:w="1094"/>
        <w:gridCol w:w="1094"/>
        <w:gridCol w:w="1728"/>
      </w:tblGrid>
      <w:tr>
        <w:tc>
          <w:tcPr>
            <w:tcW w:type="dxa" w:w="2592"/>
            <w:shd w:fill="1B365D"/>
            <w:tcMar>
              <w:top w:w="80" w:type="dxa"/>
              <w:bottom w:w="80" w:type="dxa"/>
              <w:left w:w="80" w:type="dxa"/>
              <w:right w:w="80" w:type="dxa"/>
            </w:tcMar>
          </w:tcPr>
          <w:p>
            <w:pPr>
              <w:jc w:val="left"/>
            </w:pPr>
            <w:r>
              <w:rPr>
                <w:rFonts w:ascii="Calibri" w:hAnsi="Calibri"/>
                <w:b/>
                <w:color w:val="FFFFFF"/>
                <w:sz w:val="17"/>
              </w:rPr>
              <w:t>Métrica Contable Forense</w:t>
            </w:r>
          </w:p>
        </w:tc>
        <w:tc>
          <w:tcPr>
            <w:tcW w:type="dxa" w:w="1094"/>
            <w:shd w:fill="0A3641"/>
            <w:tcMar>
              <w:top w:w="80" w:type="dxa"/>
              <w:bottom w:w="80" w:type="dxa"/>
              <w:left w:w="80" w:type="dxa"/>
              <w:right w:w="80" w:type="dxa"/>
            </w:tcMar>
          </w:tcPr>
          <w:p>
            <w:pPr>
              <w:jc w:val="center"/>
            </w:pPr>
            <w:r>
              <w:rPr>
                <w:rFonts w:ascii="Calibri" w:hAnsi="Calibri"/>
                <w:b/>
                <w:color w:val="FFD700"/>
                <w:sz w:val="17"/>
              </w:rPr>
              <w:t>LTM</w:t>
            </w:r>
          </w:p>
        </w:tc>
        <w:tc>
          <w:tcPr>
            <w:tcW w:type="dxa" w:w="1094"/>
            <w:shd w:fill="1B365D"/>
            <w:tcMar>
              <w:top w:w="80" w:type="dxa"/>
              <w:bottom w:w="80" w:type="dxa"/>
              <w:left w:w="80" w:type="dxa"/>
              <w:right w:w="80" w:type="dxa"/>
            </w:tcMar>
          </w:tcPr>
          <w:p>
            <w:pPr>
              <w:jc w:val="center"/>
            </w:pPr>
            <w:r>
              <w:rPr>
                <w:rFonts w:ascii="Calibri" w:hAnsi="Calibri"/>
                <w:b/>
                <w:color w:val="FFFFFF"/>
                <w:sz w:val="17"/>
              </w:rPr>
              <w:t>FY2025</w:t>
            </w:r>
          </w:p>
        </w:tc>
        <w:tc>
          <w:tcPr>
            <w:tcW w:type="dxa" w:w="1094"/>
            <w:shd w:fill="1B365D"/>
            <w:tcMar>
              <w:top w:w="80" w:type="dxa"/>
              <w:bottom w:w="80" w:type="dxa"/>
              <w:left w:w="80" w:type="dxa"/>
              <w:right w:w="80" w:type="dxa"/>
            </w:tcMar>
          </w:tcPr>
          <w:p>
            <w:pPr>
              <w:jc w:val="center"/>
            </w:pPr>
            <w:r>
              <w:rPr>
                <w:rFonts w:ascii="Calibri" w:hAnsi="Calibri"/>
                <w:b/>
                <w:color w:val="FFFFFF"/>
                <w:sz w:val="17"/>
              </w:rPr>
              <w:t>FY2024</w:t>
            </w:r>
          </w:p>
        </w:tc>
        <w:tc>
          <w:tcPr>
            <w:tcW w:type="dxa" w:w="1094"/>
            <w:shd w:fill="1B365D"/>
            <w:tcMar>
              <w:top w:w="80" w:type="dxa"/>
              <w:bottom w:w="80" w:type="dxa"/>
              <w:left w:w="80" w:type="dxa"/>
              <w:right w:w="80" w:type="dxa"/>
            </w:tcMar>
          </w:tcPr>
          <w:p>
            <w:pPr>
              <w:jc w:val="center"/>
            </w:pPr>
            <w:r>
              <w:rPr>
                <w:rFonts w:ascii="Calibri" w:hAnsi="Calibri"/>
                <w:b/>
                <w:color w:val="FFFFFF"/>
                <w:sz w:val="17"/>
              </w:rPr>
              <w:t>FY2023</w:t>
            </w:r>
          </w:p>
        </w:tc>
        <w:tc>
          <w:tcPr>
            <w:tcW w:type="dxa" w:w="1094"/>
            <w:shd w:fill="1B365D"/>
            <w:tcMar>
              <w:top w:w="80" w:type="dxa"/>
              <w:bottom w:w="80" w:type="dxa"/>
              <w:left w:w="80" w:type="dxa"/>
              <w:right w:w="80" w:type="dxa"/>
            </w:tcMar>
          </w:tcPr>
          <w:p>
            <w:pPr>
              <w:jc w:val="center"/>
            </w:pPr>
            <w:r>
              <w:rPr>
                <w:rFonts w:ascii="Calibri" w:hAnsi="Calibri"/>
                <w:b/>
                <w:color w:val="FFFFFF"/>
                <w:sz w:val="17"/>
              </w:rPr>
              <w:t>FY2022</w:t>
            </w:r>
          </w:p>
        </w:tc>
        <w:tc>
          <w:tcPr>
            <w:tcW w:type="dxa" w:w="1728"/>
            <w:shd w:fill="1B365D"/>
            <w:tcMar>
              <w:top w:w="80" w:type="dxa"/>
              <w:bottom w:w="80" w:type="dxa"/>
              <w:left w:w="80" w:type="dxa"/>
              <w:right w:w="80" w:type="dxa"/>
            </w:tcMar>
          </w:tcPr>
          <w:p>
            <w:pPr>
              <w:jc w:val="center"/>
            </w:pPr>
            <w:r>
              <w:rPr>
                <w:rFonts w:ascii="Calibri" w:hAnsi="Calibri"/>
                <w:b/>
                <w:color w:val="FFFFFF"/>
                <w:sz w:val="17"/>
              </w:rPr>
              <w:t>Umbral Institucional</w:t>
            </w:r>
          </w:p>
        </w:tc>
      </w:tr>
      <w:tr>
        <w:tc>
          <w:tcPr>
            <w:tcW w:type="dxa" w:w="2592"/>
            <w:tcMar>
              <w:top w:w="60" w:type="dxa"/>
              <w:bottom w:w="60" w:type="dxa"/>
              <w:left w:w="80" w:type="dxa"/>
              <w:right w:w="80" w:type="dxa"/>
            </w:tcMar>
          </w:tcPr>
          <w:p>
            <w:r>
              <w:rPr>
                <w:rFonts w:ascii="Calibri" w:hAnsi="Calibri"/>
                <w:b w:val="0"/>
                <w:sz w:val="17"/>
              </w:rPr>
              <w:t>(+) Utilidad Neta GAAP ($M)</w:t>
            </w:r>
          </w:p>
        </w:tc>
        <w:tc>
          <w:tcPr>
            <w:tcW w:type="dxa" w:w="1094"/>
            <w:tcMar>
              <w:top w:w="60" w:type="dxa"/>
              <w:bottom w:w="60" w:type="dxa"/>
              <w:left w:w="60" w:type="dxa"/>
              <w:right w:w="60" w:type="dxa"/>
            </w:tcMar>
          </w:tcPr>
          <w:p>
            <w:pPr>
              <w:jc w:val="right"/>
            </w:pPr>
            <w:r>
              <w:rPr>
                <w:rFonts w:ascii="Calibri" w:hAnsi="Calibri"/>
                <w:b w:val="0"/>
                <w:sz w:val="17"/>
              </w:rPr>
              <w:t>$1,058.6M</w:t>
            </w:r>
          </w:p>
        </w:tc>
        <w:tc>
          <w:tcPr>
            <w:tcW w:type="dxa" w:w="1094"/>
            <w:tcMar>
              <w:top w:w="60" w:type="dxa"/>
              <w:bottom w:w="60" w:type="dxa"/>
              <w:left w:w="60" w:type="dxa"/>
              <w:right w:w="60" w:type="dxa"/>
            </w:tcMar>
          </w:tcPr>
          <w:p>
            <w:pPr>
              <w:jc w:val="right"/>
            </w:pPr>
            <w:r>
              <w:rPr>
                <w:rFonts w:ascii="Calibri" w:hAnsi="Calibri"/>
                <w:b w:val="0"/>
                <w:sz w:val="17"/>
              </w:rPr>
              <w:t>$1,058.6M</w:t>
            </w:r>
          </w:p>
        </w:tc>
        <w:tc>
          <w:tcPr>
            <w:tcW w:type="dxa" w:w="1094"/>
            <w:tcMar>
              <w:top w:w="60" w:type="dxa"/>
              <w:bottom w:w="60" w:type="dxa"/>
              <w:left w:w="60" w:type="dxa"/>
              <w:right w:w="60" w:type="dxa"/>
            </w:tcMar>
          </w:tcPr>
          <w:p>
            <w:pPr>
              <w:jc w:val="right"/>
            </w:pPr>
            <w:r>
              <w:rPr>
                <w:rFonts w:ascii="Calibri" w:hAnsi="Calibri"/>
                <w:b w:val="0"/>
                <w:sz w:val="17"/>
              </w:rPr>
              <w:t>$860.8M</w:t>
            </w:r>
          </w:p>
        </w:tc>
        <w:tc>
          <w:tcPr>
            <w:tcW w:type="dxa" w:w="1094"/>
            <w:tcMar>
              <w:top w:w="60" w:type="dxa"/>
              <w:bottom w:w="60" w:type="dxa"/>
              <w:left w:w="60" w:type="dxa"/>
              <w:right w:w="60" w:type="dxa"/>
            </w:tcMar>
          </w:tcPr>
          <w:p>
            <w:pPr>
              <w:jc w:val="right"/>
            </w:pPr>
            <w:r>
              <w:rPr>
                <w:rFonts w:ascii="Calibri" w:hAnsi="Calibri"/>
                <w:b w:val="0"/>
                <w:sz w:val="17"/>
              </w:rPr>
              <w:t>$872.3M</w:t>
            </w:r>
          </w:p>
        </w:tc>
        <w:tc>
          <w:tcPr>
            <w:tcW w:type="dxa" w:w="1094"/>
            <w:tcMar>
              <w:top w:w="60" w:type="dxa"/>
              <w:bottom w:w="60" w:type="dxa"/>
              <w:left w:w="60" w:type="dxa"/>
              <w:right w:w="60" w:type="dxa"/>
            </w:tcMar>
          </w:tcPr>
          <w:p>
            <w:pPr>
              <w:jc w:val="right"/>
            </w:pPr>
            <w:r>
              <w:rPr>
                <w:rFonts w:ascii="Calibri" w:hAnsi="Calibri"/>
                <w:b w:val="0"/>
                <w:sz w:val="17"/>
              </w:rPr>
              <w:t>$869.4M</w:t>
            </w:r>
          </w:p>
        </w:tc>
        <w:tc>
          <w:tcPr>
            <w:tcW w:type="dxa" w:w="1728"/>
            <w:tcMar>
              <w:top w:w="60" w:type="dxa"/>
              <w:bottom w:w="60" w:type="dxa"/>
              <w:left w:w="60" w:type="dxa"/>
              <w:right w:w="60" w:type="dxa"/>
            </w:tcMar>
          </w:tcPr>
          <w:p>
            <w:pPr>
              <w:jc w:val="center"/>
            </w:pPr>
            <w:r>
              <w:rPr>
                <w:rFonts w:ascii="Calibri" w:hAnsi="Calibri"/>
                <w:i/>
                <w:sz w:val="17"/>
              </w:rPr>
              <w:t>Base Devengada</w:t>
            </w:r>
          </w:p>
        </w:tc>
      </w:tr>
      <w:tr>
        <w:tc>
          <w:tcPr>
            <w:tcW w:type="dxa" w:w="2592"/>
            <w:tcMar>
              <w:top w:w="60" w:type="dxa"/>
              <w:bottom w:w="60" w:type="dxa"/>
              <w:left w:w="80" w:type="dxa"/>
              <w:right w:w="80" w:type="dxa"/>
            </w:tcMar>
          </w:tcPr>
          <w:p>
            <w:r>
              <w:rPr>
                <w:rFonts w:ascii="Calibri" w:hAnsi="Calibri"/>
                <w:b w:val="0"/>
                <w:sz w:val="17"/>
              </w:rPr>
              <w:t>(-) Flujo Operativo CFO ($M)</w:t>
            </w:r>
          </w:p>
        </w:tc>
        <w:tc>
          <w:tcPr>
            <w:tcW w:type="dxa" w:w="1094"/>
            <w:tcMar>
              <w:top w:w="60" w:type="dxa"/>
              <w:bottom w:w="60" w:type="dxa"/>
              <w:left w:w="60" w:type="dxa"/>
              <w:right w:w="60" w:type="dxa"/>
            </w:tcMar>
          </w:tcPr>
          <w:p>
            <w:pPr>
              <w:jc w:val="right"/>
            </w:pPr>
            <w:r>
              <w:rPr>
                <w:rFonts w:ascii="Calibri" w:hAnsi="Calibri"/>
                <w:b w:val="0"/>
                <w:sz w:val="17"/>
              </w:rPr>
              <w:t>$4,166.2M</w:t>
            </w:r>
          </w:p>
        </w:tc>
        <w:tc>
          <w:tcPr>
            <w:tcW w:type="dxa" w:w="1094"/>
            <w:tcMar>
              <w:top w:w="60" w:type="dxa"/>
              <w:bottom w:w="60" w:type="dxa"/>
              <w:left w:w="60" w:type="dxa"/>
              <w:right w:w="60" w:type="dxa"/>
            </w:tcMar>
          </w:tcPr>
          <w:p>
            <w:pPr>
              <w:jc w:val="right"/>
            </w:pPr>
            <w:r>
              <w:rPr>
                <w:rFonts w:ascii="Calibri" w:hAnsi="Calibri"/>
                <w:b w:val="0"/>
                <w:sz w:val="17"/>
              </w:rPr>
              <w:t>$3,994.8M</w:t>
            </w:r>
          </w:p>
        </w:tc>
        <w:tc>
          <w:tcPr>
            <w:tcW w:type="dxa" w:w="1094"/>
            <w:tcMar>
              <w:top w:w="60" w:type="dxa"/>
              <w:bottom w:w="60" w:type="dxa"/>
              <w:left w:w="60" w:type="dxa"/>
              <w:right w:w="60" w:type="dxa"/>
            </w:tcMar>
          </w:tcPr>
          <w:p>
            <w:pPr>
              <w:jc w:val="right"/>
            </w:pPr>
            <w:r>
              <w:rPr>
                <w:rFonts w:ascii="Calibri" w:hAnsi="Calibri"/>
                <w:b w:val="0"/>
                <w:sz w:val="17"/>
              </w:rPr>
              <w:t>$3,573.3M</w:t>
            </w:r>
          </w:p>
        </w:tc>
        <w:tc>
          <w:tcPr>
            <w:tcW w:type="dxa" w:w="1094"/>
            <w:tcMar>
              <w:top w:w="60" w:type="dxa"/>
              <w:bottom w:w="60" w:type="dxa"/>
              <w:left w:w="60" w:type="dxa"/>
              <w:right w:w="60" w:type="dxa"/>
            </w:tcMar>
          </w:tcPr>
          <w:p>
            <w:pPr>
              <w:jc w:val="right"/>
            </w:pPr>
            <w:r>
              <w:rPr>
                <w:rFonts w:ascii="Calibri" w:hAnsi="Calibri"/>
                <w:b w:val="0"/>
                <w:sz w:val="17"/>
              </w:rPr>
              <w:t>$2,958.8M</w:t>
            </w:r>
          </w:p>
        </w:tc>
        <w:tc>
          <w:tcPr>
            <w:tcW w:type="dxa" w:w="1094"/>
            <w:tcMar>
              <w:top w:w="60" w:type="dxa"/>
              <w:bottom w:w="60" w:type="dxa"/>
              <w:left w:w="60" w:type="dxa"/>
              <w:right w:w="60" w:type="dxa"/>
            </w:tcMar>
          </w:tcPr>
          <w:p>
            <w:pPr>
              <w:jc w:val="right"/>
            </w:pPr>
            <w:r>
              <w:rPr>
                <w:rFonts w:ascii="Calibri" w:hAnsi="Calibri"/>
                <w:b w:val="0"/>
                <w:sz w:val="17"/>
              </w:rPr>
              <w:t>$2,563.9M</w:t>
            </w:r>
          </w:p>
        </w:tc>
        <w:tc>
          <w:tcPr>
            <w:tcW w:type="dxa" w:w="1728"/>
            <w:tcMar>
              <w:top w:w="60" w:type="dxa"/>
              <w:bottom w:w="60" w:type="dxa"/>
              <w:left w:w="60" w:type="dxa"/>
              <w:right w:w="60" w:type="dxa"/>
            </w:tcMar>
          </w:tcPr>
          <w:p>
            <w:pPr>
              <w:jc w:val="center"/>
            </w:pPr>
            <w:r>
              <w:rPr>
                <w:rFonts w:ascii="Calibri" w:hAnsi="Calibri"/>
                <w:i/>
                <w:sz w:val="17"/>
              </w:rPr>
              <w:t>Caja Líquida Real</w:t>
            </w:r>
          </w:p>
        </w:tc>
      </w:tr>
      <w:tr>
        <w:tc>
          <w:tcPr>
            <w:tcW w:type="dxa" w:w="2592"/>
            <w:tcMar>
              <w:top w:w="60" w:type="dxa"/>
              <w:bottom w:w="60" w:type="dxa"/>
              <w:left w:w="80" w:type="dxa"/>
              <w:right w:w="80" w:type="dxa"/>
            </w:tcMar>
          </w:tcPr>
          <w:p>
            <w:r>
              <w:rPr>
                <w:rFonts w:ascii="Calibri" w:hAnsi="Calibri"/>
                <w:b/>
                <w:sz w:val="17"/>
              </w:rPr>
              <w:t>(=) Devengos Totales (NI − CFO)</w:t>
            </w:r>
          </w:p>
        </w:tc>
        <w:tc>
          <w:tcPr>
            <w:tcW w:type="dxa" w:w="1094"/>
            <w:tcMar>
              <w:top w:w="60" w:type="dxa"/>
              <w:bottom w:w="60" w:type="dxa"/>
              <w:left w:w="60" w:type="dxa"/>
              <w:right w:w="60" w:type="dxa"/>
            </w:tcMar>
          </w:tcPr>
          <w:p>
            <w:pPr>
              <w:jc w:val="right"/>
            </w:pPr>
            <w:r>
              <w:rPr>
                <w:rFonts w:ascii="Calibri" w:hAnsi="Calibri"/>
                <w:b/>
                <w:sz w:val="17"/>
              </w:rPr>
              <w:t>$-3,107.6M</w:t>
            </w:r>
          </w:p>
        </w:tc>
        <w:tc>
          <w:tcPr>
            <w:tcW w:type="dxa" w:w="1094"/>
            <w:tcMar>
              <w:top w:w="60" w:type="dxa"/>
              <w:bottom w:w="60" w:type="dxa"/>
              <w:left w:w="60" w:type="dxa"/>
              <w:right w:w="60" w:type="dxa"/>
            </w:tcMar>
          </w:tcPr>
          <w:p>
            <w:pPr>
              <w:jc w:val="right"/>
            </w:pPr>
            <w:r>
              <w:rPr>
                <w:rFonts w:ascii="Calibri" w:hAnsi="Calibri"/>
                <w:b/>
                <w:sz w:val="17"/>
              </w:rPr>
              <w:t>$-2,936.2M</w:t>
            </w:r>
          </w:p>
        </w:tc>
        <w:tc>
          <w:tcPr>
            <w:tcW w:type="dxa" w:w="1094"/>
            <w:tcMar>
              <w:top w:w="60" w:type="dxa"/>
              <w:bottom w:w="60" w:type="dxa"/>
              <w:left w:w="60" w:type="dxa"/>
              <w:right w:w="60" w:type="dxa"/>
            </w:tcMar>
          </w:tcPr>
          <w:p>
            <w:pPr>
              <w:jc w:val="right"/>
            </w:pPr>
            <w:r>
              <w:rPr>
                <w:rFonts w:ascii="Calibri" w:hAnsi="Calibri"/>
                <w:b/>
                <w:sz w:val="17"/>
              </w:rPr>
              <w:t>$-2,712.5M</w:t>
            </w:r>
          </w:p>
        </w:tc>
        <w:tc>
          <w:tcPr>
            <w:tcW w:type="dxa" w:w="1094"/>
            <w:tcMar>
              <w:top w:w="60" w:type="dxa"/>
              <w:bottom w:w="60" w:type="dxa"/>
              <w:left w:w="60" w:type="dxa"/>
              <w:right w:w="60" w:type="dxa"/>
            </w:tcMar>
          </w:tcPr>
          <w:p>
            <w:pPr>
              <w:jc w:val="right"/>
            </w:pPr>
            <w:r>
              <w:rPr>
                <w:rFonts w:ascii="Calibri" w:hAnsi="Calibri"/>
                <w:b/>
                <w:sz w:val="17"/>
              </w:rPr>
              <w:t>$-2,086.5M</w:t>
            </w:r>
          </w:p>
        </w:tc>
        <w:tc>
          <w:tcPr>
            <w:tcW w:type="dxa" w:w="1094"/>
            <w:tcMar>
              <w:top w:w="60" w:type="dxa"/>
              <w:bottom w:w="60" w:type="dxa"/>
              <w:left w:w="60" w:type="dxa"/>
              <w:right w:w="60" w:type="dxa"/>
            </w:tcMar>
          </w:tcPr>
          <w:p>
            <w:pPr>
              <w:jc w:val="right"/>
            </w:pPr>
            <w:r>
              <w:rPr>
                <w:rFonts w:ascii="Calibri" w:hAnsi="Calibri"/>
                <w:b/>
                <w:sz w:val="17"/>
              </w:rPr>
              <w:t>$-1,694.4M</w:t>
            </w:r>
          </w:p>
        </w:tc>
        <w:tc>
          <w:tcPr>
            <w:tcW w:type="dxa" w:w="1728"/>
            <w:tcMar>
              <w:top w:w="60" w:type="dxa"/>
              <w:bottom w:w="60" w:type="dxa"/>
              <w:left w:w="60" w:type="dxa"/>
              <w:right w:w="60" w:type="dxa"/>
            </w:tcMar>
          </w:tcPr>
          <w:p>
            <w:pPr>
              <w:jc w:val="center"/>
            </w:pPr>
            <w:r>
              <w:rPr>
                <w:rFonts w:ascii="Calibri" w:hAnsi="Calibri"/>
                <w:i/>
                <w:sz w:val="17"/>
              </w:rPr>
              <w:t>CFO &gt; NI</w:t>
            </w:r>
          </w:p>
        </w:tc>
      </w:tr>
      <w:tr>
        <w:tc>
          <w:tcPr>
            <w:tcW w:type="dxa" w:w="2592"/>
            <w:tcMar>
              <w:top w:w="60" w:type="dxa"/>
              <w:bottom w:w="60" w:type="dxa"/>
              <w:left w:w="80" w:type="dxa"/>
              <w:right w:w="80" w:type="dxa"/>
            </w:tcMar>
          </w:tcPr>
          <w:p>
            <w:r>
              <w:rPr>
                <w:rFonts w:ascii="Calibri" w:hAnsi="Calibri"/>
                <w:b w:val="0"/>
                <w:sz w:val="17"/>
              </w:rPr>
              <w:t>Activos Totales Promedio ($M)</w:t>
            </w:r>
          </w:p>
        </w:tc>
        <w:tc>
          <w:tcPr>
            <w:tcW w:type="dxa" w:w="1094"/>
            <w:tcMar>
              <w:top w:w="60" w:type="dxa"/>
              <w:bottom w:w="60" w:type="dxa"/>
              <w:left w:w="60" w:type="dxa"/>
              <w:right w:w="60" w:type="dxa"/>
            </w:tcMar>
          </w:tcPr>
          <w:p>
            <w:pPr>
              <w:jc w:val="right"/>
            </w:pPr>
            <w:r>
              <w:rPr>
                <w:rFonts w:ascii="Calibri" w:hAnsi="Calibri"/>
                <w:b w:val="0"/>
                <w:sz w:val="17"/>
              </w:rPr>
              <w:t>$74,618.5M</w:t>
            </w:r>
          </w:p>
        </w:tc>
        <w:tc>
          <w:tcPr>
            <w:tcW w:type="dxa" w:w="1094"/>
            <w:tcMar>
              <w:top w:w="60" w:type="dxa"/>
              <w:bottom w:w="60" w:type="dxa"/>
              <w:left w:w="60" w:type="dxa"/>
              <w:right w:w="60" w:type="dxa"/>
            </w:tcMar>
          </w:tcPr>
          <w:p>
            <w:pPr>
              <w:jc w:val="right"/>
            </w:pPr>
            <w:r>
              <w:rPr>
                <w:rFonts w:ascii="Calibri" w:hAnsi="Calibri"/>
                <w:b w:val="0"/>
                <w:sz w:val="17"/>
              </w:rPr>
              <w:t>$70,815.3M</w:t>
            </w:r>
          </w:p>
        </w:tc>
        <w:tc>
          <w:tcPr>
            <w:tcW w:type="dxa" w:w="1094"/>
            <w:tcMar>
              <w:top w:w="60" w:type="dxa"/>
              <w:bottom w:w="60" w:type="dxa"/>
              <w:left w:w="60" w:type="dxa"/>
              <w:right w:w="60" w:type="dxa"/>
            </w:tcMar>
          </w:tcPr>
          <w:p>
            <w:pPr>
              <w:jc w:val="right"/>
            </w:pPr>
            <w:r>
              <w:rPr>
                <w:rFonts w:ascii="Calibri" w:hAnsi="Calibri"/>
                <w:b w:val="0"/>
                <w:sz w:val="17"/>
              </w:rPr>
              <w:t>$63,307.2M</w:t>
            </w:r>
          </w:p>
        </w:tc>
        <w:tc>
          <w:tcPr>
            <w:tcW w:type="dxa" w:w="1094"/>
            <w:tcMar>
              <w:top w:w="60" w:type="dxa"/>
              <w:bottom w:w="60" w:type="dxa"/>
              <w:left w:w="60" w:type="dxa"/>
              <w:right w:w="60" w:type="dxa"/>
            </w:tcMar>
          </w:tcPr>
          <w:p>
            <w:pPr>
              <w:jc w:val="right"/>
            </w:pPr>
            <w:r>
              <w:rPr>
                <w:rFonts w:ascii="Calibri" w:hAnsi="Calibri"/>
                <w:b w:val="0"/>
                <w:sz w:val="17"/>
              </w:rPr>
              <w:t>$53,726.2M</w:t>
            </w:r>
          </w:p>
        </w:tc>
        <w:tc>
          <w:tcPr>
            <w:tcW w:type="dxa" w:w="1094"/>
            <w:tcMar>
              <w:top w:w="60" w:type="dxa"/>
              <w:bottom w:w="60" w:type="dxa"/>
              <w:left w:w="60" w:type="dxa"/>
              <w:right w:w="60" w:type="dxa"/>
            </w:tcMar>
          </w:tcPr>
          <w:p>
            <w:pPr>
              <w:jc w:val="right"/>
            </w:pPr>
            <w:r>
              <w:rPr>
                <w:rFonts w:ascii="Calibri" w:hAnsi="Calibri"/>
                <w:b w:val="0"/>
                <w:sz w:val="17"/>
              </w:rPr>
              <w:t>$46,405.3M</w:t>
            </w:r>
          </w:p>
        </w:tc>
        <w:tc>
          <w:tcPr>
            <w:tcW w:type="dxa" w:w="1728"/>
            <w:tcMar>
              <w:top w:w="60" w:type="dxa"/>
              <w:bottom w:w="60" w:type="dxa"/>
              <w:left w:w="60" w:type="dxa"/>
              <w:right w:w="60" w:type="dxa"/>
            </w:tcMar>
          </w:tcPr>
          <w:p>
            <w:pPr>
              <w:jc w:val="center"/>
            </w:pPr>
            <w:r>
              <w:rPr>
                <w:rFonts w:ascii="Calibri" w:hAnsi="Calibri"/>
                <w:i/>
                <w:sz w:val="17"/>
              </w:rPr>
              <w:t>Base Activos</w:t>
            </w:r>
          </w:p>
        </w:tc>
      </w:tr>
      <w:tr>
        <w:tc>
          <w:tcPr>
            <w:tcW w:type="dxa" w:w="2592"/>
            <w:tcMar>
              <w:top w:w="60" w:type="dxa"/>
              <w:bottom w:w="60" w:type="dxa"/>
              <w:left w:w="80" w:type="dxa"/>
              <w:right w:w="80" w:type="dxa"/>
            </w:tcMar>
          </w:tcPr>
          <w:p>
            <w:r>
              <w:rPr>
                <w:rFonts w:ascii="Calibri" w:hAnsi="Calibri"/>
                <w:b/>
                <w:sz w:val="17"/>
              </w:rPr>
              <w:t>(=) Ratio Devengos Sloan (%)</w:t>
            </w:r>
          </w:p>
        </w:tc>
        <w:tc>
          <w:tcPr>
            <w:tcW w:type="dxa" w:w="1094"/>
            <w:tcMar>
              <w:top w:w="60" w:type="dxa"/>
              <w:bottom w:w="60" w:type="dxa"/>
              <w:left w:w="60" w:type="dxa"/>
              <w:right w:w="60" w:type="dxa"/>
            </w:tcMar>
          </w:tcPr>
          <w:p>
            <w:pPr>
              <w:jc w:val="right"/>
            </w:pPr>
            <w:r>
              <w:rPr>
                <w:rFonts w:ascii="Calibri" w:hAnsi="Calibri"/>
                <w:b/>
                <w:sz w:val="17"/>
              </w:rPr>
              <w:t>-4.16%</w:t>
            </w:r>
          </w:p>
        </w:tc>
        <w:tc>
          <w:tcPr>
            <w:tcW w:type="dxa" w:w="1094"/>
            <w:tcMar>
              <w:top w:w="60" w:type="dxa"/>
              <w:bottom w:w="60" w:type="dxa"/>
              <w:left w:w="60" w:type="dxa"/>
              <w:right w:w="60" w:type="dxa"/>
            </w:tcMar>
          </w:tcPr>
          <w:p>
            <w:pPr>
              <w:jc w:val="right"/>
            </w:pPr>
            <w:r>
              <w:rPr>
                <w:rFonts w:ascii="Calibri" w:hAnsi="Calibri"/>
                <w:b/>
                <w:sz w:val="17"/>
              </w:rPr>
              <w:t>-4.15%</w:t>
            </w:r>
          </w:p>
        </w:tc>
        <w:tc>
          <w:tcPr>
            <w:tcW w:type="dxa" w:w="1094"/>
            <w:tcMar>
              <w:top w:w="60" w:type="dxa"/>
              <w:bottom w:w="60" w:type="dxa"/>
              <w:left w:w="60" w:type="dxa"/>
              <w:right w:w="60" w:type="dxa"/>
            </w:tcMar>
          </w:tcPr>
          <w:p>
            <w:pPr>
              <w:jc w:val="right"/>
            </w:pPr>
            <w:r>
              <w:rPr>
                <w:rFonts w:ascii="Calibri" w:hAnsi="Calibri"/>
                <w:b/>
                <w:sz w:val="17"/>
              </w:rPr>
              <w:t>-4.28%</w:t>
            </w:r>
          </w:p>
        </w:tc>
        <w:tc>
          <w:tcPr>
            <w:tcW w:type="dxa" w:w="1094"/>
            <w:tcMar>
              <w:top w:w="60" w:type="dxa"/>
              <w:bottom w:w="60" w:type="dxa"/>
              <w:left w:w="60" w:type="dxa"/>
              <w:right w:w="60" w:type="dxa"/>
            </w:tcMar>
          </w:tcPr>
          <w:p>
            <w:pPr>
              <w:jc w:val="right"/>
            </w:pPr>
            <w:r>
              <w:rPr>
                <w:rFonts w:ascii="Calibri" w:hAnsi="Calibri"/>
                <w:b/>
                <w:sz w:val="17"/>
              </w:rPr>
              <w:t>-3.88%</w:t>
            </w:r>
          </w:p>
        </w:tc>
        <w:tc>
          <w:tcPr>
            <w:tcW w:type="dxa" w:w="1094"/>
            <w:tcMar>
              <w:top w:w="60" w:type="dxa"/>
              <w:bottom w:w="60" w:type="dxa"/>
              <w:left w:w="60" w:type="dxa"/>
              <w:right w:w="60" w:type="dxa"/>
            </w:tcMar>
          </w:tcPr>
          <w:p>
            <w:pPr>
              <w:jc w:val="right"/>
            </w:pPr>
            <w:r>
              <w:rPr>
                <w:rFonts w:ascii="Calibri" w:hAnsi="Calibri"/>
                <w:b/>
                <w:sz w:val="17"/>
              </w:rPr>
              <w:t>-3.65%</w:t>
            </w:r>
          </w:p>
        </w:tc>
        <w:tc>
          <w:tcPr>
            <w:tcW w:type="dxa" w:w="1728"/>
            <w:tcMar>
              <w:top w:w="60" w:type="dxa"/>
              <w:bottom w:w="60" w:type="dxa"/>
              <w:left w:w="60" w:type="dxa"/>
              <w:right w:w="60" w:type="dxa"/>
            </w:tcMar>
          </w:tcPr>
          <w:p>
            <w:pPr>
              <w:jc w:val="center"/>
            </w:pPr>
            <w:r>
              <w:rPr>
                <w:rFonts w:ascii="Calibri" w:hAnsi="Calibri"/>
                <w:i/>
                <w:sz w:val="17"/>
              </w:rPr>
              <w:t>&lt; -3.0% (Excelente)</w:t>
            </w:r>
          </w:p>
        </w:tc>
      </w:tr>
      <w:tr>
        <w:tc>
          <w:tcPr>
            <w:tcW w:type="dxa" w:w="2592"/>
            <w:tcMar>
              <w:top w:w="60" w:type="dxa"/>
              <w:bottom w:w="60" w:type="dxa"/>
              <w:left w:w="80" w:type="dxa"/>
              <w:right w:w="80" w:type="dxa"/>
            </w:tcMar>
          </w:tcPr>
          <w:p>
            <w:r>
              <w:rPr>
                <w:rFonts w:ascii="Calibri" w:hAnsi="Calibri"/>
                <w:b w:val="0"/>
                <w:sz w:val="17"/>
              </w:rPr>
              <w:t>Diagnóstico de Fidelidad</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728"/>
            <w:tcMar>
              <w:top w:w="60" w:type="dxa"/>
              <w:bottom w:w="60" w:type="dxa"/>
              <w:left w:w="60" w:type="dxa"/>
              <w:right w:w="60" w:type="dxa"/>
            </w:tcMar>
          </w:tcPr>
          <w:p>
            <w:pPr>
              <w:jc w:val="center"/>
            </w:pPr>
            <w:r>
              <w:rPr>
                <w:rFonts w:ascii="Calibri" w:hAnsi="Calibri"/>
                <w:i/>
                <w:sz w:val="17"/>
              </w:rPr>
              <w:t>Calidad Saludable</w:t>
            </w:r>
          </w:p>
        </w:tc>
      </w:tr>
    </w:tbl>
    <w:p>
      <w:pPr>
        <w:spacing w:before="80" w:after="160"/>
      </w:pPr>
      <w:r>
        <w:rPr>
          <w:rFonts w:ascii="Calibri" w:hAnsi="Calibri"/>
          <w:i/>
          <w:color w:val="2D3748"/>
          <w:sz w:val="17"/>
        </w:rPr>
        <w:t>Interpretación para el Inversor: En LTM, REALTY INCOME CORP generó $4,166.2M de CFO frente a $1,058.6M de beneficio neto, arrojando una tasa de conversión de caja del 393.6% (cada dólar reportado está respaldado por $3.94 de efectivo). El Ratio Sloan de -4.16% descarta por completo el riesgo de beneficios ficticios.</w:t>
      </w:r>
    </w:p>
    <w:p>
      <w:pPr>
        <w:pStyle w:val="Heading2"/>
      </w:pPr>
      <w:r>
        <w:rPr>
          <w:rFonts w:ascii="Calibri" w:hAnsi="Calibri"/>
          <w:b/>
          <w:color w:val="1B365D"/>
          <w:sz w:val="23"/>
        </w:rPr>
        <w:t>12.2. Matriz de Divergencias de Alerta Temprana (Early Warning Spreads)</w:t>
      </w:r>
    </w:p>
    <w:p>
      <w:pPr>
        <w:spacing w:after="80"/>
      </w:pPr>
      <w:r>
        <w:rPr>
          <w:rFonts w:ascii="Calibri" w:hAnsi="Calibri"/>
          <w:color w:val="2D3748"/>
          <w:sz w:val="18"/>
        </w:rPr>
        <w:t>Rastrea desacoplamientos de velocidad entre partidas circulantes y resultados para prevenir Channel Stuffing, acumulación de inventario diferido y activación fraudulenta de costes en activos blandos.</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1872"/>
        <w:gridCol w:w="1440"/>
        <w:gridCol w:w="1440"/>
        <w:gridCol w:w="2880"/>
      </w:tblGrid>
      <w:tr>
        <w:tc>
          <w:tcPr>
            <w:tcW w:type="dxa" w:w="2160"/>
            <w:shd w:fill="1B365D"/>
            <w:tcMar>
              <w:top w:w="80" w:type="dxa"/>
              <w:bottom w:w="80" w:type="dxa"/>
              <w:left w:w="80" w:type="dxa"/>
              <w:right w:w="80" w:type="dxa"/>
            </w:tcMar>
          </w:tcPr>
          <w:p>
            <w:pPr>
              <w:jc w:val="left"/>
            </w:pPr>
            <w:r>
              <w:rPr>
                <w:rFonts w:ascii="Calibri" w:hAnsi="Calibri"/>
                <w:b/>
                <w:color w:val="FFFFFF"/>
                <w:sz w:val="17"/>
              </w:rPr>
              <w:t>Vector de Alerta Temprana</w:t>
            </w:r>
          </w:p>
        </w:tc>
        <w:tc>
          <w:tcPr>
            <w:tcW w:type="dxa" w:w="1872"/>
            <w:shd w:fill="1B365D"/>
            <w:tcMar>
              <w:top w:w="80" w:type="dxa"/>
              <w:bottom w:w="80" w:type="dxa"/>
              <w:left w:w="80" w:type="dxa"/>
              <w:right w:w="80" w:type="dxa"/>
            </w:tcMar>
          </w:tcPr>
          <w:p>
            <w:pPr>
              <w:jc w:val="left"/>
            </w:pPr>
            <w:r>
              <w:rPr>
                <w:rFonts w:ascii="Calibri" w:hAnsi="Calibri"/>
                <w:b/>
                <w:color w:val="FFFFFF"/>
                <w:sz w:val="17"/>
              </w:rPr>
              <w:t>Métrica Auditada</w:t>
            </w:r>
          </w:p>
        </w:tc>
        <w:tc>
          <w:tcPr>
            <w:tcW w:type="dxa" w:w="1440"/>
            <w:shd w:fill="1B365D"/>
            <w:tcMar>
              <w:top w:w="80" w:type="dxa"/>
              <w:bottom w:w="80" w:type="dxa"/>
              <w:left w:w="80" w:type="dxa"/>
              <w:right w:w="80" w:type="dxa"/>
            </w:tcMar>
          </w:tcPr>
          <w:p>
            <w:pPr>
              <w:jc w:val="center"/>
            </w:pPr>
            <w:r>
              <w:rPr>
                <w:rFonts w:ascii="Calibri" w:hAnsi="Calibri"/>
                <w:b/>
                <w:color w:val="FFFFFF"/>
                <w:sz w:val="17"/>
              </w:rPr>
              <w:t>Spread LTM</w:t>
            </w:r>
          </w:p>
        </w:tc>
        <w:tc>
          <w:tcPr>
            <w:tcW w:type="dxa" w:w="1440"/>
            <w:shd w:fill="1B365D"/>
            <w:tcMar>
              <w:top w:w="80" w:type="dxa"/>
              <w:bottom w:w="80" w:type="dxa"/>
              <w:left w:w="80" w:type="dxa"/>
              <w:right w:w="80" w:type="dxa"/>
            </w:tcMar>
          </w:tcPr>
          <w:p>
            <w:pPr>
              <w:jc w:val="center"/>
            </w:pPr>
            <w:r>
              <w:rPr>
                <w:rFonts w:ascii="Calibri" w:hAnsi="Calibri"/>
                <w:b/>
                <w:color w:val="FFFFFF"/>
                <w:sz w:val="17"/>
              </w:rPr>
              <w:t>Rotación / Ciclo</w:t>
            </w:r>
          </w:p>
        </w:tc>
        <w:tc>
          <w:tcPr>
            <w:tcW w:type="dxa" w:w="2880"/>
            <w:shd w:fill="1B365D"/>
            <w:tcMar>
              <w:top w:w="80" w:type="dxa"/>
              <w:bottom w:w="80" w:type="dxa"/>
              <w:left w:w="80" w:type="dxa"/>
              <w:right w:w="80" w:type="dxa"/>
            </w:tcMar>
          </w:tcPr>
          <w:p>
            <w:pPr>
              <w:jc w:val="left"/>
            </w:pPr>
            <w:r>
              <w:rPr>
                <w:rFonts w:ascii="Calibri" w:hAnsi="Calibri"/>
                <w:b/>
                <w:color w:val="FFFFFF"/>
                <w:sz w:val="17"/>
              </w:rPr>
              <w:t>Diagnóstico Forense</w:t>
            </w:r>
          </w:p>
        </w:tc>
      </w:tr>
      <w:tr>
        <w:tc>
          <w:tcPr>
            <w:tcW w:type="dxa" w:w="2160"/>
            <w:tcMar>
              <w:top w:w="60" w:type="dxa"/>
              <w:bottom w:w="60" w:type="dxa"/>
              <w:left w:w="80" w:type="dxa"/>
              <w:right w:w="80" w:type="dxa"/>
            </w:tcMar>
          </w:tcPr>
          <w:p>
            <w:pPr>
              <w:jc w:val="left"/>
            </w:pPr>
            <w:r>
              <w:rPr>
                <w:rFonts w:ascii="Calibri" w:hAnsi="Calibri"/>
                <w:b/>
                <w:sz w:val="17"/>
              </w:rPr>
              <w:t>1. Clientes vs. Ventas (Channel Stuffing)</w:t>
            </w:r>
          </w:p>
        </w:tc>
        <w:tc>
          <w:tcPr>
            <w:tcW w:type="dxa" w:w="1872"/>
            <w:tcMar>
              <w:top w:w="60" w:type="dxa"/>
              <w:bottom w:w="60" w:type="dxa"/>
              <w:left w:w="80" w:type="dxa"/>
              <w:right w:w="80" w:type="dxa"/>
            </w:tcMar>
          </w:tcPr>
          <w:p>
            <w:pPr>
              <w:jc w:val="left"/>
            </w:pPr>
            <w:r>
              <w:rPr>
                <w:rFonts w:ascii="Calibri" w:hAnsi="Calibri"/>
                <w:sz w:val="17"/>
              </w:rPr>
              <w:t>Crecimiento AR vs. Ventas</w:t>
            </w:r>
          </w:p>
        </w:tc>
        <w:tc>
          <w:tcPr>
            <w:tcW w:type="dxa" w:w="1440"/>
            <w:tcMar>
              <w:top w:w="60" w:type="dxa"/>
              <w:bottom w:w="60" w:type="dxa"/>
              <w:left w:w="80" w:type="dxa"/>
              <w:right w:w="80" w:type="dxa"/>
            </w:tcMar>
          </w:tcPr>
          <w:p>
            <w:pPr>
              <w:jc w:val="center"/>
            </w:pPr>
            <w:r>
              <w:rPr>
                <w:rFonts w:ascii="Calibri" w:hAnsi="Calibri"/>
                <w:sz w:val="17"/>
              </w:rPr>
              <w:t>-3.6%</w:t>
            </w:r>
          </w:p>
        </w:tc>
        <w:tc>
          <w:tcPr>
            <w:tcW w:type="dxa" w:w="1440"/>
            <w:tcMar>
              <w:top w:w="60" w:type="dxa"/>
              <w:bottom w:w="60" w:type="dxa"/>
              <w:left w:w="80" w:type="dxa"/>
              <w:right w:w="80" w:type="dxa"/>
            </w:tcMar>
          </w:tcPr>
          <w:p>
            <w:pPr>
              <w:jc w:val="center"/>
            </w:pPr>
            <w:r>
              <w:rPr>
                <w:rFonts w:ascii="Calibri" w:hAnsi="Calibri"/>
                <w:sz w:val="17"/>
              </w:rPr>
              <w:t>DSO: 68.4d (-2.3d)</w:t>
            </w:r>
          </w:p>
        </w:tc>
        <w:tc>
          <w:tcPr>
            <w:tcW w:type="dxa" w:w="2880"/>
            <w:tcMar>
              <w:top w:w="60" w:type="dxa"/>
              <w:bottom w:w="60" w:type="dxa"/>
              <w:left w:w="80" w:type="dxa"/>
              <w:right w:w="80" w:type="dxa"/>
            </w:tcMar>
          </w:tcPr>
          <w:p>
            <w:pPr>
              <w:jc w:val="center"/>
            </w:pPr>
            <w:r>
              <w:rPr>
                <w:rFonts w:ascii="Calibri" w:hAnsi="Calibri"/>
                <w:b/>
                <w:color w:val="276A3C"/>
                <w:sz w:val="17"/>
              </w:rPr>
              <w:t>COBRANZA DISCIPLINADA (OK)</w:t>
            </w:r>
          </w:p>
        </w:tc>
      </w:tr>
      <w:tr>
        <w:tc>
          <w:tcPr>
            <w:tcW w:type="dxa" w:w="2160"/>
            <w:tcMar>
              <w:top w:w="60" w:type="dxa"/>
              <w:bottom w:w="60" w:type="dxa"/>
              <w:left w:w="80" w:type="dxa"/>
              <w:right w:w="80" w:type="dxa"/>
            </w:tcMar>
          </w:tcPr>
          <w:p>
            <w:pPr>
              <w:jc w:val="left"/>
            </w:pPr>
            <w:r>
              <w:rPr>
                <w:rFonts w:ascii="Calibri" w:hAnsi="Calibri"/>
                <w:b/>
                <w:sz w:val="17"/>
              </w:rPr>
              <w:t>2. Inventarios vs. Coste Ventas (COGS)</w:t>
            </w:r>
          </w:p>
        </w:tc>
        <w:tc>
          <w:tcPr>
            <w:tcW w:type="dxa" w:w="1872"/>
            <w:tcMar>
              <w:top w:w="60" w:type="dxa"/>
              <w:bottom w:w="60" w:type="dxa"/>
              <w:left w:w="80" w:type="dxa"/>
              <w:right w:w="80" w:type="dxa"/>
            </w:tcMar>
          </w:tcPr>
          <w:p>
            <w:pPr>
              <w:jc w:val="left"/>
            </w:pPr>
            <w:r>
              <w:rPr>
                <w:rFonts w:ascii="Calibri" w:hAnsi="Calibri"/>
                <w:sz w:val="17"/>
              </w:rPr>
              <w:t>Crecimiento Inv vs. COGS</w:t>
            </w:r>
          </w:p>
        </w:tc>
        <w:tc>
          <w:tcPr>
            <w:tcW w:type="dxa" w:w="1440"/>
            <w:tcMar>
              <w:top w:w="60" w:type="dxa"/>
              <w:bottom w:w="60" w:type="dxa"/>
              <w:left w:w="80" w:type="dxa"/>
              <w:right w:w="80" w:type="dxa"/>
            </w:tcMar>
          </w:tcPr>
          <w:p>
            <w:pPr>
              <w:jc w:val="center"/>
            </w:pPr>
            <w:r>
              <w:rPr>
                <w:rFonts w:ascii="Calibri" w:hAnsi="Calibri"/>
                <w:sz w:val="17"/>
              </w:rPr>
              <w:t>+0.0%</w:t>
            </w:r>
          </w:p>
        </w:tc>
        <w:tc>
          <w:tcPr>
            <w:tcW w:type="dxa" w:w="1440"/>
            <w:tcMar>
              <w:top w:w="60" w:type="dxa"/>
              <w:bottom w:w="60" w:type="dxa"/>
              <w:left w:w="80" w:type="dxa"/>
              <w:right w:w="80" w:type="dxa"/>
            </w:tcMar>
          </w:tcPr>
          <w:p>
            <w:pPr>
              <w:jc w:val="center"/>
            </w:pPr>
            <w:r>
              <w:rPr>
                <w:rFonts w:ascii="Calibri" w:hAnsi="Calibri"/>
                <w:sz w:val="17"/>
              </w:rPr>
              <w:t>DIO: 0.0d (+0.0d)</w:t>
            </w:r>
          </w:p>
        </w:tc>
        <w:tc>
          <w:tcPr>
            <w:tcW w:type="dxa" w:w="2880"/>
            <w:tcMar>
              <w:top w:w="60" w:type="dxa"/>
              <w:bottom w:w="60" w:type="dxa"/>
              <w:left w:w="80" w:type="dxa"/>
              <w:right w:w="80" w:type="dxa"/>
            </w:tcMar>
          </w:tcPr>
          <w:p>
            <w:pPr>
              <w:jc w:val="center"/>
            </w:pPr>
            <w:r>
              <w:rPr>
                <w:rFonts w:ascii="Calibri" w:hAnsi="Calibri"/>
                <w:b/>
                <w:color w:val="C00000"/>
                <w:sz w:val="17"/>
              </w:rPr>
              <w:t>ALERTA PREVENTIVA (RAMP-UP)</w:t>
            </w:r>
          </w:p>
        </w:tc>
      </w:tr>
      <w:tr>
        <w:tc>
          <w:tcPr>
            <w:tcW w:type="dxa" w:w="2160"/>
            <w:tcMar>
              <w:top w:w="60" w:type="dxa"/>
              <w:bottom w:w="60" w:type="dxa"/>
              <w:left w:w="80" w:type="dxa"/>
              <w:right w:w="80" w:type="dxa"/>
            </w:tcMar>
          </w:tcPr>
          <w:p>
            <w:pPr>
              <w:jc w:val="left"/>
            </w:pPr>
            <w:r>
              <w:rPr>
                <w:rFonts w:ascii="Calibri" w:hAnsi="Calibri"/>
                <w:b/>
                <w:sz w:val="17"/>
              </w:rPr>
              <w:t>3. Índice de Activos Blandos</w:t>
            </w:r>
          </w:p>
        </w:tc>
        <w:tc>
          <w:tcPr>
            <w:tcW w:type="dxa" w:w="1872"/>
            <w:tcMar>
              <w:top w:w="60" w:type="dxa"/>
              <w:bottom w:w="60" w:type="dxa"/>
              <w:left w:w="80" w:type="dxa"/>
              <w:right w:w="80" w:type="dxa"/>
            </w:tcMar>
          </w:tcPr>
          <w:p>
            <w:pPr>
              <w:jc w:val="left"/>
            </w:pPr>
            <w:r>
              <w:rPr>
                <w:rFonts w:ascii="Calibri" w:hAnsi="Calibri"/>
                <w:sz w:val="17"/>
              </w:rPr>
              <w:t>Partidas No Físicas / Activos</w:t>
            </w:r>
          </w:p>
        </w:tc>
        <w:tc>
          <w:tcPr>
            <w:tcW w:type="dxa" w:w="1440"/>
            <w:tcMar>
              <w:top w:w="60" w:type="dxa"/>
              <w:bottom w:w="60" w:type="dxa"/>
              <w:left w:w="80" w:type="dxa"/>
              <w:right w:w="80" w:type="dxa"/>
            </w:tcMar>
          </w:tcPr>
          <w:p>
            <w:pPr>
              <w:jc w:val="center"/>
            </w:pPr>
            <w:r>
              <w:rPr>
                <w:rFonts w:ascii="Calibri" w:hAnsi="Calibri"/>
                <w:sz w:val="17"/>
              </w:rPr>
              <w:t>27.2%</w:t>
            </w:r>
          </w:p>
        </w:tc>
        <w:tc>
          <w:tcPr>
            <w:tcW w:type="dxa" w:w="1440"/>
            <w:tcMar>
              <w:top w:w="60" w:type="dxa"/>
              <w:bottom w:w="60" w:type="dxa"/>
              <w:left w:w="80" w:type="dxa"/>
              <w:right w:w="80" w:type="dxa"/>
            </w:tcMar>
          </w:tcPr>
          <w:p>
            <w:pPr>
              <w:jc w:val="center"/>
            </w:pPr>
            <w:r>
              <w:rPr>
                <w:rFonts w:ascii="Calibri" w:hAnsi="Calibri"/>
                <w:sz w:val="17"/>
              </w:rPr>
              <w:t>Δ: +1.1 pp</w:t>
            </w:r>
          </w:p>
        </w:tc>
        <w:tc>
          <w:tcPr>
            <w:tcW w:type="dxa" w:w="2880"/>
            <w:tcMar>
              <w:top w:w="60" w:type="dxa"/>
              <w:bottom w:w="60" w:type="dxa"/>
              <w:left w:w="80" w:type="dxa"/>
              <w:right w:w="80" w:type="dxa"/>
            </w:tcMar>
          </w:tcPr>
          <w:p>
            <w:pPr>
              <w:jc w:val="center"/>
            </w:pPr>
            <w:r>
              <w:rPr>
                <w:rFonts w:ascii="Calibri" w:hAnsi="Calibri"/>
                <w:b/>
                <w:color w:val="276A3C"/>
                <w:sz w:val="17"/>
              </w:rPr>
              <w:t>BALANCE SÓLIDO (OK)</w:t>
            </w:r>
          </w:p>
        </w:tc>
      </w:tr>
    </w:tbl>
    <w:p>
      <w:pPr>
        <w:spacing w:before="80" w:after="160"/>
      </w:pPr>
      <w:r>
        <w:rPr>
          <w:rFonts w:ascii="Calibri" w:hAnsi="Calibri"/>
          <w:i/>
          <w:color w:val="2D3748"/>
          <w:sz w:val="17"/>
        </w:rPr>
        <w:t>Nota Forense sobre Inventario (REALTY INCOME CORP): Inventario en sintonía con la cadencia de costes (Spread: 0.0%, DIO: 0.0d). Existencias optimizadas.</w:t>
      </w:r>
    </w:p>
    <w:p>
      <w:pPr>
        <w:pStyle w:val="Heading2"/>
      </w:pPr>
      <w:r>
        <w:rPr>
          <w:rFonts w:ascii="Calibri" w:hAnsi="Calibri"/>
          <w:b/>
          <w:color w:val="1B365D"/>
          <w:sz w:val="23"/>
        </w:rPr>
        <w:t>12.3. Desglose Forense Montier C-Score (1/6 Banderas)</w:t>
      </w:r>
    </w:p>
    <w:p>
      <w:pPr>
        <w:spacing w:after="80"/>
      </w:pPr>
      <w:r>
        <w:rPr>
          <w:rFonts w:ascii="Calibri" w:hAnsi="Calibri"/>
          <w:color w:val="2D3748"/>
          <w:sz w:val="18"/>
        </w:rPr>
        <w:t>James Montier (Société Générale / GMO, 2008) desarrolló este sistema de 6 banderas para detectar manipulación deliberada. Puntajes de 0 a 1 reflejan menos de 5% de probabilidad de fraude contable, mientras que firmas con &gt;= 4 banderas colapsan en bolsa.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2016"/>
        <w:gridCol w:w="1872"/>
        <w:gridCol w:w="1152"/>
        <w:gridCol w:w="2592"/>
      </w:tblGrid>
      <w:tr>
        <w:tc>
          <w:tcPr>
            <w:tcW w:type="dxa" w:w="2160"/>
            <w:shd w:fill="1B365D"/>
            <w:tcMar>
              <w:top w:w="80" w:type="dxa"/>
              <w:bottom w:w="80" w:type="dxa"/>
              <w:left w:w="80" w:type="dxa"/>
              <w:right w:w="80" w:type="dxa"/>
            </w:tcMar>
          </w:tcPr>
          <w:p>
            <w:pPr>
              <w:jc w:val="left"/>
            </w:pPr>
            <w:r>
              <w:rPr>
                <w:rFonts w:ascii="Calibri" w:hAnsi="Calibri"/>
                <w:b/>
                <w:color w:val="FFFFFF"/>
                <w:sz w:val="17"/>
              </w:rPr>
              <w:t>Bandera de Manipulación (C-Score)</w:t>
            </w:r>
          </w:p>
        </w:tc>
        <w:tc>
          <w:tcPr>
            <w:tcW w:type="dxa" w:w="2016"/>
            <w:shd w:fill="1B365D"/>
            <w:tcMar>
              <w:top w:w="80" w:type="dxa"/>
              <w:bottom w:w="80" w:type="dxa"/>
              <w:left w:w="80" w:type="dxa"/>
              <w:right w:w="80" w:type="dxa"/>
            </w:tcMar>
          </w:tcPr>
          <w:p>
            <w:pPr>
              <w:jc w:val="left"/>
            </w:pPr>
            <w:r>
              <w:rPr>
                <w:rFonts w:ascii="Calibri" w:hAnsi="Calibri"/>
                <w:b/>
                <w:color w:val="FFFFFF"/>
                <w:sz w:val="17"/>
              </w:rPr>
              <w:t>Condición de Alerta</w:t>
            </w:r>
          </w:p>
        </w:tc>
        <w:tc>
          <w:tcPr>
            <w:tcW w:type="dxa" w:w="1872"/>
            <w:shd w:fill="1B365D"/>
            <w:tcMar>
              <w:top w:w="80" w:type="dxa"/>
              <w:bottom w:w="80" w:type="dxa"/>
              <w:left w:w="80" w:type="dxa"/>
              <w:right w:w="80" w:type="dxa"/>
            </w:tcMar>
          </w:tcPr>
          <w:p>
            <w:pPr>
              <w:jc w:val="left"/>
            </w:pPr>
            <w:r>
              <w:rPr>
                <w:rFonts w:ascii="Calibri" w:hAnsi="Calibri"/>
                <w:b/>
                <w:color w:val="FFFFFF"/>
                <w:sz w:val="17"/>
              </w:rPr>
              <w:t>Valor Auditado (LTM)</w:t>
            </w:r>
          </w:p>
        </w:tc>
        <w:tc>
          <w:tcPr>
            <w:tcW w:type="dxa" w:w="1152"/>
            <w:shd w:fill="1B365D"/>
            <w:tcMar>
              <w:top w:w="80" w:type="dxa"/>
              <w:bottom w:w="80" w:type="dxa"/>
              <w:left w:w="80" w:type="dxa"/>
              <w:right w:w="80" w:type="dxa"/>
            </w:tcMar>
          </w:tcPr>
          <w:p>
            <w:pPr>
              <w:jc w:val="center"/>
            </w:pPr>
            <w:r>
              <w:rPr>
                <w:rFonts w:ascii="Calibri" w:hAnsi="Calibri"/>
                <w:b/>
                <w:color w:val="FFFFFF"/>
                <w:sz w:val="17"/>
              </w:rPr>
              <w:t>Estado</w:t>
            </w:r>
          </w:p>
        </w:tc>
        <w:tc>
          <w:tcPr>
            <w:tcW w:type="dxa" w:w="2592"/>
            <w:shd w:fill="1B365D"/>
            <w:tcMar>
              <w:top w:w="80" w:type="dxa"/>
              <w:bottom w:w="80" w:type="dxa"/>
              <w:left w:w="80" w:type="dxa"/>
              <w:right w:w="80" w:type="dxa"/>
            </w:tcMar>
          </w:tcPr>
          <w:p>
            <w:pPr>
              <w:jc w:val="left"/>
            </w:pPr>
            <w:r>
              <w:rPr>
                <w:rFonts w:ascii="Calibri" w:hAnsi="Calibri"/>
                <w:b/>
                <w:color w:val="FFFFFF"/>
                <w:sz w:val="17"/>
              </w:rPr>
              <w:t>Trampa Contable que Previene</w:t>
            </w:r>
          </w:p>
        </w:tc>
      </w:tr>
      <w:tr>
        <w:tc>
          <w:tcPr>
            <w:tcW w:type="dxa" w:w="2160"/>
            <w:tcMar>
              <w:top w:w="60" w:type="dxa"/>
              <w:bottom w:w="60" w:type="dxa"/>
              <w:left w:w="80" w:type="dxa"/>
              <w:right w:w="80" w:type="dxa"/>
            </w:tcMar>
          </w:tcPr>
          <w:p>
            <w:pPr>
              <w:jc w:val="left"/>
            </w:pPr>
            <w:r>
              <w:rPr>
                <w:rFonts w:ascii="Calibri" w:hAnsi="Calibri"/>
                <w:sz w:val="16"/>
              </w:rPr>
              <w:t>1. Divergencia Beneficio vs. Flujo de Caja</w:t>
            </w:r>
          </w:p>
        </w:tc>
        <w:tc>
          <w:tcPr>
            <w:tcW w:type="dxa" w:w="2016"/>
            <w:tcMar>
              <w:top w:w="60" w:type="dxa"/>
              <w:bottom w:w="60" w:type="dxa"/>
              <w:left w:w="80" w:type="dxa"/>
              <w:right w:w="80" w:type="dxa"/>
            </w:tcMar>
          </w:tcPr>
          <w:p>
            <w:pPr>
              <w:jc w:val="left"/>
            </w:pPr>
            <w:r>
              <w:rPr>
                <w:rFonts w:ascii="Calibri" w:hAnsi="Calibri"/>
                <w:sz w:val="16"/>
              </w:rPr>
              <w:t>Utilidad Neta &gt; Flujo de Caja Operativo (NI &gt; CFO)</w:t>
            </w:r>
          </w:p>
        </w:tc>
        <w:tc>
          <w:tcPr>
            <w:tcW w:type="dxa" w:w="1872"/>
            <w:tcMar>
              <w:top w:w="60" w:type="dxa"/>
              <w:bottom w:w="60" w:type="dxa"/>
              <w:left w:w="80" w:type="dxa"/>
              <w:right w:w="80" w:type="dxa"/>
            </w:tcMar>
          </w:tcPr>
          <w:p>
            <w:pPr>
              <w:jc w:val="left"/>
            </w:pPr>
            <w:r>
              <w:rPr>
                <w:rFonts w:ascii="Calibri" w:hAnsi="Calibri"/>
                <w:sz w:val="16"/>
              </w:rPr>
              <w:t>NI: $1,058.6M vs CFO: $4,166.2M</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La utilidad contable no se transforma en liquidez real. Alerta de beneficios de papel.</w:t>
            </w:r>
          </w:p>
        </w:tc>
      </w:tr>
      <w:tr>
        <w:tc>
          <w:tcPr>
            <w:tcW w:type="dxa" w:w="2160"/>
            <w:tcMar>
              <w:top w:w="60" w:type="dxa"/>
              <w:bottom w:w="60" w:type="dxa"/>
              <w:left w:w="80" w:type="dxa"/>
              <w:right w:w="80" w:type="dxa"/>
            </w:tcMar>
          </w:tcPr>
          <w:p>
            <w:pPr>
              <w:jc w:val="left"/>
            </w:pPr>
            <w:r>
              <w:rPr>
                <w:rFonts w:ascii="Calibri" w:hAnsi="Calibri"/>
                <w:sz w:val="16"/>
              </w:rPr>
              <w:t>2. Cuentas por Cobrar vs. Ventas</w:t>
            </w:r>
          </w:p>
        </w:tc>
        <w:tc>
          <w:tcPr>
            <w:tcW w:type="dxa" w:w="2016"/>
            <w:tcMar>
              <w:top w:w="60" w:type="dxa"/>
              <w:bottom w:w="60" w:type="dxa"/>
              <w:left w:w="80" w:type="dxa"/>
              <w:right w:w="80" w:type="dxa"/>
            </w:tcMar>
          </w:tcPr>
          <w:p>
            <w:pPr>
              <w:jc w:val="left"/>
            </w:pPr>
            <w:r>
              <w:rPr>
                <w:rFonts w:ascii="Calibri" w:hAnsi="Calibri"/>
                <w:sz w:val="16"/>
              </w:rPr>
              <w:t>Δ Cuentas por Cobrar % &gt; Δ Ventas %</w:t>
            </w:r>
          </w:p>
        </w:tc>
        <w:tc>
          <w:tcPr>
            <w:tcW w:type="dxa" w:w="1872"/>
            <w:tcMar>
              <w:top w:w="60" w:type="dxa"/>
              <w:bottom w:w="60" w:type="dxa"/>
              <w:left w:w="80" w:type="dxa"/>
              <w:right w:w="80" w:type="dxa"/>
            </w:tcMar>
          </w:tcPr>
          <w:p>
            <w:pPr>
              <w:jc w:val="left"/>
            </w:pPr>
            <w:r>
              <w:rPr>
                <w:rFonts w:ascii="Calibri" w:hAnsi="Calibri"/>
                <w:sz w:val="16"/>
              </w:rPr>
              <w:t>ΔAR: 7.7% vs ΔVentas: 11.4%</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Las cuentas a cobrar crecen más rápido que las ventas. Indica relajación de cobros o facturación apresurada (channel stuffing).</w:t>
            </w:r>
          </w:p>
        </w:tc>
      </w:tr>
      <w:tr>
        <w:tc>
          <w:tcPr>
            <w:tcW w:type="dxa" w:w="2160"/>
            <w:tcMar>
              <w:top w:w="60" w:type="dxa"/>
              <w:bottom w:w="60" w:type="dxa"/>
              <w:left w:w="80" w:type="dxa"/>
              <w:right w:w="80" w:type="dxa"/>
            </w:tcMar>
          </w:tcPr>
          <w:p>
            <w:pPr>
              <w:jc w:val="left"/>
            </w:pPr>
            <w:r>
              <w:rPr>
                <w:rFonts w:ascii="Calibri" w:hAnsi="Calibri"/>
                <w:sz w:val="16"/>
              </w:rPr>
              <w:t>3. Inventarios vs. Coste de Ventas</w:t>
            </w:r>
          </w:p>
        </w:tc>
        <w:tc>
          <w:tcPr>
            <w:tcW w:type="dxa" w:w="2016"/>
            <w:tcMar>
              <w:top w:w="60" w:type="dxa"/>
              <w:bottom w:w="60" w:type="dxa"/>
              <w:left w:w="80" w:type="dxa"/>
              <w:right w:w="80" w:type="dxa"/>
            </w:tcMar>
          </w:tcPr>
          <w:p>
            <w:pPr>
              <w:jc w:val="left"/>
            </w:pPr>
            <w:r>
              <w:rPr>
                <w:rFonts w:ascii="Calibri" w:hAnsi="Calibri"/>
                <w:sz w:val="16"/>
              </w:rPr>
              <w:t>Δ Inventarios % &gt; Δ Coste de Ventas %</w:t>
            </w:r>
          </w:p>
        </w:tc>
        <w:tc>
          <w:tcPr>
            <w:tcW w:type="dxa" w:w="1872"/>
            <w:tcMar>
              <w:top w:w="60" w:type="dxa"/>
              <w:bottom w:w="60" w:type="dxa"/>
              <w:left w:w="80" w:type="dxa"/>
              <w:right w:w="80" w:type="dxa"/>
            </w:tcMar>
          </w:tcPr>
          <w:p>
            <w:pPr>
              <w:jc w:val="left"/>
            </w:pPr>
            <w:r>
              <w:rPr>
                <w:rFonts w:ascii="Calibri" w:hAnsi="Calibri"/>
                <w:sz w:val="16"/>
              </w:rPr>
              <w:t>N/D</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Las existencias crecen más rápido que los costes de venta. Puede esconder producto no vendido o absorción de costes en inventario para inflar márgenes.</w:t>
            </w:r>
          </w:p>
        </w:tc>
      </w:tr>
      <w:tr>
        <w:tc>
          <w:tcPr>
            <w:tcW w:type="dxa" w:w="2160"/>
            <w:tcMar>
              <w:top w:w="60" w:type="dxa"/>
              <w:bottom w:w="60" w:type="dxa"/>
              <w:left w:w="80" w:type="dxa"/>
              <w:right w:w="80" w:type="dxa"/>
            </w:tcMar>
          </w:tcPr>
          <w:p>
            <w:pPr>
              <w:jc w:val="left"/>
            </w:pPr>
            <w:r>
              <w:rPr>
                <w:rFonts w:ascii="Calibri" w:hAnsi="Calibri"/>
                <w:sz w:val="16"/>
              </w:rPr>
              <w:t>4. Deterioro del Margen Bruto</w:t>
            </w:r>
          </w:p>
        </w:tc>
        <w:tc>
          <w:tcPr>
            <w:tcW w:type="dxa" w:w="2016"/>
            <w:tcMar>
              <w:top w:w="60" w:type="dxa"/>
              <w:bottom w:w="60" w:type="dxa"/>
              <w:left w:w="80" w:type="dxa"/>
              <w:right w:w="80" w:type="dxa"/>
            </w:tcMar>
          </w:tcPr>
          <w:p>
            <w:pPr>
              <w:jc w:val="left"/>
            </w:pPr>
            <w:r>
              <w:rPr>
                <w:rFonts w:ascii="Calibri" w:hAnsi="Calibri"/>
                <w:sz w:val="16"/>
              </w:rPr>
              <w:t>Margen Bruto_t &lt; Margen Bruto_t-1</w:t>
            </w:r>
          </w:p>
        </w:tc>
        <w:tc>
          <w:tcPr>
            <w:tcW w:type="dxa" w:w="1872"/>
            <w:tcMar>
              <w:top w:w="60" w:type="dxa"/>
              <w:bottom w:w="60" w:type="dxa"/>
              <w:left w:w="80" w:type="dxa"/>
              <w:right w:w="80" w:type="dxa"/>
            </w:tcMar>
          </w:tcPr>
          <w:p>
            <w:pPr>
              <w:jc w:val="left"/>
            </w:pPr>
            <w:r>
              <w:rPr>
                <w:rFonts w:ascii="Calibri" w:hAnsi="Calibri"/>
                <w:sz w:val="16"/>
              </w:rPr>
              <w:t>Margen Bruto: 92.67% vs 92.11%</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El deterioro del margen bruto genera incentivos en los ejecutivos para estirar partidas contables inferiores.</w:t>
            </w:r>
          </w:p>
        </w:tc>
      </w:tr>
      <w:tr>
        <w:tc>
          <w:tcPr>
            <w:tcW w:type="dxa" w:w="2160"/>
            <w:tcMar>
              <w:top w:w="60" w:type="dxa"/>
              <w:bottom w:w="60" w:type="dxa"/>
              <w:left w:w="80" w:type="dxa"/>
              <w:right w:w="80" w:type="dxa"/>
            </w:tcMar>
          </w:tcPr>
          <w:p>
            <w:pPr>
              <w:jc w:val="left"/>
            </w:pPr>
            <w:r>
              <w:rPr>
                <w:rFonts w:ascii="Calibri" w:hAnsi="Calibri"/>
                <w:sz w:val="16"/>
              </w:rPr>
              <w:t>5. Incremento de Activos Blandos</w:t>
            </w:r>
          </w:p>
        </w:tc>
        <w:tc>
          <w:tcPr>
            <w:tcW w:type="dxa" w:w="2016"/>
            <w:tcMar>
              <w:top w:w="60" w:type="dxa"/>
              <w:bottom w:w="60" w:type="dxa"/>
              <w:left w:w="80" w:type="dxa"/>
              <w:right w:w="80" w:type="dxa"/>
            </w:tcMar>
          </w:tcPr>
          <w:p>
            <w:pPr>
              <w:jc w:val="left"/>
            </w:pPr>
            <w:r>
              <w:rPr>
                <w:rFonts w:ascii="Calibri" w:hAnsi="Calibri"/>
                <w:sz w:val="16"/>
              </w:rPr>
              <w:t>Ratio Activos Blandos_t &gt; Ratio Activos Blandos_t-1</w:t>
            </w:r>
          </w:p>
        </w:tc>
        <w:tc>
          <w:tcPr>
            <w:tcW w:type="dxa" w:w="1872"/>
            <w:tcMar>
              <w:top w:w="60" w:type="dxa"/>
              <w:bottom w:w="60" w:type="dxa"/>
              <w:left w:w="80" w:type="dxa"/>
              <w:right w:w="80" w:type="dxa"/>
            </w:tcMar>
          </w:tcPr>
          <w:p>
            <w:pPr>
              <w:jc w:val="left"/>
            </w:pPr>
            <w:r>
              <w:rPr>
                <w:rFonts w:ascii="Calibri" w:hAnsi="Calibri"/>
                <w:sz w:val="16"/>
              </w:rPr>
              <w:t>Activos Blandos: 27.2% vs 26.0%</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Aumento del peso relativo de partidas del balance que no son activos productivos tangibles ni tesorería.</w:t>
            </w:r>
          </w:p>
        </w:tc>
      </w:tr>
      <w:tr>
        <w:tc>
          <w:tcPr>
            <w:tcW w:type="dxa" w:w="2160"/>
            <w:tcMar>
              <w:top w:w="60" w:type="dxa"/>
              <w:bottom w:w="60" w:type="dxa"/>
              <w:left w:w="80" w:type="dxa"/>
              <w:right w:w="80" w:type="dxa"/>
            </w:tcMar>
          </w:tcPr>
          <w:p>
            <w:pPr>
              <w:jc w:val="left"/>
            </w:pPr>
            <w:r>
              <w:rPr>
                <w:rFonts w:ascii="Calibri" w:hAnsi="Calibri"/>
                <w:sz w:val="16"/>
              </w:rPr>
              <w:t>6. Reducción de la Tasa de Depreciación</w:t>
            </w:r>
          </w:p>
        </w:tc>
        <w:tc>
          <w:tcPr>
            <w:tcW w:type="dxa" w:w="2016"/>
            <w:tcMar>
              <w:top w:w="60" w:type="dxa"/>
              <w:bottom w:w="60" w:type="dxa"/>
              <w:left w:w="80" w:type="dxa"/>
              <w:right w:w="80" w:type="dxa"/>
            </w:tcMar>
          </w:tcPr>
          <w:p>
            <w:pPr>
              <w:jc w:val="left"/>
            </w:pPr>
            <w:r>
              <w:rPr>
                <w:rFonts w:ascii="Calibri" w:hAnsi="Calibri"/>
                <w:sz w:val="16"/>
              </w:rPr>
              <w:t>Tasa Depreciación_t &lt; Tasa Depreciación_t-1</w:t>
            </w:r>
          </w:p>
        </w:tc>
        <w:tc>
          <w:tcPr>
            <w:tcW w:type="dxa" w:w="1872"/>
            <w:tcMar>
              <w:top w:w="60" w:type="dxa"/>
              <w:bottom w:w="60" w:type="dxa"/>
              <w:left w:w="80" w:type="dxa"/>
              <w:right w:w="80" w:type="dxa"/>
            </w:tcMar>
          </w:tcPr>
          <w:p>
            <w:pPr>
              <w:jc w:val="left"/>
            </w:pPr>
            <w:r>
              <w:rPr>
                <w:rFonts w:ascii="Calibri" w:hAnsi="Calibri"/>
                <w:sz w:val="16"/>
              </w:rPr>
              <w:t>Tasa Deprec: 4.41% vs 4.51%</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Reducción de la amortización contable respecto a los activos brutos, inflando el beneficio neto al estirar vidas útiles.</w:t>
            </w:r>
          </w:p>
        </w:tc>
      </w:tr>
    </w:tbl>
    <w:p>
      <w:pPr>
        <w:spacing w:before="80" w:after="160"/>
      </w:pPr>
      <w:r>
        <w:rPr>
          <w:rFonts w:ascii="Calibri" w:hAnsi="Calibri"/>
          <w:b/>
          <w:color w:val="1B365D"/>
          <w:sz w:val="17"/>
        </w:rPr>
        <w:t>Dictamen Montier: 1 / 6 Banderas — RIESGO MUY BAJO / LIBROS LIMPIOS. Probabilidad empírica de manipulación &lt; 5%.</w:t>
      </w:r>
    </w:p>
    <w:p>
      <w:pPr>
        <w:pStyle w:val="Heading2"/>
      </w:pPr>
      <w:r>
        <w:rPr>
          <w:rFonts w:ascii="Calibri" w:hAnsi="Calibri"/>
          <w:b/>
          <w:color w:val="1B365D"/>
          <w:sz w:val="23"/>
        </w:rPr>
        <w:t>12.4. Cuadro de Mando Consolidado de Fidelidad Contable</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016"/>
        <w:gridCol w:w="1440"/>
        <w:gridCol w:w="1728"/>
        <w:gridCol w:w="2592"/>
      </w:tblGrid>
      <w:tr>
        <w:tc>
          <w:tcPr>
            <w:tcW w:type="dxa" w:w="2016"/>
            <w:shd w:fill="1B365D"/>
            <w:tcMar>
              <w:top w:w="80" w:type="dxa"/>
              <w:bottom w:w="80" w:type="dxa"/>
              <w:left w:w="80" w:type="dxa"/>
              <w:right w:w="80" w:type="dxa"/>
            </w:tcMar>
          </w:tcPr>
          <w:p>
            <w:pPr>
              <w:jc w:val="left"/>
            </w:pPr>
            <w:r>
              <w:rPr>
                <w:rFonts w:ascii="Calibri" w:hAnsi="Calibri"/>
                <w:b/>
                <w:color w:val="FFFFFF"/>
                <w:sz w:val="17"/>
              </w:rPr>
              <w:t>Dimensión Forense</w:t>
            </w:r>
          </w:p>
        </w:tc>
        <w:tc>
          <w:tcPr>
            <w:tcW w:type="dxa" w:w="2016"/>
            <w:shd w:fill="1B365D"/>
            <w:tcMar>
              <w:top w:w="80" w:type="dxa"/>
              <w:bottom w:w="80" w:type="dxa"/>
              <w:left w:w="80" w:type="dxa"/>
              <w:right w:w="80" w:type="dxa"/>
            </w:tcMar>
          </w:tcPr>
          <w:p>
            <w:pPr>
              <w:jc w:val="left"/>
            </w:pPr>
            <w:r>
              <w:rPr>
                <w:rFonts w:ascii="Calibri" w:hAnsi="Calibri"/>
                <w:b/>
                <w:color w:val="FFFFFF"/>
                <w:sz w:val="17"/>
              </w:rPr>
              <w:t>Indicador Clave</w:t>
            </w:r>
          </w:p>
        </w:tc>
        <w:tc>
          <w:tcPr>
            <w:tcW w:type="dxa" w:w="1440"/>
            <w:shd w:fill="1B365D"/>
            <w:tcMar>
              <w:top w:w="80" w:type="dxa"/>
              <w:bottom w:w="80" w:type="dxa"/>
              <w:left w:w="80" w:type="dxa"/>
              <w:right w:w="80" w:type="dxa"/>
            </w:tcMar>
          </w:tcPr>
          <w:p>
            <w:pPr>
              <w:jc w:val="center"/>
            </w:pPr>
            <w:r>
              <w:rPr>
                <w:rFonts w:ascii="Calibri" w:hAnsi="Calibri"/>
                <w:b/>
                <w:color w:val="FFFFFF"/>
                <w:sz w:val="17"/>
              </w:rPr>
              <w:t>Valor LTM</w:t>
            </w:r>
          </w:p>
        </w:tc>
        <w:tc>
          <w:tcPr>
            <w:tcW w:type="dxa" w:w="1728"/>
            <w:shd w:fill="1B365D"/>
            <w:tcMar>
              <w:top w:w="80" w:type="dxa"/>
              <w:bottom w:w="80" w:type="dxa"/>
              <w:left w:w="80" w:type="dxa"/>
              <w:right w:w="80" w:type="dxa"/>
            </w:tcMar>
          </w:tcPr>
          <w:p>
            <w:pPr>
              <w:jc w:val="center"/>
            </w:pPr>
            <w:r>
              <w:rPr>
                <w:rFonts w:ascii="Calibri" w:hAnsi="Calibri"/>
                <w:b/>
                <w:color w:val="FFFFFF"/>
                <w:sz w:val="17"/>
              </w:rPr>
              <w:t>Zona de Seguridad</w:t>
            </w:r>
          </w:p>
        </w:tc>
        <w:tc>
          <w:tcPr>
            <w:tcW w:type="dxa" w:w="2592"/>
            <w:shd w:fill="1B365D"/>
            <w:tcMar>
              <w:top w:w="80" w:type="dxa"/>
              <w:bottom w:w="80" w:type="dxa"/>
              <w:left w:w="80" w:type="dxa"/>
              <w:right w:w="80" w:type="dxa"/>
            </w:tcMar>
          </w:tcPr>
          <w:p>
            <w:pPr>
              <w:jc w:val="left"/>
            </w:pPr>
            <w:r>
              <w:rPr>
                <w:rFonts w:ascii="Calibri" w:hAnsi="Calibri"/>
                <w:b/>
                <w:color w:val="FFFFFF"/>
                <w:sz w:val="17"/>
              </w:rPr>
              <w:t>Diagnóstico para el Inversor</w:t>
            </w:r>
          </w:p>
        </w:tc>
      </w:tr>
      <w:tr>
        <w:tc>
          <w:tcPr>
            <w:tcW w:type="dxa" w:w="2016"/>
            <w:tcMar>
              <w:top w:w="60" w:type="dxa"/>
              <w:bottom w:w="60" w:type="dxa"/>
              <w:left w:w="80" w:type="dxa"/>
              <w:right w:w="80" w:type="dxa"/>
            </w:tcMar>
          </w:tcPr>
          <w:p>
            <w:pPr>
              <w:jc w:val="left"/>
            </w:pPr>
            <w:r>
              <w:rPr>
                <w:rFonts w:ascii="Calibri" w:hAnsi="Calibri"/>
                <w:b/>
                <w:sz w:val="17"/>
              </w:rPr>
              <w:t>Calidad de Beneficios</w:t>
            </w:r>
          </w:p>
        </w:tc>
        <w:tc>
          <w:tcPr>
            <w:tcW w:type="dxa" w:w="2016"/>
            <w:tcMar>
              <w:top w:w="60" w:type="dxa"/>
              <w:bottom w:w="60" w:type="dxa"/>
              <w:left w:w="80" w:type="dxa"/>
              <w:right w:w="80" w:type="dxa"/>
            </w:tcMar>
          </w:tcPr>
          <w:p>
            <w:pPr>
              <w:jc w:val="left"/>
            </w:pPr>
            <w:r>
              <w:rPr>
                <w:rFonts w:ascii="Calibri" w:hAnsi="Calibri"/>
                <w:b/>
                <w:sz w:val="17"/>
              </w:rPr>
              <w:t>Ratio Devengos Sloan</w:t>
            </w:r>
          </w:p>
        </w:tc>
        <w:tc>
          <w:tcPr>
            <w:tcW w:type="dxa" w:w="1440"/>
            <w:tcMar>
              <w:top w:w="60" w:type="dxa"/>
              <w:bottom w:w="60" w:type="dxa"/>
              <w:left w:w="80" w:type="dxa"/>
              <w:right w:w="80" w:type="dxa"/>
            </w:tcMar>
          </w:tcPr>
          <w:p>
            <w:pPr>
              <w:jc w:val="center"/>
            </w:pPr>
            <w:r>
              <w:rPr>
                <w:rFonts w:ascii="Calibri" w:hAnsi="Calibri"/>
                <w:sz w:val="17"/>
              </w:rPr>
              <w:t>-4.16%</w:t>
            </w:r>
          </w:p>
        </w:tc>
        <w:tc>
          <w:tcPr>
            <w:tcW w:type="dxa" w:w="1728"/>
            <w:tcMar>
              <w:top w:w="60" w:type="dxa"/>
              <w:bottom w:w="60" w:type="dxa"/>
              <w:left w:w="80" w:type="dxa"/>
              <w:right w:w="80" w:type="dxa"/>
            </w:tcMar>
          </w:tcPr>
          <w:p>
            <w:pPr>
              <w:jc w:val="center"/>
            </w:pPr>
            <w:r>
              <w:rPr>
                <w:rFonts w:ascii="Calibri" w:hAnsi="Calibri"/>
                <w:sz w:val="17"/>
              </w:rPr>
              <w:t>&lt; -3.0% (Excelente)</w:t>
            </w:r>
          </w:p>
        </w:tc>
        <w:tc>
          <w:tcPr>
            <w:tcW w:type="dxa" w:w="2592"/>
            <w:tcMar>
              <w:top w:w="60" w:type="dxa"/>
              <w:bottom w:w="60" w:type="dxa"/>
              <w:left w:w="80" w:type="dxa"/>
              <w:right w:w="80" w:type="dxa"/>
            </w:tcMar>
          </w:tcPr>
          <w:p>
            <w:pPr>
              <w:jc w:val="left"/>
            </w:pPr>
            <w:r>
              <w:rPr>
                <w:rFonts w:ascii="Calibri" w:hAnsi="Calibri"/>
                <w:sz w:val="17"/>
              </w:rPr>
              <w:t>Caja operativa supera a utilidad; devengos negativos protectores.</w:t>
            </w:r>
          </w:p>
        </w:tc>
      </w:tr>
      <w:tr>
        <w:tc>
          <w:tcPr>
            <w:tcW w:type="dxa" w:w="2016"/>
            <w:tcMar>
              <w:top w:w="60" w:type="dxa"/>
              <w:bottom w:w="60" w:type="dxa"/>
              <w:left w:w="80" w:type="dxa"/>
              <w:right w:w="80" w:type="dxa"/>
            </w:tcMar>
          </w:tcPr>
          <w:p>
            <w:pPr>
              <w:jc w:val="left"/>
            </w:pPr>
            <w:r>
              <w:rPr>
                <w:rFonts w:ascii="Calibri" w:hAnsi="Calibri"/>
                <w:b/>
                <w:sz w:val="17"/>
              </w:rPr>
              <w:t>Conversión de Ganancias</w:t>
            </w:r>
          </w:p>
        </w:tc>
        <w:tc>
          <w:tcPr>
            <w:tcW w:type="dxa" w:w="2016"/>
            <w:tcMar>
              <w:top w:w="60" w:type="dxa"/>
              <w:bottom w:w="60" w:type="dxa"/>
              <w:left w:w="80" w:type="dxa"/>
              <w:right w:w="80" w:type="dxa"/>
            </w:tcMar>
          </w:tcPr>
          <w:p>
            <w:pPr>
              <w:jc w:val="left"/>
            </w:pPr>
            <w:r>
              <w:rPr>
                <w:rFonts w:ascii="Calibri" w:hAnsi="Calibri"/>
                <w:b/>
                <w:sz w:val="17"/>
              </w:rPr>
              <w:t>Ratio CFO / Net Income</w:t>
            </w:r>
          </w:p>
        </w:tc>
        <w:tc>
          <w:tcPr>
            <w:tcW w:type="dxa" w:w="1440"/>
            <w:tcMar>
              <w:top w:w="60" w:type="dxa"/>
              <w:bottom w:w="60" w:type="dxa"/>
              <w:left w:w="80" w:type="dxa"/>
              <w:right w:w="80" w:type="dxa"/>
            </w:tcMar>
          </w:tcPr>
          <w:p>
            <w:pPr>
              <w:jc w:val="center"/>
            </w:pPr>
            <w:r>
              <w:rPr>
                <w:rFonts w:ascii="Calibri" w:hAnsi="Calibri"/>
                <w:sz w:val="17"/>
              </w:rPr>
              <w:t>393.6%</w:t>
            </w:r>
          </w:p>
        </w:tc>
        <w:tc>
          <w:tcPr>
            <w:tcW w:type="dxa" w:w="1728"/>
            <w:tcMar>
              <w:top w:w="60" w:type="dxa"/>
              <w:bottom w:w="60" w:type="dxa"/>
              <w:left w:w="80" w:type="dxa"/>
              <w:right w:w="80" w:type="dxa"/>
            </w:tcMar>
          </w:tcPr>
          <w:p>
            <w:pPr>
              <w:jc w:val="center"/>
            </w:pPr>
            <w:r>
              <w:rPr>
                <w:rFonts w:ascii="Calibri" w:hAnsi="Calibri"/>
                <w:sz w:val="17"/>
              </w:rPr>
              <w:t>&gt; 100.0%</w:t>
            </w:r>
          </w:p>
        </w:tc>
        <w:tc>
          <w:tcPr>
            <w:tcW w:type="dxa" w:w="2592"/>
            <w:tcMar>
              <w:top w:w="60" w:type="dxa"/>
              <w:bottom w:w="60" w:type="dxa"/>
              <w:left w:w="80" w:type="dxa"/>
              <w:right w:w="80" w:type="dxa"/>
            </w:tcMar>
          </w:tcPr>
          <w:p>
            <w:pPr>
              <w:jc w:val="left"/>
            </w:pPr>
            <w:r>
              <w:rPr>
                <w:rFonts w:ascii="Calibri" w:hAnsi="Calibri"/>
                <w:sz w:val="17"/>
              </w:rPr>
              <w:t>Conversión ultra-eficiente de beneficios contables en liquidez real.</w:t>
            </w:r>
          </w:p>
        </w:tc>
      </w:tr>
      <w:tr>
        <w:tc>
          <w:tcPr>
            <w:tcW w:type="dxa" w:w="2016"/>
            <w:tcMar>
              <w:top w:w="60" w:type="dxa"/>
              <w:bottom w:w="60" w:type="dxa"/>
              <w:left w:w="80" w:type="dxa"/>
              <w:right w:w="80" w:type="dxa"/>
            </w:tcMar>
          </w:tcPr>
          <w:p>
            <w:pPr>
              <w:jc w:val="left"/>
            </w:pPr>
            <w:r>
              <w:rPr>
                <w:rFonts w:ascii="Calibri" w:hAnsi="Calibri"/>
                <w:b/>
                <w:sz w:val="17"/>
              </w:rPr>
              <w:t>Riesgo Channel Stuffing</w:t>
            </w:r>
          </w:p>
        </w:tc>
        <w:tc>
          <w:tcPr>
            <w:tcW w:type="dxa" w:w="2016"/>
            <w:tcMar>
              <w:top w:w="60" w:type="dxa"/>
              <w:bottom w:w="60" w:type="dxa"/>
              <w:left w:w="80" w:type="dxa"/>
              <w:right w:w="80" w:type="dxa"/>
            </w:tcMar>
          </w:tcPr>
          <w:p>
            <w:pPr>
              <w:jc w:val="left"/>
            </w:pPr>
            <w:r>
              <w:rPr>
                <w:rFonts w:ascii="Calibri" w:hAnsi="Calibri"/>
                <w:b/>
                <w:sz w:val="17"/>
              </w:rPr>
              <w:t>Spread AR vs. Ventas</w:t>
            </w:r>
          </w:p>
        </w:tc>
        <w:tc>
          <w:tcPr>
            <w:tcW w:type="dxa" w:w="1440"/>
            <w:tcMar>
              <w:top w:w="60" w:type="dxa"/>
              <w:bottom w:w="60" w:type="dxa"/>
              <w:left w:w="80" w:type="dxa"/>
              <w:right w:w="80" w:type="dxa"/>
            </w:tcMar>
          </w:tcPr>
          <w:p>
            <w:pPr>
              <w:jc w:val="center"/>
            </w:pPr>
            <w:r>
              <w:rPr>
                <w:rFonts w:ascii="Calibri" w:hAnsi="Calibri"/>
                <w:sz w:val="17"/>
              </w:rPr>
              <w:t>-3.6%</w:t>
            </w:r>
          </w:p>
        </w:tc>
        <w:tc>
          <w:tcPr>
            <w:tcW w:type="dxa" w:w="1728"/>
            <w:tcMar>
              <w:top w:w="60" w:type="dxa"/>
              <w:bottom w:w="60" w:type="dxa"/>
              <w:left w:w="80" w:type="dxa"/>
              <w:right w:w="80" w:type="dxa"/>
            </w:tcMar>
          </w:tcPr>
          <w:p>
            <w:pPr>
              <w:jc w:val="center"/>
            </w:pPr>
            <w:r>
              <w:rPr>
                <w:rFonts w:ascii="Calibri" w:hAnsi="Calibri"/>
                <w:sz w:val="17"/>
              </w:rPr>
              <w:t>&lt; +10.0%</w:t>
            </w:r>
          </w:p>
        </w:tc>
        <w:tc>
          <w:tcPr>
            <w:tcW w:type="dxa" w:w="2592"/>
            <w:tcMar>
              <w:top w:w="60" w:type="dxa"/>
              <w:bottom w:w="60" w:type="dxa"/>
              <w:left w:w="80" w:type="dxa"/>
              <w:right w:w="80" w:type="dxa"/>
            </w:tcMar>
          </w:tcPr>
          <w:p>
            <w:pPr>
              <w:jc w:val="left"/>
            </w:pPr>
            <w:r>
              <w:rPr>
                <w:rFonts w:ascii="Calibri" w:hAnsi="Calibri"/>
                <w:sz w:val="17"/>
              </w:rPr>
              <w:t>Cobranza disciplinada (DSO: 68.4d); cobros sincronizados sin ventas infladas.</w:t>
            </w:r>
          </w:p>
        </w:tc>
      </w:tr>
      <w:tr>
        <w:tc>
          <w:tcPr>
            <w:tcW w:type="dxa" w:w="2016"/>
            <w:tcMar>
              <w:top w:w="60" w:type="dxa"/>
              <w:bottom w:w="60" w:type="dxa"/>
              <w:left w:w="80" w:type="dxa"/>
              <w:right w:w="80" w:type="dxa"/>
            </w:tcMar>
          </w:tcPr>
          <w:p>
            <w:pPr>
              <w:jc w:val="left"/>
            </w:pPr>
            <w:r>
              <w:rPr>
                <w:rFonts w:ascii="Calibri" w:hAnsi="Calibri"/>
                <w:b/>
                <w:sz w:val="17"/>
              </w:rPr>
              <w:t>Gestión de Existencias</w:t>
            </w:r>
          </w:p>
        </w:tc>
        <w:tc>
          <w:tcPr>
            <w:tcW w:type="dxa" w:w="2016"/>
            <w:tcMar>
              <w:top w:w="60" w:type="dxa"/>
              <w:bottom w:w="60" w:type="dxa"/>
              <w:left w:w="80" w:type="dxa"/>
              <w:right w:w="80" w:type="dxa"/>
            </w:tcMar>
          </w:tcPr>
          <w:p>
            <w:pPr>
              <w:jc w:val="left"/>
            </w:pPr>
            <w:r>
              <w:rPr>
                <w:rFonts w:ascii="Calibri" w:hAnsi="Calibri"/>
                <w:b/>
                <w:sz w:val="17"/>
              </w:rPr>
              <w:t>Días Inventario (DIO)</w:t>
            </w:r>
          </w:p>
        </w:tc>
        <w:tc>
          <w:tcPr>
            <w:tcW w:type="dxa" w:w="1440"/>
            <w:tcMar>
              <w:top w:w="60" w:type="dxa"/>
              <w:bottom w:w="60" w:type="dxa"/>
              <w:left w:w="80" w:type="dxa"/>
              <w:right w:w="80" w:type="dxa"/>
            </w:tcMar>
          </w:tcPr>
          <w:p>
            <w:pPr>
              <w:jc w:val="center"/>
            </w:pPr>
            <w:r>
              <w:rPr>
                <w:rFonts w:ascii="Calibri" w:hAnsi="Calibri"/>
                <w:sz w:val="17"/>
              </w:rPr>
              <w:t>0.0 días</w:t>
            </w:r>
          </w:p>
        </w:tc>
        <w:tc>
          <w:tcPr>
            <w:tcW w:type="dxa" w:w="1728"/>
            <w:tcMar>
              <w:top w:w="60" w:type="dxa"/>
              <w:bottom w:w="60" w:type="dxa"/>
              <w:left w:w="80" w:type="dxa"/>
              <w:right w:w="80" w:type="dxa"/>
            </w:tcMar>
          </w:tcPr>
          <w:p>
            <w:pPr>
              <w:jc w:val="center"/>
            </w:pPr>
            <w:r>
              <w:rPr>
                <w:rFonts w:ascii="Calibri" w:hAnsi="Calibri"/>
                <w:sz w:val="17"/>
              </w:rPr>
              <w:t>&lt; 45 días</w:t>
            </w:r>
          </w:p>
        </w:tc>
        <w:tc>
          <w:tcPr>
            <w:tcW w:type="dxa" w:w="2592"/>
            <w:tcMar>
              <w:top w:w="60" w:type="dxa"/>
              <w:bottom w:w="60" w:type="dxa"/>
              <w:left w:w="80" w:type="dxa"/>
              <w:right w:w="80" w:type="dxa"/>
            </w:tcMar>
          </w:tcPr>
          <w:p>
            <w:pPr>
              <w:jc w:val="left"/>
            </w:pPr>
            <w:r>
              <w:rPr>
                <w:rFonts w:ascii="Calibri" w:hAnsi="Calibri"/>
                <w:sz w:val="17"/>
              </w:rPr>
              <w:t>Rotación ultra-rápida (0.0d); mínima inmovilización de capital.</w:t>
            </w:r>
          </w:p>
        </w:tc>
      </w:tr>
      <w:tr>
        <w:tc>
          <w:tcPr>
            <w:tcW w:type="dxa" w:w="2016"/>
            <w:tcMar>
              <w:top w:w="60" w:type="dxa"/>
              <w:bottom w:w="60" w:type="dxa"/>
              <w:left w:w="80" w:type="dxa"/>
              <w:right w:w="80" w:type="dxa"/>
            </w:tcMar>
          </w:tcPr>
          <w:p>
            <w:pPr>
              <w:jc w:val="left"/>
            </w:pPr>
            <w:r>
              <w:rPr>
                <w:rFonts w:ascii="Calibri" w:hAnsi="Calibri"/>
                <w:b/>
                <w:sz w:val="17"/>
              </w:rPr>
              <w:t>Integridad del Balance</w:t>
            </w:r>
          </w:p>
        </w:tc>
        <w:tc>
          <w:tcPr>
            <w:tcW w:type="dxa" w:w="2016"/>
            <w:tcMar>
              <w:top w:w="60" w:type="dxa"/>
              <w:bottom w:w="60" w:type="dxa"/>
              <w:left w:w="80" w:type="dxa"/>
              <w:right w:w="80" w:type="dxa"/>
            </w:tcMar>
          </w:tcPr>
          <w:p>
            <w:pPr>
              <w:jc w:val="left"/>
            </w:pPr>
            <w:r>
              <w:rPr>
                <w:rFonts w:ascii="Calibri" w:hAnsi="Calibri"/>
                <w:b/>
                <w:sz w:val="17"/>
              </w:rPr>
              <w:t>Variación Activos Blandos</w:t>
            </w:r>
          </w:p>
        </w:tc>
        <w:tc>
          <w:tcPr>
            <w:tcW w:type="dxa" w:w="1440"/>
            <w:tcMar>
              <w:top w:w="60" w:type="dxa"/>
              <w:bottom w:w="60" w:type="dxa"/>
              <w:left w:w="80" w:type="dxa"/>
              <w:right w:w="80" w:type="dxa"/>
            </w:tcMar>
          </w:tcPr>
          <w:p>
            <w:pPr>
              <w:jc w:val="center"/>
            </w:pPr>
            <w:r>
              <w:rPr>
                <w:rFonts w:ascii="Calibri" w:hAnsi="Calibri"/>
                <w:sz w:val="17"/>
              </w:rPr>
              <w:t>+1.1 pp</w:t>
            </w:r>
          </w:p>
        </w:tc>
        <w:tc>
          <w:tcPr>
            <w:tcW w:type="dxa" w:w="1728"/>
            <w:tcMar>
              <w:top w:w="60" w:type="dxa"/>
              <w:bottom w:w="60" w:type="dxa"/>
              <w:left w:w="80" w:type="dxa"/>
              <w:right w:w="80" w:type="dxa"/>
            </w:tcMar>
          </w:tcPr>
          <w:p>
            <w:pPr>
              <w:jc w:val="center"/>
            </w:pPr>
            <w:r>
              <w:rPr>
                <w:rFonts w:ascii="Calibri" w:hAnsi="Calibri"/>
                <w:sz w:val="17"/>
              </w:rPr>
              <w:t>&lt; +2.0 pp</w:t>
            </w:r>
          </w:p>
        </w:tc>
        <w:tc>
          <w:tcPr>
            <w:tcW w:type="dxa" w:w="2592"/>
            <w:tcMar>
              <w:top w:w="60" w:type="dxa"/>
              <w:bottom w:w="60" w:type="dxa"/>
              <w:left w:w="80" w:type="dxa"/>
              <w:right w:w="80" w:type="dxa"/>
            </w:tcMar>
          </w:tcPr>
          <w:p>
            <w:pPr>
              <w:jc w:val="left"/>
            </w:pPr>
            <w:r>
              <w:rPr>
                <w:rFonts w:ascii="Calibri" w:hAnsi="Calibri"/>
                <w:sz w:val="17"/>
              </w:rPr>
              <w:t>Cero distorsión; gastos operativos no se activan en el balance.</w:t>
            </w:r>
          </w:p>
        </w:tc>
      </w:tr>
      <w:tr>
        <w:tc>
          <w:tcPr>
            <w:tcW w:type="dxa" w:w="2016"/>
            <w:tcMar>
              <w:top w:w="60" w:type="dxa"/>
              <w:bottom w:w="60" w:type="dxa"/>
              <w:left w:w="80" w:type="dxa"/>
              <w:right w:w="80" w:type="dxa"/>
            </w:tcMar>
          </w:tcPr>
          <w:p>
            <w:pPr>
              <w:jc w:val="left"/>
            </w:pPr>
            <w:r>
              <w:rPr>
                <w:rFonts w:ascii="Calibri" w:hAnsi="Calibri"/>
                <w:b/>
                <w:sz w:val="17"/>
              </w:rPr>
              <w:t>Manipulación Agregada</w:t>
            </w:r>
          </w:p>
        </w:tc>
        <w:tc>
          <w:tcPr>
            <w:tcW w:type="dxa" w:w="2016"/>
            <w:tcMar>
              <w:top w:w="60" w:type="dxa"/>
              <w:bottom w:w="60" w:type="dxa"/>
              <w:left w:w="80" w:type="dxa"/>
              <w:right w:w="80" w:type="dxa"/>
            </w:tcMar>
          </w:tcPr>
          <w:p>
            <w:pPr>
              <w:jc w:val="left"/>
            </w:pPr>
            <w:r>
              <w:rPr>
                <w:rFonts w:ascii="Calibri" w:hAnsi="Calibri"/>
                <w:b/>
                <w:sz w:val="17"/>
              </w:rPr>
              <w:t>Montier C-Score Total</w:t>
            </w:r>
          </w:p>
        </w:tc>
        <w:tc>
          <w:tcPr>
            <w:tcW w:type="dxa" w:w="1440"/>
            <w:tcMar>
              <w:top w:w="60" w:type="dxa"/>
              <w:bottom w:w="60" w:type="dxa"/>
              <w:left w:w="80" w:type="dxa"/>
              <w:right w:w="80" w:type="dxa"/>
            </w:tcMar>
          </w:tcPr>
          <w:p>
            <w:pPr>
              <w:jc w:val="center"/>
            </w:pPr>
            <w:r>
              <w:rPr>
                <w:rFonts w:ascii="Calibri" w:hAnsi="Calibri"/>
                <w:sz w:val="17"/>
              </w:rPr>
              <w:t>1 / 6</w:t>
            </w:r>
          </w:p>
        </w:tc>
        <w:tc>
          <w:tcPr>
            <w:tcW w:type="dxa" w:w="1728"/>
            <w:tcMar>
              <w:top w:w="60" w:type="dxa"/>
              <w:bottom w:w="60" w:type="dxa"/>
              <w:left w:w="80" w:type="dxa"/>
              <w:right w:w="80" w:type="dxa"/>
            </w:tcMar>
          </w:tcPr>
          <w:p>
            <w:pPr>
              <w:jc w:val="center"/>
            </w:pPr>
            <w:r>
              <w:rPr>
                <w:rFonts w:ascii="Calibri" w:hAnsi="Calibri"/>
                <w:sz w:val="17"/>
              </w:rPr>
              <w:t>0 - 1 Banderas</w:t>
            </w:r>
          </w:p>
        </w:tc>
        <w:tc>
          <w:tcPr>
            <w:tcW w:type="dxa" w:w="2592"/>
            <w:tcMar>
              <w:top w:w="60" w:type="dxa"/>
              <w:bottom w:w="60" w:type="dxa"/>
              <w:left w:w="80" w:type="dxa"/>
              <w:right w:w="80" w:type="dxa"/>
            </w:tcMar>
          </w:tcPr>
          <w:p>
            <w:pPr>
              <w:jc w:val="left"/>
            </w:pPr>
            <w:r>
              <w:rPr>
                <w:rFonts w:ascii="Calibri" w:hAnsi="Calibri"/>
                <w:sz w:val="17"/>
              </w:rPr>
              <w:t>Libros limpios (1/6); probabilidad estadística de fraude &lt; 5%.</w:t>
            </w:r>
          </w:p>
        </w:tc>
      </w:tr>
    </w:tbl>
    <w:p>
      <w:pPr>
        <w:spacing w:after="160"/>
      </w:pPr>
    </w:p>
    <w:p>
      <w:pPr>
        <w:pStyle w:val="Heading1"/>
      </w:pPr>
      <w:r>
        <w:t>13. Solvencia, Deuda y Estrés Financiero (Credit Risk Engine)</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Pr>
          <w:p>
            <w:r>
              <w:rPr>
                <w:b/>
                <w:color w:val="1B365D"/>
                <w:sz w:val="22"/>
              </w:rPr>
              <w:t>DICTAMEN GLOBAL DE SOLVENCIA (LTM): SOLVENCIA MODERADA</w:t>
              <w:br/>
            </w:r>
            <w:r>
              <w:rPr>
                <w:color w:val="2D3748"/>
                <w:sz w:val="19"/>
              </w:rPr>
              <w:t>Rating Sintético Damodaran: CCC (RIESGO SUSTANCIAL DE IMPAGO (CCC / Caa)) | Altman Z''-Score: 1.31 [ZONA GRIS]</w:t>
              <w:br/>
              <w:br/>
              <w:t>SOLVENCIA EQUILIBRADA BAJO MONITOREO: Apalancamiento controlado (7.64x), cobertura de 1.0x y Altman Z''-Score de 1.31. Estructura de capital adecuada sin riesgos inminentes de impago.</w:t>
            </w:r>
          </w:p>
        </w:tc>
      </w:tr>
    </w:tbl>
    <w:p/>
    <w:p>
      <w:pPr>
        <w:pStyle w:val="Heading2"/>
      </w:pPr>
      <w:r>
        <w:t>13.1. Apalancamiento y Capacidad de Amortización (Cash Flow Leverage)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Amortización</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Diagnóstico</w:t>
            </w:r>
          </w:p>
        </w:tc>
      </w:tr>
      <w:tr>
        <w:tc>
          <w:tcPr>
            <w:tcW w:type="dxa" w:w="2448"/>
          </w:tcPr>
          <w:p>
            <w:r>
              <w:rPr>
                <w:b/>
                <w:sz w:val="17"/>
              </w:rPr>
              <w:t>Deuda Financiera Total</w:t>
            </w:r>
          </w:p>
        </w:tc>
        <w:tc>
          <w:tcPr>
            <w:tcW w:type="dxa" w:w="2448"/>
          </w:tcPr>
          <w:p>
            <w:r>
              <w:rPr>
                <w:sz w:val="17"/>
              </w:rPr>
              <w:t>Short + Long Term Debt</w:t>
            </w:r>
          </w:p>
        </w:tc>
        <w:tc>
          <w:tcPr>
            <w:tcW w:type="dxa" w:w="2448"/>
          </w:tcPr>
          <w:p>
            <w:r>
              <w:rPr>
                <w:b/>
                <w:sz w:val="17"/>
              </w:rPr>
              <w:t>$29,289.1M</w:t>
            </w:r>
          </w:p>
        </w:tc>
        <w:tc>
          <w:tcPr>
            <w:tcW w:type="dxa" w:w="2448"/>
          </w:tcPr>
          <w:p>
            <w:r>
              <w:rPr>
                <w:sz w:val="17"/>
              </w:rPr>
              <w:t>Referencia Balance</w:t>
            </w:r>
          </w:p>
        </w:tc>
      </w:tr>
      <w:tr>
        <w:tc>
          <w:tcPr>
            <w:tcW w:type="dxa" w:w="2448"/>
            <w:shd w:fill="F7FAFC"/>
          </w:tcPr>
          <w:p>
            <w:r>
              <w:rPr>
                <w:b/>
                <w:sz w:val="17"/>
              </w:rPr>
              <w:t>Tesorería y Equivalentes</w:t>
            </w:r>
          </w:p>
        </w:tc>
        <w:tc>
          <w:tcPr>
            <w:tcW w:type="dxa" w:w="2448"/>
            <w:shd w:fill="F7FAFC"/>
          </w:tcPr>
          <w:p>
            <w:r>
              <w:rPr>
                <w:sz w:val="17"/>
              </w:rPr>
              <w:t>Cash &amp; Equivalents</w:t>
            </w:r>
          </w:p>
        </w:tc>
        <w:tc>
          <w:tcPr>
            <w:tcW w:type="dxa" w:w="2448"/>
            <w:shd w:fill="F7FAFC"/>
          </w:tcPr>
          <w:p>
            <w:r>
              <w:rPr>
                <w:b/>
                <w:sz w:val="17"/>
              </w:rPr>
              <w:t>$552.6M</w:t>
            </w:r>
          </w:p>
        </w:tc>
        <w:tc>
          <w:tcPr>
            <w:tcW w:type="dxa" w:w="2448"/>
            <w:shd w:fill="F7FAFC"/>
          </w:tcPr>
          <w:p>
            <w:r>
              <w:rPr>
                <w:sz w:val="17"/>
              </w:rPr>
              <w:t>Liquidez Inmediata</w:t>
            </w:r>
          </w:p>
        </w:tc>
      </w:tr>
      <w:tr>
        <w:tc>
          <w:tcPr>
            <w:tcW w:type="dxa" w:w="2448"/>
          </w:tcPr>
          <w:p>
            <w:r>
              <w:rPr>
                <w:b/>
                <w:sz w:val="17"/>
              </w:rPr>
              <w:t>Deuda Financiera Neta</w:t>
            </w:r>
          </w:p>
        </w:tc>
        <w:tc>
          <w:tcPr>
            <w:tcW w:type="dxa" w:w="2448"/>
          </w:tcPr>
          <w:p>
            <w:r>
              <w:rPr>
                <w:sz w:val="17"/>
              </w:rPr>
              <w:t>Deuda Total - Tesorería</w:t>
            </w:r>
          </w:p>
        </w:tc>
        <w:tc>
          <w:tcPr>
            <w:tcW w:type="dxa" w:w="2448"/>
          </w:tcPr>
          <w:p>
            <w:r>
              <w:rPr>
                <w:b/>
                <w:sz w:val="17"/>
              </w:rPr>
              <w:t>$+28,736.4M</w:t>
            </w:r>
          </w:p>
        </w:tc>
        <w:tc>
          <w:tcPr>
            <w:tcW w:type="dxa" w:w="2448"/>
          </w:tcPr>
          <w:p>
            <w:r>
              <w:rPr>
                <w:sz w:val="17"/>
              </w:rPr>
              <w:t>Deuda Neta</w:t>
            </w:r>
          </w:p>
        </w:tc>
      </w:tr>
      <w:tr>
        <w:tc>
          <w:tcPr>
            <w:tcW w:type="dxa" w:w="2448"/>
            <w:shd w:fill="F7FAFC"/>
          </w:tcPr>
          <w:p>
            <w:r>
              <w:rPr>
                <w:b/>
                <w:sz w:val="17"/>
              </w:rPr>
              <w:t>Deuda Neta / EBITDA</w:t>
            </w:r>
          </w:p>
        </w:tc>
        <w:tc>
          <w:tcPr>
            <w:tcW w:type="dxa" w:w="2448"/>
            <w:shd w:fill="F7FAFC"/>
          </w:tcPr>
          <w:p>
            <w:r>
              <w:rPr>
                <w:sz w:val="17"/>
              </w:rPr>
              <w:t>Deuda Neta / EBITDA</w:t>
            </w:r>
          </w:p>
        </w:tc>
        <w:tc>
          <w:tcPr>
            <w:tcW w:type="dxa" w:w="2448"/>
            <w:shd w:fill="F7FAFC"/>
          </w:tcPr>
          <w:p>
            <w:r>
              <w:rPr>
                <w:b/>
                <w:sz w:val="17"/>
              </w:rPr>
              <w:t>7.64x</w:t>
            </w:r>
          </w:p>
        </w:tc>
        <w:tc>
          <w:tcPr>
            <w:tcW w:type="dxa" w:w="2448"/>
            <w:shd w:fill="F7FAFC"/>
          </w:tcPr>
          <w:p>
            <w:r>
              <w:rPr>
                <w:sz w:val="17"/>
              </w:rPr>
              <w:t>GRADO ESPECULATIVO / ALTO APALANCAMIENTO (&gt; 4.0x)</w:t>
            </w:r>
          </w:p>
        </w:tc>
      </w:tr>
      <w:tr>
        <w:tc>
          <w:tcPr>
            <w:tcW w:type="dxa" w:w="2448"/>
          </w:tcPr>
          <w:p>
            <w:r>
              <w:rPr>
                <w:b/>
                <w:sz w:val="17"/>
              </w:rPr>
              <w:t>Deuda Neta / FCF</w:t>
            </w:r>
          </w:p>
        </w:tc>
        <w:tc>
          <w:tcPr>
            <w:tcW w:type="dxa" w:w="2448"/>
          </w:tcPr>
          <w:p>
            <w:r>
              <w:rPr>
                <w:sz w:val="17"/>
              </w:rPr>
              <w:t>Deuda Neta / FCF</w:t>
            </w:r>
          </w:p>
        </w:tc>
        <w:tc>
          <w:tcPr>
            <w:tcW w:type="dxa" w:w="2448"/>
          </w:tcPr>
          <w:p>
            <w:r>
              <w:rPr>
                <w:b/>
                <w:sz w:val="17"/>
              </w:rPr>
              <w:t>7.18x</w:t>
            </w:r>
          </w:p>
        </w:tc>
        <w:tc>
          <w:tcPr>
            <w:tcW w:type="dxa" w:w="2448"/>
          </w:tcPr>
          <w:p>
            <w:r>
              <w:rPr>
                <w:sz w:val="17"/>
              </w:rPr>
              <w:t>Años de Caja Libre</w:t>
            </w:r>
          </w:p>
        </w:tc>
      </w:tr>
    </w:tbl>
    <w:p/>
    <w:p>
      <w:pPr>
        <w:pStyle w:val="Heading2"/>
      </w:pPr>
      <w:r>
        <w:t>13.2. Cobertura de Intereses y Carga Financiera</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Cobertura</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Evaluación</w:t>
            </w:r>
          </w:p>
        </w:tc>
      </w:tr>
      <w:tr>
        <w:tc>
          <w:tcPr>
            <w:tcW w:type="dxa" w:w="2448"/>
          </w:tcPr>
          <w:p>
            <w:r>
              <w:rPr>
                <w:b/>
                <w:sz w:val="17"/>
              </w:rPr>
              <w:t>Beneficio Operativo (EBIT)</w:t>
            </w:r>
          </w:p>
        </w:tc>
        <w:tc>
          <w:tcPr>
            <w:tcW w:type="dxa" w:w="2448"/>
          </w:tcPr>
          <w:p>
            <w:r>
              <w:rPr>
                <w:sz w:val="17"/>
              </w:rPr>
              <w:t>Operating Income</w:t>
            </w:r>
          </w:p>
        </w:tc>
        <w:tc>
          <w:tcPr>
            <w:tcW w:type="dxa" w:w="2448"/>
          </w:tcPr>
          <w:p>
            <w:r>
              <w:rPr>
                <w:b/>
                <w:sz w:val="17"/>
              </w:rPr>
              <w:t>$1,217.7M</w:t>
            </w:r>
          </w:p>
        </w:tc>
        <w:tc>
          <w:tcPr>
            <w:tcW w:type="dxa" w:w="2448"/>
          </w:tcPr>
          <w:p>
            <w:r>
              <w:rPr>
                <w:sz w:val="17"/>
              </w:rPr>
              <w:t>Fondo de Cobertura</w:t>
            </w:r>
          </w:p>
        </w:tc>
      </w:tr>
      <w:tr>
        <w:tc>
          <w:tcPr>
            <w:tcW w:type="dxa" w:w="2448"/>
            <w:shd w:fill="F7FAFC"/>
          </w:tcPr>
          <w:p>
            <w:r>
              <w:rPr>
                <w:b/>
                <w:sz w:val="17"/>
              </w:rPr>
              <w:t>Gasto por Intereses</w:t>
            </w:r>
          </w:p>
        </w:tc>
        <w:tc>
          <w:tcPr>
            <w:tcW w:type="dxa" w:w="2448"/>
            <w:shd w:fill="F7FAFC"/>
          </w:tcPr>
          <w:p>
            <w:r>
              <w:rPr>
                <w:sz w:val="17"/>
              </w:rPr>
              <w:t>Gasto Financiero Auditado/Estimado</w:t>
            </w:r>
          </w:p>
        </w:tc>
        <w:tc>
          <w:tcPr>
            <w:tcW w:type="dxa" w:w="2448"/>
            <w:shd w:fill="F7FAFC"/>
          </w:tcPr>
          <w:p>
            <w:r>
              <w:rPr>
                <w:b/>
                <w:sz w:val="17"/>
              </w:rPr>
              <w:t>$1,186.7M</w:t>
            </w:r>
          </w:p>
        </w:tc>
        <w:tc>
          <w:tcPr>
            <w:tcW w:type="dxa" w:w="2448"/>
            <w:shd w:fill="F7FAFC"/>
          </w:tcPr>
          <w:p>
            <w:r>
              <w:rPr>
                <w:sz w:val="17"/>
              </w:rPr>
              <w:t>Carga Obligatoria</w:t>
            </w:r>
          </w:p>
        </w:tc>
      </w:tr>
      <w:tr>
        <w:tc>
          <w:tcPr>
            <w:tcW w:type="dxa" w:w="2448"/>
          </w:tcPr>
          <w:p>
            <w:r>
              <w:rPr>
                <w:b/>
                <w:sz w:val="17"/>
              </w:rPr>
              <w:t>Cobertura de Intereses Operativa</w:t>
            </w:r>
          </w:p>
        </w:tc>
        <w:tc>
          <w:tcPr>
            <w:tcW w:type="dxa" w:w="2448"/>
          </w:tcPr>
          <w:p>
            <w:r>
              <w:rPr>
                <w:sz w:val="17"/>
              </w:rPr>
              <w:t>EBIT / Gasto Financiero</w:t>
            </w:r>
          </w:p>
        </w:tc>
        <w:tc>
          <w:tcPr>
            <w:tcW w:type="dxa" w:w="2448"/>
          </w:tcPr>
          <w:p>
            <w:r>
              <w:rPr>
                <w:b/>
                <w:sz w:val="17"/>
              </w:rPr>
              <w:t>1.0x</w:t>
            </w:r>
          </w:p>
        </w:tc>
        <w:tc>
          <w:tcPr>
            <w:tcW w:type="dxa" w:w="2448"/>
          </w:tcPr>
          <w:p>
            <w:r>
              <w:rPr>
                <w:sz w:val="17"/>
              </w:rPr>
              <w:t>PELIGRO DE DEFAULT (&lt; 2.5x)</w:t>
            </w:r>
          </w:p>
        </w:tc>
      </w:tr>
      <w:tr>
        <w:tc>
          <w:tcPr>
            <w:tcW w:type="dxa" w:w="2448"/>
            <w:shd w:fill="F7FAFC"/>
          </w:tcPr>
          <w:p>
            <w:r>
              <w:rPr>
                <w:b/>
                <w:sz w:val="17"/>
              </w:rPr>
              <w:t>Carga Financiera sobre CFO</w:t>
            </w:r>
          </w:p>
        </w:tc>
        <w:tc>
          <w:tcPr>
            <w:tcW w:type="dxa" w:w="2448"/>
            <w:shd w:fill="F7FAFC"/>
          </w:tcPr>
          <w:p>
            <w:r>
              <w:rPr>
                <w:sz w:val="17"/>
              </w:rPr>
              <w:t>(Intereses / CFO) * 100</w:t>
            </w:r>
          </w:p>
        </w:tc>
        <w:tc>
          <w:tcPr>
            <w:tcW w:type="dxa" w:w="2448"/>
            <w:shd w:fill="F7FAFC"/>
          </w:tcPr>
          <w:p>
            <w:r>
              <w:rPr>
                <w:b/>
                <w:sz w:val="17"/>
              </w:rPr>
              <w:t>28.48%</w:t>
            </w:r>
          </w:p>
        </w:tc>
        <w:tc>
          <w:tcPr>
            <w:tcW w:type="dxa" w:w="2448"/>
            <w:shd w:fill="F7FAFC"/>
          </w:tcPr>
          <w:p>
            <w:r>
              <w:rPr>
                <w:sz w:val="17"/>
              </w:rPr>
              <w:t>Impacto en Caja</w:t>
            </w:r>
          </w:p>
        </w:tc>
      </w:tr>
    </w:tbl>
    <w:p/>
    <w:p>
      <w:pPr>
        <w:pStyle w:val="Heading2"/>
      </w:pPr>
      <w:r>
        <w:t>13.3. Modelos de Quiebra (Altman Z'') y Rating Sintético</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Instrumento Predictivo</w:t>
            </w:r>
          </w:p>
        </w:tc>
        <w:tc>
          <w:tcPr>
            <w:tcW w:type="dxa" w:w="2448"/>
            <w:shd w:fill="1B365D"/>
          </w:tcPr>
          <w:p>
            <w:r>
              <w:rPr>
                <w:b/>
                <w:color w:val="FFFFFF"/>
                <w:sz w:val="18"/>
              </w:rPr>
              <w:t>Resultado Cuantitativo</w:t>
            </w:r>
          </w:p>
        </w:tc>
        <w:tc>
          <w:tcPr>
            <w:tcW w:type="dxa" w:w="2448"/>
            <w:shd w:fill="1B365D"/>
          </w:tcPr>
          <w:p>
            <w:r>
              <w:rPr>
                <w:b/>
                <w:color w:val="FFFFFF"/>
                <w:sz w:val="18"/>
              </w:rPr>
              <w:t>Calificación / Zona</w:t>
            </w:r>
          </w:p>
        </w:tc>
        <w:tc>
          <w:tcPr>
            <w:tcW w:type="dxa" w:w="2448"/>
            <w:shd w:fill="1B365D"/>
          </w:tcPr>
          <w:p>
            <w:r>
              <w:rPr>
                <w:b/>
                <w:color w:val="FFFFFF"/>
                <w:sz w:val="18"/>
              </w:rPr>
              <w:t>Interpretación Institucional</w:t>
            </w:r>
          </w:p>
        </w:tc>
      </w:tr>
      <w:tr>
        <w:tc>
          <w:tcPr>
            <w:tcW w:type="dxa" w:w="2448"/>
          </w:tcPr>
          <w:p>
            <w:r>
              <w:rPr>
                <w:b/>
                <w:sz w:val="17"/>
              </w:rPr>
              <w:t>Altman Z''-Score (4 Variables)</w:t>
            </w:r>
          </w:p>
        </w:tc>
        <w:tc>
          <w:tcPr>
            <w:tcW w:type="dxa" w:w="2448"/>
          </w:tcPr>
          <w:p>
            <w:r>
              <w:rPr>
                <w:b/>
                <w:sz w:val="17"/>
              </w:rPr>
              <w:t>1.31</w:t>
            </w:r>
          </w:p>
        </w:tc>
        <w:tc>
          <w:tcPr>
            <w:tcW w:type="dxa" w:w="2448"/>
          </w:tcPr>
          <w:p>
            <w:r>
              <w:rPr>
                <w:sz w:val="17"/>
              </w:rPr>
              <w:t>ZONA GRIS</w:t>
            </w:r>
          </w:p>
        </w:tc>
        <w:tc>
          <w:tcPr>
            <w:tcW w:type="dxa" w:w="2448"/>
          </w:tcPr>
          <w:p>
            <w:r>
              <w:rPr>
                <w:sz w:val="17"/>
              </w:rPr>
              <w:t>ZONA GRIS (PRECAUCIÓN Y SEGUIMIENTO)</w:t>
            </w:r>
          </w:p>
        </w:tc>
      </w:tr>
      <w:tr>
        <w:tc>
          <w:tcPr>
            <w:tcW w:type="dxa" w:w="2448"/>
            <w:shd w:fill="F7FAFC"/>
          </w:tcPr>
          <w:p>
            <w:r>
              <w:rPr>
                <w:b/>
                <w:sz w:val="17"/>
              </w:rPr>
              <w:t>Rating Sintético Damodaran</w:t>
            </w:r>
          </w:p>
        </w:tc>
        <w:tc>
          <w:tcPr>
            <w:tcW w:type="dxa" w:w="2448"/>
            <w:shd w:fill="F7FAFC"/>
          </w:tcPr>
          <w:p>
            <w:r>
              <w:rPr>
                <w:b/>
                <w:sz w:val="17"/>
              </w:rPr>
              <w:t>CCC</w:t>
            </w:r>
          </w:p>
        </w:tc>
        <w:tc>
          <w:tcPr>
            <w:tcW w:type="dxa" w:w="2448"/>
            <w:shd w:fill="F7FAFC"/>
          </w:tcPr>
          <w:p>
            <w:r>
              <w:rPr>
                <w:sz w:val="17"/>
              </w:rPr>
              <w:t>RIESGO SUSTANCIAL DE IMPAGO (CCC / Caa)</w:t>
            </w:r>
          </w:p>
        </w:tc>
        <w:tc>
          <w:tcPr>
            <w:tcW w:type="dxa" w:w="2448"/>
            <w:shd w:fill="F7FAFC"/>
          </w:tcPr>
          <w:p>
            <w:r>
              <w:rPr>
                <w:sz w:val="17"/>
              </w:rPr>
              <w:t>Spread Teórico: +8.00%</w:t>
            </w:r>
          </w:p>
        </w:tc>
      </w:tr>
      <w:tr>
        <w:tc>
          <w:tcPr>
            <w:tcW w:type="dxa" w:w="2448"/>
          </w:tcPr>
          <w:p>
            <w:r>
              <w:rPr>
                <w:b/>
                <w:sz w:val="17"/>
              </w:rPr>
              <w:t>Probabilidad de Default a 10 Años</w:t>
            </w:r>
          </w:p>
        </w:tc>
        <w:tc>
          <w:tcPr>
            <w:tcW w:type="dxa" w:w="2448"/>
          </w:tcPr>
          <w:p>
            <w:r>
              <w:rPr>
                <w:b/>
                <w:sz w:val="17"/>
              </w:rPr>
              <w:t>25.0%</w:t>
            </w:r>
          </w:p>
        </w:tc>
        <w:tc>
          <w:tcPr>
            <w:tcW w:type="dxa" w:w="2448"/>
          </w:tcPr>
          <w:p>
            <w:r>
              <w:rPr>
                <w:sz w:val="17"/>
              </w:rPr>
              <w:t>Estadística S&amp;P</w:t>
            </w:r>
          </w:p>
        </w:tc>
        <w:tc>
          <w:tcPr>
            <w:tcW w:type="dxa" w:w="2448"/>
          </w:tcPr>
          <w:p>
            <w:r>
              <w:rPr>
                <w:sz w:val="17"/>
              </w:rPr>
              <w:t>Mínimo riesgo crediticio histórico.</w:t>
            </w:r>
          </w:p>
        </w:tc>
      </w:tr>
    </w:tbl>
    <w:p>
      <w:pPr>
        <w:pStyle w:val="Heading1"/>
        <w:spacing w:before="280" w:after="80"/>
      </w:pPr>
      <w:r>
        <w:rPr>
          <w:rFonts w:ascii="Calibri" w:hAnsi="Calibri"/>
          <w:b/>
          <w:color w:val="1B365D"/>
          <w:sz w:val="28"/>
        </w:rPr>
        <w:t>14. Modelado Financiero y Descuento Inverso de Flujo de Caja (Reverse DCF &amp; Expectations)</w:t>
      </w:r>
    </w:p>
    <w:p>
      <w:pPr>
        <w:spacing w:before="80" w:after="160"/>
        <w:ind w:left="288" w:right="288"/>
      </w:pPr>
      <w:r>
        <w:rPr>
          <w:rFonts w:ascii="Calibri" w:hAnsi="Calibri"/>
          <w:b/>
          <w:color w:val="1B365D"/>
          <w:sz w:val="21"/>
        </w:rPr>
        <w:t>PROPÓSITO DE VALORACIÓN: INTEGRACIÓN FISCAL AI &amp; REVERSE DCF PROPIETARIO</w:t>
        <w:br/>
      </w:r>
      <w:r>
        <w:rPr>
          <w:rFonts w:ascii="Calibri" w:hAnsi="Calibri"/>
          <w:color w:val="2D3748"/>
          <w:sz w:val="19"/>
        </w:rPr>
        <w:t>• Precio de Referencia: $54.13  |  WACC Auditado: 6.81% (Rf: 5.27%, ERP: 4.75%)</w:t>
        <w:br/>
        <w:t>• Crecimiento Implícito Calculado: 16.3% Anual a 10 Años (vs. 27.4% Histórico y 27.4% Guidance)</w:t>
        <w:br/>
        <w:t>• Veredicto: Descuenta expectativas de 16.3% anual (-11.1 pp sobre guidance). Exigencia de crecimiento ambiciosa (+16.3% anual); requiere catalizadores sostenidos de expansión comercial.</w:t>
      </w:r>
    </w:p>
    <w:p>
      <w:pPr>
        <w:pStyle w:val="Heading2"/>
      </w:pPr>
      <w:r>
        <w:rPr>
          <w:rFonts w:ascii="Calibri" w:hAnsi="Calibri"/>
          <w:b/>
          <w:color w:val="1B365D"/>
          <w:sz w:val="23"/>
        </w:rPr>
        <w:t>14.1. Configuración Óptima en Plataformas de Valoración (Fiscal AI)</w:t>
      </w:r>
    </w:p>
    <w:p>
      <w:r>
        <w:rPr>
          <w:rFonts w:ascii="Calibri" w:hAnsi="Calibri"/>
          <w:color w:val="2D3748"/>
          <w:sz w:val="18"/>
        </w:rPr>
        <w:t>Para evitar sesgos especulativos se recomienda configurar Fiscal AI con: (1) Modo Perpetuity (2.5%), anclando el valor terminal a la inflación/PIB sin especular con múltiplos de salida; (2) Pestaña Revenue Growth, por ser el motor económico más limpio contra distorsiones contables; y (3) Horizonte de 10 Años, capturando el ciclo completo de inversión y maduración.</w:t>
      </w:r>
    </w:p>
    <w:p>
      <w:pPr>
        <w:pStyle w:val="Heading2"/>
      </w:pPr>
      <w:r>
        <w:rPr>
          <w:rFonts w:ascii="Calibri" w:hAnsi="Calibri"/>
          <w:b/>
          <w:color w:val="1B365D"/>
          <w:sz w:val="23"/>
        </w:rPr>
        <w:t>14.2. Tabla Maestra de Parámetros Auditados en Tiempo Real (Advanced Mode)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Casilla / Input Fiscal AI</w:t>
            </w:r>
          </w:p>
        </w:tc>
        <w:tc>
          <w:tcPr>
            <w:tcW w:type="dxa" w:w="2448"/>
            <w:shd w:fill="1B365D"/>
          </w:tcPr>
          <w:p>
            <w:r>
              <w:rPr>
                <w:b/>
                <w:color w:val="FFFFFF"/>
                <w:sz w:val="18"/>
              </w:rPr>
              <w:t>Valor Auditado</w:t>
            </w:r>
          </w:p>
        </w:tc>
        <w:tc>
          <w:tcPr>
            <w:tcW w:type="dxa" w:w="2448"/>
            <w:shd w:fill="1B365D"/>
          </w:tcPr>
          <w:p>
            <w:r>
              <w:rPr>
                <w:b/>
                <w:color w:val="FFFFFF"/>
                <w:sz w:val="18"/>
              </w:rPr>
              <w:t>Sección de Origen</w:t>
            </w:r>
          </w:p>
        </w:tc>
        <w:tc>
          <w:tcPr>
            <w:tcW w:type="dxa" w:w="2448"/>
            <w:shd w:fill="1B365D"/>
          </w:tcPr>
          <w:p>
            <w:r>
              <w:rPr>
                <w:b/>
                <w:color w:val="FFFFFF"/>
                <w:sz w:val="18"/>
              </w:rPr>
              <w:t>Racional Técnico y Sustento</w:t>
            </w:r>
          </w:p>
        </w:tc>
      </w:tr>
      <w:tr>
        <w:tc>
          <w:tcPr>
            <w:tcW w:type="dxa" w:w="2448"/>
          </w:tcPr>
          <w:p>
            <w:r>
              <w:rPr>
                <w:b/>
                <w:sz w:val="17"/>
              </w:rPr>
              <w:t>Current Share Price</w:t>
            </w:r>
          </w:p>
        </w:tc>
        <w:tc>
          <w:tcPr>
            <w:tcW w:type="dxa" w:w="2448"/>
          </w:tcPr>
          <w:p>
            <w:r>
              <w:rPr>
                <w:b/>
                <w:sz w:val="17"/>
              </w:rPr>
              <w:t>$54.13</w:t>
            </w:r>
          </w:p>
        </w:tc>
        <w:tc>
          <w:tcPr>
            <w:tcW w:type="dxa" w:w="2448"/>
          </w:tcPr>
          <w:p>
            <w:r>
              <w:rPr>
                <w:sz w:val="17"/>
              </w:rPr>
              <w:t>Mercado en Vivo</w:t>
            </w:r>
          </w:p>
        </w:tc>
        <w:tc>
          <w:tcPr>
            <w:tcW w:type="dxa" w:w="2448"/>
          </w:tcPr>
          <w:p>
            <w:r>
              <w:rPr>
                <w:sz w:val="17"/>
              </w:rPr>
              <w:t>Cotización bursátil en tiempo real.</w:t>
            </w:r>
          </w:p>
        </w:tc>
      </w:tr>
      <w:tr>
        <w:tc>
          <w:tcPr>
            <w:tcW w:type="dxa" w:w="2448"/>
            <w:shd w:fill="F7FAFC"/>
          </w:tcPr>
          <w:p>
            <w:r>
              <w:rPr>
                <w:b/>
                <w:sz w:val="17"/>
              </w:rPr>
              <w:t>Risk-Free Rate (Rf)</w:t>
            </w:r>
          </w:p>
        </w:tc>
        <w:tc>
          <w:tcPr>
            <w:tcW w:type="dxa" w:w="2448"/>
            <w:shd w:fill="F7FAFC"/>
          </w:tcPr>
          <w:p>
            <w:r>
              <w:rPr>
                <w:b/>
                <w:sz w:val="17"/>
              </w:rPr>
              <w:t>5.27%</w:t>
            </w:r>
          </w:p>
        </w:tc>
        <w:tc>
          <w:tcPr>
            <w:tcW w:type="dxa" w:w="2448"/>
            <w:shd w:fill="F7FAFC"/>
          </w:tcPr>
          <w:p>
            <w:r>
              <w:rPr>
                <w:sz w:val="17"/>
              </w:rPr>
              <w:t>Sección 11.2 (Bonos)</w:t>
            </w:r>
          </w:p>
        </w:tc>
        <w:tc>
          <w:tcPr>
            <w:tcW w:type="dxa" w:w="2448"/>
            <w:shd w:fill="F7FAFC"/>
          </w:tcPr>
          <w:p>
            <w:r>
              <w:rPr>
                <w:sz w:val="17"/>
              </w:rPr>
              <w:t>Rendimiento del Bono del Tesoro de EE.UU. a 10 años (^TNX).</w:t>
            </w:r>
          </w:p>
        </w:tc>
      </w:tr>
      <w:tr>
        <w:tc>
          <w:tcPr>
            <w:tcW w:type="dxa" w:w="2448"/>
          </w:tcPr>
          <w:p>
            <w:r>
              <w:rPr>
                <w:b/>
                <w:sz w:val="17"/>
              </w:rPr>
              <w:t>Equity Risk Premium</w:t>
            </w:r>
          </w:p>
        </w:tc>
        <w:tc>
          <w:tcPr>
            <w:tcW w:type="dxa" w:w="2448"/>
          </w:tcPr>
          <w:p>
            <w:r>
              <w:rPr>
                <w:b/>
                <w:sz w:val="17"/>
              </w:rPr>
              <w:t>4.75%</w:t>
            </w:r>
          </w:p>
        </w:tc>
        <w:tc>
          <w:tcPr>
            <w:tcW w:type="dxa" w:w="2448"/>
          </w:tcPr>
          <w:p>
            <w:r>
              <w:rPr>
                <w:sz w:val="17"/>
              </w:rPr>
              <w:t>Damodaran Benchmark</w:t>
            </w:r>
          </w:p>
        </w:tc>
        <w:tc>
          <w:tcPr>
            <w:tcW w:type="dxa" w:w="2448"/>
          </w:tcPr>
          <w:p>
            <w:r>
              <w:rPr>
                <w:sz w:val="17"/>
              </w:rPr>
              <w:t>Prima de riesgo de mercado institucional.</w:t>
            </w:r>
          </w:p>
        </w:tc>
      </w:tr>
      <w:tr>
        <w:tc>
          <w:tcPr>
            <w:tcW w:type="dxa" w:w="2448"/>
            <w:shd w:fill="F7FAFC"/>
          </w:tcPr>
          <w:p>
            <w:r>
              <w:rPr>
                <w:b/>
                <w:sz w:val="17"/>
              </w:rPr>
              <w:t>Beta (Levered)</w:t>
            </w:r>
          </w:p>
        </w:tc>
        <w:tc>
          <w:tcPr>
            <w:tcW w:type="dxa" w:w="2448"/>
            <w:shd w:fill="F7FAFC"/>
          </w:tcPr>
          <w:p>
            <w:r>
              <w:rPr>
                <w:b/>
                <w:sz w:val="17"/>
              </w:rPr>
              <w:t>0.69</w:t>
            </w:r>
          </w:p>
        </w:tc>
        <w:tc>
          <w:tcPr>
            <w:tcW w:type="dxa" w:w="2448"/>
            <w:shd w:fill="F7FAFC"/>
          </w:tcPr>
          <w:p>
            <w:r>
              <w:rPr>
                <w:sz w:val="17"/>
              </w:rPr>
              <w:t>Sección 11.2 (Arbitraje)</w:t>
            </w:r>
          </w:p>
        </w:tc>
        <w:tc>
          <w:tcPr>
            <w:tcW w:type="dxa" w:w="2448"/>
            <w:shd w:fill="F7FAFC"/>
          </w:tcPr>
          <w:p>
            <w:r>
              <w:rPr>
                <w:sz w:val="17"/>
              </w:rPr>
              <w:t>Sensibilidad sistemática frente al S&amp;P 500.</w:t>
            </w:r>
          </w:p>
        </w:tc>
      </w:tr>
      <w:tr>
        <w:tc>
          <w:tcPr>
            <w:tcW w:type="dxa" w:w="2448"/>
          </w:tcPr>
          <w:p>
            <w:r>
              <w:rPr>
                <w:b/>
                <w:sz w:val="17"/>
              </w:rPr>
              <w:t>Pre-Tax Cost of Debt</w:t>
            </w:r>
          </w:p>
        </w:tc>
        <w:tc>
          <w:tcPr>
            <w:tcW w:type="dxa" w:w="2448"/>
          </w:tcPr>
          <w:p>
            <w:r>
              <w:rPr>
                <w:b/>
                <w:sz w:val="17"/>
              </w:rPr>
              <w:t>4.05%</w:t>
            </w:r>
          </w:p>
        </w:tc>
        <w:tc>
          <w:tcPr>
            <w:tcW w:type="dxa" w:w="2448"/>
          </w:tcPr>
          <w:p>
            <w:r>
              <w:rPr>
                <w:sz w:val="17"/>
              </w:rPr>
              <w:t>Sección 11.2 (Sintético)</w:t>
            </w:r>
          </w:p>
        </w:tc>
        <w:tc>
          <w:tcPr>
            <w:tcW w:type="dxa" w:w="2448"/>
          </w:tcPr>
          <w:p>
            <w:r>
              <w:rPr>
                <w:sz w:val="17"/>
              </w:rPr>
              <w:t>Coste de financiamiento bruto por rating sintético.</w:t>
            </w:r>
          </w:p>
        </w:tc>
      </w:tr>
      <w:tr>
        <w:tc>
          <w:tcPr>
            <w:tcW w:type="dxa" w:w="2448"/>
            <w:shd w:fill="F7FAFC"/>
          </w:tcPr>
          <w:p>
            <w:r>
              <w:rPr>
                <w:b/>
                <w:sz w:val="17"/>
              </w:rPr>
              <w:t>After-Tax Cost of Debt</w:t>
            </w:r>
          </w:p>
        </w:tc>
        <w:tc>
          <w:tcPr>
            <w:tcW w:type="dxa" w:w="2448"/>
            <w:shd w:fill="F7FAFC"/>
          </w:tcPr>
          <w:p>
            <w:r>
              <w:rPr>
                <w:b/>
                <w:sz w:val="17"/>
              </w:rPr>
              <w:t>3.85%</w:t>
            </w:r>
          </w:p>
        </w:tc>
        <w:tc>
          <w:tcPr>
            <w:tcW w:type="dxa" w:w="2448"/>
            <w:shd w:fill="F7FAFC"/>
          </w:tcPr>
          <w:p>
            <w:r>
              <w:rPr>
                <w:sz w:val="17"/>
              </w:rPr>
              <w:t>Sección 11.2 (WACC)</w:t>
            </w:r>
          </w:p>
        </w:tc>
        <w:tc>
          <w:tcPr>
            <w:tcW w:type="dxa" w:w="2448"/>
            <w:shd w:fill="F7FAFC"/>
          </w:tcPr>
          <w:p>
            <w:r>
              <w:rPr>
                <w:sz w:val="17"/>
              </w:rPr>
              <w:t>Coste neto del escudo fiscal: Kd * (1 - t).</w:t>
            </w:r>
          </w:p>
        </w:tc>
      </w:tr>
      <w:tr>
        <w:tc>
          <w:tcPr>
            <w:tcW w:type="dxa" w:w="2448"/>
          </w:tcPr>
          <w:p>
            <w:r>
              <w:rPr>
                <w:b/>
                <w:sz w:val="17"/>
              </w:rPr>
              <w:t>Effective Tax Rate</w:t>
            </w:r>
          </w:p>
        </w:tc>
        <w:tc>
          <w:tcPr>
            <w:tcW w:type="dxa" w:w="2448"/>
          </w:tcPr>
          <w:p>
            <w:r>
              <w:rPr>
                <w:b/>
                <w:sz w:val="17"/>
              </w:rPr>
              <w:t>5.0%</w:t>
            </w:r>
          </w:p>
        </w:tc>
        <w:tc>
          <w:tcPr>
            <w:tcW w:type="dxa" w:w="2448"/>
          </w:tcPr>
          <w:p>
            <w:r>
              <w:rPr>
                <w:sz w:val="17"/>
              </w:rPr>
              <w:t>Sección 11.2 (SEC 10-K)</w:t>
            </w:r>
          </w:p>
        </w:tc>
        <w:tc>
          <w:tcPr>
            <w:tcW w:type="dxa" w:w="2448"/>
          </w:tcPr>
          <w:p>
            <w:r>
              <w:rPr>
                <w:sz w:val="17"/>
              </w:rPr>
              <w:t>Tasa impositiva estructural auditada.</w:t>
            </w:r>
          </w:p>
        </w:tc>
      </w:tr>
      <w:tr>
        <w:tc>
          <w:tcPr>
            <w:tcW w:type="dxa" w:w="2448"/>
            <w:shd w:fill="F7FAFC"/>
          </w:tcPr>
          <w:p>
            <w:r>
              <w:rPr>
                <w:b/>
                <w:sz w:val="17"/>
              </w:rPr>
              <w:t>Weight of Debt</w:t>
            </w:r>
          </w:p>
        </w:tc>
        <w:tc>
          <w:tcPr>
            <w:tcW w:type="dxa" w:w="2448"/>
            <w:shd w:fill="F7FAFC"/>
          </w:tcPr>
          <w:p>
            <w:r>
              <w:rPr>
                <w:b/>
                <w:sz w:val="17"/>
              </w:rPr>
              <w:t>36.9%</w:t>
            </w:r>
          </w:p>
        </w:tc>
        <w:tc>
          <w:tcPr>
            <w:tcW w:type="dxa" w:w="2448"/>
            <w:shd w:fill="F7FAFC"/>
          </w:tcPr>
          <w:p>
            <w:r>
              <w:rPr>
                <w:sz w:val="17"/>
              </w:rPr>
              <w:t>Estructura Capital</w:t>
            </w:r>
          </w:p>
        </w:tc>
        <w:tc>
          <w:tcPr>
            <w:tcW w:type="dxa" w:w="2448"/>
            <w:shd w:fill="F7FAFC"/>
          </w:tcPr>
          <w:p>
            <w:r>
              <w:rPr>
                <w:sz w:val="17"/>
              </w:rPr>
              <w:t>Peso de la deuda sobre el valor total.</w:t>
            </w:r>
          </w:p>
        </w:tc>
      </w:tr>
      <w:tr>
        <w:tc>
          <w:tcPr>
            <w:tcW w:type="dxa" w:w="2448"/>
          </w:tcPr>
          <w:p>
            <w:r>
              <w:rPr>
                <w:b/>
                <w:sz w:val="17"/>
              </w:rPr>
              <w:t>Weight of Equity</w:t>
            </w:r>
          </w:p>
        </w:tc>
        <w:tc>
          <w:tcPr>
            <w:tcW w:type="dxa" w:w="2448"/>
          </w:tcPr>
          <w:p>
            <w:r>
              <w:rPr>
                <w:b/>
                <w:sz w:val="17"/>
              </w:rPr>
              <w:t>63.1%</w:t>
            </w:r>
          </w:p>
        </w:tc>
        <w:tc>
          <w:tcPr>
            <w:tcW w:type="dxa" w:w="2448"/>
          </w:tcPr>
          <w:p>
            <w:r>
              <w:rPr>
                <w:sz w:val="17"/>
              </w:rPr>
              <w:t>Estructura Capital</w:t>
            </w:r>
          </w:p>
        </w:tc>
        <w:tc>
          <w:tcPr>
            <w:tcW w:type="dxa" w:w="2448"/>
          </w:tcPr>
          <w:p>
            <w:r>
              <w:rPr>
                <w:sz w:val="17"/>
              </w:rPr>
              <w:t>Peso de los fondos propios sobre el valor total.</w:t>
            </w:r>
          </w:p>
        </w:tc>
      </w:tr>
      <w:tr>
        <w:tc>
          <w:tcPr>
            <w:tcW w:type="dxa" w:w="2448"/>
            <w:shd w:fill="F7FAFC"/>
          </w:tcPr>
          <w:p>
            <w:r>
              <w:rPr>
                <w:b/>
                <w:sz w:val="17"/>
              </w:rPr>
              <w:t>WACC (Discount Rate)</w:t>
            </w:r>
          </w:p>
        </w:tc>
        <w:tc>
          <w:tcPr>
            <w:tcW w:type="dxa" w:w="2448"/>
            <w:shd w:fill="F7FAFC"/>
          </w:tcPr>
          <w:p>
            <w:r>
              <w:rPr>
                <w:b/>
                <w:sz w:val="17"/>
              </w:rPr>
              <w:t>6.81%</w:t>
            </w:r>
          </w:p>
        </w:tc>
        <w:tc>
          <w:tcPr>
            <w:tcW w:type="dxa" w:w="2448"/>
            <w:shd w:fill="F7FAFC"/>
          </w:tcPr>
          <w:p>
            <w:r>
              <w:rPr>
                <w:sz w:val="17"/>
              </w:rPr>
              <w:t>Sección 11.2 (WACC)</w:t>
            </w:r>
          </w:p>
        </w:tc>
        <w:tc>
          <w:tcPr>
            <w:tcW w:type="dxa" w:w="2448"/>
            <w:shd w:fill="F7FAFC"/>
          </w:tcPr>
          <w:p>
            <w:r>
              <w:rPr>
                <w:sz w:val="17"/>
              </w:rPr>
              <w:t>Tasa de descuento de corte auditada.</w:t>
            </w:r>
          </w:p>
        </w:tc>
      </w:tr>
      <w:tr>
        <w:tc>
          <w:tcPr>
            <w:tcW w:type="dxa" w:w="2448"/>
          </w:tcPr>
          <w:p>
            <w:r>
              <w:rPr>
                <w:b/>
                <w:sz w:val="17"/>
              </w:rPr>
              <w:t>Normalized FCF Margin</w:t>
            </w:r>
          </w:p>
        </w:tc>
        <w:tc>
          <w:tcPr>
            <w:tcW w:type="dxa" w:w="2448"/>
          </w:tcPr>
          <w:p>
            <w:r>
              <w:rPr>
                <w:b/>
                <w:sz w:val="17"/>
              </w:rPr>
              <w:t>18.0%</w:t>
            </w:r>
          </w:p>
        </w:tc>
        <w:tc>
          <w:tcPr>
            <w:tcW w:type="dxa" w:w="2448"/>
          </w:tcPr>
          <w:p>
            <w:r>
              <w:rPr>
                <w:sz w:val="17"/>
              </w:rPr>
              <w:t>Sección 4 &amp; Solvencia</w:t>
            </w:r>
          </w:p>
        </w:tc>
        <w:tc>
          <w:tcPr>
            <w:tcW w:type="dxa" w:w="2448"/>
          </w:tcPr>
          <w:p>
            <w:r>
              <w:rPr>
                <w:sz w:val="17"/>
              </w:rPr>
              <w:t>Conversión de ventas a caja libre tras CapEx.</w:t>
            </w:r>
          </w:p>
        </w:tc>
      </w:tr>
      <w:tr>
        <w:tc>
          <w:tcPr>
            <w:tcW w:type="dxa" w:w="2448"/>
            <w:shd w:fill="F7FAFC"/>
          </w:tcPr>
          <w:p>
            <w:r>
              <w:rPr>
                <w:b/>
                <w:sz w:val="17"/>
              </w:rPr>
              <w:t>Terminal Growth (gn)</w:t>
            </w:r>
          </w:p>
        </w:tc>
        <w:tc>
          <w:tcPr>
            <w:tcW w:type="dxa" w:w="2448"/>
            <w:shd w:fill="F7FAFC"/>
          </w:tcPr>
          <w:p>
            <w:r>
              <w:rPr>
                <w:b/>
                <w:sz w:val="17"/>
              </w:rPr>
              <w:t>2.5%</w:t>
            </w:r>
          </w:p>
        </w:tc>
        <w:tc>
          <w:tcPr>
            <w:tcW w:type="dxa" w:w="2448"/>
            <w:shd w:fill="F7FAFC"/>
          </w:tcPr>
          <w:p>
            <w:r>
              <w:rPr>
                <w:sz w:val="17"/>
              </w:rPr>
              <w:t>Hipótesis Canónica</w:t>
            </w:r>
          </w:p>
        </w:tc>
        <w:tc>
          <w:tcPr>
            <w:tcW w:type="dxa" w:w="2448"/>
            <w:shd w:fill="F7FAFC"/>
          </w:tcPr>
          <w:p>
            <w:r>
              <w:rPr>
                <w:sz w:val="17"/>
              </w:rPr>
              <w:t>Crecimiento tendencial de la economía global.</w:t>
            </w:r>
          </w:p>
        </w:tc>
      </w:tr>
      <w:tr>
        <w:tc>
          <w:tcPr>
            <w:tcW w:type="dxa" w:w="2448"/>
          </w:tcPr>
          <w:p>
            <w:r>
              <w:rPr>
                <w:b/>
                <w:sz w:val="17"/>
              </w:rPr>
              <w:t>Forecast Period</w:t>
            </w:r>
          </w:p>
        </w:tc>
        <w:tc>
          <w:tcPr>
            <w:tcW w:type="dxa" w:w="2448"/>
          </w:tcPr>
          <w:p>
            <w:r>
              <w:rPr>
                <w:b/>
                <w:sz w:val="17"/>
              </w:rPr>
              <w:t>10 Años</w:t>
            </w:r>
          </w:p>
        </w:tc>
        <w:tc>
          <w:tcPr>
            <w:tcW w:type="dxa" w:w="2448"/>
          </w:tcPr>
          <w:p>
            <w:r>
              <w:rPr>
                <w:sz w:val="17"/>
              </w:rPr>
              <w:t>Configuración Estándar</w:t>
            </w:r>
          </w:p>
        </w:tc>
        <w:tc>
          <w:tcPr>
            <w:tcW w:type="dxa" w:w="2448"/>
          </w:tcPr>
          <w:p>
            <w:r>
              <w:rPr>
                <w:sz w:val="17"/>
              </w:rPr>
              <w:t>Ciclo decenal de amortización y maduración.</w:t>
            </w:r>
          </w:p>
        </w:tc>
      </w:tr>
    </w:tbl>
    <w:p/>
    <w:p>
      <w:pPr>
        <w:pStyle w:val="Heading2"/>
      </w:pPr>
      <w:r>
        <w:rPr>
          <w:rFonts w:ascii="Calibri" w:hAnsi="Calibri"/>
          <w:b/>
          <w:color w:val="1B365D"/>
          <w:sz w:val="23"/>
        </w:rPr>
        <w:t>14.3. Matriz Bidimensional de Sensibilidad (WACC vs. gn)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1224"/>
        <w:gridCol w:w="1224"/>
        <w:gridCol w:w="1224"/>
        <w:gridCol w:w="1224"/>
        <w:gridCol w:w="1224"/>
        <w:gridCol w:w="1224"/>
        <w:gridCol w:w="1224"/>
        <w:gridCol w:w="1224"/>
      </w:tblGrid>
      <w:tr>
        <w:tc>
          <w:tcPr>
            <w:tcW w:type="dxa" w:w="1224"/>
            <w:shd w:fill="1B365D"/>
          </w:tcPr>
          <w:p>
            <w:r>
              <w:rPr>
                <w:b/>
                <w:color w:val="FFFFFF"/>
                <w:sz w:val="17"/>
              </w:rPr>
              <w:t>WACC \ gn</w:t>
            </w:r>
          </w:p>
        </w:tc>
        <w:tc>
          <w:tcPr>
            <w:tcW w:type="dxa" w:w="1224"/>
            <w:shd w:fill="1B365D"/>
          </w:tcPr>
          <w:p>
            <w:r>
              <w:rPr>
                <w:b/>
                <w:color w:val="FFFFFF"/>
                <w:sz w:val="17"/>
              </w:rPr>
              <w:t>1.0%</w:t>
            </w:r>
          </w:p>
        </w:tc>
        <w:tc>
          <w:tcPr>
            <w:tcW w:type="dxa" w:w="1224"/>
            <w:shd w:fill="1B365D"/>
          </w:tcPr>
          <w:p>
            <w:r>
              <w:rPr>
                <w:b/>
                <w:color w:val="FFFFFF"/>
                <w:sz w:val="17"/>
              </w:rPr>
              <w:t>1.5%</w:t>
            </w:r>
          </w:p>
        </w:tc>
        <w:tc>
          <w:tcPr>
            <w:tcW w:type="dxa" w:w="1224"/>
            <w:shd w:fill="1B365D"/>
          </w:tcPr>
          <w:p>
            <w:r>
              <w:rPr>
                <w:b/>
                <w:color w:val="FFFFFF"/>
                <w:sz w:val="17"/>
              </w:rPr>
              <w:t>2.0%</w:t>
            </w:r>
          </w:p>
        </w:tc>
        <w:tc>
          <w:tcPr>
            <w:tcW w:type="dxa" w:w="1224"/>
            <w:shd w:fill="1B365D"/>
          </w:tcPr>
          <w:p>
            <w:r>
              <w:rPr>
                <w:b/>
                <w:color w:val="FFFFFF"/>
                <w:sz w:val="17"/>
              </w:rPr>
              <w:t>2.5%</w:t>
            </w:r>
          </w:p>
        </w:tc>
        <w:tc>
          <w:tcPr>
            <w:tcW w:type="dxa" w:w="1224"/>
            <w:shd w:fill="1B365D"/>
          </w:tcPr>
          <w:p>
            <w:r>
              <w:rPr>
                <w:b/>
                <w:color w:val="FFFFFF"/>
                <w:sz w:val="17"/>
              </w:rPr>
              <w:t>3.0%</w:t>
            </w:r>
          </w:p>
        </w:tc>
        <w:tc>
          <w:tcPr>
            <w:tcW w:type="dxa" w:w="1224"/>
            <w:shd w:fill="1B365D"/>
          </w:tcPr>
          <w:p>
            <w:r>
              <w:rPr>
                <w:b/>
                <w:color w:val="FFFFFF"/>
                <w:sz w:val="17"/>
              </w:rPr>
              <w:t>3.5%</w:t>
            </w:r>
          </w:p>
        </w:tc>
        <w:tc>
          <w:tcPr>
            <w:tcW w:type="dxa" w:w="1224"/>
            <w:shd w:fill="1B365D"/>
          </w:tcPr>
          <w:p>
            <w:r>
              <w:rPr>
                <w:b/>
                <w:color w:val="FFFFFF"/>
                <w:sz w:val="17"/>
              </w:rPr>
              <w:t>Diagnóstico</w:t>
            </w:r>
          </w:p>
        </w:tc>
      </w:tr>
      <w:tr>
        <w:tc>
          <w:tcPr>
            <w:tcW w:type="dxa" w:w="1224"/>
          </w:tcPr>
          <w:p>
            <w:r>
              <w:rPr>
                <w:sz w:val="16"/>
              </w:rPr>
              <w:t>5.81% (Bajo / Expansión)</w:t>
            </w:r>
          </w:p>
        </w:tc>
        <w:tc>
          <w:tcPr>
            <w:tcW w:type="dxa" w:w="1224"/>
          </w:tcPr>
          <w:p>
            <w:r>
              <w:rPr>
                <w:sz w:val="16"/>
              </w:rPr>
              <w:t>16.4%</w:t>
            </w:r>
          </w:p>
        </w:tc>
        <w:tc>
          <w:tcPr>
            <w:tcW w:type="dxa" w:w="1224"/>
          </w:tcPr>
          <w:p>
            <w:r>
              <w:rPr>
                <w:sz w:val="16"/>
              </w:rPr>
              <w:t>15.3%</w:t>
            </w:r>
          </w:p>
        </w:tc>
        <w:tc>
          <w:tcPr>
            <w:tcW w:type="dxa" w:w="1224"/>
          </w:tcPr>
          <w:p>
            <w:r>
              <w:rPr>
                <w:sz w:val="16"/>
              </w:rPr>
              <w:t>14.1%</w:t>
            </w:r>
          </w:p>
        </w:tc>
        <w:tc>
          <w:tcPr>
            <w:tcW w:type="dxa" w:w="1224"/>
          </w:tcPr>
          <w:p>
            <w:r>
              <w:rPr>
                <w:b/>
                <w:sz w:val="16"/>
              </w:rPr>
              <w:t>12.7%</w:t>
            </w:r>
          </w:p>
        </w:tc>
        <w:tc>
          <w:tcPr>
            <w:tcW w:type="dxa" w:w="1224"/>
          </w:tcPr>
          <w:p>
            <w:r>
              <w:rPr>
                <w:sz w:val="16"/>
              </w:rPr>
              <w:t>11.0%</w:t>
            </w:r>
          </w:p>
        </w:tc>
        <w:tc>
          <w:tcPr>
            <w:tcW w:type="dxa" w:w="1224"/>
          </w:tcPr>
          <w:p>
            <w:r>
              <w:rPr>
                <w:sz w:val="16"/>
              </w:rPr>
              <w:t>9.0%</w:t>
            </w:r>
          </w:p>
        </w:tc>
        <w:tc>
          <w:tcPr>
            <w:tcW w:type="dxa" w:w="1224"/>
          </w:tcPr>
          <w:p>
            <w:r>
              <w:rPr>
                <w:sz w:val="16"/>
              </w:rPr>
              <w:t>Escenario favorable; exigencia de crecimiento más moderada.</w:t>
            </w:r>
          </w:p>
        </w:tc>
      </w:tr>
      <w:tr>
        <w:tc>
          <w:tcPr>
            <w:tcW w:type="dxa" w:w="1224"/>
            <w:shd w:fill="F7FAFC"/>
          </w:tcPr>
          <w:p>
            <w:r>
              <w:rPr>
                <w:sz w:val="16"/>
              </w:rPr>
              <w:t>6.31% (Favorable)</w:t>
            </w:r>
          </w:p>
        </w:tc>
        <w:tc>
          <w:tcPr>
            <w:tcW w:type="dxa" w:w="1224"/>
            <w:shd w:fill="F7FAFC"/>
          </w:tcPr>
          <w:p>
            <w:r>
              <w:rPr>
                <w:sz w:val="16"/>
              </w:rPr>
              <w:t>18.0%</w:t>
            </w:r>
          </w:p>
        </w:tc>
        <w:tc>
          <w:tcPr>
            <w:tcW w:type="dxa" w:w="1224"/>
            <w:shd w:fill="F7FAFC"/>
          </w:tcPr>
          <w:p>
            <w:r>
              <w:rPr>
                <w:sz w:val="16"/>
              </w:rPr>
              <w:t>16.9%</w:t>
            </w:r>
          </w:p>
        </w:tc>
        <w:tc>
          <w:tcPr>
            <w:tcW w:type="dxa" w:w="1224"/>
            <w:shd w:fill="F7FAFC"/>
          </w:tcPr>
          <w:p>
            <w:r>
              <w:rPr>
                <w:sz w:val="16"/>
              </w:rPr>
              <w:t>15.8%</w:t>
            </w:r>
          </w:p>
        </w:tc>
        <w:tc>
          <w:tcPr>
            <w:tcW w:type="dxa" w:w="1224"/>
            <w:shd w:fill="F7FAFC"/>
          </w:tcPr>
          <w:p>
            <w:r>
              <w:rPr>
                <w:b/>
                <w:sz w:val="16"/>
              </w:rPr>
              <w:t>14.6%</w:t>
            </w:r>
          </w:p>
        </w:tc>
        <w:tc>
          <w:tcPr>
            <w:tcW w:type="dxa" w:w="1224"/>
            <w:shd w:fill="F7FAFC"/>
          </w:tcPr>
          <w:p>
            <w:r>
              <w:rPr>
                <w:sz w:val="16"/>
              </w:rPr>
              <w:t>13.1%</w:t>
            </w:r>
          </w:p>
        </w:tc>
        <w:tc>
          <w:tcPr>
            <w:tcW w:type="dxa" w:w="1224"/>
            <w:shd w:fill="F7FAFC"/>
          </w:tcPr>
          <w:p>
            <w:r>
              <w:rPr>
                <w:sz w:val="16"/>
              </w:rPr>
              <w:t>11.5%</w:t>
            </w:r>
          </w:p>
        </w:tc>
        <w:tc>
          <w:tcPr>
            <w:tcW w:type="dxa" w:w="1224"/>
            <w:shd w:fill="F7FAFC"/>
          </w:tcPr>
          <w:p>
            <w:r>
              <w:rPr>
                <w:sz w:val="16"/>
              </w:rPr>
              <w:t>Escenario de sensibilidad operativa.</w:t>
            </w:r>
          </w:p>
        </w:tc>
      </w:tr>
      <w:tr>
        <w:tc>
          <w:tcPr>
            <w:tcW w:type="dxa" w:w="1224"/>
            <w:shd w:fill="F7FAFC"/>
          </w:tcPr>
          <w:p>
            <w:r>
              <w:rPr>
                <w:sz w:val="16"/>
              </w:rPr>
              <w:t>6.81% (WACC Auditado Base)</w:t>
            </w:r>
          </w:p>
        </w:tc>
        <w:tc>
          <w:tcPr>
            <w:tcW w:type="dxa" w:w="1224"/>
            <w:shd w:fill="F7FAFC"/>
          </w:tcPr>
          <w:p>
            <w:r>
              <w:rPr>
                <w:b/>
                <w:sz w:val="16"/>
              </w:rPr>
              <w:t>19.4%</w:t>
            </w:r>
          </w:p>
        </w:tc>
        <w:tc>
          <w:tcPr>
            <w:tcW w:type="dxa" w:w="1224"/>
            <w:shd w:fill="F7FAFC"/>
          </w:tcPr>
          <w:p>
            <w:r>
              <w:rPr>
                <w:b/>
                <w:sz w:val="16"/>
              </w:rPr>
              <w:t>18.5%</w:t>
            </w:r>
          </w:p>
        </w:tc>
        <w:tc>
          <w:tcPr>
            <w:tcW w:type="dxa" w:w="1224"/>
            <w:shd w:fill="F7FAFC"/>
          </w:tcPr>
          <w:p>
            <w:r>
              <w:rPr>
                <w:b/>
                <w:sz w:val="16"/>
              </w:rPr>
              <w:t>17.5%</w:t>
            </w:r>
          </w:p>
        </w:tc>
        <w:tc>
          <w:tcPr>
            <w:tcW w:type="dxa" w:w="1224"/>
            <w:shd w:fill="FFF2CC"/>
          </w:tcPr>
          <w:p>
            <w:r>
              <w:rPr>
                <w:b/>
                <w:sz w:val="16"/>
              </w:rPr>
              <w:t>16.3%</w:t>
            </w:r>
          </w:p>
        </w:tc>
        <w:tc>
          <w:tcPr>
            <w:tcW w:type="dxa" w:w="1224"/>
            <w:shd w:fill="F7FAFC"/>
          </w:tcPr>
          <w:p>
            <w:r>
              <w:rPr>
                <w:b/>
                <w:sz w:val="16"/>
              </w:rPr>
              <w:t>15.1%</w:t>
            </w:r>
          </w:p>
        </w:tc>
        <w:tc>
          <w:tcPr>
            <w:tcW w:type="dxa" w:w="1224"/>
            <w:shd w:fill="F7FAFC"/>
          </w:tcPr>
          <w:p>
            <w:r>
              <w:rPr>
                <w:b/>
                <w:sz w:val="16"/>
              </w:rPr>
              <w:t>13.6%</w:t>
            </w:r>
          </w:p>
        </w:tc>
        <w:tc>
          <w:tcPr>
            <w:tcW w:type="dxa" w:w="1224"/>
            <w:shd w:fill="F7FAFC"/>
          </w:tcPr>
          <w:p>
            <w:r>
              <w:rPr>
                <w:sz w:val="16"/>
              </w:rPr>
              <w:t>ESCENARIO CENTRAL: Crecimiento implícito real de mercado.</w:t>
            </w:r>
          </w:p>
        </w:tc>
      </w:tr>
      <w:tr>
        <w:tc>
          <w:tcPr>
            <w:tcW w:type="dxa" w:w="1224"/>
            <w:shd w:fill="F7FAFC"/>
          </w:tcPr>
          <w:p>
            <w:r>
              <w:rPr>
                <w:sz w:val="16"/>
              </w:rPr>
              <w:t>7.31% (Exigente)</w:t>
            </w:r>
          </w:p>
        </w:tc>
        <w:tc>
          <w:tcPr>
            <w:tcW w:type="dxa" w:w="1224"/>
            <w:shd w:fill="F7FAFC"/>
          </w:tcPr>
          <w:p>
            <w:r>
              <w:rPr>
                <w:sz w:val="16"/>
              </w:rPr>
              <w:t>20.7%</w:t>
            </w:r>
          </w:p>
        </w:tc>
        <w:tc>
          <w:tcPr>
            <w:tcW w:type="dxa" w:w="1224"/>
            <w:shd w:fill="F7FAFC"/>
          </w:tcPr>
          <w:p>
            <w:r>
              <w:rPr>
                <w:sz w:val="16"/>
              </w:rPr>
              <w:t>19.9%</w:t>
            </w:r>
          </w:p>
        </w:tc>
        <w:tc>
          <w:tcPr>
            <w:tcW w:type="dxa" w:w="1224"/>
            <w:shd w:fill="F7FAFC"/>
          </w:tcPr>
          <w:p>
            <w:r>
              <w:rPr>
                <w:sz w:val="16"/>
              </w:rPr>
              <w:t>19.0%</w:t>
            </w:r>
          </w:p>
        </w:tc>
        <w:tc>
          <w:tcPr>
            <w:tcW w:type="dxa" w:w="1224"/>
            <w:shd w:fill="F7FAFC"/>
          </w:tcPr>
          <w:p>
            <w:r>
              <w:rPr>
                <w:b/>
                <w:sz w:val="16"/>
              </w:rPr>
              <w:t>18.0%</w:t>
            </w:r>
          </w:p>
        </w:tc>
        <w:tc>
          <w:tcPr>
            <w:tcW w:type="dxa" w:w="1224"/>
            <w:shd w:fill="F7FAFC"/>
          </w:tcPr>
          <w:p>
            <w:r>
              <w:rPr>
                <w:sz w:val="16"/>
              </w:rPr>
              <w:t>16.8%</w:t>
            </w:r>
          </w:p>
        </w:tc>
        <w:tc>
          <w:tcPr>
            <w:tcW w:type="dxa" w:w="1224"/>
            <w:shd w:fill="F7FAFC"/>
          </w:tcPr>
          <w:p>
            <w:r>
              <w:rPr>
                <w:sz w:val="16"/>
              </w:rPr>
              <w:t>15.6%</w:t>
            </w:r>
          </w:p>
        </w:tc>
        <w:tc>
          <w:tcPr>
            <w:tcW w:type="dxa" w:w="1224"/>
            <w:shd w:fill="F7FAFC"/>
          </w:tcPr>
          <w:p>
            <w:r>
              <w:rPr>
                <w:sz w:val="16"/>
              </w:rPr>
              <w:t>Escenario de sensibilidad operativa.</w:t>
            </w:r>
          </w:p>
        </w:tc>
      </w:tr>
      <w:tr>
        <w:tc>
          <w:tcPr>
            <w:tcW w:type="dxa" w:w="1224"/>
          </w:tcPr>
          <w:p>
            <w:r>
              <w:rPr>
                <w:sz w:val="16"/>
              </w:rPr>
              <w:t>7.81% (Estrés / Tipos Altos)</w:t>
            </w:r>
          </w:p>
        </w:tc>
        <w:tc>
          <w:tcPr>
            <w:tcW w:type="dxa" w:w="1224"/>
          </w:tcPr>
          <w:p>
            <w:r>
              <w:rPr>
                <w:sz w:val="16"/>
              </w:rPr>
              <w:t>22.0%</w:t>
            </w:r>
          </w:p>
        </w:tc>
        <w:tc>
          <w:tcPr>
            <w:tcW w:type="dxa" w:w="1224"/>
          </w:tcPr>
          <w:p>
            <w:r>
              <w:rPr>
                <w:sz w:val="16"/>
              </w:rPr>
              <w:t>21.3%</w:t>
            </w:r>
          </w:p>
        </w:tc>
        <w:tc>
          <w:tcPr>
            <w:tcW w:type="dxa" w:w="1224"/>
          </w:tcPr>
          <w:p>
            <w:r>
              <w:rPr>
                <w:sz w:val="16"/>
              </w:rPr>
              <w:t>20.4%</w:t>
            </w:r>
          </w:p>
        </w:tc>
        <w:tc>
          <w:tcPr>
            <w:tcW w:type="dxa" w:w="1224"/>
          </w:tcPr>
          <w:p>
            <w:r>
              <w:rPr>
                <w:b/>
                <w:sz w:val="16"/>
              </w:rPr>
              <w:t>19.5%</w:t>
            </w:r>
          </w:p>
        </w:tc>
        <w:tc>
          <w:tcPr>
            <w:tcW w:type="dxa" w:w="1224"/>
          </w:tcPr>
          <w:p>
            <w:r>
              <w:rPr>
                <w:sz w:val="16"/>
              </w:rPr>
              <w:t>18.5%</w:t>
            </w:r>
          </w:p>
        </w:tc>
        <w:tc>
          <w:tcPr>
            <w:tcW w:type="dxa" w:w="1224"/>
          </w:tcPr>
          <w:p>
            <w:r>
              <w:rPr>
                <w:sz w:val="16"/>
              </w:rPr>
              <w:t>17.3%</w:t>
            </w:r>
          </w:p>
        </w:tc>
        <w:tc>
          <w:tcPr>
            <w:tcW w:type="dxa" w:w="1224"/>
          </w:tcPr>
          <w:p>
            <w:r>
              <w:rPr>
                <w:sz w:val="16"/>
              </w:rPr>
              <w:t>Vulnerabilidad a correcciones si el coste de capital aumenta.</w:t>
            </w:r>
          </w:p>
        </w:tc>
      </w:tr>
    </w:tbl>
    <w:p/>
    <w:p>
      <w:pPr>
        <w:pStyle w:val="Heading2"/>
      </w:pPr>
      <w:r>
        <w:rPr>
          <w:rFonts w:ascii="Calibri" w:hAnsi="Calibri"/>
          <w:b/>
          <w:color w:val="1B365D"/>
          <w:sz w:val="23"/>
        </w:rPr>
        <w:t>14.4. Cuadro de Mando Consolidado y Tesis Final de Inversión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Dimensión Fundamental</w:t>
            </w:r>
          </w:p>
        </w:tc>
        <w:tc>
          <w:tcPr>
            <w:tcW w:type="dxa" w:w="2448"/>
            <w:shd w:fill="1B365D"/>
          </w:tcPr>
          <w:p>
            <w:r>
              <w:rPr>
                <w:b/>
                <w:color w:val="FFFFFF"/>
                <w:sz w:val="18"/>
              </w:rPr>
              <w:t>Diagnóstico Auditado</w:t>
            </w:r>
          </w:p>
        </w:tc>
        <w:tc>
          <w:tcPr>
            <w:tcW w:type="dxa" w:w="2448"/>
            <w:shd w:fill="1B365D"/>
          </w:tcPr>
          <w:p>
            <w:r>
              <w:rPr>
                <w:b/>
                <w:color w:val="FFFFFF"/>
                <w:sz w:val="18"/>
              </w:rPr>
              <w:t>Calificación Institucional</w:t>
            </w:r>
          </w:p>
        </w:tc>
        <w:tc>
          <w:tcPr>
            <w:tcW w:type="dxa" w:w="2448"/>
            <w:shd w:fill="1B365D"/>
          </w:tcPr>
          <w:p>
            <w:r>
              <w:rPr>
                <w:b/>
                <w:color w:val="FFFFFF"/>
                <w:sz w:val="18"/>
              </w:rPr>
              <w:t>Veredicto de Asignación</w:t>
            </w:r>
          </w:p>
        </w:tc>
      </w:tr>
      <w:tr>
        <w:tc>
          <w:tcPr>
            <w:tcW w:type="dxa" w:w="2448"/>
          </w:tcPr>
          <w:p>
            <w:r>
              <w:rPr>
                <w:b/>
                <w:sz w:val="17"/>
              </w:rPr>
              <w:t>Ventaja Competitiva (Moat)</w:t>
            </w:r>
          </w:p>
        </w:tc>
        <w:tc>
          <w:tcPr>
            <w:tcW w:type="dxa" w:w="2448"/>
          </w:tcPr>
          <w:p>
            <w:r>
              <w:rPr>
                <w:sz w:val="17"/>
              </w:rPr>
              <w:t>Foso Defensivo Amplio (Ventajas Intangibles)</w:t>
            </w:r>
          </w:p>
        </w:tc>
        <w:tc>
          <w:tcPr>
            <w:tcW w:type="dxa" w:w="2448"/>
          </w:tcPr>
          <w:p>
            <w:r>
              <w:rPr>
                <w:b/>
                <w:sz w:val="17"/>
              </w:rPr>
              <w:t>WIDE MOAT</w:t>
            </w:r>
          </w:p>
        </w:tc>
        <w:tc>
          <w:tcPr>
            <w:tcW w:type="dxa" w:w="2448"/>
          </w:tcPr>
          <w:p>
            <w:r>
              <w:rPr>
                <w:sz w:val="17"/>
              </w:rPr>
              <w:t>Poder de fijación de precios y resiliencia de márgenes (20.1% EBIT).</w:t>
            </w:r>
          </w:p>
        </w:tc>
      </w:tr>
      <w:tr>
        <w:tc>
          <w:tcPr>
            <w:tcW w:type="dxa" w:w="2448"/>
            <w:shd w:fill="F7FAFC"/>
          </w:tcPr>
          <w:p>
            <w:r>
              <w:rPr>
                <w:b/>
                <w:sz w:val="17"/>
              </w:rPr>
              <w:t>Calidad de Beneficios</w:t>
            </w:r>
          </w:p>
        </w:tc>
        <w:tc>
          <w:tcPr>
            <w:tcW w:type="dxa" w:w="2448"/>
            <w:shd w:fill="F7FAFC"/>
          </w:tcPr>
          <w:p>
            <w:r>
              <w:rPr>
                <w:sz w:val="17"/>
              </w:rPr>
              <w:t>Ratio Sloan: -4.16% / Montier: 1/6</w:t>
            </w:r>
          </w:p>
        </w:tc>
        <w:tc>
          <w:tcPr>
            <w:tcW w:type="dxa" w:w="2448"/>
            <w:shd w:fill="F7FAFC"/>
          </w:tcPr>
          <w:p>
            <w:r>
              <w:rPr>
                <w:b/>
                <w:sz w:val="17"/>
              </w:rPr>
              <w:t>MÁXIMA CALIDAD</w:t>
            </w:r>
          </w:p>
        </w:tc>
        <w:tc>
          <w:tcPr>
            <w:tcW w:type="dxa" w:w="2448"/>
            <w:shd w:fill="F7FAFC"/>
          </w:tcPr>
          <w:p>
            <w:r>
              <w:rPr>
                <w:sz w:val="17"/>
              </w:rPr>
              <w:t>Ganancias 100% avaladas por caja real ($1.00 CFO por dólar de NI).</w:t>
            </w:r>
          </w:p>
        </w:tc>
      </w:tr>
      <w:tr>
        <w:tc>
          <w:tcPr>
            <w:tcW w:type="dxa" w:w="2448"/>
          </w:tcPr>
          <w:p>
            <w:r>
              <w:rPr>
                <w:b/>
                <w:sz w:val="17"/>
              </w:rPr>
              <w:t>Solvencia y Estructura</w:t>
            </w:r>
          </w:p>
        </w:tc>
        <w:tc>
          <w:tcPr>
            <w:tcW w:type="dxa" w:w="2448"/>
          </w:tcPr>
          <w:p>
            <w:r>
              <w:rPr>
                <w:sz w:val="17"/>
              </w:rPr>
              <w:t>Cobertura EBIT: 1.0x / Altman Z'': 1.31</w:t>
            </w:r>
          </w:p>
        </w:tc>
        <w:tc>
          <w:tcPr>
            <w:tcW w:type="dxa" w:w="2448"/>
          </w:tcPr>
          <w:p>
            <w:r>
              <w:rPr>
                <w:b/>
                <w:sz w:val="17"/>
              </w:rPr>
              <w:t>SINTÉTICO CCC</w:t>
            </w:r>
          </w:p>
        </w:tc>
        <w:tc>
          <w:tcPr>
            <w:tcW w:type="dxa" w:w="2448"/>
          </w:tcPr>
          <w:p>
            <w:r>
              <w:rPr>
                <w:sz w:val="17"/>
              </w:rPr>
              <w:t>Cero estrés financiero; colchón de $0.6B.</w:t>
            </w:r>
          </w:p>
        </w:tc>
      </w:tr>
      <w:tr>
        <w:tc>
          <w:tcPr>
            <w:tcW w:type="dxa" w:w="2448"/>
            <w:shd w:fill="F7FAFC"/>
          </w:tcPr>
          <w:p>
            <w:r>
              <w:rPr>
                <w:b/>
                <w:sz w:val="17"/>
              </w:rPr>
              <w:t>Productividad del Capital</w:t>
            </w:r>
          </w:p>
        </w:tc>
        <w:tc>
          <w:tcPr>
            <w:tcW w:type="dxa" w:w="2448"/>
            <w:shd w:fill="F7FAFC"/>
          </w:tcPr>
          <w:p>
            <w:r>
              <w:rPr>
                <w:sz w:val="17"/>
              </w:rPr>
              <w:t>ROC Greenblatt: 2.2% / ROIC Adj: 1.6%</w:t>
            </w:r>
          </w:p>
        </w:tc>
        <w:tc>
          <w:tcPr>
            <w:tcW w:type="dxa" w:w="2448"/>
            <w:shd w:fill="F7FAFC"/>
          </w:tcPr>
          <w:p>
            <w:r>
              <w:rPr>
                <w:b/>
                <w:sz w:val="17"/>
              </w:rPr>
              <w:t>DESTRUCTOR DE VALOR</w:t>
            </w:r>
          </w:p>
        </w:tc>
        <w:tc>
          <w:tcPr>
            <w:tcW w:type="dxa" w:w="2448"/>
            <w:shd w:fill="F7FAFC"/>
          </w:tcPr>
          <w:p>
            <w:r>
              <w:rPr>
                <w:sz w:val="17"/>
              </w:rPr>
              <w:t>Spread económico de -5.2 pp sobre WACC (Creación de valor de élite).</w:t>
            </w:r>
          </w:p>
        </w:tc>
      </w:tr>
      <w:tr>
        <w:tc>
          <w:tcPr>
            <w:tcW w:type="dxa" w:w="2448"/>
          </w:tcPr>
          <w:p>
            <w:r>
              <w:rPr>
                <w:b/>
                <w:sz w:val="17"/>
              </w:rPr>
              <w:t>Valoración de Mercado</w:t>
            </w:r>
          </w:p>
        </w:tc>
        <w:tc>
          <w:tcPr>
            <w:tcW w:type="dxa" w:w="2448"/>
          </w:tcPr>
          <w:p>
            <w:r>
              <w:rPr>
                <w:sz w:val="17"/>
              </w:rPr>
              <w:t>Crecimiento Implícito: 16.3% - 23.1%</w:t>
            </w:r>
          </w:p>
        </w:tc>
        <w:tc>
          <w:tcPr>
            <w:tcW w:type="dxa" w:w="2448"/>
          </w:tcPr>
          <w:p>
            <w:r>
              <w:rPr>
                <w:b/>
                <w:sz w:val="17"/>
              </w:rPr>
              <w:t>PRICED FOR PERFECTION</w:t>
            </w:r>
          </w:p>
        </w:tc>
        <w:tc>
          <w:tcPr>
            <w:tcW w:type="dxa" w:w="2448"/>
          </w:tcPr>
          <w:p>
            <w:r>
              <w:rPr>
                <w:sz w:val="17"/>
              </w:rPr>
              <w:t>Exigencia de crecimiento ambiciosa (+16.3% anual); requiere catalizadores sostenidos de expansión comercial.</w:t>
            </w:r>
          </w:p>
        </w:tc>
      </w:tr>
    </w:tbl>
    <w:p>
      <w:pPr>
        <w:spacing w:before="400"/>
        <w:jc w:val="center"/>
      </w:pPr>
      <w:r>
        <w:rPr>
          <w:rFonts w:ascii="Calibri" w:hAnsi="Calibri"/>
          <w:i/>
          <w:color w:val="4A5568"/>
          <w:sz w:val="17"/>
        </w:rPr>
        <w:t>Fin del Informe Oficial de Investigación Fundamental — REALTY INCOME CORP (O) | Wall Street Equity Research Platform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