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13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0.82x vs 1.15x (-0.32x)).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4.37%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4.4% vs 7.9% (-3.56%)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0.82x vs 1.15x (-0.32x)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+16.69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27.77% frente a un ROIC contable tradicional de 25.45%.</w:t>
            </w:r>
          </w:p>
          <w:p>
            <w:pPr>
              <w:spacing w:before="40" w:after="40" w:line="276" w:lineRule="auto"/>
            </w:pPr>
            <w:r>
              <w:rPr>
                <w:rFonts w:ascii="Calibri" w:hAnsi="Calibri"/>
                <w:color w:val="2D3748"/>
                <w:sz w:val="19"/>
              </w:rPr>
              <w:t>• Costo Promedio Ponderado de Capital (WACC): 11.08% (Costo del Equity Ke: 11.70%, Deuda Neta Kd: 5.53%).</w:t>
            </w:r>
          </w:p>
          <w:p>
            <w:pPr>
              <w:spacing w:before="40" w:after="40" w:line="276" w:lineRule="auto"/>
            </w:pPr>
            <w:r>
              <w:rPr>
                <w:rFonts w:ascii="Calibri" w:hAnsi="Calibri"/>
                <w:color w:val="2D3748"/>
                <w:sz w:val="19"/>
              </w:rPr>
              <w:t>• Spread Económico Neto: +16.69 p.p. de rendimiento por encima del costo de capital exigido por el mercado.</w:t>
            </w:r>
          </w:p>
          <w:p>
            <w:pPr>
              <w:spacing w:before="40" w:after="40" w:line="276" w:lineRule="auto"/>
            </w:pPr>
            <w:r>
              <w:rPr>
                <w:rFonts w:ascii="Calibri" w:hAnsi="Calibri"/>
                <w:color w:val="2D3748"/>
                <w:sz w:val="19"/>
              </w:rPr>
              <w:t>• Stock de Intangibles Fuera de Balance: $7,451.2M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(27.77%) que supera a su costo de capital (11.08%) por más de 16.69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$1885.52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$95,590.6M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5.22%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$7,451.2M de intangibles fuera de balance. El ROIC Ajustado resultante de 27.77% refleja el verdadero retorno económico sobre el capital total invertido ($18,300.7M).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+25.74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+34.09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+39.09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+25.78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+19.12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27.77%</w:t>
            </w:r>
          </w:p>
        </w:tc>
        <w:tc>
          <w:tcPr>
            <w:tcW w:type="dxa" w:w="1399"/>
            <w:tcMar>
              <w:top w:w="60" w:type="dxa"/>
              <w:bottom w:w="60" w:type="dxa"/>
              <w:left w:w="100" w:type="dxa"/>
              <w:right w:w="100" w:type="dxa"/>
            </w:tcMar>
            <w:shd w:fill="F7FAFC"/>
            <w:shd w:fill="E2EFDA"/>
          </w:tcPr>
          <w:p>
            <w:r>
              <w:rPr>
                <w:sz w:val="17"/>
              </w:rPr>
              <w:t>$7,451.2M</w:t>
            </w:r>
          </w:p>
        </w:tc>
        <w:tc>
          <w:tcPr>
            <w:tcW w:type="dxa" w:w="1399"/>
            <w:tcMar>
              <w:top w:w="60" w:type="dxa"/>
              <w:bottom w:w="60" w:type="dxa"/>
              <w:left w:w="100" w:type="dxa"/>
              <w:right w:w="100" w:type="dxa"/>
            </w:tcMar>
            <w:shd w:fill="F7FAFC"/>
            <w:shd w:fill="E2EFDA"/>
          </w:tcPr>
          <w:p>
            <w:r>
              <w:rPr>
                <w:sz w:val="17"/>
              </w:rPr>
              <w:t>$18,300.7M</w:t>
            </w:r>
          </w:p>
        </w:tc>
        <w:tc>
          <w:tcPr>
            <w:tcW w:type="dxa" w:w="1399"/>
            <w:tcMar>
              <w:top w:w="60" w:type="dxa"/>
              <w:bottom w:w="60" w:type="dxa"/>
              <w:left w:w="100" w:type="dxa"/>
              <w:right w:w="100" w:type="dxa"/>
            </w:tcMar>
            <w:shd w:fill="F7FAFC"/>
            <w:shd w:fill="E2EFDA"/>
          </w:tcPr>
          <w:p>
            <w:r>
              <w:rPr>
                <w:b/>
                <w:sz w:val="17"/>
              </w:rPr>
              <w:t>+16.69 p.p.</w:t>
            </w:r>
          </w:p>
        </w:tc>
      </w:tr>
    </w:tbl>
    <w:p>
      <w:pPr>
        <w:spacing w:before="160" w:after="160"/>
      </w:pPr>
      <w:r>
        <w:rPr>
          <w:i/>
          <w:sz w:val="18"/>
        </w:rPr>
        <w:t>Matriz de Sensibilidad de Vida Útil: N-1 (2a) = 27.84% | N Base (3a) = 27.77% | N+1 (4a) = 27.98%.</w:t>
      </w:r>
    </w:p>
    <w:p>
      <w:pPr>
        <w:pStyle w:val="Heading2"/>
      </w:pPr>
      <w:r>
        <w:t>11.4. Creación de Valor Económico (EVA) y Durabilidad del Foso Defensivo</w:t>
      </w:r>
    </w:p>
    <w:p>
      <w:r>
        <w:rPr>
          <w:sz w:val="19"/>
        </w:rPr>
        <w:t>Spread Económico = ROIC Ajustado (27.77%) − WACC (11.08%) = +16.69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5.22%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11.70%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5.53%</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11.08%</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$7,451.2M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$18,300.7M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27.77%</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+16.69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ALERTA FORENSE</w:t>
        <w:br/>
      </w:r>
      <w:r>
        <w:rPr>
          <w:rFonts w:ascii="Calibri" w:hAnsi="Calibri"/>
          <w:color w:val="2D3748"/>
          <w:sz w:val="19"/>
        </w:rPr>
        <w:t>• Ratio Sloan de Devengos: -25.62% [ALTA CONVERSIÓN DE CAJA (CFO &gt; NI)]</w:t>
        <w:br/>
        <w:t>• Montier C-Score: 4 / 6 [RIESGO ALTO / ALERTA FORENSE (&gt; 70% ALERTA FORENSE)]</w:t>
        <w:br/>
        <w:t>• Dictamen: ALERTA FORENSE POR CALIDAD DE RESULTADOS: Detección de devengos desproporcionados (Ratio Sloan: -25.62%) o Montier C-Score elevado (4/6). Se recomienda auditoría minuciosa de políticas contables, partidas no monetarias y devengos acumulados.</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(4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Crecimiento Interanual de Activos Totales &gt; 10.0%</w:t>
            </w:r>
          </w:p>
        </w:tc>
        <w:tc>
          <w:tcPr>
            <w:tcW w:type="dxa" w:w="1872"/>
            <w:tcMar>
              <w:top w:w="60" w:type="dxa"/>
              <w:bottom w:w="60" w:type="dxa"/>
              <w:left w:w="80" w:type="dxa"/>
              <w:right w:w="80" w:type="dxa"/>
            </w:tcMar>
          </w:tcPr>
          <w:p>
            <w:pPr>
              <w:jc w:val="left"/>
            </w:pPr>
            <w:r>
              <w:rPr>
                <w:rFonts w:ascii="Calibri" w:hAnsi="Calibri"/>
                <w:sz w:val="16"/>
              </w:rPr>
              <w:t>ΔActivos: +20.4% (Umbral: &gt; 10%)</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Expansión acelerada de balance o adquisiciones seriales (M&amp;A). Montier advierte que suele utilizarse para disimular debilidad orgánica y distorsionar resultados.</w:t>
            </w:r>
          </w:p>
        </w:tc>
      </w:tr>
    </w:tbl>
    <w:p>
      <w:pPr>
        <w:spacing w:before="80" w:after="160"/>
      </w:pPr>
      <w:r>
        <w:rPr>
          <w:rFonts w:ascii="Calibri" w:hAnsi="Calibri"/>
          <w:b/>
          <w:color w:val="1B365D"/>
          <w:sz w:val="17"/>
        </w:rPr>
        <w:t>Dictamen Montier: 4 / 6 Banderas — RIESGO ALTO / ALERTA FORENSE. Probabilidad empírica de manipulación &gt; 70%.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4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Alerta forense (4/6); alto riesgo de maquillaje contable (&gt; 70%).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$1885.52  |  WACC Auditado: 11.08% (Rf: 5.22%, ERP: 4.75%)</w:t>
        <w:br/>
        <w:t>• Crecimiento Implícito Calculado: -3.2% Anual a 10 Años (vs. 48.7% Histórico)</w:t>
        <w:br/>
        <w:t>• Veredicto: Descuenta expectativas de -3.2% anual. Valoración conservadora (+-3.2% anual); amplio margen de seguridad operativo.</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$1885.52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5.22%</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5.82%</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5.53%</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11.08%</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35.3%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10.08% (Bajo / Expansión)</w:t>
            </w:r>
          </w:p>
        </w:tc>
        <w:tc>
          <w:tcPr>
            <w:tcW w:type="dxa" w:w="1224"/>
          </w:tcPr>
          <w:p>
            <w:r>
              <w:rPr>
                <w:sz w:val="16"/>
              </w:rPr>
              <w:t>-3.7%</w:t>
            </w:r>
          </w:p>
        </w:tc>
        <w:tc>
          <w:tcPr>
            <w:tcW w:type="dxa" w:w="1224"/>
          </w:tcPr>
          <w:p>
            <w:r>
              <w:rPr>
                <w:sz w:val="16"/>
              </w:rPr>
              <w:t>-4.0%</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-5.6%</w:t>
            </w:r>
          </w:p>
        </w:tc>
        <w:tc>
          <w:tcPr>
            <w:tcW w:type="dxa" w:w="1224"/>
          </w:tcPr>
          <w:p>
            <w:r>
              <w:rPr>
                <w:sz w:val="16"/>
              </w:rPr>
              <w:t>Escenario favorable; exigencia de crecimiento más moderada.</w:t>
            </w:r>
          </w:p>
        </w:tc>
      </w:tr>
      <w:tr>
        <w:tc>
          <w:tcPr>
            <w:tcW w:type="dxa" w:w="1224"/>
            <w:shd w:fill="F7FAFC"/>
          </w:tcPr>
          <w:p>
            <w:r>
              <w:rPr>
                <w:sz w:val="16"/>
              </w:rPr>
              <w:t>10.58% (Favorable)</w:t>
            </w:r>
          </w:p>
        </w:tc>
        <w:tc>
          <w:tcPr>
            <w:tcW w:type="dxa" w:w="1224"/>
            <w:shd w:fill="F7FAFC"/>
          </w:tcPr>
          <w:p>
            <w:r>
              <w:rPr>
                <w:sz w:val="16"/>
              </w:rPr>
              <w:t>-2.9%</w:t>
            </w:r>
          </w:p>
        </w:tc>
        <w:tc>
          <w:tcPr>
            <w:tcW w:type="dxa" w:w="1224"/>
            <w:shd w:fill="F7FAFC"/>
          </w:tcPr>
          <w:p>
            <w:r>
              <w:rPr>
                <w:sz w:val="16"/>
              </w:rPr>
              <w:t>-3.2%</w:t>
            </w:r>
          </w:p>
        </w:tc>
        <w:tc>
          <w:tcPr>
            <w:tcW w:type="dxa" w:w="1224"/>
            <w:shd w:fill="F7FAFC"/>
          </w:tcPr>
          <w:p>
            <w:r>
              <w:rPr>
                <w:sz w:val="16"/>
              </w:rPr>
              <w:t>-3.6%</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11.08% (WACC Auditado Base)</w:t>
            </w:r>
          </w:p>
        </w:tc>
        <w:tc>
          <w:tcPr>
            <w:tcW w:type="dxa" w:w="1224"/>
            <w:shd w:fill="F7FAFC"/>
          </w:tcPr>
          <w:p>
            <w:r>
              <w:rPr>
                <w:b/>
                <w:sz w:val="16"/>
              </w:rPr>
              <w:t>-2.2%</w:t>
            </w:r>
          </w:p>
        </w:tc>
        <w:tc>
          <w:tcPr>
            <w:tcW w:type="dxa" w:w="1224"/>
            <w:shd w:fill="F7FAFC"/>
          </w:tcPr>
          <w:p>
            <w:r>
              <w:rPr>
                <w:b/>
                <w:sz w:val="16"/>
              </w:rPr>
              <w:t>-2.5%</w:t>
            </w:r>
          </w:p>
        </w:tc>
        <w:tc>
          <w:tcPr>
            <w:tcW w:type="dxa" w:w="1224"/>
            <w:shd w:fill="F7FAFC"/>
          </w:tcPr>
          <w:p>
            <w:r>
              <w:rPr>
                <w:b/>
                <w:sz w:val="16"/>
              </w:rPr>
              <w:t>-2.8%</w:t>
            </w:r>
          </w:p>
        </w:tc>
        <w:tc>
          <w:tcPr>
            <w:tcW w:type="dxa" w:w="1224"/>
            <w:shd w:fill="FFF2CC"/>
          </w:tcPr>
          <w:p>
            <w:r>
              <w:rPr>
                <w:b/>
                <w:sz w:val="16"/>
              </w:rPr>
              <w:t>-3.2%</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11.58% (Exigente)</w:t>
            </w:r>
          </w:p>
        </w:tc>
        <w:tc>
          <w:tcPr>
            <w:tcW w:type="dxa" w:w="1224"/>
            <w:shd w:fill="F7FAFC"/>
          </w:tcPr>
          <w:p>
            <w:r>
              <w:rPr>
                <w:sz w:val="16"/>
              </w:rPr>
              <w:t>-1.5%</w:t>
            </w:r>
          </w:p>
        </w:tc>
        <w:tc>
          <w:tcPr>
            <w:tcW w:type="dxa" w:w="1224"/>
            <w:shd w:fill="F7FAFC"/>
          </w:tcPr>
          <w:p>
            <w:r>
              <w:rPr>
                <w:sz w:val="16"/>
              </w:rPr>
              <w:t>-1.8%</w:t>
            </w:r>
          </w:p>
        </w:tc>
        <w:tc>
          <w:tcPr>
            <w:tcW w:type="dxa" w:w="1224"/>
            <w:shd w:fill="F7FAFC"/>
          </w:tcPr>
          <w:p>
            <w:r>
              <w:rPr>
                <w:sz w:val="16"/>
              </w:rPr>
              <w:t>-2.1%</w:t>
            </w:r>
          </w:p>
        </w:tc>
        <w:tc>
          <w:tcPr>
            <w:tcW w:type="dxa" w:w="1224"/>
            <w:shd w:fill="F7FAFC"/>
          </w:tcPr>
          <w:p>
            <w:r>
              <w:rPr>
                <w:b/>
                <w:sz w:val="16"/>
              </w:rPr>
              <w:t>-2.4%</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12.08% (Estrés / Tipos Altos)</w:t>
            </w:r>
          </w:p>
        </w:tc>
        <w:tc>
          <w:tcPr>
            <w:tcW w:type="dxa" w:w="1224"/>
          </w:tcPr>
          <w:p>
            <w:r>
              <w:rPr>
                <w:sz w:val="16"/>
              </w:rPr>
              <w:t>-0.8%</w:t>
            </w:r>
          </w:p>
        </w:tc>
        <w:tc>
          <w:tcPr>
            <w:tcW w:type="dxa" w:w="1224"/>
          </w:tcPr>
          <w:p>
            <w:r>
              <w:rPr>
                <w:sz w:val="16"/>
              </w:rPr>
              <w:t>-1.1%</w:t>
            </w:r>
          </w:p>
        </w:tc>
        <w:tc>
          <w:tcPr>
            <w:tcW w:type="dxa" w:w="1224"/>
          </w:tcPr>
          <w:p>
            <w:r>
              <w:rPr>
                <w:sz w:val="16"/>
              </w:rPr>
              <w:t>-1.4%</w:t>
            </w:r>
          </w:p>
        </w:tc>
        <w:tc>
          <w:tcPr>
            <w:tcW w:type="dxa" w:w="1224"/>
          </w:tcPr>
          <w:p>
            <w:r>
              <w:rPr>
                <w:b/>
                <w:sz w:val="16"/>
              </w:rPr>
              <w:t>-1.7%</w:t>
            </w:r>
          </w:p>
        </w:tc>
        <w:tc>
          <w:tcPr>
            <w:tcW w:type="dxa" w:w="1224"/>
          </w:tcPr>
          <w:p>
            <w:r>
              <w:rPr>
                <w:sz w:val="16"/>
              </w:rPr>
              <w:t>-2.0%</w:t>
            </w:r>
          </w:p>
        </w:tc>
        <w:tc>
          <w:tcPr>
            <w:tcW w:type="dxa" w:w="1224"/>
          </w:tcPr>
          <w:p>
            <w:r>
              <w:rPr>
                <w:sz w:val="16"/>
              </w:rPr>
              <w:t>-2.4%</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4/6</w:t>
            </w:r>
          </w:p>
        </w:tc>
        <w:tc>
          <w:tcPr>
            <w:tcW w:type="dxa" w:w="2448"/>
            <w:shd w:fill="F7FAFC"/>
          </w:tcPr>
          <w:p>
            <w:r>
              <w:rPr>
                <w:b/>
                <w:sz w:val="17"/>
              </w:rPr>
              <w:t>ALERTA FORENSE</w:t>
            </w:r>
          </w:p>
        </w:tc>
        <w:tc>
          <w:tcPr>
            <w:tcW w:type="dxa" w:w="2448"/>
            <w:shd w:fill="F7FAFC"/>
          </w:tcPr>
          <w:p>
            <w:r>
              <w:rPr>
                <w:sz w:val="17"/>
              </w:rPr>
              <w:t>Ganancias 100%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27.8%</w:t>
            </w:r>
          </w:p>
        </w:tc>
        <w:tc>
          <w:tcPr>
            <w:tcW w:type="dxa" w:w="2448"/>
            <w:shd w:fill="F7FAFC"/>
          </w:tcPr>
          <w:p>
            <w:r>
              <w:rPr>
                <w:b/>
                <w:sz w:val="17"/>
              </w:rPr>
              <w:t>COMPOUNDING MACHINE</w:t>
            </w:r>
          </w:p>
        </w:tc>
        <w:tc>
          <w:tcPr>
            <w:tcW w:type="dxa" w:w="2448"/>
            <w:shd w:fill="F7FAFC"/>
          </w:tcPr>
          <w:p>
            <w:r>
              <w:rPr>
                <w:sz w:val="17"/>
              </w:rPr>
              <w:t>Spread económico de +16.7 pp sobre WACC (Creación de valor de élite).</w:t>
            </w:r>
          </w:p>
        </w:tc>
      </w:tr>
      <w:tr>
        <w:tc>
          <w:tcPr>
            <w:tcW w:type="dxa" w:w="2448"/>
          </w:tcPr>
          <w:p>
            <w:r>
              <w:rPr>
                <w:b/>
                <w:sz w:val="17"/>
              </w:rPr>
              <w:t>Valoración de Mercado</w:t>
            </w:r>
          </w:p>
        </w:tc>
        <w:tc>
          <w:tcPr>
            <w:tcW w:type="dxa" w:w="2448"/>
          </w:tcPr>
          <w:p>
            <w:r>
              <w:rPr>
                <w:sz w:val="17"/>
              </w:rPr>
              <w:t>Crecimiento Implícito: -3.2% - 1.9%</w:t>
            </w:r>
          </w:p>
        </w:tc>
        <w:tc>
          <w:tcPr>
            <w:tcW w:type="dxa" w:w="2448"/>
          </w:tcPr>
          <w:p>
            <w:r>
              <w:rPr>
                <w:b/>
                <w:sz w:val="17"/>
              </w:rPr>
              <w:t>VALORACIÓN ATRACTIVA</w:t>
            </w:r>
          </w:p>
        </w:tc>
        <w:tc>
          <w:tcPr>
            <w:tcW w:type="dxa" w:w="2448"/>
          </w:tcPr>
          <w:p>
            <w:r>
              <w:rPr>
                <w:sz w:val="17"/>
              </w:rPr>
              <w:t>Valoración conservadora (+-3.2% anual); amplio margen de seguridad operativo.</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