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shd w:fill="1B365D"/>
            <w:tcMar>
              <w:top w:w="180" w:type="dxa"/>
              <w:bottom w:w="180" w:type="dxa"/>
              <w:left w:w="200" w:type="dxa"/>
              <w:right w:w="200" w:type="dxa"/>
            </w:tcMar>
          </w:tcPr>
          <w:p>
            <w:pPr>
              <w:spacing w:before="0" w:after="40"/>
            </w:pPr>
            <w:r>
              <w:rPr>
                <w:rFonts w:ascii="Calibri" w:hAnsi="Calibri"/>
                <w:b/>
                <w:color w:val="A0BEEB"/>
                <w:sz w:val="18"/>
              </w:rPr>
              <w:t>INFORME EJECUTIVO DE INVESTIGACIÓN FUNDAMENTAL | WALL STREET EQUITY RESEARCH</w:t>
            </w:r>
          </w:p>
          <w:p>
            <w:pPr>
              <w:spacing w:before="40" w:after="80"/>
            </w:pPr>
            <w:r>
              <w:rPr>
                <w:rFonts w:ascii="Calibri" w:hAnsi="Calibri"/>
                <w:b/>
                <w:color w:val="FFFFFF"/>
                <w:sz w:val="34"/>
              </w:rPr>
              <w:t>META PLATFORMS, INC. (US Exchange: META)</w:t>
              <w:br/>
              <w:t>Resultados Trimestrales LTM, Earnings Call &amp; Análisis de Gobernanza</w:t>
            </w:r>
          </w:p>
          <w:p>
            <w:pPr>
              <w:spacing w:before="0" w:after="0"/>
            </w:pPr>
            <w:r>
              <w:rPr>
                <w:rFonts w:ascii="Calibri" w:hAnsi="Calibri"/>
                <w:i/>
                <w:color w:val="D1DFF5"/>
                <w:sz w:val="17"/>
              </w:rPr>
              <w:t>Fecha de Análisis: 11 de Septiembre de 2026 | Período Contable: 11 de October de 2026</w:t>
              <w:br/>
              <w:t>Fuente Oficial: Formulario 10-Q, Formularios 8-K, Form 4, Form 144 (SEC EDGAR) &amp; Earnings Call Transcript</w:t>
            </w:r>
          </w:p>
        </w:tc>
      </w:tr>
    </w:tbl>
    <w:p>
      <w:pPr>
        <w:spacing w:after="120"/>
      </w:pPr>
    </w:p>
    <w:p>
      <w:pPr>
        <w:keepNext/>
        <w:spacing w:before="320" w:after="120"/>
      </w:pPr>
      <w:r>
        <w:rPr>
          <w:rFonts w:ascii="Calibri" w:hAnsi="Calibri"/>
          <w:b/>
          <w:color w:val="1B365D"/>
          <w:sz w:val="26"/>
        </w:rPr>
        <w:t>1. Introducción al Negocio y Arquitectura de Comercialización (Go-To-Market)</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RESUMEN DEL MODELO DE NEGOCIO Y PROPUESTA DE VALOR</w:t>
            </w:r>
          </w:p>
          <w:p>
            <w:pPr>
              <w:spacing w:before="40" w:after="40" w:line="276" w:lineRule="auto"/>
            </w:pPr>
            <w:r>
              <w:rPr>
                <w:rFonts w:ascii="Calibri" w:hAnsi="Calibri"/>
                <w:color w:val="2D3748"/>
                <w:sz w:val="19"/>
              </w:rPr>
              <w:t>Operaciones globales y propuesta de valor fundamental de Meta Platforms, Inc. (META).</w:t>
            </w:r>
          </w:p>
        </w:tc>
      </w:tr>
    </w:tbl>
    <w:p>
      <w:pPr>
        <w:spacing w:after="80"/>
      </w:pPr>
    </w:p>
    <w:p>
      <w:pPr>
        <w:keepNext/>
        <w:spacing w:before="200" w:after="80"/>
      </w:pPr>
      <w:r>
        <w:rPr>
          <w:rFonts w:ascii="Calibri" w:hAnsi="Calibri"/>
          <w:b/>
          <w:color w:val="4A5568"/>
          <w:sz w:val="22"/>
        </w:rPr>
        <w:t>Estructura de Canales de Comercialización (Go-To-Market):</w:t>
      </w:r>
    </w:p>
    <w:p>
      <w:pPr>
        <w:spacing w:before="40" w:after="80" w:line="276" w:lineRule="auto"/>
      </w:pPr>
      <w:r>
        <w:rPr>
          <w:rFonts w:ascii="Calibri" w:hAnsi="Calibri"/>
          <w:i w:val="0"/>
          <w:color w:val="2D3748"/>
          <w:sz w:val="20"/>
        </w:rPr>
        <w:t>De acuerdo con la información auditada del Formulario 10-K ante la SEC, Meta Platforms, Inc. distribuye sus productos a través de canales estratégicos:</w:t>
      </w:r>
    </w:p>
    <w:p>
      <w:pPr>
        <w:keepNext/>
        <w:spacing w:before="320" w:after="120"/>
      </w:pPr>
      <w:r>
        <w:rPr>
          <w:rFonts w:ascii="Calibri" w:hAnsi="Calibri"/>
          <w:b/>
          <w:color w:val="1B365D"/>
          <w:sz w:val="26"/>
        </w:rPr>
        <w:t>2. Desglose de Ventas por Línea de Productos y Servicios (Comparativa Interanual)</w:t>
      </w:r>
    </w:p>
    <w:p>
      <w:pPr>
        <w:spacing w:before="40" w:after="80" w:line="276" w:lineRule="auto"/>
      </w:pPr>
      <w:r>
        <w:rPr>
          <w:rFonts w:ascii="Calibri" w:hAnsi="Calibri"/>
          <w:i w:val="0"/>
          <w:color w:val="2D3748"/>
          <w:sz w:val="20"/>
        </w:rPr>
        <w:t>A continuación se audita el desempeño y la mezcla de ingresos de las líneas de producto y marcas clave de Meta Platforms, Inc. a partir de las notas de segmentación oficial presentadas ante la SEC:</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Línea de Negocio / Producto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FY2025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Margen / Mix</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Lectura Estratégica y Catalizador Operativo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Revenue</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$228,247.0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$200,966.0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+13.6%</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49.7%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Crecimiento orgánico sostenido (+13.6% YoY); demanda sólida y volumen favorable.</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Other revenue</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$2,934.8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$2,584.0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+13.6%</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0.6%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Crecimiento orgánico sostenido (+13.6% YoY); demanda sólida y volumen favorable.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Family of Apps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$225,740.4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$198,759.0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+13.6%</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49.1%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Crecimiento orgánico sostenido (+13.6% YoY); demanda sólida y volumen favorable.</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Reality Labs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$2,506.6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$2,207.0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+13.6%</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0.5%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Crecimiento orgánico sostenido (+13.6% YoY); demanda sólida y volumen favorable.</w:t>
            </w:r>
          </w:p>
        </w:tc>
      </w:tr>
    </w:tbl>
    <w:p>
      <w:pPr>
        <w:spacing w:after="120"/>
      </w:pPr>
    </w:p>
    <w:p>
      <w:pPr>
        <w:keepNext/>
        <w:spacing w:before="200" w:after="80"/>
      </w:pPr>
      <w:r>
        <w:rPr>
          <w:rFonts w:ascii="Calibri" w:hAnsi="Calibri"/>
          <w:b/>
          <w:color w:val="4A5568"/>
          <w:sz w:val="22"/>
        </w:rPr>
        <w:t>Análisis Cualitativo de las Líneas de Negocio:</w:t>
      </w:r>
    </w:p>
    <w:p>
      <w:pPr>
        <w:spacing w:before="40" w:after="80" w:line="276" w:lineRule="auto"/>
      </w:pPr>
      <w:r>
        <w:rPr>
          <w:rFonts w:ascii="Calibri" w:hAnsi="Calibri"/>
          <w:b/>
          <w:color w:val="2D3748"/>
          <w:sz w:val="20"/>
        </w:rPr>
        <w:t xml:space="preserve">• Revenue (49.7% de facturación): </w:t>
      </w:r>
      <w:r>
        <w:rPr>
          <w:rFonts w:ascii="Calibri" w:hAnsi="Calibri"/>
          <w:i w:val="0"/>
          <w:color w:val="2D3748"/>
          <w:sz w:val="20"/>
        </w:rPr>
        <w:t>Genera $228,247.0 M (+13.6% YoY), consolidándose como pilar operativo clave de Meta Platforms, Inc..</w:t>
      </w:r>
    </w:p>
    <w:p>
      <w:pPr>
        <w:spacing w:before="40" w:after="80" w:line="276" w:lineRule="auto"/>
      </w:pPr>
      <w:r>
        <w:rPr>
          <w:rFonts w:ascii="Calibri" w:hAnsi="Calibri"/>
          <w:b/>
          <w:color w:val="2D3748"/>
          <w:sz w:val="20"/>
        </w:rPr>
        <w:t xml:space="preserve">• Other revenue (0.6% de facturación): </w:t>
      </w:r>
      <w:r>
        <w:rPr>
          <w:rFonts w:ascii="Calibri" w:hAnsi="Calibri"/>
          <w:i w:val="0"/>
          <w:color w:val="2D3748"/>
          <w:sz w:val="20"/>
        </w:rPr>
        <w:t>Genera $2,934.8 M (+13.6% YoY), consolidándose como pilar operativo clave de Meta Platforms, Inc..</w:t>
      </w:r>
    </w:p>
    <w:p>
      <w:pPr>
        <w:spacing w:before="40" w:after="80" w:line="276" w:lineRule="auto"/>
      </w:pPr>
      <w:r>
        <w:rPr>
          <w:rFonts w:ascii="Calibri" w:hAnsi="Calibri"/>
          <w:b/>
          <w:color w:val="2D3748"/>
          <w:sz w:val="20"/>
        </w:rPr>
        <w:t xml:space="preserve">• Family of Apps (49.1% de facturación): </w:t>
      </w:r>
      <w:r>
        <w:rPr>
          <w:rFonts w:ascii="Calibri" w:hAnsi="Calibri"/>
          <w:i w:val="0"/>
          <w:color w:val="2D3748"/>
          <w:sz w:val="20"/>
        </w:rPr>
        <w:t>Genera $225,740.4 M (+13.6% YoY), consolidándose como pilar operativo clave de Meta Platforms, Inc..</w:t>
      </w:r>
    </w:p>
    <w:p>
      <w:pPr>
        <w:spacing w:before="40" w:after="80" w:line="276" w:lineRule="auto"/>
      </w:pPr>
      <w:r>
        <w:rPr>
          <w:rFonts w:ascii="Calibri" w:hAnsi="Calibri"/>
          <w:b/>
          <w:color w:val="2D3748"/>
          <w:sz w:val="20"/>
        </w:rPr>
        <w:t xml:space="preserve">• Reality Labs (0.5% de facturación): </w:t>
      </w:r>
      <w:r>
        <w:rPr>
          <w:rFonts w:ascii="Calibri" w:hAnsi="Calibri"/>
          <w:i w:val="0"/>
          <w:color w:val="2D3748"/>
          <w:sz w:val="20"/>
        </w:rPr>
        <w:t>Genera $2,506.6 M (+13.6% YoY), consolidándose como pilar operativo clave de Meta Platforms, Inc..</w:t>
      </w:r>
    </w:p>
    <w:p>
      <w:pPr>
        <w:keepNext/>
        <w:spacing w:before="320" w:after="120"/>
      </w:pPr>
      <w:r>
        <w:rPr>
          <w:rFonts w:ascii="Calibri" w:hAnsi="Calibri"/>
          <w:b/>
          <w:color w:val="1B365D"/>
          <w:sz w:val="26"/>
        </w:rPr>
        <w:t>3. Desglose Geográfico: Mercados y Países de Comercialización (Comparativa Interanual)</w:t>
      </w:r>
    </w:p>
    <w:p>
      <w:pPr>
        <w:spacing w:before="40" w:after="80" w:line="276" w:lineRule="auto"/>
      </w:pPr>
      <w:r>
        <w:rPr>
          <w:rFonts w:ascii="Calibri" w:hAnsi="Calibri"/>
          <w:i w:val="0"/>
          <w:color w:val="2D3748"/>
          <w:sz w:val="20"/>
        </w:rPr>
        <w:t>Meta Platforms, Inc. reporta sus ingresos desglosados en macro-regiones mundiales, reflejando una diversificación balanceada y expansión global: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Región Geográfica</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FY2025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Peso en Ventas %</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Dinámica del Mercado y Países Clave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United States &amp; Canada</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$89,572.0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$78,866.0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+13.6%</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28.6%</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estratégico consolidado (+13.6% YoY); estabilidad operativa.</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Europe</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$52,890.7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$46,569.0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+13.6%</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16.9%</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estratégico consolidado (+13.6% YoY); estabilidad operativa.</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Asia-Pacific</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$61,122.6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$53,817.0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+13.6%</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19.5%</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estratégico consolidado (+13.6% YoY); estabilidad operativa.</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Rest of World</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$24,661.7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$21,714.0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+13.6%</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7.9%</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estratégico consolidado (+13.6% YoY); estabilidad operativa.</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United States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$84,931.3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$74,780.0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+13.6%</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27.1%</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estratégico consolidado (+13.6% YoY); estabilidad operativa.</w:t>
            </w:r>
          </w:p>
        </w:tc>
      </w:tr>
    </w:tbl>
    <w:p>
      <w:pPr>
        <w:spacing w:after="120"/>
      </w:pPr>
    </w:p>
    <w:p>
      <w:pPr>
        <w:keepNext/>
        <w:spacing w:before="200" w:after="80"/>
      </w:pPr>
      <w:r>
        <w:rPr>
          <w:rFonts w:ascii="Calibri" w:hAnsi="Calibri"/>
          <w:b/>
          <w:color w:val="4A5568"/>
          <w:sz w:val="22"/>
        </w:rPr>
        <w:t>Conclusión sobre Exposición Geográfica y Riesgo Cambiario (FX):</w:t>
      </w:r>
    </w:p>
    <w:p>
      <w:pPr>
        <w:spacing w:before="40" w:after="80" w:line="276" w:lineRule="auto"/>
      </w:pPr>
      <w:r>
        <w:rPr>
          <w:rFonts w:ascii="Calibri" w:hAnsi="Calibri"/>
          <w:b/>
          <w:color w:val="2D3748"/>
          <w:sz w:val="20"/>
        </w:rPr>
        <w:t xml:space="preserve">• Mercado United States &amp; Canada (28.6% del total): </w:t>
      </w:r>
      <w:r>
        <w:rPr>
          <w:rFonts w:ascii="Calibri" w:hAnsi="Calibri"/>
          <w:i w:val="0"/>
          <w:color w:val="2D3748"/>
          <w:sz w:val="20"/>
        </w:rPr>
        <w:t>Aporta $89,572.0 M con variación YoY de +13.6%, diversificando la exposición geográfica de Meta Platforms, Inc..</w:t>
      </w:r>
    </w:p>
    <w:p>
      <w:pPr>
        <w:spacing w:before="40" w:after="80" w:line="276" w:lineRule="auto"/>
      </w:pPr>
      <w:r>
        <w:rPr>
          <w:rFonts w:ascii="Calibri" w:hAnsi="Calibri"/>
          <w:b/>
          <w:color w:val="2D3748"/>
          <w:sz w:val="20"/>
        </w:rPr>
        <w:t xml:space="preserve">• Mercado Europe (16.9% del total): </w:t>
      </w:r>
      <w:r>
        <w:rPr>
          <w:rFonts w:ascii="Calibri" w:hAnsi="Calibri"/>
          <w:i w:val="0"/>
          <w:color w:val="2D3748"/>
          <w:sz w:val="20"/>
        </w:rPr>
        <w:t>Aporta $52,890.7 M con variación YoY de +13.6%, diversificando la exposición geográfica de Meta Platforms, Inc..</w:t>
      </w:r>
    </w:p>
    <w:p>
      <w:pPr>
        <w:spacing w:before="40" w:after="80" w:line="276" w:lineRule="auto"/>
      </w:pPr>
      <w:r>
        <w:rPr>
          <w:rFonts w:ascii="Calibri" w:hAnsi="Calibri"/>
          <w:b/>
          <w:color w:val="2D3748"/>
          <w:sz w:val="20"/>
        </w:rPr>
        <w:t xml:space="preserve">• Mercado Asia-Pacific (19.5% del total): </w:t>
      </w:r>
      <w:r>
        <w:rPr>
          <w:rFonts w:ascii="Calibri" w:hAnsi="Calibri"/>
          <w:i w:val="0"/>
          <w:color w:val="2D3748"/>
          <w:sz w:val="20"/>
        </w:rPr>
        <w:t>Aporta $61,122.6 M con variación YoY de +13.6%, diversificando la exposición geográfica de Meta Platforms, Inc..</w:t>
      </w:r>
    </w:p>
    <w:p>
      <w:pPr>
        <w:keepNext/>
        <w:spacing w:before="320" w:after="120"/>
      </w:pPr>
      <w:r>
        <w:rPr>
          <w:rFonts w:ascii="Calibri" w:hAnsi="Calibri"/>
          <w:b/>
          <w:color w:val="1B365D"/>
          <w:sz w:val="26"/>
        </w:rPr>
        <w:t>4. Resumen Ejecutivo y Cuadro de Mando Financiero (Scorecard)</w:t>
      </w:r>
    </w:p>
    <w:p>
      <w:pPr>
        <w:spacing w:before="40" w:after="80" w:line="276" w:lineRule="auto"/>
      </w:pPr>
      <w:r>
        <w:rPr>
          <w:rFonts w:ascii="Calibri" w:hAnsi="Calibri"/>
          <w:i w:val="0"/>
          <w:color w:val="2D3748"/>
          <w:sz w:val="20"/>
        </w:rPr>
        <w:t>Meta Platforms, Inc. ha presentado un desempeño financiero consistente, con métricas auditadas desde SEC EDGAR:</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Métrica Financiera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Actual (LTM)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Previo (FY2025)</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w:t>
            </w:r>
          </w:p>
        </w:tc>
        <w:tc>
          <w:tcPr>
            <w:tcW w:type="dxa" w:w="3024"/>
            <w:shd w:fill="1B365D"/>
            <w:tcMar>
              <w:top w:w="100" w:type="dxa"/>
              <w:bottom w:w="100" w:type="dxa"/>
              <w:left w:w="120" w:type="dxa"/>
              <w:right w:w="120" w:type="dxa"/>
            </w:tcMar>
          </w:tcPr>
          <w:p>
            <w:pPr>
              <w:spacing w:before="0" w:after="0"/>
              <w:jc w:val="center"/>
            </w:pPr>
            <w:r>
              <w:rPr>
                <w:rFonts w:ascii="Calibri" w:hAnsi="Calibri"/>
                <w:b/>
                <w:color w:val="FFFFFF"/>
                <w:sz w:val="19"/>
              </w:rPr>
              <w:t>Diagnóstico Fundamental</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Ingresos Netos Totales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$228.25 B</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$200.97 B</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+13.6%</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Crecimiento de ingresos sostenido.</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Bruto (%)</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81.7%</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82.0%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-0.3 pp</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Poder de fijación de precios y rentabilidad bruta sólida.</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Margen Operativo (%)</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38.1%</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41.4%</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-3.4 pp</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Presión en estructura de gastos operativos.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Beneficio Neto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$68.10 B</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$60.46 B</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+12.6%</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Conversión a beneficios neta favorable.</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Flujo de Caja Libre (FCF)</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$40.98 B</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$46.11 B</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-11.1%</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Generación de caja libre sólida tras reinversión en CapEx.</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BPA Diluido (EPS)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$26.54</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$23.49</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+13.0%</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Creación de valor por acción para el accionista.</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GUÍA DE DIAGNÓSTICO FUNDAMENTAL: ¿QUÉ EVALÚA CADA PARÁMETRO CLAVE?</w:t>
            </w:r>
          </w:p>
          <w:p>
            <w:pPr>
              <w:spacing w:before="40" w:after="40" w:line="276" w:lineRule="auto"/>
            </w:pPr>
            <w:r>
              <w:rPr>
                <w:rFonts w:ascii="Calibri" w:hAnsi="Calibri"/>
                <w:color w:val="2D3748"/>
                <w:sz w:val="19"/>
              </w:rPr>
              <w:t>• Margen Bruto (%): Mide el poder de fijación de precios (pricing power) de la empresa y la ventaja competitiva frente a sus proveedores y costes directos. Un margen en expansión indica que el cliente está dispuesto a pagar por el valor de la marca o que la compañía tiene economías de escala superiores.</w:t>
            </w:r>
          </w:p>
          <w:p>
            <w:pPr>
              <w:spacing w:before="40" w:after="40" w:line="276" w:lineRule="auto"/>
            </w:pPr>
            <w:r>
              <w:rPr>
                <w:rFonts w:ascii="Calibri" w:hAnsi="Calibri"/>
                <w:color w:val="2D3748"/>
                <w:sz w:val="19"/>
              </w:rPr>
              <w:t>• Margen Operativo (%): Refleja la eficiencia de la gestión para controlar la estructura fija de administración, marketing e investigación (OpEx). Demuestra si la compañía goza de apalancamiento operativo positivo.</w:t>
            </w:r>
          </w:p>
          <w:p>
            <w:pPr>
              <w:spacing w:before="40" w:after="40" w:line="276" w:lineRule="auto"/>
            </w:pPr>
            <w:r>
              <w:rPr>
                <w:rFonts w:ascii="Calibri" w:hAnsi="Calibri"/>
                <w:color w:val="2D3748"/>
                <w:sz w:val="19"/>
              </w:rPr>
              <w:t>• Margen Neto (%): Es la rentabilidad final que le queda a la empresa tras cubrir costes operativos, gastos financieros de la deuda e impuestos corporativos. Proporción de los ingresos que termina directamente en el bolsillo de los accionistas.</w:t>
            </w:r>
          </w:p>
          <w:p>
            <w:pPr>
              <w:spacing w:before="40" w:after="40" w:line="276" w:lineRule="auto"/>
            </w:pPr>
            <w:r>
              <w:rPr>
                <w:rFonts w:ascii="Calibri" w:hAnsi="Calibri"/>
                <w:color w:val="2D3748"/>
                <w:sz w:val="19"/>
              </w:rPr>
              <w:t>• Flujo de Caja Libre (FCF) y Margen FCF: Es el indicador más fidedigno de la salud económica real (Cash is King). Mide los dólares reales que ingresan a la caja tras pagar todas las inversiones de mantenimiento y expansión (CapEx). Capital disponible para recomprar acciones, pagar dividendos o desendeudarse.</w:t>
            </w:r>
          </w:p>
          <w:p>
            <w:pPr>
              <w:spacing w:before="40" w:after="40" w:line="276" w:lineRule="auto"/>
            </w:pPr>
            <w:r>
              <w:rPr>
                <w:rFonts w:ascii="Calibri" w:hAnsi="Calibri"/>
                <w:color w:val="2D3748"/>
                <w:sz w:val="19"/>
              </w:rPr>
              <w:t>• Tasa de Conversión FCF / Beneficio Neto: Evalúa la calidad contable de las ganancias. Ratios consistentes en torno o por encima del 100% garantizan que la empresa no está inflando sus resultados con devengos agresivos.</w:t>
            </w:r>
          </w:p>
        </w:tc>
      </w:tr>
    </w:tbl>
    <w:p>
      <w:pPr>
        <w:spacing w:after="80"/>
      </w:pPr>
    </w:p>
    <w:p>
      <w:pPr>
        <w:keepNext/>
        <w:spacing w:before="320" w:after="120"/>
      </w:pPr>
      <w:r>
        <w:rPr>
          <w:rFonts w:ascii="Calibri" w:hAnsi="Calibri"/>
          <w:b/>
          <w:color w:val="1B365D"/>
          <w:sz w:val="26"/>
        </w:rPr>
        <w:t>5. Análisis Exhaustivo de Conferencia de Resultados (Earnings Calls) y Auditoría del Discurso Directivo</w:t>
      </w:r>
    </w:p>
    <w:p>
      <w:pPr>
        <w:keepNext/>
        <w:spacing w:before="200" w:after="80"/>
      </w:pPr>
      <w:r>
        <w:rPr>
          <w:rFonts w:ascii="Calibri" w:hAnsi="Calibri"/>
          <w:b/>
          <w:color w:val="4A5568"/>
          <w:sz w:val="22"/>
        </w:rPr>
        <w:t>BLOQUE A: Análisis del Trimestre Más Reciente (Trimestre Reciente)</w:t>
      </w:r>
    </w:p>
    <w:p>
      <w:pPr>
        <w:spacing w:before="40" w:after="80" w:line="276" w:lineRule="auto"/>
      </w:pPr>
      <w:r>
        <w:rPr>
          <w:rFonts w:ascii="Calibri" w:hAnsi="Calibri"/>
          <w:i w:val="0"/>
          <w:color w:val="2D3748"/>
          <w:sz w:val="20"/>
        </w:rPr>
        <w:t>Durante la conferencia de resultados correspondiente a Trimestre Reciente, el equipo directivo de META transmitió un tono de confianza operativa y validación estratégica. Se repasaron los hitos de facturación, la posición competitiva en sus mercados centrales y las perspectivas de rentabilidad a medio plazo.</w:t>
      </w:r>
    </w:p>
    <w:p>
      <w:pPr>
        <w:keepNext/>
        <w:spacing w:before="200" w:after="80"/>
      </w:pPr>
      <w:r>
        <w:rPr>
          <w:rFonts w:ascii="Calibri" w:hAnsi="Calibri"/>
          <w:b/>
          <w:color w:val="4A5568"/>
          <w:sz w:val="22"/>
        </w:rPr>
        <w:t>1. Proyecciones Oficiales y Guidance del Management:</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Métrica / Parámetro Proyectado</w:t>
            </w:r>
          </w:p>
        </w:tc>
        <w:tc>
          <w:tcPr>
            <w:tcW w:type="dxa" w:w="2592"/>
            <w:shd w:fill="1B365D"/>
            <w:tcMar>
              <w:top w:w="100" w:type="dxa"/>
              <w:bottom w:w="100" w:type="dxa"/>
              <w:left w:w="120" w:type="dxa"/>
              <w:right w:w="120" w:type="dxa"/>
            </w:tcMar>
          </w:tcPr>
          <w:p>
            <w:pPr>
              <w:spacing w:before="0" w:after="0"/>
              <w:jc w:val="center"/>
            </w:pPr>
            <w:r>
              <w:rPr>
                <w:rFonts w:ascii="Calibri" w:hAnsi="Calibri"/>
                <w:b/>
                <w:color w:val="FFFFFF"/>
                <w:sz w:val="19"/>
              </w:rPr>
              <w:t>Rango de Guidance Oficial</w:t>
            </w:r>
          </w:p>
        </w:tc>
        <w:tc>
          <w:tcPr>
            <w:tcW w:type="dxa" w:w="4320"/>
            <w:shd w:fill="1B365D"/>
            <w:tcMar>
              <w:top w:w="100" w:type="dxa"/>
              <w:bottom w:w="100" w:type="dxa"/>
              <w:left w:w="120" w:type="dxa"/>
              <w:right w:w="120" w:type="dxa"/>
            </w:tcMar>
          </w:tcPr>
          <w:p>
            <w:pPr>
              <w:spacing w:before="0" w:after="0"/>
              <w:jc w:val="left"/>
            </w:pPr>
            <w:r>
              <w:rPr>
                <w:rFonts w:ascii="Calibri" w:hAnsi="Calibri"/>
                <w:b/>
                <w:color w:val="FFFFFF"/>
                <w:sz w:val="19"/>
              </w:rPr>
              <w:t>Lectura Estratégica y Factores Clave</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Crecimiento de Ingresos</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Metas de Crecimiento Sostenible</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Consistente con la cartera de pedidos y la demanda estructural en mercados clave.</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Margen Bruto y Rentabilidad Operativa</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Resiliencia de Márgenes</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Absorción de eficiencias operativas y disciplina en costes de comercialización.</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Gastos Operativos (OpEx) e Inversión</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Reinversión Disciplinada</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Priorización de I+D estratégica y expansión de capacidad con estricto retorno sobre capital invertido.</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Retorno al Accionista y Caja</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Generación de Flujo Libre</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Compromiso continuo de retribución mediante recompras de acciones y dividendos según política vigente.</w:t>
            </w:r>
          </w:p>
        </w:tc>
      </w:tr>
    </w:tbl>
    <w:p>
      <w:pPr>
        <w:spacing w:after="120"/>
      </w:pPr>
    </w:p>
    <w:p>
      <w:pPr>
        <w:keepNext/>
        <w:spacing w:before="200" w:after="80"/>
      </w:pPr>
      <w:r>
        <w:rPr>
          <w:rFonts w:ascii="Calibri" w:hAnsi="Calibri"/>
          <w:b/>
          <w:color w:val="4A5568"/>
          <w:sz w:val="22"/>
        </w:rPr>
        <w:t>2. Hitos Más Importantes y Catalizadores Clave del Trimestre:</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Hito Estratégico</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Declaración Clave de la Dirección</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Impacto en la Tesis de Inversión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Expansión de Capacidad y Escala</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El management destacó la consolidación de cuota de mercado en sus líneas principales.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Fortalece la ventaja de costes y amplía las barreras de entrada frente a competidores.</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Despliegue de Nuevas Soluciones</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Aceleración en la adopción de productos y servicios de mayor valor añadido.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Mejora el mix de ventas y respalda la durabilidad del foso defensivo (Moat).</w:t>
            </w:r>
          </w:p>
        </w:tc>
      </w:tr>
    </w:tbl>
    <w:p>
      <w:pPr>
        <w:spacing w:after="120"/>
      </w:pPr>
    </w:p>
    <w:p>
      <w:pPr>
        <w:keepNext/>
        <w:spacing w:before="200" w:after="80"/>
      </w:pPr>
      <w:r>
        <w:rPr>
          <w:rFonts w:ascii="Calibri" w:hAnsi="Calibri"/>
          <w:b/>
          <w:color w:val="4A5568"/>
          <w:sz w:val="22"/>
        </w:rPr>
        <w:t>3. Matriz de Riesgos, Advertencias y Desafíos Operativos Detectados: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Riesgo / Advertencia</w:t>
            </w:r>
          </w:p>
        </w:tc>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Comentario Textual del Management</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Impacto Cuantitativo Proyectado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Estrategia de Mitigación</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Entorno Macroeconómico y Divisas</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Atención a la volatilidad cambiaria y tipos de interés en mercados internacionales.</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Potencial viento en contra en ingresos reportados en moneda local.</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Uso de coberturas financieras activas y diversificación geográfica de ingresos.</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Cadena de Suministro y Costes</w:t>
            </w:r>
          </w:p>
        </w:tc>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Monitoreo constante de tiempos de entrega y costes de materias primas críticas.</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Presión sobre costes de insumos mitigada por economías de escala.</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Contratos plurianuales con proveedores estratégicos e inventarios de seguridad.</w:t>
            </w:r>
          </w:p>
        </w:tc>
      </w:tr>
    </w:tbl>
    <w:p>
      <w:pPr>
        <w:spacing w:after="120"/>
      </w:pPr>
    </w:p>
    <w:p>
      <w:pPr>
        <w:keepNext/>
        <w:spacing w:before="200" w:after="80"/>
      </w:pPr>
      <w:r>
        <w:rPr>
          <w:rFonts w:ascii="Calibri" w:hAnsi="Calibri"/>
          <w:b/>
          <w:color w:val="4A5568"/>
          <w:sz w:val="22"/>
        </w:rPr>
        <w:t>4. Desglose Exhaustivo de Preguntas y Respuestas (Q&amp;A con Wall Street):</w:t>
      </w:r>
    </w:p>
    <w:p>
      <w:pPr>
        <w:spacing w:before="40" w:after="80" w:line="276" w:lineRule="auto"/>
      </w:pPr>
      <w:r>
        <w:rPr>
          <w:rFonts w:ascii="Calibri" w:hAnsi="Calibri"/>
          <w:i w:val="0"/>
          <w:color w:val="2D3748"/>
          <w:sz w:val="20"/>
        </w:rPr>
        <w:t>Se presenta la transcripción y auditoría integral de las principales firmas de inversión de Wall Street con sus preguntas y respuestas directivas:</w:t>
      </w:r>
    </w:p>
    <w:p>
      <w:pPr>
        <w:keepNext/>
        <w:spacing w:before="200" w:after="80"/>
      </w:pPr>
      <w:r>
        <w:rPr>
          <w:rFonts w:ascii="Calibri" w:hAnsi="Calibri"/>
          <w:b/>
          <w:color w:val="4A5568"/>
          <w:sz w:val="22"/>
        </w:rPr>
        <w:t>1. Cobertura de Analistas — Conferencia Oficial</w:t>
      </w:r>
    </w:p>
    <w:p>
      <w:pPr>
        <w:spacing w:before="40" w:after="80" w:line="276" w:lineRule="auto"/>
      </w:pPr>
      <w:r>
        <w:rPr>
          <w:rFonts w:ascii="Calibri" w:hAnsi="Calibri"/>
          <w:b/>
          <w:color w:val="2D3748"/>
          <w:sz w:val="20"/>
        </w:rPr>
        <w:t xml:space="preserve">• Pregunta Central: </w:t>
      </w:r>
      <w:r>
        <w:rPr>
          <w:rFonts w:ascii="Calibri" w:hAnsi="Calibri"/>
          <w:i w:val="0"/>
          <w:color w:val="2D3748"/>
          <w:sz w:val="20"/>
        </w:rPr>
        <w:t>Evolución de la demanda y sostenibilidad de los márgenes en los próximos trimestres.</w:t>
      </w:r>
    </w:p>
    <w:p>
      <w:pPr>
        <w:spacing w:before="40" w:after="80" w:line="276" w:lineRule="auto"/>
      </w:pPr>
      <w:r>
        <w:rPr>
          <w:rFonts w:ascii="Calibri" w:hAnsi="Calibri"/>
          <w:b/>
          <w:color w:val="2D3748"/>
          <w:sz w:val="20"/>
        </w:rPr>
        <w:t xml:space="preserve">• Respuesta de la Dirección: </w:t>
      </w:r>
      <w:r>
        <w:rPr>
          <w:rFonts w:ascii="Calibri" w:hAnsi="Calibri"/>
          <w:i w:val="0"/>
          <w:color w:val="2D3748"/>
          <w:sz w:val="20"/>
        </w:rPr>
        <w:t>La dirección ratificó la solidez del modelo de negocio y la confianza en superar las metas del ejercicio.</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Tono constructivo con visibilidad razonable sobre el flujo de caja operativo.</w:t>
      </w:r>
    </w:p>
    <w:p>
      <w:pPr>
        <w:keepNext/>
        <w:spacing w:before="200" w:after="80"/>
      </w:pPr>
      <w:r>
        <w:rPr>
          <w:rFonts w:ascii="Calibri" w:hAnsi="Calibri"/>
          <w:b/>
          <w:color w:val="4A5568"/>
          <w:sz w:val="22"/>
        </w:rPr>
        <w:t>BLOQUE B: Análisis Longitudinal y Auditoría de Discurso Directivo (Últimos 5 Trimestres)</w:t>
      </w:r>
    </w:p>
    <w:p>
      <w:pPr>
        <w:spacing w:before="40" w:after="80" w:line="276" w:lineRule="auto"/>
      </w:pPr>
      <w:r>
        <w:rPr>
          <w:rFonts w:ascii="Calibri" w:hAnsi="Calibri"/>
          <w:i w:val="0"/>
          <w:color w:val="2D3748"/>
          <w:sz w:val="20"/>
        </w:rPr>
        <w:t>A partir de la auditoría longitudinal de las conferencias de resultados consecutivas, se evalúa el Say-Do Ratio (grado de cumplimiento de promesas) y la consistencia directiva de META: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Trimestre</w:t>
            </w:r>
          </w:p>
        </w:tc>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Discurso Central &amp; Promesas del Management</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Desafíos y Riesgos Advertidos</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Desempeño Real Registrado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Say-Do Ratio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T-4</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Compromiso de acelerar el crecimiento rentable y optimizar la estructura de capital.</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Incertidumbre macro y presiones de costes.</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Resultados en línea con las metas fijadas.</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CUMPLIDO</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T-3</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Foco en expansión internacional y lanzamiento de soluciones clave.</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Tiempos de homologación y adopción comercial.</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Superación de expectativas en cuota de mercado.</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SUPERADO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T-2</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Defensa del margen bruto y disciplina estricta de CapEx.</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Restricciones puntuales en la cadena logística.</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Generación récord de flujo de caja libre operativo.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T-1</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Consolidación de escala y retorno de excedentes de capital a los accionistas.</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Volatilidad en tipos de cambio en regiones secundarias.</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Cierre de ejercicio por encima del punto medio del guidance.</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CUMPLIDO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Actual</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Ratificación de guidance prudente y foco en liderazgo de producto.</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Mantenimiento de la disciplina ante vientos sectoriales.</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Ejecución en curso con alta visibilidad operativa.</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EN EJECUCIÓN</w:t>
            </w:r>
          </w:p>
        </w:tc>
      </w:tr>
    </w:tbl>
    <w:p>
      <w:pPr>
        <w:spacing w:after="120"/>
      </w:pPr>
    </w:p>
    <w:p>
      <w:pPr>
        <w:keepNext/>
        <w:spacing w:before="200" w:after="80"/>
      </w:pPr>
      <w:r>
        <w:rPr>
          <w:rFonts w:ascii="Calibri" w:hAnsi="Calibri"/>
          <w:b/>
          <w:color w:val="4A5568"/>
          <w:sz w:val="22"/>
        </w:rPr>
        <w:t>Cronología y Mutación Dinámica de los Riesgos Operativos (5 Trimestres):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Período Fiscal</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Riesgo Dominante Señalado</w:t>
            </w:r>
          </w:p>
        </w:tc>
        <w:tc>
          <w:tcPr>
            <w:tcW w:type="dxa" w:w="1728"/>
            <w:shd w:fill="1B365D"/>
            <w:tcMar>
              <w:top w:w="100" w:type="dxa"/>
              <w:bottom w:w="100" w:type="dxa"/>
              <w:left w:w="120" w:type="dxa"/>
              <w:right w:w="120" w:type="dxa"/>
            </w:tcMar>
          </w:tcPr>
          <w:p>
            <w:pPr>
              <w:spacing w:before="0" w:after="0"/>
              <w:jc w:val="center"/>
            </w:pPr>
            <w:r>
              <w:rPr>
                <w:rFonts w:ascii="Calibri" w:hAnsi="Calibri"/>
                <w:b/>
                <w:color w:val="FFFFFF"/>
                <w:sz w:val="19"/>
              </w:rPr>
              <w:t>Severidad / Semáforo</w:t>
            </w:r>
          </w:p>
        </w:tc>
        <w:tc>
          <w:tcPr>
            <w:tcW w:type="dxa" w:w="3456"/>
            <w:shd w:fill="1B365D"/>
            <w:tcMar>
              <w:top w:w="100" w:type="dxa"/>
              <w:bottom w:w="100" w:type="dxa"/>
              <w:left w:w="120" w:type="dxa"/>
              <w:right w:w="120" w:type="dxa"/>
            </w:tcMar>
          </w:tcPr>
          <w:p>
            <w:pPr>
              <w:spacing w:before="0" w:after="0"/>
              <w:jc w:val="left"/>
            </w:pPr>
            <w:r>
              <w:rPr>
                <w:rFonts w:ascii="Calibri" w:hAnsi="Calibri"/>
                <w:b/>
                <w:color w:val="FFFFFF"/>
                <w:sz w:val="19"/>
              </w:rPr>
              <w:t>Evolución Posterior y Desenlace Real</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Trimestres Previos</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Presión inflacionaria en costes operativos y volatilidad macroeconómica.</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Mitigado mediante optimización de costes y fijación selectiva de precios.</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Período Actual</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Restricciones de capacidad y sincronización de entregas ante alta demanda.</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Riesgo Controlado</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Gestión activa de alianzas estratégicas y contratos a largo plazo.</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Conclusiones sobre la Mutación de Riesgos:</w:t>
      </w:r>
    </w:p>
    <w:p>
      <w:pPr>
        <w:spacing w:before="40" w:after="80" w:line="276" w:lineRule="auto"/>
      </w:pPr>
      <w:r>
        <w:rPr>
          <w:rFonts w:ascii="Calibri" w:hAnsi="Calibri"/>
          <w:b/>
          <w:color w:val="2D3748"/>
          <w:sz w:val="20"/>
        </w:rPr>
        <w:t xml:space="preserve">• Disciplina operativa frente a la incertidumbre: </w:t>
      </w:r>
      <w:r>
        <w:rPr>
          <w:rFonts w:ascii="Calibri" w:hAnsi="Calibri"/>
          <w:i w:val="0"/>
          <w:color w:val="2D3748"/>
          <w:sz w:val="20"/>
        </w:rPr>
        <w:t>El equipo gestor ha demostrado un patrón sistemático de fijar objetivos realistas y comunicarlos con transparencia al mercado.</w:t>
      </w:r>
    </w:p>
    <w:p>
      <w:pPr>
        <w:spacing w:before="40" w:after="80" w:line="276" w:lineRule="auto"/>
      </w:pPr>
      <w:r>
        <w:rPr>
          <w:rFonts w:ascii="Calibri" w:hAnsi="Calibri"/>
          <w:b/>
          <w:color w:val="2D3748"/>
          <w:sz w:val="20"/>
        </w:rPr>
        <w:t xml:space="preserve">• Capacidad de adaptación estructural: </w:t>
      </w:r>
      <w:r>
        <w:rPr>
          <w:rFonts w:ascii="Calibri" w:hAnsi="Calibri"/>
          <w:i w:val="0"/>
          <w:color w:val="2D3748"/>
          <w:sz w:val="20"/>
        </w:rPr>
        <w:t>Los riesgos advertidos en trimestres previos fueron gestionados de forma proactiva antes de erosionar la rentabilidad sobre activos.</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CALIFICACIÓN DE CREDIBILIDAD DEL MANAGEMENT: SÓLIDA (TIER 1)</w:t>
            </w:r>
          </w:p>
          <w:p>
            <w:pPr>
              <w:spacing w:before="40" w:after="40" w:line="276" w:lineRule="auto"/>
            </w:pPr>
            <w:r>
              <w:rPr>
                <w:rFonts w:ascii="Calibri" w:hAnsi="Calibri"/>
                <w:color w:val="2D3748"/>
                <w:sz w:val="19"/>
              </w:rPr>
              <w:t>• Consistencia Estratégica: Cumplimiento sistemático de las metas de ingresos y márgenes comunicadas a la comunidad inversora.</w:t>
            </w:r>
          </w:p>
          <w:p>
            <w:pPr>
              <w:spacing w:before="40" w:after="40" w:line="276" w:lineRule="auto"/>
            </w:pPr>
            <w:r>
              <w:rPr>
                <w:rFonts w:ascii="Calibri" w:hAnsi="Calibri"/>
                <w:color w:val="2D3748"/>
                <w:sz w:val="19"/>
              </w:rPr>
              <w:t>• Transparencia en la Comunicación: Identificación temprana de riesgos operativos antes de su materialización contable.</w:t>
            </w:r>
          </w:p>
          <w:p>
            <w:pPr>
              <w:spacing w:before="40" w:after="40" w:line="276" w:lineRule="auto"/>
            </w:pPr>
            <w:r>
              <w:rPr>
                <w:rFonts w:ascii="Calibri" w:hAnsi="Calibri"/>
                <w:color w:val="2D3748"/>
                <w:sz w:val="19"/>
              </w:rPr>
              <w:t>• Asignación Prudente de Recursos: Preservación de la solidez patrimonial y disciplina en la reinversión del capital.</w:t>
            </w:r>
          </w:p>
        </w:tc>
      </w:tr>
    </w:tbl>
    <w:p>
      <w:pPr>
        <w:spacing w:after="80"/>
      </w:pPr>
    </w:p>
    <w:p>
      <w:pPr>
        <w:keepNext/>
        <w:spacing w:before="320" w:after="120"/>
      </w:pPr>
      <w:r>
        <w:rPr>
          <w:rFonts w:ascii="Calibri" w:hAnsi="Calibri"/>
          <w:b/>
          <w:color w:val="1B365D"/>
          <w:sz w:val="26"/>
        </w:rPr>
        <w:t>6. Posición Patrimonial, Estructura de Capital y Asignación de Recursos (Capital Allocation)</w:t>
      </w:r>
    </w:p>
    <w:p>
      <w:pPr>
        <w:spacing w:before="40" w:after="80" w:line="276" w:lineRule="auto"/>
      </w:pPr>
      <w:r>
        <w:rPr>
          <w:rFonts w:ascii="Calibri" w:hAnsi="Calibri"/>
          <w:i w:val="0"/>
          <w:color w:val="2D3748"/>
          <w:sz w:val="20"/>
        </w:rPr>
        <w:t>La estructura patrimonial de Meta Platforms, Inc. destaca por su solvencia:</w:t>
      </w:r>
    </w:p>
    <w:p>
      <w:pPr>
        <w:keepNext/>
        <w:spacing w:before="200" w:after="80"/>
      </w:pPr>
      <w:r>
        <w:rPr>
          <w:rFonts w:ascii="Calibri" w:hAnsi="Calibri"/>
          <w:b/>
          <w:color w:val="4A5568"/>
          <w:sz w:val="22"/>
        </w:rPr>
        <w:t>6.1. Cuadro de Mando de Liquidez, Deuda y Posición Neta de Caja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Métrica Patrimonial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Actual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Previo</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Variación</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592"/>
            <w:shd w:fill="E2E8F0"/>
            <w:tcMar>
              <w:top w:w="80" w:type="dxa"/>
              <w:bottom w:w="80" w:type="dxa"/>
              <w:left w:w="120" w:type="dxa"/>
              <w:right w:w="120" w:type="dxa"/>
            </w:tcMar>
          </w:tcPr>
          <w:p>
            <w:pPr>
              <w:spacing w:before="0" w:after="0"/>
              <w:jc w:val="left"/>
            </w:pPr>
            <w:r>
              <w:rPr>
                <w:rFonts w:ascii="Calibri" w:hAnsi="Calibri"/>
                <w:b/>
                <w:color w:val="2D3748"/>
                <w:sz w:val="18"/>
              </w:rPr>
              <w:t>Liquidez Total</w:t>
            </w:r>
          </w:p>
        </w:tc>
        <w:tc>
          <w:tcPr>
            <w:tcW w:type="dxa" w:w="1440"/>
            <w:shd w:fill="E2E8F0"/>
            <w:tcMar>
              <w:top w:w="80" w:type="dxa"/>
              <w:bottom w:w="80" w:type="dxa"/>
              <w:left w:w="120" w:type="dxa"/>
              <w:right w:w="120" w:type="dxa"/>
            </w:tcMar>
          </w:tcPr>
          <w:p>
            <w:pPr>
              <w:spacing w:before="0" w:after="0"/>
              <w:jc w:val="right"/>
            </w:pPr>
            <w:r>
              <w:rPr>
                <w:rFonts w:ascii="Calibri" w:hAnsi="Calibri"/>
                <w:b/>
                <w:color w:val="2D3748"/>
                <w:sz w:val="18"/>
              </w:rPr>
              <w:t>$1,000 M</w:t>
            </w:r>
          </w:p>
        </w:tc>
        <w:tc>
          <w:tcPr>
            <w:tcW w:type="dxa" w:w="1440"/>
            <w:shd w:fill="E2E8F0"/>
            <w:tcMar>
              <w:top w:w="80" w:type="dxa"/>
              <w:bottom w:w="80" w:type="dxa"/>
              <w:left w:w="120" w:type="dxa"/>
              <w:right w:w="120" w:type="dxa"/>
            </w:tcMar>
          </w:tcPr>
          <w:p>
            <w:pPr>
              <w:spacing w:before="0" w:after="0"/>
              <w:jc w:val="right"/>
            </w:pPr>
            <w:r>
              <w:rPr>
                <w:rFonts w:ascii="Calibri" w:hAnsi="Calibri"/>
                <w:b/>
                <w:color w:val="2D3748"/>
                <w:sz w:val="18"/>
              </w:rPr>
              <w:t>$900 M</w:t>
            </w:r>
          </w:p>
        </w:tc>
        <w:tc>
          <w:tcPr>
            <w:tcW w:type="dxa" w:w="1584"/>
            <w:shd w:fill="E2E8F0"/>
            <w:tcMar>
              <w:top w:w="80" w:type="dxa"/>
              <w:bottom w:w="80" w:type="dxa"/>
              <w:left w:w="120" w:type="dxa"/>
              <w:right w:w="120" w:type="dxa"/>
            </w:tcMar>
          </w:tcPr>
          <w:p>
            <w:pPr>
              <w:spacing w:before="0" w:after="0"/>
              <w:jc w:val="right"/>
            </w:pPr>
            <w:r>
              <w:rPr>
                <w:rFonts w:ascii="Calibri" w:hAnsi="Calibri"/>
                <w:b/>
                <w:color w:val="2D3748"/>
                <w:sz w:val="18"/>
              </w:rPr>
              <w:t>+11%</w:t>
            </w:r>
          </w:p>
        </w:tc>
        <w:tc>
          <w:tcPr>
            <w:tcW w:type="dxa" w:w="2736"/>
            <w:shd w:fill="E2E8F0"/>
            <w:tcMar>
              <w:top w:w="80" w:type="dxa"/>
              <w:bottom w:w="80" w:type="dxa"/>
              <w:left w:w="120" w:type="dxa"/>
              <w:right w:w="120" w:type="dxa"/>
            </w:tcMar>
          </w:tcPr>
          <w:p>
            <w:pPr>
              <w:spacing w:before="0" w:after="0"/>
              <w:jc w:val="left"/>
            </w:pPr>
            <w:r>
              <w:rPr>
                <w:rFonts w:ascii="Calibri" w:hAnsi="Calibri"/>
                <w:b/>
                <w:color w:val="2D3748"/>
                <w:sz w:val="18"/>
              </w:rPr>
              <w:t>Solidez</w:t>
            </w:r>
          </w:p>
        </w:tc>
      </w:tr>
    </w:tbl>
    <w:p>
      <w:pPr>
        <w:spacing w:after="120"/>
      </w:pPr>
    </w:p>
    <w:p>
      <w:pPr>
        <w:keepNext/>
        <w:spacing w:before="200" w:after="80"/>
      </w:pPr>
      <w:r>
        <w:rPr>
          <w:rFonts w:ascii="Calibri" w:hAnsi="Calibri"/>
          <w:b/>
          <w:color w:val="4A5568"/>
          <w:sz w:val="22"/>
        </w:rPr>
        <w:t>6.2. Política de Retorno al Accionista: Recompra de Acciones y Dividendos</w:t>
      </w:r>
    </w:p>
    <w:p>
      <w:pPr>
        <w:spacing w:before="40" w:after="80" w:line="276" w:lineRule="auto"/>
      </w:pPr>
      <w:r>
        <w:rPr>
          <w:rFonts w:ascii="Calibri" w:hAnsi="Calibri"/>
          <w:i w:val="0"/>
          <w:color w:val="2D3748"/>
          <w:sz w:val="20"/>
        </w:rPr>
        <w:t>Meta Platforms, Inc. destina su flujo de caja a recompras y dividendos: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Componente de Retorno</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Actual</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Acumulado</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Impacto</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Recompra Neta</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$100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$300 M</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Retiro de títulos</w:t>
            </w:r>
          </w:p>
        </w:tc>
      </w:tr>
    </w:tbl>
    <w:p>
      <w:pPr>
        <w:spacing w:after="120"/>
      </w:pPr>
    </w:p>
    <w:p>
      <w:pPr>
        <w:keepNext/>
        <w:spacing w:before="200" w:after="80"/>
      </w:pPr>
      <w:r>
        <w:rPr>
          <w:rFonts w:ascii="Calibri" w:hAnsi="Calibri"/>
          <w:b/>
          <w:color w:val="4A5568"/>
          <w:sz w:val="22"/>
        </w:rPr>
        <w:t>6.3. Inversiones Estratégicas, Adquisiciones (M&amp;A) y Expansión Productiva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Iniciativa</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Tipo</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Capital</w:t>
            </w:r>
          </w:p>
        </w:tc>
        <w:tc>
          <w:tcPr>
            <w:tcW w:type="dxa" w:w="3744"/>
            <w:shd w:fill="1B365D"/>
            <w:tcMar>
              <w:top w:w="100" w:type="dxa"/>
              <w:bottom w:w="100" w:type="dxa"/>
              <w:left w:w="120" w:type="dxa"/>
              <w:right w:w="120" w:type="dxa"/>
            </w:tcMar>
          </w:tcPr>
          <w:p>
            <w:pPr>
              <w:spacing w:before="0" w:after="0"/>
              <w:jc w:val="left"/>
            </w:pPr>
            <w:r>
              <w:rPr>
                <w:rFonts w:ascii="Calibri" w:hAnsi="Calibri"/>
                <w:b/>
                <w:color w:val="FFFFFF"/>
                <w:sz w:val="19"/>
              </w:rPr>
              <w:t>Objetivo Estratégico</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Alianza</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Industrial</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Estratégico</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Fortalecimiento de cadena</w:t>
            </w:r>
          </w:p>
        </w:tc>
      </w:tr>
    </w:tbl>
    <w:p>
      <w:pPr>
        <w:spacing w:after="120"/>
      </w:pPr>
    </w:p>
    <w:p>
      <w:pPr>
        <w:keepNext/>
        <w:spacing w:before="200" w:after="80"/>
      </w:pPr>
      <w:r>
        <w:rPr>
          <w:rFonts w:ascii="Calibri" w:hAnsi="Calibri"/>
          <w:b/>
          <w:color w:val="4A5568"/>
          <w:sz w:val="22"/>
        </w:rPr>
        <w:t>6.4. CapEx de Vanguardia y Eficiencia de Cadena de Suministro</w:t>
      </w:r>
    </w:p>
    <w:p>
      <w:pPr>
        <w:spacing w:before="40" w:after="80" w:line="276" w:lineRule="auto"/>
      </w:pPr>
      <w:r>
        <w:rPr>
          <w:rFonts w:ascii="Calibri" w:hAnsi="Calibri"/>
          <w:i w:val="0"/>
          <w:color w:val="2D3748"/>
          <w:sz w:val="20"/>
        </w:rPr>
        <w:t>El gasto de capital se orienta a proyectos de alta rentabilidad:</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BALANCE Y LA ASIGNACIÓN DE CAPITAL?</w:t>
            </w:r>
          </w:p>
          <w:p>
            <w:pPr>
              <w:spacing w:before="40" w:after="40" w:line="276" w:lineRule="auto"/>
            </w:pPr>
            <w:r>
              <w:rPr>
                <w:rFonts w:ascii="Calibri" w:hAnsi="Calibri"/>
                <w:color w:val="2D3748"/>
                <w:sz w:val="19"/>
              </w:rPr>
              <w:t>• Caja Neta (Net Cash) vs. Deuda Neta: Se calcula restando la deuda financiera bruta a la liquidez total. Una posición positiva certifica que la empresa es acreedora neta y solvente ante cualquier crisis.</w:t>
            </w:r>
          </w:p>
          <w:p>
            <w:pPr>
              <w:spacing w:before="40" w:after="40" w:line="276" w:lineRule="auto"/>
            </w:pPr>
            <w:r>
              <w:rPr>
                <w:rFonts w:ascii="Calibri" w:hAnsi="Calibri"/>
                <w:color w:val="2D3748"/>
                <w:sz w:val="19"/>
              </w:rPr>
              <w:t>• Recompra Neta vs. Dilución por SBC: Una recompra solo crea valor genuino si retira más acciones de las que se emiten vía Stock-Based Compensation.</w:t>
            </w:r>
          </w:p>
          <w:p>
            <w:pPr>
              <w:spacing w:before="40" w:after="40" w:line="276" w:lineRule="auto"/>
            </w:pPr>
            <w:r>
              <w:rPr>
                <w:rFonts w:ascii="Calibri" w:hAnsi="Calibri"/>
                <w:color w:val="2D3748"/>
                <w:sz w:val="19"/>
              </w:rPr>
              <w:t>• Eficiencia del CapEx: Las mejores empresas operan modelos de capital ligero (Asset-Light / Fabless) o asignan CapEx a proyectos con retornos que superan ampliamente su WACC.</w:t>
            </w:r>
          </w:p>
        </w:tc>
      </w:tr>
    </w:tbl>
    <w:p>
      <w:pPr>
        <w:spacing w:after="80"/>
      </w:pPr>
    </w:p>
    <w:p>
      <w:pPr>
        <w:keepNext/>
        <w:spacing w:before="320" w:after="120"/>
      </w:pPr>
      <w:r>
        <w:rPr>
          <w:rFonts w:ascii="Calibri" w:hAnsi="Calibri"/>
          <w:b/>
          <w:color w:val="1B365D"/>
          <w:sz w:val="26"/>
        </w:rPr>
        <w:t>7. Estrategia Tecnológica, Fosos Defensivos (Economic Moat) y Ventajas Competitivas</w:t>
      </w:r>
    </w:p>
    <w:p>
      <w:pPr>
        <w:spacing w:before="40" w:after="80" w:line="276" w:lineRule="auto"/>
      </w:pPr>
      <w:r>
        <w:rPr>
          <w:rFonts w:ascii="Calibri" w:hAnsi="Calibri"/>
          <w:i w:val="0"/>
          <w:color w:val="2D3748"/>
          <w:sz w:val="20"/>
        </w:rPr>
        <w:t>Evaluación del foso defensivo económico (Economic Moat) de Meta Platforms, Inc.:</w:t>
      </w:r>
    </w:p>
    <w:p>
      <w:pPr>
        <w:keepNext/>
        <w:spacing w:before="200" w:after="80"/>
      </w:pPr>
      <w:r>
        <w:rPr>
          <w:rFonts w:ascii="Calibri" w:hAnsi="Calibri"/>
          <w:b/>
          <w:color w:val="4A5568"/>
          <w:sz w:val="22"/>
        </w:rPr>
        <w:t>7.1. Cuadro de Mando de Fosos Defensivos (Dorsey / Morningstar Framework)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Fuente del Foso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Intensidad</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Mecanismo</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Marca</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Alta</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Poder de precios</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Margen protegido</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Dictamen Estratégico Global: WIDE MOAT</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FOSO DEFENSIVO (ECONOMIC MOAT)?</w:t>
            </w:r>
          </w:p>
          <w:p>
            <w:pPr>
              <w:spacing w:before="40" w:after="40" w:line="276" w:lineRule="auto"/>
            </w:pPr>
            <w:r>
              <w:rPr>
                <w:rFonts w:ascii="Calibri" w:hAnsi="Calibri"/>
                <w:color w:val="2D3748"/>
                <w:sz w:val="19"/>
              </w:rPr>
              <w:t>• Identificación de un Wide Moat: Una empresa posee un foso amplio cuando puede generar sistemáticamente un ROIC superior a su WACC durante más de 10 o 15 años.</w:t>
            </w:r>
          </w:p>
          <w:p>
            <w:pPr>
              <w:spacing w:before="40" w:after="40" w:line="276" w:lineRule="auto"/>
            </w:pPr>
            <w:r>
              <w:rPr>
                <w:rFonts w:ascii="Calibri" w:hAnsi="Calibri"/>
                <w:color w:val="2D3748"/>
                <w:sz w:val="19"/>
              </w:rPr>
              <w:t>• Costes de Cambio y Pricing Power: Si un cliente no puede sustituir el producto sin fricción, la empresa puede subir precios sin perder demanda.</w:t>
            </w:r>
          </w:p>
          <w:p>
            <w:pPr>
              <w:spacing w:before="40" w:after="40" w:line="276" w:lineRule="auto"/>
            </w:pPr>
            <w:r>
              <w:rPr>
                <w:rFonts w:ascii="Calibri" w:hAnsi="Calibri"/>
                <w:color w:val="2D3748"/>
                <w:sz w:val="19"/>
              </w:rPr>
              <w:t>• Vigilancia de Erosión: La caída continua de margen bruto o la necesidad de rebajas agresivas son las primeras señales de debilitamiento de un foso.</w:t>
            </w:r>
          </w:p>
        </w:tc>
      </w:tr>
    </w:tbl>
    <w:p>
      <w:pPr>
        <w:spacing w:after="80"/>
      </w:pPr>
    </w:p>
    <w:p>
      <w:pPr>
        <w:keepNext/>
        <w:spacing w:before="320" w:after="120"/>
      </w:pPr>
      <w:r>
        <w:rPr>
          <w:rFonts w:ascii="Calibri" w:hAnsi="Calibri"/>
          <w:b/>
          <w:color w:val="1B365D"/>
          <w:sz w:val="26"/>
        </w:rPr>
        <w:t>8. Gobernanza Corporativa, Sentimiento Insider (Form 4 y 144) y Alertas 8-K</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PEDAGÓGICA PARA EL INVERSOR: LA CADENA DE TRAZABILIDAD DE LA SEC</w:t>
            </w:r>
          </w:p>
          <w:p>
            <w:pPr>
              <w:spacing w:before="40" w:after="40" w:line="276" w:lineRule="auto"/>
            </w:pPr>
            <w:r>
              <w:rPr>
                <w:rFonts w:ascii="Calibri" w:hAnsi="Calibri"/>
                <w:color w:val="2D3748"/>
                <w:sz w:val="19"/>
              </w:rPr>
              <w:t>• Formulario 8-K (La Empresa Habla): Notifica eventos materiales corporativos en tiempo real (relevo del CEO, cambios de auditor o acuerdos clave).</w:t>
            </w:r>
          </w:p>
          <w:p>
            <w:pPr>
              <w:spacing w:before="40" w:after="40" w:line="276" w:lineRule="auto"/>
            </w:pPr>
            <w:r>
              <w:rPr>
                <w:rFonts w:ascii="Calibri" w:hAnsi="Calibri"/>
                <w:color w:val="2D3748"/>
                <w:sz w:val="19"/>
              </w:rPr>
              <w:t>• Formulario 144 (El Aviso Previo): Notificación previa y obligatoria de un directivo antes de vender acciones restringidas.</w:t>
            </w:r>
          </w:p>
          <w:p>
            <w:pPr>
              <w:spacing w:before="40" w:after="40" w:line="276" w:lineRule="auto"/>
            </w:pPr>
            <w:r>
              <w:rPr>
                <w:rFonts w:ascii="Calibri" w:hAnsi="Calibri"/>
                <w:color w:val="2D3748"/>
                <w:sz w:val="19"/>
              </w:rPr>
              <w:t>• Formulario 4 (La Ejecución Real): Registro en 48 horas de la transacción ya liquidada en bolsa.</w:t>
            </w:r>
          </w:p>
          <w:p>
            <w:pPr>
              <w:spacing w:before="40" w:after="40" w:line="276" w:lineRule="auto"/>
            </w:pPr>
            <w:r>
              <w:rPr>
                <w:rFonts w:ascii="Calibri" w:hAnsi="Calibri"/>
                <w:color w:val="2D3748"/>
                <w:sz w:val="19"/>
              </w:rPr>
              <w:t>• Regla de Oro: Las ventas bajo Planes Rule 10b5-1 son automáticas y preprogramadas sin información privilegiada. Las ventas discrecionales reflejan decisiones activas.</w:t>
            </w:r>
          </w:p>
        </w:tc>
      </w:tr>
    </w:tbl>
    <w:p>
      <w:pPr>
        <w:spacing w:after="80"/>
      </w:pPr>
    </w:p>
    <w:p>
      <w:pPr>
        <w:keepNext/>
        <w:spacing w:before="200" w:after="80"/>
      </w:pPr>
      <w:r>
        <w:rPr>
          <w:rFonts w:ascii="Calibri" w:hAnsi="Calibri"/>
          <w:b/>
          <w:color w:val="4A5568"/>
          <w:sz w:val="22"/>
        </w:rPr>
        <w:t>8.1. Hechos Relevantes y Alertas Tempranas de la Corporación (Formulario 8-K)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Fecha SEC</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Ítem 8-K</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Evento</w:t>
            </w:r>
          </w:p>
        </w:tc>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¿Qué significa?</w:t>
            </w:r>
          </w:p>
        </w:tc>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2026-07-01</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2.02</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Resultados</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Reporte ordinario</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Normalidad</w:t>
            </w:r>
          </w:p>
        </w:tc>
      </w:tr>
    </w:tbl>
    <w:p>
      <w:pPr>
        <w:spacing w:after="120"/>
      </w:pPr>
    </w:p>
    <w:p>
      <w:pPr>
        <w:keepNext/>
        <w:spacing w:before="200" w:after="80"/>
      </w:pPr>
      <w:r>
        <w:rPr>
          <w:rFonts w:ascii="Calibri" w:hAnsi="Calibri"/>
          <w:b/>
          <w:color w:val="4A5568"/>
          <w:sz w:val="22"/>
        </w:rPr>
        <w:t>8.2. Monitor Unificado de Insiders: Del Aviso (Form 144) a la Ejecución (Form 4)</w:t>
      </w:r>
    </w:p>
    <w:p>
      <w:pPr>
        <w:spacing w:before="40" w:after="80" w:line="276" w:lineRule="auto"/>
      </w:pPr>
      <w:r>
        <w:rPr>
          <w:rFonts w:ascii="Calibri" w:hAnsi="Calibri"/>
          <w:i w:val="0"/>
          <w:color w:val="2D3748"/>
          <w:sz w:val="20"/>
        </w:rPr>
        <w:t>Consolidación de transacciones de directivos clave cruzando intención (Form 144) con ejecución efectiva (Form 4):</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Directivo / Cargo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Tipo Operación</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Volumen</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Importe</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Trazabilidad</w:t>
            </w:r>
          </w:p>
        </w:tc>
        <w:tc>
          <w:tcPr>
            <w:tcW w:type="dxa" w:w="1584"/>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Directivo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Retención</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0</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4</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Alineación</w:t>
            </w:r>
          </w:p>
        </w:tc>
      </w:tr>
    </w:tbl>
    <w:p>
      <w:pPr>
        <w:spacing w:after="120"/>
      </w:pPr>
    </w:p>
    <w:p>
      <w:pPr>
        <w:keepNext/>
        <w:spacing w:before="200" w:after="80"/>
      </w:pPr>
      <w:r>
        <w:rPr>
          <w:rFonts w:ascii="Calibri" w:hAnsi="Calibri"/>
          <w:b/>
          <w:color w:val="4A5568"/>
          <w:sz w:val="22"/>
        </w:rPr>
        <w:t>8.3. Cuadro de Mando y Calificación Global de Gobernanza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Dimensión</w:t>
            </w:r>
          </w:p>
        </w:tc>
        <w:tc>
          <w:tcPr>
            <w:tcW w:type="dxa" w:w="2016"/>
            <w:shd w:fill="1B365D"/>
            <w:tcMar>
              <w:top w:w="100" w:type="dxa"/>
              <w:bottom w:w="100" w:type="dxa"/>
              <w:left w:w="120" w:type="dxa"/>
              <w:right w:w="120" w:type="dxa"/>
            </w:tcMar>
          </w:tcPr>
          <w:p>
            <w:pPr>
              <w:spacing w:before="0" w:after="0"/>
              <w:jc w:val="left"/>
            </w:pPr>
            <w:r>
              <w:rPr>
                <w:rFonts w:ascii="Calibri" w:hAnsi="Calibri"/>
                <w:b/>
                <w:color w:val="FFFFFF"/>
                <w:sz w:val="19"/>
              </w:rPr>
              <w:t>Resultado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Calificación</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Diagnóstico</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Puntuación</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Sólida</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85 / 100</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Bajo riesgo</w:t>
            </w:r>
          </w:p>
        </w:tc>
      </w:tr>
    </w:tbl>
    <w:p>
      <w:pPr>
        <w:spacing w:after="120"/>
      </w:pPr>
    </w:p>
    <w:p>
      <w:pPr>
        <w:keepNext/>
        <w:spacing w:before="320" w:after="120"/>
      </w:pPr>
      <w:r>
        <w:rPr>
          <w:rFonts w:ascii="Calibri" w:hAnsi="Calibri"/>
          <w:b/>
          <w:color w:val="1B365D"/>
          <w:sz w:val="26"/>
        </w:rPr>
        <w:t>9. Diagnóstico Cuantitativo de Resiliencia y Crecimiento (Piotroski &amp; Mohanram)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CLASIFICACIÓN ESTRATÉGICA EN MATRIZ FUNDAMENTAL</w:t>
            </w:r>
          </w:p>
          <w:p>
            <w:pPr>
              <w:spacing w:before="40" w:after="40" w:line="276" w:lineRule="auto"/>
            </w:pPr>
            <w:r>
              <w:rPr>
                <w:rFonts w:ascii="Calibri" w:hAnsi="Calibri"/>
                <w:color w:val="2D3748"/>
                <w:sz w:val="19"/>
              </w:rPr>
              <w:t>Posición Cuantitativa: ⚠️ CRECIMIENTO VULNERABLE</w:t>
            </w:r>
          </w:p>
          <w:p>
            <w:pPr>
              <w:spacing w:before="40" w:after="40" w:line="276" w:lineRule="auto"/>
            </w:pPr>
            <w:r>
              <w:rPr>
                <w:rFonts w:ascii="Calibri" w:hAnsi="Calibri"/>
                <w:color w:val="2D3748"/>
                <w:sz w:val="19"/>
              </w:rPr>
              <w:t>Piotroski F-Score (Solvencia Interna): 3 / 9 Puntos | VULNERABILIDAD FINANCIERA</w:t>
            </w:r>
          </w:p>
          <w:p>
            <w:pPr>
              <w:spacing w:before="40" w:after="40" w:line="276" w:lineRule="auto"/>
            </w:pPr>
            <w:r>
              <w:rPr>
                <w:rFonts w:ascii="Calibri" w:hAnsi="Calibri"/>
                <w:color w:val="2D3748"/>
                <w:sz w:val="19"/>
              </w:rPr>
              <w:t>Mohanram G-Score (Ventaja Sectorial):  7 / 8 Puntos | CRECIMIENTO DE ÉLITE</w:t>
            </w:r>
          </w:p>
          <w:p>
            <w:pPr>
              <w:spacing w:before="40" w:after="40" w:line="276" w:lineRule="auto"/>
            </w:pPr>
            <w:r>
              <w:rPr>
                <w:rFonts w:ascii="Calibri" w:hAnsi="Calibri"/>
                <w:color w:val="2D3748"/>
                <w:sz w:val="19"/>
              </w:rPr>
              <w:t>Tesis Cuantitativa: Meta Platforms, Inc. combina una salud financiera interna intachable con una superioridad competitiva sectorial demostrada frente a sus pares de la industria.</w:t>
            </w:r>
          </w:p>
        </w:tc>
      </w:tr>
    </w:tbl>
    <w:p>
      <w:pPr>
        <w:spacing w:after="80"/>
      </w:pPr>
    </w:p>
    <w:p>
      <w:pPr>
        <w:keepNext/>
        <w:spacing w:before="200" w:after="80"/>
      </w:pPr>
      <w:r>
        <w:rPr>
          <w:rFonts w:ascii="Calibri" w:hAnsi="Calibri"/>
          <w:b/>
          <w:color w:val="4A5568"/>
          <w:sz w:val="22"/>
        </w:rPr>
        <w:t>9.1. Piotroski F-Score: Salud Financiera y Calidad Contable Interna</w:t>
      </w:r>
    </w:p>
    <w:p>
      <w:pPr>
        <w:spacing w:before="40" w:after="80" w:line="276" w:lineRule="auto"/>
      </w:pPr>
      <w:r>
        <w:rPr>
          <w:rFonts w:ascii="Calibri" w:hAnsi="Calibri"/>
          <w:i w:val="0"/>
          <w:color w:val="2D3748"/>
          <w:sz w:val="20"/>
        </w:rPr>
        <w:t>Desarrollado por el profesor Joseph Piotroski (Universidad de Stanford), este modelo evalúa la solidez económica interna de la empresa a través de 9 señales contables distribuidas en tres dimensiones críticas: Rentabilidad (ROA positivo y creciente, CFO positivo, calidad de devengos Sloan), Apalancamiento y Liquidez (desendeudamiento financiero total, mejora de razón corriente y cero dilución por emisión de acciones) y Eficiencia Operativa (expansión de margen bruto y mayor rotación de activos).</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3 / 9 Puntos en LTM (VULNERABILIDAD FINANCIERA) (6 / 9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calificación de 3/9 sitúa a Meta Platforms, Inc. en el percentil superior del mercado global. Certifica que la compañía:</w:t>
      </w:r>
    </w:p>
    <w:p>
      <w:pPr>
        <w:spacing w:before="40" w:after="80" w:line="276" w:lineRule="auto"/>
      </w:pPr>
      <w:r>
        <w:rPr>
          <w:rFonts w:ascii="Calibri" w:hAnsi="Calibri"/>
          <w:b/>
          <w:color w:val="2D3748"/>
          <w:sz w:val="20"/>
        </w:rPr>
        <w:t xml:space="preserve">1. Genera beneficios respaldados por caja líquida: </w:t>
      </w:r>
      <w:r>
        <w:rPr>
          <w:rFonts w:ascii="Calibri" w:hAnsi="Calibri"/>
          <w:i w:val="0"/>
          <w:color w:val="2D3748"/>
          <w:sz w:val="20"/>
        </w:rPr>
        <w:t>La caja operativa ($130,301.0M en LTM) respalda con holgura al beneficio neto contable ($68,098.0M), descartando manipulación de inventarios o ventas a crédito ficticias.</w:t>
      </w:r>
    </w:p>
    <w:p>
      <w:pPr>
        <w:spacing w:before="40" w:after="80" w:line="276" w:lineRule="auto"/>
      </w:pPr>
      <w:r>
        <w:rPr>
          <w:rFonts w:ascii="Calibri" w:hAnsi="Calibri"/>
          <w:b/>
          <w:color w:val="2D3748"/>
          <w:sz w:val="20"/>
        </w:rPr>
        <w:t xml:space="preserve">2. Reduce o controla su apalancamiento financiero real: </w:t>
      </w:r>
      <w:r>
        <w:rPr>
          <w:rFonts w:ascii="Calibri" w:hAnsi="Calibri"/>
          <w:i w:val="0"/>
          <w:color w:val="2D3748"/>
          <w:sz w:val="20"/>
        </w:rPr>
        <w:t>Mantiene una estructura financiera solvente con disciplina en el endeudamiento (Deuda 18.6% vs 16.0% (+2.54%)).</w:t>
      </w:r>
    </w:p>
    <w:p>
      <w:pPr>
        <w:spacing w:before="40" w:after="80" w:line="276" w:lineRule="auto"/>
      </w:pPr>
      <w:r>
        <w:rPr>
          <w:rFonts w:ascii="Calibri" w:hAnsi="Calibri"/>
          <w:b/>
          <w:color w:val="2D3748"/>
          <w:sz w:val="20"/>
        </w:rPr>
        <w:t xml:space="preserve">3. Protege al accionista minoritario: </w:t>
      </w:r>
      <w:r>
        <w:rPr>
          <w:rFonts w:ascii="Calibri" w:hAnsi="Calibri"/>
          <w:i w:val="0"/>
          <w:color w:val="2D3748"/>
          <w:sz w:val="20"/>
        </w:rPr>
        <w:t>No financia sus operaciones emitiendo nuevas acciones dilutivas, priorizando la retención o recompra de títulos (Acc 2,530M vs 2,521M (+8M)).</w:t>
      </w:r>
    </w:p>
    <w:p>
      <w:pPr>
        <w:spacing w:before="40" w:after="80" w:line="276" w:lineRule="auto"/>
      </w:pPr>
      <w:r>
        <w:rPr>
          <w:rFonts w:ascii="Calibri" w:hAnsi="Calibri"/>
          <w:b/>
          <w:color w:val="2D3748"/>
          <w:sz w:val="20"/>
        </w:rPr>
        <w:t xml:space="preserve">4. Expande su eficiencia operativa: </w:t>
      </w:r>
      <w:r>
        <w:rPr>
          <w:rFonts w:ascii="Calibri" w:hAnsi="Calibri"/>
          <w:i w:val="0"/>
          <w:color w:val="2D3748"/>
          <w:sz w:val="20"/>
        </w:rPr>
        <w:t>Optimiza tanto su margen comercial (MB 81.7% vs 82.0% (-0.25%)) como la productividad de sus activos instalados (Rot 0.62x vs 0.73x (-0.10x)).</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Dimensión / Criterio Piotroski</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Contable Evaluada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ROA Positivo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Utilidad neta positiva sobre la base de activos instalados.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18.60% &gt; 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CFO Positivo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Flujo de caja operativo neto positivo.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$130,301.0M &gt; $0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Mejora de ROA (Delta ROA)</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Aceleración de la rentabilidad sobre activos frente al año previo.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18.6% vs 21.9% (-3.30%)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Calidad Contable (CFO &gt; NI)</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Beneficios respaldados por efectivo contante (bajos devengos contables).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CFO $130,301.0M &gt; NI $68,098.0M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Desendeudamiento Total</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Reducción o estabilidad del apalancamiento financiero total sobre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Deuda 18.6% vs 16.0% (+2.54%)</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y Liquidez: Mejora de Razón Corriente</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cobertura de pasivos a corto plazo con activos corrientes.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CR 2.23x vs 2.60x (-0.37x)</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Cero Dilución (Acciones Básicas)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Sin emisión neta dilutiva de capital; recompra de acciones o estabilidad.</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Acc 2,530M vs 2,521M (+8M)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Eficiencia Operativa: Expansión de Margen Bruto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poder de fijación de precios o menor coste unitario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MB 81.7% vs 82.0% (-0.25%)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Eficiencia Operativa: Expansión Rotación de Activos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Mayor volumen de ingresos generado por cada dólar de activo instalado.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Rot 0.62x vs 0.73x (-0.10x)</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bl>
    <w:p>
      <w:pPr>
        <w:spacing w:after="120"/>
      </w:pPr>
    </w:p>
    <w:p>
      <w:pPr>
        <w:keepNext/>
        <w:spacing w:before="200" w:after="80"/>
      </w:pPr>
      <w:r>
        <w:rPr>
          <w:rFonts w:ascii="Calibri" w:hAnsi="Calibri"/>
          <w:b/>
          <w:color w:val="4A5568"/>
          <w:sz w:val="22"/>
        </w:rPr>
        <w:t>9.2. Mohanram G-Score: Calidad de Crecimiento frente a la Industria</w:t>
      </w:r>
    </w:p>
    <w:p>
      <w:pPr>
        <w:spacing w:before="40" w:after="80" w:line="276" w:lineRule="auto"/>
      </w:pPr>
      <w:r>
        <w:rPr>
          <w:rFonts w:ascii="Calibri" w:hAnsi="Calibri"/>
          <w:i w:val="0"/>
          <w:color w:val="2D3748"/>
          <w:sz w:val="20"/>
        </w:rPr>
        <w:t>Diseñado por el profesor Partha Mohanram (Universidad de Columbia), este modelo evalúa la calidad fundamental y la sostenibilidad del crecimiento en empresas contrastando sus métricas frente a la mediana de su sector industrial. El modelo audita 8 señales agrupadas en: Desempeño Operativo y Retorno (ROA, CFROA y Calidad de Devengos), Estabilidad del Negocio (baja variabilidad de ROA y ventas) y Reinversión en Ventajas Competitivas (intensidad en I+D, CapEx de vanguardia y Apalancamiento Comercial en SG&amp;A).</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7 / 8 Puntos en LTM (CRECIMIENTO DE ÉLITE) (7 / 8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puntuación de 7/8 consolida a Meta Platforms, Inc. como líder de calidad fundamental en su industria. Certifica que la firma:</w:t>
      </w:r>
    </w:p>
    <w:p>
      <w:pPr>
        <w:spacing w:before="40" w:after="80" w:line="276" w:lineRule="auto"/>
      </w:pPr>
      <w:r>
        <w:rPr>
          <w:rFonts w:ascii="Calibri" w:hAnsi="Calibri"/>
          <w:b/>
          <w:color w:val="2D3748"/>
          <w:sz w:val="20"/>
        </w:rPr>
        <w:t xml:space="preserve">1. Retorno superior: </w:t>
      </w:r>
      <w:r>
        <w:rPr>
          <w:rFonts w:ascii="Calibri" w:hAnsi="Calibri"/>
          <w:i w:val="0"/>
          <w:color w:val="2D3748"/>
          <w:sz w:val="20"/>
        </w:rPr>
        <w:t>Supera sistemáticamente a la mediana de sus competidores directos en rentabilidad sobre activos y generación de flujo de caja libre.</w:t>
      </w:r>
    </w:p>
    <w:p>
      <w:pPr>
        <w:spacing w:before="40" w:after="80" w:line="276" w:lineRule="auto"/>
      </w:pPr>
      <w:r>
        <w:rPr>
          <w:rFonts w:ascii="Calibri" w:hAnsi="Calibri"/>
          <w:b/>
          <w:color w:val="2D3748"/>
          <w:sz w:val="20"/>
        </w:rPr>
        <w:t xml:space="preserve">2. Estabilidad de negocio: </w:t>
      </w:r>
      <w:r>
        <w:rPr>
          <w:rFonts w:ascii="Calibri" w:hAnsi="Calibri"/>
          <w:i w:val="0"/>
          <w:color w:val="2D3748"/>
          <w:sz w:val="20"/>
        </w:rPr>
        <w:t>Exhibe una trayectoria de crecimiento sólida y predecible con menor volatilidad en sus resultados comerciales.</w:t>
      </w:r>
    </w:p>
    <w:p>
      <w:pPr>
        <w:spacing w:before="40" w:after="80" w:line="276" w:lineRule="auto"/>
      </w:pPr>
      <w:r>
        <w:rPr>
          <w:rFonts w:ascii="Calibri" w:hAnsi="Calibri"/>
          <w:b/>
          <w:color w:val="2D3748"/>
          <w:sz w:val="20"/>
        </w:rPr>
        <w:t xml:space="preserve">3. Reinversión estratégica: </w:t>
      </w:r>
      <w:r>
        <w:rPr>
          <w:rFonts w:ascii="Calibri" w:hAnsi="Calibri"/>
          <w:i w:val="0"/>
          <w:color w:val="2D3748"/>
          <w:sz w:val="20"/>
        </w:rPr>
        <w:t>Mantiene una disciplina férrea de reinversión en capital e innovación para defender y expandir su foso competitivo.</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Criterio Mohanram G-Score</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frente a la Mediana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ROA &gt; Mediana del Sector</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Rentabilidad sobre activos superior a la mitad del sector.</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ROA 18.60% vs Med 8.50%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CFROA &gt; Mediana del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Generación de caja operativa sobre activos líder en la industria.</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CFROA 35.60% vs Med 13.00%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Calidad Contable (CFO &gt; NI)</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Flujo de caja operativo superior a las ganancias devengadas.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CFO $130,301.0M &gt; NI $68,098.0M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Estabilidad / Nivel Superior de ROA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Baja volatilidad en rentabilidad o nivel de retorno permanentemente en percentil 75 superior.</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CV 0.25 &lt; 0.40 (o P75)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Estabilidad / Aceleración de Ventas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Trayectoria predecible de ingresos o expansión acelerada superior al 20% anual.</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CV 0.75 vs 0.38</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Intensidad en I+D vs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Reinversión en investigación y desarrollo para fortalecer ventajas competitivas (moats).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I+D 19.57% vs Med 15.00%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Reinversión de Capital / Asset-Light</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Tasa de Inversión Total en Crecimiento (I+D + CapEx) para modelos ligeros en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Reinv 43.98% vs Med 22.50%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Comercial (SG&amp;A)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Eficiencia comercial: ingresos escalan con mayor dinamismo que los gastos administrativos y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N/A</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bl>
    <w:p>
      <w:pPr>
        <w:spacing w:after="120"/>
      </w:pPr>
    </w:p>
    <w:p>
      <w:pPr>
        <w:keepNext/>
        <w:spacing w:before="200" w:after="80"/>
      </w:pPr>
      <w:r>
        <w:rPr>
          <w:rFonts w:ascii="Calibri" w:hAnsi="Calibri"/>
          <w:b/>
          <w:color w:val="4A5568"/>
          <w:sz w:val="22"/>
        </w:rPr>
        <w:t>9.3. Benchmarking Competitivo del Sector &amp; Medianas Oficiales</w:t>
      </w:r>
    </w:p>
    <w:p>
      <w:pPr>
        <w:spacing w:before="40" w:after="80" w:line="276" w:lineRule="auto"/>
      </w:pPr>
      <w:r>
        <w:rPr>
          <w:rFonts w:ascii="Calibri" w:hAnsi="Calibri"/>
          <w:i w:val="0"/>
          <w:color w:val="2D3748"/>
          <w:sz w:val="20"/>
        </w:rPr>
        <w:t>A continuación se auditan las cifras financieras comparables en base a los últimos 12 meses (LTM) auditados de la industria, a partir de las cuales se deducen las medianas y percentiles que alimentan el scoring de calidad, productividad del capital y resiliencia fundamental: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Ticker</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Compañía</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Ventas ($M)</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Bruto</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EBIT</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ROIC Intang.</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9"/>
              </w:rPr>
              <w:t>Novy-Marx GP/A (%)</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F-Score</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G-Score</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META</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Meta Platforms, Inc.</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N/D</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3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7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MEDIANA</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Mediana Sectorial</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N/D</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N/D</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N/D</w:t>
            </w:r>
          </w:p>
        </w:tc>
      </w:tr>
    </w:tbl>
    <w:p>
      <w:pPr>
        <w:spacing w:after="120"/>
      </w:pPr>
    </w:p>
    <w:p>
      <w:pPr>
        <w:keepNext/>
        <w:spacing w:before="320" w:after="120"/>
      </w:pPr>
      <w:r>
        <w:rPr>
          <w:rFonts w:ascii="Calibri" w:hAnsi="Calibri"/>
          <w:b/>
          <w:color w:val="1B365D"/>
          <w:sz w:val="28"/>
        </w:rPr>
        <w:t>10. Productividad Pura del Capital: Rentabilidad Bruta sobre Activos (Novy-Marx GP/A)</w:t>
      </w:r>
    </w:p>
    <w:p>
      <w:pPr>
        <w:spacing w:before="0" w:after="80" w:line="276" w:lineRule="auto"/>
      </w:pPr>
      <w:r>
        <w:rPr>
          <w:rFonts w:ascii="Calibri" w:hAnsi="Calibri"/>
          <w:i w:val="0"/>
          <w:color w:val="2D3748"/>
          <w:sz w:val="20"/>
        </w:rPr>
        <w:t>La investigación empírica seminal del Prof. Robert Novy-Marx (University of Rochester / NBER, 'The Other Side of Value: The Gross Profitability Premium', Journal of Financial Economics, 2013) demostró que la Rentabilidad Bruta sobre Activos (Gross Profitability to Assets, GP/A) es el predictor cuantitativo más potente de los rendimientos futuros de una corporación. A diferencia del ROE o ROIC, que sufren la contaminación contable de depreciaciones discrecionales, partidas extraordinarias o gastos de I+D/marketing (que en realidad son inversiones generadoras de valor futuro), la métrica de Novy-Marx evalúa la productividad económica pura del capital instalado en su estado original.</w:t>
      </w:r>
    </w:p>
    <w:p>
      <w:pPr>
        <w:keepNext/>
        <w:spacing w:before="240" w:after="80"/>
      </w:pPr>
      <w:r>
        <w:rPr>
          <w:rFonts w:ascii="Calibri" w:hAnsi="Calibri"/>
          <w:b/>
          <w:color w:val="4A5568"/>
          <w:sz w:val="23"/>
        </w:rPr>
        <w:t>Bloque A: Diagnóstico Dual de Productividad y Efecto Arrastre de Caja (Cash Drag)</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CALIFICACIÓN Y CALIDAD DE CAPITAL: PRODUCTIVIDAD SÓLIDA (SUPERIOR A LA MEDIANA (PERCENTIL 50-75))</w:t>
              <w:br/>
            </w:r>
          </w:p>
          <w:p>
            <w:pPr>
              <w:spacing w:before="40" w:after="40" w:line="276" w:lineRule="auto"/>
            </w:pPr>
            <w:r>
              <w:rPr>
                <w:rFonts w:ascii="Calibri" w:hAnsi="Calibri"/>
                <w:color w:val="2D3748"/>
                <w:sz w:val="19"/>
              </w:rPr>
              <w:t>• Gross Profitability Total (LTM): 41.47% de los Activos Totales (vs. Mediana Sector: 34.00%).</w:t>
            </w:r>
          </w:p>
          <w:p>
            <w:pPr>
              <w:spacing w:before="40" w:after="40" w:line="276" w:lineRule="auto"/>
            </w:pPr>
            <w:r>
              <w:rPr>
                <w:rFonts w:ascii="Calibri" w:hAnsi="Calibri"/>
                <w:color w:val="2D3748"/>
                <w:sz w:val="19"/>
              </w:rPr>
              <w:t>• Gross Profitability Operativa Ex-Caja (LTM): 42.94% de los Activos Operativos (vs. Mediana Sector: 42.00%).</w:t>
            </w:r>
          </w:p>
          <w:p>
            <w:pPr>
              <w:spacing w:before="40" w:after="40" w:line="276" w:lineRule="auto"/>
            </w:pPr>
            <w:r>
              <w:rPr>
                <w:rFonts w:ascii="Calibri" w:hAnsi="Calibri"/>
                <w:color w:val="2D3748"/>
                <w:sz w:val="19"/>
              </w:rPr>
              <w:t>• Efecto Arrastre de Caja (Cash Drag): +1.48 p.p. de penalización contable por atesoramiento de liquidez ociosa.</w:t>
            </w:r>
          </w:p>
          <w:p>
            <w:pPr>
              <w:spacing w:before="40" w:after="40" w:line="276" w:lineRule="auto"/>
            </w:pPr>
            <w:r>
              <w:rPr>
                <w:rFonts w:ascii="Calibri" w:hAnsi="Calibri"/>
                <w:color w:val="2D3748"/>
                <w:sz w:val="19"/>
              </w:rPr>
              <w:t>• Posición Sectorial (Industry De-meaning): Supera a la mediana de competidores en +7.47 p.p., confirmando un foso de capital de primer orden mundial.</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top w:val="none"/>
              <w:left w:val="single" w:sz="24" w:space="0" w:color="0A3641"/>
              <w:bottom w:val="none"/>
              <w:right w:val="none"/>
            </w:tcBorders>
          </w:tcPr>
          <w:p>
            <w:pPr>
              <w:spacing w:before="0" w:after="60" w:line="276" w:lineRule="auto"/>
            </w:pPr>
            <w:r>
              <w:rPr>
                <w:rFonts w:ascii="Calibri" w:hAnsi="Calibri"/>
                <w:b/>
                <w:color w:val="1B365D"/>
                <w:sz w:val="21"/>
              </w:rPr>
              <w:t>📌 GUÍA DIDÁCTICA: ¿QUÉ SIGNIFICAN ESTOS RESULTADOS Y PERCENTILES?</w:t>
              <w:br/>
            </w:r>
          </w:p>
          <w:p>
            <w:pPr>
              <w:spacing w:before="40" w:after="40" w:line="276" w:lineRule="auto"/>
            </w:pPr>
            <w:r>
              <w:rPr>
                <w:rFonts w:ascii="Calibri" w:hAnsi="Calibri"/>
                <w:color w:val="2D3748"/>
                <w:sz w:val="19"/>
              </w:rPr>
              <w:t>1. ¿Qué significa el Superior a la Mediana (Percentil 50-75)?: Significa que la rentabilidad de capital de META supera al 95% de sus competidores directos en la industria. De cada 100 empresas comparables, solo 5 logran una eficiencia igual o superior en la generación de utilidad bruta por dólar de activo instalado.</w:t>
            </w:r>
          </w:p>
          <w:p>
            <w:pPr>
              <w:spacing w:before="40" w:after="40" w:line="276" w:lineRule="auto"/>
            </w:pPr>
            <w:r>
              <w:rPr>
                <w:rFonts w:ascii="Calibri" w:hAnsi="Calibri"/>
                <w:color w:val="2D3748"/>
                <w:sz w:val="19"/>
              </w:rPr>
              <w:t>2. ¿Qué significa Gross Profitability de 41.47%?: Por cada $1.00 de activo total en su balance general, la empresa produce $0.41 de utilidad bruta pura al año, antes de deducciones operativas, intereses e impuestos.</w:t>
            </w:r>
          </w:p>
          <w:p>
            <w:pPr>
              <w:spacing w:before="40" w:after="40" w:line="276" w:lineRule="auto"/>
            </w:pPr>
            <w:r>
              <w:rPr>
                <w:rFonts w:ascii="Calibri" w:hAnsi="Calibri"/>
                <w:color w:val="2D3748"/>
                <w:sz w:val="19"/>
              </w:rPr>
              <w:t>3. ¿Qué significa Ex-Caja (42.94%)?: Al excluir el efectivo y valores negociables líquidos (capital ocioso en caja que no produce bienes), el negocio puramente operativo rinde $0.43 por cada dólar en activos operativos en funcionamiento.</w:t>
            </w:r>
          </w:p>
          <w:p>
            <w:pPr>
              <w:spacing w:before="40" w:after="40" w:line="276" w:lineRule="auto"/>
            </w:pPr>
            <w:r>
              <w:rPr>
                <w:rFonts w:ascii="Calibri" w:hAnsi="Calibri"/>
                <w:color w:val="2D3748"/>
                <w:sz w:val="19"/>
              </w:rPr>
              <w:t>4. ¿Qué revela el Cash Drag (+1.48 p.p.)?: La acumulación de enormes colchones de caja reduce artificialmente el ratio nominal agregado. Esto demuestra que la fuerza motriz del negocio subyacente es significativamente más potente de lo que aparenta el balance global consolidado.</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Métrica de Productividad</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Diagnóstico</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Lectura Didáctica</w:t>
            </w:r>
          </w:p>
        </w:tc>
      </w:tr>
      <w:tr>
        <w:tc>
          <w:tcPr>
            <w:tcW w:type="dxa" w:w="2160"/>
            <w:shd w:fill="FFFFFF"/>
            <w:tcMar>
              <w:top w:w="70" w:type="dxa"/>
              <w:bottom w:w="70" w:type="dxa"/>
              <w:left w:w="100" w:type="dxa"/>
              <w:right w:w="100" w:type="dxa"/>
            </w:tcMar>
          </w:tcPr>
          <w:p>
            <w:pPr>
              <w:spacing w:before="0" w:after="0"/>
              <w:jc w:val="left"/>
            </w:pPr>
            <w:r>
              <w:rPr>
                <w:rFonts w:ascii="Calibri" w:hAnsi="Calibri"/>
                <w:b/>
                <w:color w:val="1B365D"/>
                <w:sz w:val="17"/>
              </w:rPr>
              <w:t>GP / Activos Totales (Nominal)</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41.47%</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45.02%</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34.00%</w:t>
            </w:r>
          </w:p>
        </w:tc>
        <w:tc>
          <w:tcPr>
            <w:tcW w:type="dxa" w:w="1728"/>
            <w:shd w:fill="FFFFFF"/>
            <w:tcMar>
              <w:top w:w="70" w:type="dxa"/>
              <w:bottom w:w="70" w:type="dxa"/>
              <w:left w:w="100" w:type="dxa"/>
              <w:right w:w="100" w:type="dxa"/>
            </w:tcMar>
          </w:tcPr>
          <w:p>
            <w:pPr>
              <w:spacing w:before="0" w:after="0"/>
              <w:jc w:val="right"/>
            </w:pPr>
            <w:r>
              <w:rPr>
                <w:rFonts w:ascii="Calibri" w:hAnsi="Calibri"/>
                <w:b/>
                <w:color w:val="1B365D"/>
                <w:sz w:val="17"/>
              </w:rPr>
              <w:t>✅ Superior a la Mediana (Percentil 50-75)</w:t>
            </w:r>
          </w:p>
        </w:tc>
        <w:tc>
          <w:tcPr>
            <w:tcW w:type="dxa" w:w="2448"/>
            <w:shd w:fill="FFFFFF"/>
            <w:tcMar>
              <w:top w:w="70" w:type="dxa"/>
              <w:bottom w:w="70" w:type="dxa"/>
              <w:left w:w="100" w:type="dxa"/>
              <w:right w:w="100" w:type="dxa"/>
            </w:tcMar>
          </w:tcPr>
          <w:p>
            <w:pPr>
              <w:spacing w:before="0" w:after="0"/>
              <w:jc w:val="left"/>
            </w:pPr>
            <w:r>
              <w:rPr>
                <w:rFonts w:ascii="Calibri" w:hAnsi="Calibri"/>
                <w:b/>
                <w:color w:val="1B365D"/>
                <w:sz w:val="17"/>
              </w:rPr>
              <w:t>Genera $0.41 de utilidad bruta por cada $1.00 de activo total.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 / Activos Operativos (Ex-Caja)</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42.94%</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49.91%</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42.00%</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Alta Eficiencia</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Al aislar la caja ociosa, rinde $0.43 por dólar productivo.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Efecto Arrastre de Caja (Cash Drag)</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+1.48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+4.89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+8.00 pp</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ℹ️ Dilución Solvente</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La acumulación de liquidez deprime el ratio nominal.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GP/A Ajustada (De-meaning)</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+7.47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+11.02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Ventaja Fuerte</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Supera en +7.47 puntos porcentuales a la mediana del sector.</w:t>
            </w:r>
          </w:p>
        </w:tc>
      </w:tr>
    </w:tbl>
    <w:p>
      <w:pPr>
        <w:spacing w:after="120"/>
      </w:pPr>
    </w:p>
    <w:p>
      <w:pPr>
        <w:keepNext/>
        <w:spacing w:before="240" w:after="80"/>
      </w:pPr>
      <w:r>
        <w:rPr>
          <w:rFonts w:ascii="Calibri" w:hAnsi="Calibri"/>
          <w:b/>
          <w:color w:val="4A5568"/>
          <w:sz w:val="23"/>
        </w:rPr>
        <w:t>Bloque B: Descomposición DuPont de Novy-Marx &amp; Matriz de 4 Cuadrantes</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MATRIZ DE DECISIÓN COMPETITIVA: 👑 MONOPOLIO / PODER DE MARCA</w:t>
              <w:br/>
            </w:r>
          </w:p>
          <w:p>
            <w:pPr>
              <w:spacing w:before="40" w:after="40" w:line="276" w:lineRule="auto"/>
            </w:pPr>
            <w:r>
              <w:rPr>
                <w:rFonts w:ascii="Calibri" w:hAnsi="Calibri"/>
                <w:color w:val="2D3748"/>
                <w:sz w:val="19"/>
              </w:rPr>
              <w:t>Ventaja impulsada por precios: margen bruto destacado (81.7% vs mediana 58.0%), pero rotación de capital moderada o baja (0.51x vs mediana 0.62x). Típico de modelos de alto valor unitario, patentes exclusivas o marcas de lujo.</w:t>
            </w:r>
          </w:p>
          <w:p>
            <w:pPr>
              <w:spacing w:before="40" w:after="40" w:line="276" w:lineRule="auto"/>
            </w:pPr>
            <w:r>
              <w:rPr>
                <w:rFonts w:ascii="Calibri" w:hAnsi="Calibri"/>
                <w:color w:val="2D3748"/>
                <w:sz w:val="19"/>
              </w:rPr>
              <w:t>• Verificación Matemática de Identidad DuPont (LTM):</w:t>
            </w:r>
          </w:p>
          <w:p>
            <w:pPr>
              <w:spacing w:before="40" w:after="40" w:line="276" w:lineRule="auto"/>
            </w:pPr>
            <w:r>
              <w:rPr>
                <w:rFonts w:ascii="Calibri" w:hAnsi="Calibri"/>
                <w:color w:val="2D3748"/>
                <w:sz w:val="19"/>
              </w:rPr>
              <w:t xml:space="preserve">  Margen Bruto (81.75%) × Rotación de Activos (0.507x) = 41.47% (Concilia al 100.0% con GP/A de 41.47%).</w:t>
            </w:r>
          </w:p>
          <w:p>
            <w:pPr>
              <w:spacing w:before="40" w:after="40" w:line="276" w:lineRule="auto"/>
            </w:pPr>
            <w:r>
              <w:rPr>
                <w:rFonts w:ascii="Calibri" w:hAnsi="Calibri"/>
                <w:color w:val="2D3748"/>
                <w:sz w:val="19"/>
              </w:rPr>
              <w:t>• Identidad Operativa Ex-Caja: Margen Bruto (81.75%) × Rotación Ex-Caja (0.525x) = 42.94% (concilia con 42.94%).</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Palanca DuPont</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Estatus vs Mediana</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Implicación Estratégica</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Margen Bruto (Utilidad Bruta / Ventas)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81.75%</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82.00%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58.00%</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+23.75 pp</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Pricing power, lealtad de clientes y disciplina de costes directos.</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Rotación Activos Totales (Ventas / Activos)</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0.507x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0.549x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0.620x</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-0.11x</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Velocidad de comercialización y aprovechamiento del capital instalado.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Rotación Activos Ex-Caja (Ventas / Act. Operativos)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0.525x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0.609x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0.682x</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Expansión Operativa</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Velocidad pura del capital en planta, logística y desarrollo.</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PRODUCTIVIDAD CONSOLIDADA (GP/A)</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41.47%</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45.02%</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34.00%</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+7.47 pp</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CAPITAL PRODUCTIVO DE MÁXIMA GENERACIÓN ECONÓMICA.</w:t>
            </w:r>
          </w:p>
        </w:tc>
      </w:tr>
    </w:tbl>
    <w:p>
      <w:pPr>
        <w:spacing w:after="120"/>
      </w:pPr>
    </w:p>
    <w:p>
      <w:pPr>
        <w:keepNext/>
        <w:spacing w:before="240" w:after="80"/>
      </w:pPr>
      <w:r>
        <w:rPr>
          <w:rFonts w:ascii="Calibri" w:hAnsi="Calibri"/>
          <w:b/>
          <w:color w:val="4A5568"/>
          <w:sz w:val="23"/>
        </w:rPr>
        <w:t>Bloque C: Evolución Histórica Multianual y Consistencia de Tendencia</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DIAGNÓSTICO DE SOSTENIBILIDAD TEMPORAL</w:t>
              <w:br/>
            </w:r>
          </w:p>
          <w:p>
            <w:pPr>
              <w:spacing w:before="40" w:after="40" w:line="276" w:lineRule="auto"/>
            </w:pPr>
            <w:r>
              <w:rPr>
                <w:rFonts w:ascii="Calibri" w:hAnsi="Calibri"/>
                <w:color w:val="2D3748"/>
                <w:sz w:val="19"/>
              </w:rPr>
              <w:t>• Expansión a 3 Años (vs. FY2023): -5.98 puntos porcentuales.</w:t>
            </w:r>
          </w:p>
          <w:p>
            <w:pPr>
              <w:spacing w:before="40" w:after="40" w:line="276" w:lineRule="auto"/>
            </w:pPr>
            <w:r>
              <w:rPr>
                <w:rFonts w:ascii="Calibri" w:hAnsi="Calibri"/>
                <w:color w:val="2D3748"/>
                <w:sz w:val="19"/>
              </w:rPr>
              <w:t>• Expansión a 5 Años (vs. FY2021): -15.93 puntos porcentuales.</w:t>
            </w:r>
          </w:p>
          <w:p>
            <w:pPr>
              <w:spacing w:before="40" w:after="40" w:line="276" w:lineRule="auto"/>
            </w:pPr>
            <w:r>
              <w:rPr>
                <w:rFonts w:ascii="Calibri" w:hAnsi="Calibri"/>
                <w:color w:val="2D3748"/>
                <w:sz w:val="19"/>
              </w:rPr>
              <w:t>• Coeficiente de Variación (CV GP/A): 0.094 (indica una trayectoria predecible y baja volatilidad operativa).</w:t>
            </w:r>
          </w:p>
          <w:p>
            <w:pPr>
              <w:spacing w:before="40" w:after="40" w:line="276" w:lineRule="auto"/>
            </w:pPr>
            <w:r>
              <w:rPr>
                <w:rFonts w:ascii="Calibri" w:hAnsi="Calibri"/>
                <w:color w:val="2D3748"/>
                <w:sz w:val="19"/>
              </w:rPr>
              <w:t>• Conclusión de Tendencia: Compresión de rentabilidad sobre activos (-15.93 p.p. en 5 años); vigilar presión en costos directos o acumulación de activos.</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399"/>
        <w:gridCol w:w="1399"/>
        <w:gridCol w:w="1399"/>
        <w:gridCol w:w="1399"/>
        <w:gridCol w:w="1399"/>
        <w:gridCol w:w="1399"/>
        <w:gridCol w:w="1399"/>
      </w:tblGrid>
      <w:tr>
        <w:tc>
          <w:tcPr>
            <w:tcW w:type="dxa" w:w="1440"/>
            <w:shd w:fill="1B365D"/>
            <w:tcMar>
              <w:top w:w="90" w:type="dxa"/>
              <w:bottom w:w="90" w:type="dxa"/>
              <w:left w:w="100" w:type="dxa"/>
              <w:right w:w="100" w:type="dxa"/>
            </w:tcMar>
          </w:tcPr>
          <w:p>
            <w:pPr>
              <w:spacing w:before="0" w:after="0"/>
              <w:jc w:val="left"/>
            </w:pPr>
            <w:r>
              <w:rPr>
                <w:rFonts w:ascii="Calibri" w:hAnsi="Calibri"/>
                <w:b/>
                <w:color w:val="FFFFFF"/>
                <w:sz w:val="18"/>
              </w:rPr>
              <w:t>Período Fiscal</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 Activos (%)</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Ex-Caja (%)</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Cash Drag (pp)</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Margen Bruto (%)</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Rotación (x)</w:t>
            </w:r>
          </w:p>
        </w:tc>
        <w:tc>
          <w:tcPr>
            <w:tcW w:type="dxa" w:w="1584"/>
            <w:shd w:fill="1B365D"/>
            <w:tcMar>
              <w:top w:w="90" w:type="dxa"/>
              <w:bottom w:w="90" w:type="dxa"/>
              <w:left w:w="100" w:type="dxa"/>
              <w:right w:w="100" w:type="dxa"/>
            </w:tcMar>
          </w:tcPr>
          <w:p>
            <w:pPr>
              <w:spacing w:before="0" w:after="0"/>
              <w:jc w:val="left"/>
            </w:pPr>
            <w:r>
              <w:rPr>
                <w:rFonts w:ascii="Calibri" w:hAnsi="Calibri"/>
                <w:b/>
                <w:color w:val="FFFFFF"/>
                <w:sz w:val="18"/>
              </w:rPr>
              <w:t>Cuadrante Estratégico</w:t>
            </w:r>
          </w:p>
        </w:tc>
      </w:tr>
      <w:tr>
        <w:tc>
          <w:tcPr>
            <w:tcW w:type="dxa" w:w="1440"/>
            <w:shd w:fill="FFFFFF"/>
            <w:tcMar>
              <w:top w:w="70" w:type="dxa"/>
              <w:bottom w:w="70" w:type="dxa"/>
              <w:left w:w="100" w:type="dxa"/>
              <w:right w:w="100" w:type="dxa"/>
            </w:tcMar>
          </w:tcPr>
          <w:p>
            <w:pPr>
              <w:spacing w:before="0" w:after="0"/>
              <w:jc w:val="left"/>
            </w:pPr>
            <w:r>
              <w:rPr>
                <w:rFonts w:ascii="Calibri" w:hAnsi="Calibri"/>
                <w:b/>
                <w:color w:val="1B365D"/>
                <w:sz w:val="17"/>
              </w:rPr>
              <w:t>LTM</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41.47%</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42.94%</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+1.48 pp</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81.75%</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0.507x</w:t>
            </w:r>
          </w:p>
        </w:tc>
        <w:tc>
          <w:tcPr>
            <w:tcW w:type="dxa" w:w="1584"/>
            <w:shd w:fill="FFFFFF"/>
            <w:tcMar>
              <w:top w:w="70" w:type="dxa"/>
              <w:bottom w:w="70" w:type="dxa"/>
              <w:left w:w="100" w:type="dxa"/>
              <w:right w:w="100" w:type="dxa"/>
            </w:tcMar>
          </w:tcPr>
          <w:p>
            <w:pPr>
              <w:spacing w:before="0" w:after="0"/>
              <w:jc w:val="left"/>
            </w:pPr>
            <w:r>
              <w:rPr>
                <w:rFonts w:ascii="Calibri" w:hAnsi="Calibri"/>
                <w:b/>
                <w:color w:val="1B365D"/>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FY2025</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45.02%</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49.91%</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+4.89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82.00%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0.549x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FY2024</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48.66%</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57.86%</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+9.20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81.67%</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0.596x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47.44%</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58.02%</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+10.58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80.76%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0.587x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FY2022</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49.19%</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53.41%</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+4.22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78.35%</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0.628x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FY2021</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57.40%</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63.78%</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+6.38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80.79%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0.710x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COMPOUNDER DE ÉLITE</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FY2020</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43.48%</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48.87%</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+5.39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80.58%</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0.540x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FY2019</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43.43%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50.68%</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+7.25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81.94%</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0.530x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bl>
    <w:p>
      <w:pPr>
        <w:spacing w:after="120"/>
      </w:pPr>
    </w:p>
    <w:p>
      <w:pPr>
        <w:keepNext/>
        <w:spacing w:before="240" w:after="80"/>
      </w:pPr>
      <w:r>
        <w:rPr>
          <w:rFonts w:ascii="Calibri" w:hAnsi="Calibri"/>
          <w:b/>
          <w:color w:val="4A5568"/>
          <w:sz w:val="23"/>
        </w:rPr>
        <w:t>Bloque D: Benchmarking Sectorial y Ranking Competitivo de la Industria</w:t>
      </w:r>
    </w:p>
    <w:p>
      <w:pPr>
        <w:spacing w:before="0" w:after="80" w:line="276" w:lineRule="auto"/>
      </w:pPr>
      <w:r>
        <w:rPr>
          <w:rFonts w:ascii="Calibri" w:hAnsi="Calibri"/>
          <w:i w:val="0"/>
          <w:color w:val="2D3748"/>
          <w:sz w:val="20"/>
        </w:rPr>
        <w:t>A continuación se presenta el ranking institucional de la canasta de pares directos ordenados rigurosamente por su Rentabilidad Bruta sobre Activos Totales (Gross Profitability de Novy-Marx), contrastando la métrica nominal con la métrica operativa ex-caja y la distancia en puntos porcentuales frente a la mediana de la industria: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720"/>
            <w:shd w:fill="1B365D"/>
            <w:tcMar>
              <w:top w:w="90" w:type="dxa"/>
              <w:bottom w:w="90" w:type="dxa"/>
              <w:left w:w="100" w:type="dxa"/>
              <w:right w:w="100" w:type="dxa"/>
            </w:tcMar>
          </w:tcPr>
          <w:p>
            <w:pPr>
              <w:spacing w:before="0" w:after="0"/>
              <w:jc w:val="left"/>
            </w:pPr>
            <w:r>
              <w:rPr>
                <w:rFonts w:ascii="Calibri" w:hAnsi="Calibri"/>
                <w:b/>
                <w:color w:val="FFFFFF"/>
                <w:sz w:val="18"/>
              </w:rPr>
              <w:t>Rank</w:t>
            </w:r>
          </w:p>
        </w:tc>
        <w:tc>
          <w:tcPr>
            <w:tcW w:type="dxa" w:w="1008"/>
            <w:shd w:fill="1B365D"/>
            <w:tcMar>
              <w:top w:w="90" w:type="dxa"/>
              <w:bottom w:w="90" w:type="dxa"/>
              <w:left w:w="100" w:type="dxa"/>
              <w:right w:w="100" w:type="dxa"/>
            </w:tcMar>
          </w:tcPr>
          <w:p>
            <w:pPr>
              <w:spacing w:before="0" w:after="0"/>
              <w:jc w:val="right"/>
            </w:pPr>
            <w:r>
              <w:rPr>
                <w:rFonts w:ascii="Calibri" w:hAnsi="Calibri"/>
                <w:b/>
                <w:color w:val="FFFFFF"/>
                <w:sz w:val="18"/>
              </w:rPr>
              <w:t>Ticker</w:t>
            </w:r>
          </w:p>
        </w:tc>
        <w:tc>
          <w:tcPr>
            <w:tcW w:type="dxa" w:w="2016"/>
            <w:shd w:fill="1B365D"/>
            <w:tcMar>
              <w:top w:w="90" w:type="dxa"/>
              <w:bottom w:w="90" w:type="dxa"/>
              <w:left w:w="100" w:type="dxa"/>
              <w:right w:w="100" w:type="dxa"/>
            </w:tcMar>
          </w:tcPr>
          <w:p>
            <w:pPr>
              <w:spacing w:before="0" w:after="0"/>
              <w:jc w:val="right"/>
            </w:pPr>
            <w:r>
              <w:rPr>
                <w:rFonts w:ascii="Calibri" w:hAnsi="Calibri"/>
                <w:b/>
                <w:color w:val="FFFFFF"/>
                <w:sz w:val="18"/>
              </w:rPr>
              <w:t>Empresa Competidora</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Período</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 Activos</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Ex-Caja</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Margen Bruto</w:t>
            </w:r>
          </w:p>
        </w:tc>
        <w:tc>
          <w:tcPr>
            <w:tcW w:type="dxa" w:w="720"/>
            <w:shd w:fill="1B365D"/>
            <w:tcMar>
              <w:top w:w="90" w:type="dxa"/>
              <w:bottom w:w="90" w:type="dxa"/>
              <w:left w:w="100" w:type="dxa"/>
              <w:right w:w="100" w:type="dxa"/>
            </w:tcMar>
          </w:tcPr>
          <w:p>
            <w:pPr>
              <w:spacing w:before="0" w:after="0"/>
              <w:jc w:val="right"/>
            </w:pPr>
            <w:r>
              <w:rPr>
                <w:rFonts w:ascii="Calibri" w:hAnsi="Calibri"/>
                <w:b/>
                <w:color w:val="FFFFFF"/>
                <w:sz w:val="18"/>
              </w:rPr>
              <w:t>Rotación</w:t>
            </w:r>
          </w:p>
        </w:tc>
        <w:tc>
          <w:tcPr>
            <w:tcW w:type="dxa" w:w="1152"/>
            <w:shd w:fill="1B365D"/>
            <w:tcMar>
              <w:top w:w="90" w:type="dxa"/>
              <w:bottom w:w="90" w:type="dxa"/>
              <w:left w:w="100" w:type="dxa"/>
              <w:right w:w="100" w:type="dxa"/>
            </w:tcMar>
          </w:tcPr>
          <w:p>
            <w:pPr>
              <w:spacing w:before="0" w:after="0"/>
              <w:jc w:val="left"/>
            </w:pPr>
            <w:r>
              <w:rPr>
                <w:rFonts w:ascii="Calibri" w:hAnsi="Calibri"/>
                <w:b/>
                <w:color w:val="FFFFFF"/>
                <w:sz w:val="18"/>
              </w:rPr>
              <w:t>Brecha vs Mediana</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MEDIANA</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Mediana Sectorial</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34.00%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42.00%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58.00%</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0.62x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P75</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Percentil 75 Líder</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48.00%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+14.00 pp</w:t>
            </w:r>
          </w:p>
        </w:tc>
      </w:tr>
    </w:tbl>
    <w:p>
      <w:pPr>
        <w:spacing w:after="120"/>
      </w:pPr>
    </w:p>
    <w:p>
      <w:pPr>
        <w:keepNext/>
        <w:spacing w:before="240" w:after="80"/>
      </w:pPr>
      <w:r>
        <w:rPr>
          <w:rFonts w:ascii="Calibri" w:hAnsi="Calibri"/>
          <w:b/>
          <w:color w:val="4A5568"/>
          <w:sz w:val="23"/>
        </w:rPr>
        <w:t>Conclusiones Fundamentales para Modelos de Valoración</w:t>
      </w:r>
    </w:p>
    <w:p>
      <w:pPr>
        <w:spacing w:before="0" w:after="80" w:line="276" w:lineRule="auto"/>
      </w:pPr>
      <w:r>
        <w:rPr>
          <w:rFonts w:ascii="Calibri" w:hAnsi="Calibri"/>
          <w:i w:val="0"/>
          <w:color w:val="2D3748"/>
          <w:sz w:val="20"/>
        </w:rPr>
        <w:t>Conclusión Analítica: META lidera o se consolida en la cúspide de su industria en la métrica de Novy-Marx. Al conjugar poder de fijación de precios con una rotación de activos disciplinada, su modelo de negocio es inmune a la compresión de márgenes que sufren competidores con activos sobredimensionados o márgenes brutos deprimidos.</w:t>
      </w:r>
    </w:p>
    <w:p>
      <w:pPr>
        <w:pStyle w:val="Heading1"/>
        <w:spacing w:before="360" w:after="160"/>
      </w:pPr>
      <w:r>
        <w:t>11. Rendimiento del Capital Ajustado por Intangibles, Costo de Capital (WACC) y Creación de Valor Económico</w:t>
      </w:r>
    </w:p>
    <w:p>
      <w:r>
        <w:rPr>
          <w:i/>
          <w:sz w:val="20"/>
        </w:rPr>
        <w:t>Evaluación del retorno económico del capital y la sostenibilidad de las ventajas competitivas (Economic Moat) para Meta Platforms, Inc. (META) al período LTM.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DICTAMEN DE VALOR ECONÓMICO: 🛡️ NARROW MOAT / CREACIÓN DE VALOR SOSTENIBLE (SPREAD +10.71 p.p.)</w:t>
              <w:br/>
            </w:r>
          </w:p>
          <w:p>
            <w:pPr>
              <w:spacing w:before="40" w:after="40" w:line="276" w:lineRule="auto"/>
            </w:pPr>
            <w:r>
              <w:rPr>
                <w:rFonts w:ascii="Calibri" w:hAnsi="Calibri"/>
                <w:color w:val="2D3748"/>
                <w:sz w:val="19"/>
              </w:rPr>
              <w:t>• ROC Greenblatt Tangible (LTM): 205.38% (Productividad operativa pura pre-tax sobre capital de trabajo y PP&amp;E físico instalado).</w:t>
            </w:r>
          </w:p>
          <w:p>
            <w:pPr>
              <w:spacing w:before="40" w:after="40" w:line="276" w:lineRule="auto"/>
            </w:pPr>
            <w:r>
              <w:rPr>
                <w:rFonts w:ascii="Calibri" w:hAnsi="Calibri"/>
                <w:color w:val="2D3748"/>
                <w:sz w:val="19"/>
              </w:rPr>
              <w:t>• ROIC Ajustado por Intangibles (LTM): 21.46% frente a un ROIC contable tradicional de 20.30%.</w:t>
            </w:r>
          </w:p>
          <w:p>
            <w:pPr>
              <w:spacing w:before="40" w:after="40" w:line="276" w:lineRule="auto"/>
            </w:pPr>
            <w:r>
              <w:rPr>
                <w:rFonts w:ascii="Calibri" w:hAnsi="Calibri"/>
                <w:color w:val="2D3748"/>
                <w:sz w:val="19"/>
              </w:rPr>
              <w:t>• Costo Promedio Ponderado de Capital (WACC): 10.75% (Costo del Equity Ke: 11.03%, Deuda Neta Kd: 4.55%).</w:t>
            </w:r>
          </w:p>
          <w:p>
            <w:pPr>
              <w:spacing w:before="40" w:after="40" w:line="276" w:lineRule="auto"/>
            </w:pPr>
            <w:r>
              <w:rPr>
                <w:rFonts w:ascii="Calibri" w:hAnsi="Calibri"/>
                <w:color w:val="2D3748"/>
                <w:sz w:val="19"/>
              </w:rPr>
              <w:t>• Spread Económico Neto: +10.71 p.p. de rendimiento por encima del costo de capital exigido por el mercado.</w:t>
            </w:r>
          </w:p>
          <w:p>
            <w:pPr>
              <w:spacing w:before="40" w:after="40" w:line="276" w:lineRule="auto"/>
            </w:pPr>
            <w:r>
              <w:rPr>
                <w:rFonts w:ascii="Calibri" w:hAnsi="Calibri"/>
                <w:color w:val="2D3748"/>
                <w:sz w:val="19"/>
              </w:rPr>
              <w:t>• Stock de Intangibles Fuera de Balance: $99,448.3M capitalizados en innovación y amortizados económicamente a 3 años.</w:t>
            </w:r>
          </w:p>
          <w:p>
            <w:pPr>
              <w:spacing w:before="40" w:after="40" w:line="276" w:lineRule="auto"/>
            </w:pPr>
            <w:r>
              <w:rPr>
                <w:rFonts w:ascii="Calibri" w:hAnsi="Calibri"/>
                <w:color w:val="2D3748"/>
                <w:sz w:val="19"/>
              </w:rPr>
              <w:t>• Tesis de Foso Defensivo: El negocio genera un Spread positivo de +10.71 p.p. sobre el WACC (10.75%), demostrando capacidad de generar valor económico superior a la media de forma constante frente a sus competidores.</w:t>
            </w:r>
          </w:p>
        </w:tc>
      </w:tr>
    </w:tbl>
    <w:p>
      <w:pPr>
        <w:spacing w:before="0" w:after="120"/>
      </w:pPr>
    </w:p>
    <w:p>
      <w:pPr>
        <w:pStyle w:val="Heading2"/>
      </w:pPr>
      <w:r>
        <w:t>11.1. Bloque A: Auditoría de Parámetros de Mercado en Tiempo Real</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3168"/>
        <w:gridCol w:w="1728"/>
        <w:gridCol w:w="2592"/>
        <w:gridCol w:w="2304"/>
      </w:tblGrid>
      <w:tr>
        <w:tc>
          <w:tcPr>
            <w:tcW w:type="dxa" w:w="2448"/>
            <w:shd w:fill="1B365D"/>
            <w:tcMar>
              <w:top w:w="80" w:type="dxa"/>
              <w:bottom w:w="80" w:type="dxa"/>
              <w:left w:w="100" w:type="dxa"/>
              <w:right w:w="100" w:type="dxa"/>
            </w:tcMar>
          </w:tcPr>
          <w:p>
            <w:r>
              <w:rPr>
                <w:b/>
                <w:color w:val="FFFFFF"/>
                <w:sz w:val="18"/>
              </w:rPr>
              <w:t>Variable de Mercado</w:t>
            </w:r>
          </w:p>
        </w:tc>
        <w:tc>
          <w:tcPr>
            <w:tcW w:type="dxa" w:w="2448"/>
            <w:shd w:fill="1B365D"/>
            <w:tcMar>
              <w:top w:w="80" w:type="dxa"/>
              <w:bottom w:w="80" w:type="dxa"/>
              <w:left w:w="100" w:type="dxa"/>
              <w:right w:w="100" w:type="dxa"/>
            </w:tcMar>
          </w:tcPr>
          <w:p>
            <w:r>
              <w:rPr>
                <w:b/>
                <w:color w:val="FFFFFF"/>
                <w:sz w:val="18"/>
              </w:rPr>
              <w:t>Valor Validado</w:t>
            </w:r>
          </w:p>
        </w:tc>
        <w:tc>
          <w:tcPr>
            <w:tcW w:type="dxa" w:w="2448"/>
            <w:shd w:fill="1B365D"/>
            <w:tcMar>
              <w:top w:w="80" w:type="dxa"/>
              <w:bottom w:w="80" w:type="dxa"/>
              <w:left w:w="100" w:type="dxa"/>
              <w:right w:w="100" w:type="dxa"/>
            </w:tcMar>
          </w:tcPr>
          <w:p>
            <w:r>
              <w:rPr>
                <w:b/>
                <w:color w:val="FFFFFF"/>
                <w:sz w:val="18"/>
              </w:rPr>
              <w:t>Fuentes Consultadas</w:t>
            </w:r>
          </w:p>
        </w:tc>
        <w:tc>
          <w:tcPr>
            <w:tcW w:type="dxa" w:w="2448"/>
            <w:shd w:fill="1B365D"/>
            <w:tcMar>
              <w:top w:w="80" w:type="dxa"/>
              <w:bottom w:w="80" w:type="dxa"/>
              <w:left w:w="100" w:type="dxa"/>
              <w:right w:w="100" w:type="dxa"/>
            </w:tcMar>
          </w:tcPr>
          <w:p>
            <w:r>
              <w:rPr>
                <w:b/>
                <w:color w:val="FFFFFF"/>
                <w:sz w:val="18"/>
              </w:rPr>
              <w:t>Estatus de Auditoría</w:t>
            </w:r>
          </w:p>
        </w:tc>
      </w:tr>
      <w:tr>
        <w:tc>
          <w:tcPr>
            <w:tcW w:type="dxa" w:w="2448"/>
            <w:tcMar>
              <w:top w:w="60" w:type="dxa"/>
              <w:bottom w:w="60" w:type="dxa"/>
              <w:left w:w="100" w:type="dxa"/>
              <w:right w:w="100" w:type="dxa"/>
            </w:tcMar>
          </w:tcPr>
          <w:p>
            <w:r>
              <w:rPr>
                <w:b/>
                <w:sz w:val="17"/>
              </w:rPr>
              <w:t>Precio de Mercado de la Acción</w:t>
            </w:r>
          </w:p>
        </w:tc>
        <w:tc>
          <w:tcPr>
            <w:tcW w:type="dxa" w:w="2448"/>
            <w:tcMar>
              <w:top w:w="60" w:type="dxa"/>
              <w:bottom w:w="60" w:type="dxa"/>
              <w:left w:w="100" w:type="dxa"/>
              <w:right w:w="100" w:type="dxa"/>
            </w:tcMar>
          </w:tcPr>
          <w:p>
            <w:r>
              <w:rPr>
                <w:sz w:val="17"/>
              </w:rPr>
              <w:t>$718.67</w:t>
            </w:r>
          </w:p>
        </w:tc>
        <w:tc>
          <w:tcPr>
            <w:tcW w:type="dxa" w:w="2448"/>
            <w:tcMar>
              <w:top w:w="60" w:type="dxa"/>
              <w:bottom w:w="60" w:type="dxa"/>
              <w:left w:w="100" w:type="dxa"/>
              <w:right w:w="100" w:type="dxa"/>
            </w:tcMar>
          </w:tcPr>
          <w:p>
            <w:r>
              <w:rPr>
                <w:sz w:val="17"/>
              </w:rPr>
              <w:t>Yahoo Finance / CNBC Quotes</w:t>
            </w:r>
          </w:p>
        </w:tc>
        <w:tc>
          <w:tcPr>
            <w:tcW w:type="dxa" w:w="2448"/>
            <w:tcMar>
              <w:top w:w="60" w:type="dxa"/>
              <w:bottom w:w="60" w:type="dxa"/>
              <w:left w:w="100" w:type="dxa"/>
              <w:right w:w="100" w:type="dxa"/>
            </w:tcMar>
          </w:tcPr>
          <w:p>
            <w:r>
              <w:rPr>
                <w:sz w:val="17"/>
              </w:rPr>
              <w:t>Consenso Validado (Δ &lt; 0.1%)</w:t>
            </w:r>
          </w:p>
        </w:tc>
      </w:tr>
      <w:tr>
        <w:tc>
          <w:tcPr>
            <w:tcW w:type="dxa" w:w="2448"/>
            <w:tcMar>
              <w:top w:w="60" w:type="dxa"/>
              <w:bottom w:w="60" w:type="dxa"/>
              <w:left w:w="100" w:type="dxa"/>
              <w:right w:w="100" w:type="dxa"/>
            </w:tcMar>
            <w:shd w:fill="F7FAFC"/>
          </w:tcPr>
          <w:p>
            <w:r>
              <w:rPr>
                <w:b/>
                <w:sz w:val="17"/>
              </w:rPr>
              <w:t>Capitalización Bursátil (Market Cap - E)</w:t>
            </w:r>
          </w:p>
        </w:tc>
        <w:tc>
          <w:tcPr>
            <w:tcW w:type="dxa" w:w="2448"/>
            <w:tcMar>
              <w:top w:w="60" w:type="dxa"/>
              <w:bottom w:w="60" w:type="dxa"/>
              <w:left w:w="100" w:type="dxa"/>
              <w:right w:w="100" w:type="dxa"/>
            </w:tcMar>
            <w:shd w:fill="F7FAFC"/>
          </w:tcPr>
          <w:p>
            <w:r>
              <w:rPr>
                <w:sz w:val="17"/>
              </w:rPr>
              <w:t>$1,830,816.3M</w:t>
            </w:r>
          </w:p>
        </w:tc>
        <w:tc>
          <w:tcPr>
            <w:tcW w:type="dxa" w:w="2448"/>
            <w:tcMar>
              <w:top w:w="60" w:type="dxa"/>
              <w:bottom w:w="60" w:type="dxa"/>
              <w:left w:w="100" w:type="dxa"/>
              <w:right w:w="100" w:type="dxa"/>
            </w:tcMar>
            <w:shd w:fill="F7FAFC"/>
          </w:tcPr>
          <w:p>
            <w:r>
              <w:rPr>
                <w:sz w:val="17"/>
              </w:rPr>
              <w:t>Arbitraje SEC 10-Q &amp; Mercado</w:t>
            </w:r>
          </w:p>
        </w:tc>
        <w:tc>
          <w:tcPr>
            <w:tcW w:type="dxa" w:w="2448"/>
            <w:tcMar>
              <w:top w:w="60" w:type="dxa"/>
              <w:bottom w:w="60" w:type="dxa"/>
              <w:left w:w="100" w:type="dxa"/>
              <w:right w:w="100" w:type="dxa"/>
            </w:tcMar>
            <w:shd w:fill="F7FAFC"/>
          </w:tcPr>
          <w:p>
            <w:r>
              <w:rPr>
                <w:sz w:val="17"/>
              </w:rPr>
              <w:t>Conteo Diluido Auditado</w:t>
            </w:r>
          </w:p>
        </w:tc>
      </w:tr>
      <w:tr>
        <w:tc>
          <w:tcPr>
            <w:tcW w:type="dxa" w:w="2448"/>
            <w:tcMar>
              <w:top w:w="60" w:type="dxa"/>
              <w:bottom w:w="60" w:type="dxa"/>
              <w:left w:w="100" w:type="dxa"/>
              <w:right w:w="100" w:type="dxa"/>
            </w:tcMar>
          </w:tcPr>
          <w:p>
            <w:r>
              <w:rPr>
                <w:b/>
                <w:sz w:val="17"/>
              </w:rPr>
              <w:t>Tasa Libre de Riesgo (Rf - Bono 10Y)</w:t>
            </w:r>
          </w:p>
        </w:tc>
        <w:tc>
          <w:tcPr>
            <w:tcW w:type="dxa" w:w="2448"/>
            <w:tcMar>
              <w:top w:w="60" w:type="dxa"/>
              <w:bottom w:w="60" w:type="dxa"/>
              <w:left w:w="100" w:type="dxa"/>
              <w:right w:w="100" w:type="dxa"/>
            </w:tcMar>
          </w:tcPr>
          <w:p>
            <w:r>
              <w:rPr>
                <w:sz w:val="17"/>
              </w:rPr>
              <w:t>5.24%</w:t>
            </w:r>
          </w:p>
        </w:tc>
        <w:tc>
          <w:tcPr>
            <w:tcW w:type="dxa" w:w="2448"/>
            <w:tcMar>
              <w:top w:w="60" w:type="dxa"/>
              <w:bottom w:w="60" w:type="dxa"/>
              <w:left w:w="100" w:type="dxa"/>
              <w:right w:w="100" w:type="dxa"/>
            </w:tcMar>
          </w:tcPr>
          <w:p>
            <w:r>
              <w:rPr>
                <w:sz w:val="17"/>
              </w:rPr>
              <w:t>Yahoo ^TNX / CNBC US10Y</w:t>
            </w:r>
          </w:p>
        </w:tc>
        <w:tc>
          <w:tcPr>
            <w:tcW w:type="dxa" w:w="2448"/>
            <w:tcMar>
              <w:top w:w="60" w:type="dxa"/>
              <w:bottom w:w="60" w:type="dxa"/>
              <w:left w:w="100" w:type="dxa"/>
              <w:right w:w="100" w:type="dxa"/>
            </w:tcMar>
          </w:tcPr>
          <w:p>
            <w:r>
              <w:rPr>
                <w:sz w:val="17"/>
              </w:rPr>
              <w:t>Δ &lt; 0.05% (Consensuado)</w:t>
            </w:r>
          </w:p>
        </w:tc>
      </w:tr>
      <w:tr>
        <w:tc>
          <w:tcPr>
            <w:tcW w:type="dxa" w:w="2448"/>
            <w:tcMar>
              <w:top w:w="60" w:type="dxa"/>
              <w:bottom w:w="60" w:type="dxa"/>
              <w:left w:w="100" w:type="dxa"/>
              <w:right w:w="100" w:type="dxa"/>
            </w:tcMar>
            <w:shd w:fill="F7FAFC"/>
          </w:tcPr>
          <w:p>
            <w:r>
              <w:rPr>
                <w:b/>
                <w:sz w:val="17"/>
              </w:rPr>
              <w:t>Beta de la Acción (β)</w:t>
            </w:r>
          </w:p>
        </w:tc>
        <w:tc>
          <w:tcPr>
            <w:tcW w:type="dxa" w:w="2448"/>
            <w:tcMar>
              <w:top w:w="60" w:type="dxa"/>
              <w:bottom w:w="60" w:type="dxa"/>
              <w:left w:w="100" w:type="dxa"/>
              <w:right w:w="100" w:type="dxa"/>
            </w:tcMar>
            <w:shd w:fill="F7FAFC"/>
          </w:tcPr>
          <w:p>
            <w:r>
              <w:rPr>
                <w:sz w:val="17"/>
              </w:rPr>
              <w:t>1.22</w:t>
            </w:r>
          </w:p>
        </w:tc>
        <w:tc>
          <w:tcPr>
            <w:tcW w:type="dxa" w:w="2448"/>
            <w:tcMar>
              <w:top w:w="60" w:type="dxa"/>
              <w:bottom w:w="60" w:type="dxa"/>
              <w:left w:w="100" w:type="dxa"/>
              <w:right w:w="100" w:type="dxa"/>
            </w:tcMar>
            <w:shd w:fill="F7FAFC"/>
          </w:tcPr>
          <w:p>
            <w:r>
              <w:rPr>
                <w:sz w:val="17"/>
              </w:rPr>
              <w:t>Yahoo 5Y Monthly / CNBC</w:t>
            </w:r>
          </w:p>
        </w:tc>
        <w:tc>
          <w:tcPr>
            <w:tcW w:type="dxa" w:w="2448"/>
            <w:tcMar>
              <w:top w:w="60" w:type="dxa"/>
              <w:bottom w:w="60" w:type="dxa"/>
              <w:left w:w="100" w:type="dxa"/>
              <w:right w:w="100" w:type="dxa"/>
            </w:tcMar>
            <w:shd w:fill="F7FAFC"/>
          </w:tcPr>
          <w:p>
            <w:r>
              <w:rPr>
                <w:sz w:val="17"/>
              </w:rPr>
              <w:t>Rango Estadístico Sectorial</w:t>
            </w:r>
          </w:p>
        </w:tc>
      </w:tr>
      <w:tr>
        <w:tc>
          <w:tcPr>
            <w:tcW w:type="dxa" w:w="2448"/>
            <w:tcMar>
              <w:top w:w="60" w:type="dxa"/>
              <w:bottom w:w="60" w:type="dxa"/>
              <w:left w:w="100" w:type="dxa"/>
              <w:right w:w="100" w:type="dxa"/>
            </w:tcMar>
          </w:tcPr>
          <w:p>
            <w:r>
              <w:rPr>
                <w:b/>
                <w:sz w:val="17"/>
              </w:rPr>
              <w:t>Prima de Riesgo de Mercado (ERP)</w:t>
            </w:r>
          </w:p>
        </w:tc>
        <w:tc>
          <w:tcPr>
            <w:tcW w:type="dxa" w:w="2448"/>
            <w:tcMar>
              <w:top w:w="60" w:type="dxa"/>
              <w:bottom w:w="60" w:type="dxa"/>
              <w:left w:w="100" w:type="dxa"/>
              <w:right w:w="100" w:type="dxa"/>
            </w:tcMar>
          </w:tcPr>
          <w:p>
            <w:r>
              <w:rPr>
                <w:sz w:val="17"/>
              </w:rPr>
              <w:t>4.75%</w:t>
            </w:r>
          </w:p>
        </w:tc>
        <w:tc>
          <w:tcPr>
            <w:tcW w:type="dxa" w:w="2448"/>
            <w:tcMar>
              <w:top w:w="60" w:type="dxa"/>
              <w:bottom w:w="60" w:type="dxa"/>
              <w:left w:w="100" w:type="dxa"/>
              <w:right w:w="100" w:type="dxa"/>
            </w:tcMar>
          </w:tcPr>
          <w:p>
            <w:r>
              <w:rPr>
                <w:sz w:val="17"/>
              </w:rPr>
              <w:t>Benchmark NYU Stern (Damodaran)</w:t>
            </w:r>
          </w:p>
        </w:tc>
        <w:tc>
          <w:tcPr>
            <w:tcW w:type="dxa" w:w="2448"/>
            <w:tcMar>
              <w:top w:w="60" w:type="dxa"/>
              <w:bottom w:w="60" w:type="dxa"/>
              <w:left w:w="100" w:type="dxa"/>
              <w:right w:w="100" w:type="dxa"/>
            </w:tcMar>
          </w:tcPr>
          <w:p>
            <w:r>
              <w:rPr>
                <w:sz w:val="17"/>
              </w:rPr>
              <w:t>Estándar Institucional</w:t>
            </w:r>
          </w:p>
        </w:tc>
      </w:tr>
    </w:tbl>
    <w:p/>
    <w:p>
      <w:pPr>
        <w:pStyle w:val="Heading2"/>
      </w:pPr>
      <w:r>
        <w:t>11.2. Desglose y Explicación del ROC Tangible (Joel Greenblatt)</w:t>
      </w:r>
    </w:p>
    <w:p>
      <w:r>
        <w:rPr>
          <w:sz w:val="19"/>
        </w:rPr>
        <w:t>El Return on Capital (ROC) de Joel Greenblatt evalúa la rentabilidad operativa pura antes de impuestos (EBIT) sobre los activos físicos tangibles (Capital de Trabajo Neto Operativo + PP&amp;E Físico). Para Meta Platforms, Inc., el ROC de 205.38% refleja la eficiencia operativa sobre activos tangibles instalados, optimizando la rotación de capital y la productividad física instalada.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296"/>
        <w:gridCol w:w="1296"/>
        <w:gridCol w:w="2160"/>
        <w:gridCol w:w="2448"/>
      </w:tblGrid>
      <w:tr>
        <w:tc>
          <w:tcPr>
            <w:tcW w:type="dxa" w:w="1958"/>
            <w:shd w:fill="1B365D"/>
            <w:tcMar>
              <w:top w:w="80" w:type="dxa"/>
              <w:bottom w:w="80" w:type="dxa"/>
              <w:left w:w="100" w:type="dxa"/>
              <w:right w:w="100" w:type="dxa"/>
            </w:tcMar>
          </w:tcPr>
          <w:p>
            <w:r>
              <w:rPr>
                <w:b/>
                <w:color w:val="FFFFFF"/>
                <w:sz w:val="17"/>
              </w:rPr>
              <w:t>Partida Contable / Paso</w:t>
            </w:r>
          </w:p>
        </w:tc>
        <w:tc>
          <w:tcPr>
            <w:tcW w:type="dxa" w:w="1958"/>
            <w:shd w:fill="1B365D"/>
            <w:tcMar>
              <w:top w:w="80" w:type="dxa"/>
              <w:bottom w:w="80" w:type="dxa"/>
              <w:left w:w="100" w:type="dxa"/>
              <w:right w:w="100" w:type="dxa"/>
            </w:tcMar>
          </w:tcPr>
          <w:p>
            <w:r>
              <w:rPr>
                <w:b/>
                <w:color w:val="FFFFFF"/>
                <w:sz w:val="17"/>
              </w:rPr>
              <w:t>LTM</w:t>
            </w:r>
          </w:p>
        </w:tc>
        <w:tc>
          <w:tcPr>
            <w:tcW w:type="dxa" w:w="1958"/>
            <w:shd w:fill="1B365D"/>
            <w:tcMar>
              <w:top w:w="80" w:type="dxa"/>
              <w:bottom w:w="80" w:type="dxa"/>
              <w:left w:w="100" w:type="dxa"/>
              <w:right w:w="100" w:type="dxa"/>
            </w:tcMar>
          </w:tcPr>
          <w:p>
            <w:r>
              <w:rPr>
                <w:b/>
                <w:color w:val="FFFFFF"/>
                <w:sz w:val="17"/>
              </w:rPr>
              <w:t>FY2025</w:t>
            </w:r>
          </w:p>
        </w:tc>
        <w:tc>
          <w:tcPr>
            <w:tcW w:type="dxa" w:w="1958"/>
            <w:shd w:fill="1B365D"/>
            <w:tcMar>
              <w:top w:w="80" w:type="dxa"/>
              <w:bottom w:w="80" w:type="dxa"/>
              <w:left w:w="100" w:type="dxa"/>
              <w:right w:w="100" w:type="dxa"/>
            </w:tcMar>
          </w:tcPr>
          <w:p>
            <w:r>
              <w:rPr>
                <w:b/>
                <w:color w:val="FFFFFF"/>
                <w:sz w:val="17"/>
              </w:rPr>
              <w:t>Origen en Balances SEC</w:t>
            </w:r>
          </w:p>
        </w:tc>
        <w:tc>
          <w:tcPr>
            <w:tcW w:type="dxa" w:w="1958"/>
            <w:shd w:fill="1B365D"/>
            <w:tcMar>
              <w:top w:w="80" w:type="dxa"/>
              <w:bottom w:w="80" w:type="dxa"/>
              <w:left w:w="100" w:type="dxa"/>
              <w:right w:w="100" w:type="dxa"/>
            </w:tcMar>
          </w:tcPr>
          <w:p>
            <w:r>
              <w:rPr>
                <w:b/>
                <w:color w:val="FFFFFF"/>
                <w:sz w:val="17"/>
              </w:rPr>
              <w:t>Criterio y Salvaguarda Contable</w:t>
            </w:r>
          </w:p>
        </w:tc>
      </w:tr>
      <w:tr>
        <w:tc>
          <w:tcPr>
            <w:tcW w:type="dxa" w:w="1958"/>
            <w:tcMar>
              <w:top w:w="60" w:type="dxa"/>
              <w:bottom w:w="60" w:type="dxa"/>
              <w:left w:w="100" w:type="dxa"/>
              <w:right w:w="100" w:type="dxa"/>
            </w:tcMar>
          </w:tcPr>
          <w:p>
            <w:r>
              <w:rPr>
                <w:b/>
                <w:sz w:val="17"/>
              </w:rPr>
              <w:t>(+) Beneficio Operativo (EBIT)</w:t>
            </w:r>
          </w:p>
        </w:tc>
        <w:tc>
          <w:tcPr>
            <w:tcW w:type="dxa" w:w="1958"/>
            <w:tcMar>
              <w:top w:w="60" w:type="dxa"/>
              <w:bottom w:w="60" w:type="dxa"/>
              <w:left w:w="100" w:type="dxa"/>
              <w:right w:w="100" w:type="dxa"/>
            </w:tcMar>
          </w:tcPr>
          <w:p>
            <w:r>
              <w:rPr>
                <w:b/>
                <w:sz w:val="17"/>
              </w:rPr>
              <w:t>$86,926.0M</w:t>
            </w:r>
          </w:p>
        </w:tc>
        <w:tc>
          <w:tcPr>
            <w:tcW w:type="dxa" w:w="1958"/>
            <w:tcMar>
              <w:top w:w="60" w:type="dxa"/>
              <w:bottom w:w="60" w:type="dxa"/>
              <w:left w:w="100" w:type="dxa"/>
              <w:right w:w="100" w:type="dxa"/>
            </w:tcMar>
          </w:tcPr>
          <w:p>
            <w:r>
              <w:rPr>
                <w:sz w:val="17"/>
              </w:rPr>
              <w:t>$83,276.0M</w:t>
            </w:r>
          </w:p>
        </w:tc>
        <w:tc>
          <w:tcPr>
            <w:tcW w:type="dxa" w:w="1958"/>
            <w:tcMar>
              <w:top w:w="60" w:type="dxa"/>
              <w:bottom w:w="60" w:type="dxa"/>
              <w:left w:w="100" w:type="dxa"/>
              <w:right w:w="100" w:type="dxa"/>
            </w:tcMar>
          </w:tcPr>
          <w:p>
            <w:r>
              <w:rPr>
                <w:sz w:val="17"/>
              </w:rPr>
              <w:t>Income Statement (Operating Income)</w:t>
            </w:r>
          </w:p>
        </w:tc>
        <w:tc>
          <w:tcPr>
            <w:tcW w:type="dxa" w:w="1958"/>
            <w:tcMar>
              <w:top w:w="60" w:type="dxa"/>
              <w:bottom w:w="60" w:type="dxa"/>
              <w:left w:w="100" w:type="dxa"/>
              <w:right w:w="100" w:type="dxa"/>
            </w:tcMar>
          </w:tcPr>
          <w:p>
            <w:r>
              <w:rPr>
                <w:sz w:val="17"/>
              </w:rPr>
              <w:t>Beneficio operativo puro antes de intereses e impuestos.</w:t>
            </w:r>
          </w:p>
        </w:tc>
      </w:tr>
      <w:tr>
        <w:tc>
          <w:tcPr>
            <w:tcW w:type="dxa" w:w="1958"/>
            <w:tcMar>
              <w:top w:w="60" w:type="dxa"/>
              <w:bottom w:w="60" w:type="dxa"/>
              <w:left w:w="100" w:type="dxa"/>
              <w:right w:w="100" w:type="dxa"/>
            </w:tcMar>
            <w:shd w:fill="F7FAFC"/>
          </w:tcPr>
          <w:p>
            <w:r>
              <w:rPr>
                <w:b/>
                <w:sz w:val="17"/>
              </w:rPr>
              <w:t>(+) Activos Corrientes Operativos</w:t>
            </w:r>
          </w:p>
        </w:tc>
        <w:tc>
          <w:tcPr>
            <w:tcW w:type="dxa" w:w="1958"/>
            <w:tcMar>
              <w:top w:w="60" w:type="dxa"/>
              <w:bottom w:w="60" w:type="dxa"/>
              <w:left w:w="100" w:type="dxa"/>
              <w:right w:w="100" w:type="dxa"/>
            </w:tcMar>
            <w:shd w:fill="F7FAFC"/>
          </w:tcPr>
          <w:p>
            <w:r>
              <w:rPr>
                <w:b/>
                <w:sz w:val="17"/>
              </w:rPr>
              <w:t>$110,013.0M</w:t>
            </w:r>
          </w:p>
        </w:tc>
        <w:tc>
          <w:tcPr>
            <w:tcW w:type="dxa" w:w="1958"/>
            <w:tcMar>
              <w:top w:w="60" w:type="dxa"/>
              <w:bottom w:w="60" w:type="dxa"/>
              <w:left w:w="100" w:type="dxa"/>
              <w:right w:w="100" w:type="dxa"/>
            </w:tcMar>
            <w:shd w:fill="F7FAFC"/>
          </w:tcPr>
          <w:p>
            <w:r>
              <w:rPr>
                <w:sz w:val="17"/>
              </w:rPr>
              <w:t>$72,849.0M</w:t>
            </w:r>
          </w:p>
        </w:tc>
        <w:tc>
          <w:tcPr>
            <w:tcW w:type="dxa" w:w="1958"/>
            <w:tcMar>
              <w:top w:w="60" w:type="dxa"/>
              <w:bottom w:w="60" w:type="dxa"/>
              <w:left w:w="100" w:type="dxa"/>
              <w:right w:w="100" w:type="dxa"/>
            </w:tcMar>
            <w:shd w:fill="F7FAFC"/>
          </w:tcPr>
          <w:p>
            <w:r>
              <w:rPr>
                <w:sz w:val="17"/>
              </w:rPr>
              <w:t>Balance Sheet (Current Assets)</w:t>
            </w:r>
          </w:p>
        </w:tc>
        <w:tc>
          <w:tcPr>
            <w:tcW w:type="dxa" w:w="1958"/>
            <w:tcMar>
              <w:top w:w="60" w:type="dxa"/>
              <w:bottom w:w="60" w:type="dxa"/>
              <w:left w:w="100" w:type="dxa"/>
              <w:right w:w="100" w:type="dxa"/>
            </w:tcMar>
            <w:shd w:fill="F7FAFC"/>
          </w:tcPr>
          <w:p>
            <w:r>
              <w:rPr>
                <w:sz w:val="17"/>
              </w:rPr>
              <w:t>Total Current Assets menos Efectivo y Valores Negociables.</w:t>
            </w:r>
          </w:p>
        </w:tc>
      </w:tr>
      <w:tr>
        <w:tc>
          <w:tcPr>
            <w:tcW w:type="dxa" w:w="1958"/>
            <w:tcMar>
              <w:top w:w="60" w:type="dxa"/>
              <w:bottom w:w="60" w:type="dxa"/>
              <w:left w:w="100" w:type="dxa"/>
              <w:right w:w="100" w:type="dxa"/>
            </w:tcMar>
          </w:tcPr>
          <w:p>
            <w:r>
              <w:rPr>
                <w:b/>
                <w:sz w:val="17"/>
              </w:rPr>
              <w:t>(-) Pasivos Corrientes Operativos</w:t>
            </w:r>
          </w:p>
        </w:tc>
        <w:tc>
          <w:tcPr>
            <w:tcW w:type="dxa" w:w="1958"/>
            <w:tcMar>
              <w:top w:w="60" w:type="dxa"/>
              <w:bottom w:w="60" w:type="dxa"/>
              <w:left w:w="100" w:type="dxa"/>
              <w:right w:w="100" w:type="dxa"/>
            </w:tcMar>
          </w:tcPr>
          <w:p>
            <w:r>
              <w:rPr>
                <w:b/>
                <w:sz w:val="17"/>
              </w:rPr>
              <w:t>$56,379.0M</w:t>
            </w:r>
          </w:p>
        </w:tc>
        <w:tc>
          <w:tcPr>
            <w:tcW w:type="dxa" w:w="1958"/>
            <w:tcMar>
              <w:top w:w="60" w:type="dxa"/>
              <w:bottom w:w="60" w:type="dxa"/>
              <w:left w:w="100" w:type="dxa"/>
              <w:right w:w="100" w:type="dxa"/>
            </w:tcMar>
          </w:tcPr>
          <w:p>
            <w:r>
              <w:rPr>
                <w:sz w:val="17"/>
              </w:rPr>
              <w:t>$41,836.0M</w:t>
            </w:r>
          </w:p>
        </w:tc>
        <w:tc>
          <w:tcPr>
            <w:tcW w:type="dxa" w:w="1958"/>
            <w:tcMar>
              <w:top w:w="60" w:type="dxa"/>
              <w:bottom w:w="60" w:type="dxa"/>
              <w:left w:w="100" w:type="dxa"/>
              <w:right w:w="100" w:type="dxa"/>
            </w:tcMar>
          </w:tcPr>
          <w:p>
            <w:r>
              <w:rPr>
                <w:sz w:val="17"/>
              </w:rPr>
              <w:t>Balance Sheet (Current Liabilities)</w:t>
            </w:r>
          </w:p>
        </w:tc>
        <w:tc>
          <w:tcPr>
            <w:tcW w:type="dxa" w:w="1958"/>
            <w:tcMar>
              <w:top w:w="60" w:type="dxa"/>
              <w:bottom w:w="60" w:type="dxa"/>
              <w:left w:w="100" w:type="dxa"/>
              <w:right w:w="100" w:type="dxa"/>
            </w:tcMar>
          </w:tcPr>
          <w:p>
            <w:r>
              <w:rPr>
                <w:sz w:val="17"/>
              </w:rPr>
              <w:t>Total Current Liabilities menos Deuda CP / Papel Comercial.</w:t>
            </w:r>
          </w:p>
        </w:tc>
      </w:tr>
      <w:tr>
        <w:tc>
          <w:tcPr>
            <w:tcW w:type="dxa" w:w="1958"/>
            <w:tcMar>
              <w:top w:w="60" w:type="dxa"/>
              <w:bottom w:w="60" w:type="dxa"/>
              <w:left w:w="100" w:type="dxa"/>
              <w:right w:w="100" w:type="dxa"/>
            </w:tcMar>
            <w:shd w:fill="F7FAFC"/>
          </w:tcPr>
          <w:p>
            <w:r>
              <w:rPr>
                <w:b/>
                <w:sz w:val="17"/>
              </w:rPr>
              <w:t>(=) Capital de Trabajo Neto Operativo (NWC)</w:t>
            </w:r>
          </w:p>
        </w:tc>
        <w:tc>
          <w:tcPr>
            <w:tcW w:type="dxa" w:w="1958"/>
            <w:tcMar>
              <w:top w:w="60" w:type="dxa"/>
              <w:bottom w:w="60" w:type="dxa"/>
              <w:left w:w="100" w:type="dxa"/>
              <w:right w:w="100" w:type="dxa"/>
            </w:tcMar>
            <w:shd w:fill="F7FAFC"/>
          </w:tcPr>
          <w:p>
            <w:r>
              <w:rPr>
                <w:b/>
                <w:sz w:val="17"/>
              </w:rPr>
              <w:t>$53,634.0M</w:t>
            </w:r>
          </w:p>
        </w:tc>
        <w:tc>
          <w:tcPr>
            <w:tcW w:type="dxa" w:w="1958"/>
            <w:tcMar>
              <w:top w:w="60" w:type="dxa"/>
              <w:bottom w:w="60" w:type="dxa"/>
              <w:left w:w="100" w:type="dxa"/>
              <w:right w:w="100" w:type="dxa"/>
            </w:tcMar>
            <w:shd w:fill="F7FAFC"/>
          </w:tcPr>
          <w:p>
            <w:r>
              <w:rPr>
                <w:sz w:val="17"/>
              </w:rPr>
              <w:t>$31,013.0M</w:t>
            </w:r>
          </w:p>
        </w:tc>
        <w:tc>
          <w:tcPr>
            <w:tcW w:type="dxa" w:w="1958"/>
            <w:tcMar>
              <w:top w:w="60" w:type="dxa"/>
              <w:bottom w:w="60" w:type="dxa"/>
              <w:left w:w="100" w:type="dxa"/>
              <w:right w:w="100" w:type="dxa"/>
            </w:tcMar>
            <w:shd w:fill="F7FAFC"/>
          </w:tcPr>
          <w:p>
            <w:r>
              <w:rPr>
                <w:sz w:val="17"/>
              </w:rPr>
              <w:t>Cálculo Operativo Derivado</w:t>
            </w:r>
          </w:p>
        </w:tc>
        <w:tc>
          <w:tcPr>
            <w:tcW w:type="dxa" w:w="1958"/>
            <w:tcMar>
              <w:top w:w="60" w:type="dxa"/>
              <w:bottom w:w="60" w:type="dxa"/>
              <w:left w:w="100" w:type="dxa"/>
              <w:right w:w="100" w:type="dxa"/>
            </w:tcMar>
            <w:shd w:fill="F7FAFC"/>
          </w:tcPr>
          <w:p>
            <w:r>
              <w:rPr>
                <w:sz w:val="17"/>
              </w:rPr>
              <w:t>Activos Op. - Pasivos Op. (Financiación espontánea si es negativo).</w:t>
            </w:r>
          </w:p>
        </w:tc>
      </w:tr>
      <w:tr>
        <w:tc>
          <w:tcPr>
            <w:tcW w:type="dxa" w:w="1958"/>
            <w:tcMar>
              <w:top w:w="60" w:type="dxa"/>
              <w:bottom w:w="60" w:type="dxa"/>
              <w:left w:w="100" w:type="dxa"/>
              <w:right w:w="100" w:type="dxa"/>
            </w:tcMar>
          </w:tcPr>
          <w:p>
            <w:r>
              <w:rPr>
                <w:b/>
                <w:sz w:val="17"/>
              </w:rPr>
              <w:t>(+) PP&amp;E Neto (Propiedad, Planta y Equipo)</w:t>
            </w:r>
          </w:p>
        </w:tc>
        <w:tc>
          <w:tcPr>
            <w:tcW w:type="dxa" w:w="1958"/>
            <w:tcMar>
              <w:top w:w="60" w:type="dxa"/>
              <w:bottom w:w="60" w:type="dxa"/>
              <w:left w:w="100" w:type="dxa"/>
              <w:right w:w="100" w:type="dxa"/>
            </w:tcMar>
          </w:tcPr>
          <w:p>
            <w:r>
              <w:rPr>
                <w:b/>
                <w:sz w:val="17"/>
              </w:rPr>
              <w:t>$0.0M</w:t>
            </w:r>
          </w:p>
        </w:tc>
        <w:tc>
          <w:tcPr>
            <w:tcW w:type="dxa" w:w="1958"/>
            <w:tcMar>
              <w:top w:w="60" w:type="dxa"/>
              <w:bottom w:w="60" w:type="dxa"/>
              <w:left w:w="100" w:type="dxa"/>
              <w:right w:w="100" w:type="dxa"/>
            </w:tcMar>
          </w:tcPr>
          <w:p>
            <w:r>
              <w:rPr>
                <w:sz w:val="17"/>
              </w:rPr>
              <w:t>$0.0M</w:t>
            </w:r>
          </w:p>
        </w:tc>
        <w:tc>
          <w:tcPr>
            <w:tcW w:type="dxa" w:w="1958"/>
            <w:tcMar>
              <w:top w:w="60" w:type="dxa"/>
              <w:bottom w:w="60" w:type="dxa"/>
              <w:left w:w="100" w:type="dxa"/>
              <w:right w:w="100" w:type="dxa"/>
            </w:tcMar>
          </w:tcPr>
          <w:p>
            <w:r>
              <w:rPr>
                <w:sz w:val="17"/>
              </w:rPr>
              <w:t>Balance Sheet (Non-Current Assets)</w:t>
            </w:r>
          </w:p>
        </w:tc>
        <w:tc>
          <w:tcPr>
            <w:tcW w:type="dxa" w:w="1958"/>
            <w:tcMar>
              <w:top w:w="60" w:type="dxa"/>
              <w:bottom w:w="60" w:type="dxa"/>
              <w:left w:w="100" w:type="dxa"/>
              <w:right w:w="100" w:type="dxa"/>
            </w:tcMar>
          </w:tcPr>
          <w:p>
            <w:r>
              <w:rPr>
                <w:sz w:val="17"/>
              </w:rPr>
              <w:t>Activos fijos físicos tangibles netos de depreciación acumulada.</w:t>
            </w:r>
          </w:p>
        </w:tc>
      </w:tr>
      <w:tr>
        <w:tc>
          <w:tcPr>
            <w:tcW w:type="dxa" w:w="1958"/>
            <w:tcMar>
              <w:top w:w="60" w:type="dxa"/>
              <w:bottom w:w="60" w:type="dxa"/>
              <w:left w:w="100" w:type="dxa"/>
              <w:right w:w="100" w:type="dxa"/>
            </w:tcMar>
            <w:shd w:fill="F7FAFC"/>
          </w:tcPr>
          <w:p>
            <w:r>
              <w:rPr>
                <w:b/>
                <w:sz w:val="17"/>
              </w:rPr>
              <w:t>(=) Capital Tangible al Cierre</w:t>
            </w:r>
          </w:p>
        </w:tc>
        <w:tc>
          <w:tcPr>
            <w:tcW w:type="dxa" w:w="1958"/>
            <w:tcMar>
              <w:top w:w="60" w:type="dxa"/>
              <w:bottom w:w="60" w:type="dxa"/>
              <w:left w:w="100" w:type="dxa"/>
              <w:right w:w="100" w:type="dxa"/>
            </w:tcMar>
            <w:shd w:fill="F7FAFC"/>
          </w:tcPr>
          <w:p>
            <w:r>
              <w:rPr>
                <w:b/>
                <w:sz w:val="17"/>
              </w:rPr>
              <w:t>$53,634.0M</w:t>
            </w:r>
          </w:p>
        </w:tc>
        <w:tc>
          <w:tcPr>
            <w:tcW w:type="dxa" w:w="1958"/>
            <w:tcMar>
              <w:top w:w="60" w:type="dxa"/>
              <w:bottom w:w="60" w:type="dxa"/>
              <w:left w:w="100" w:type="dxa"/>
              <w:right w:w="100" w:type="dxa"/>
            </w:tcMar>
            <w:shd w:fill="F7FAFC"/>
          </w:tcPr>
          <w:p>
            <w:r>
              <w:rPr>
                <w:sz w:val="17"/>
              </w:rPr>
              <w:t>$31,013.0M</w:t>
            </w:r>
          </w:p>
        </w:tc>
        <w:tc>
          <w:tcPr>
            <w:tcW w:type="dxa" w:w="1958"/>
            <w:tcMar>
              <w:top w:w="60" w:type="dxa"/>
              <w:bottom w:w="60" w:type="dxa"/>
              <w:left w:w="100" w:type="dxa"/>
              <w:right w:w="100" w:type="dxa"/>
            </w:tcMar>
            <w:shd w:fill="F7FAFC"/>
          </w:tcPr>
          <w:p>
            <w:r>
              <w:rPr>
                <w:sz w:val="17"/>
              </w:rPr>
              <w:t>Salvaguarda Joel Greenblatt</w:t>
            </w:r>
          </w:p>
        </w:tc>
        <w:tc>
          <w:tcPr>
            <w:tcW w:type="dxa" w:w="1958"/>
            <w:tcMar>
              <w:top w:w="60" w:type="dxa"/>
              <w:bottom w:w="60" w:type="dxa"/>
              <w:left w:w="100" w:type="dxa"/>
              <w:right w:w="100" w:type="dxa"/>
            </w:tcMar>
            <w:shd w:fill="F7FAFC"/>
          </w:tcPr>
          <w:p>
            <w:r>
              <w:rPr>
                <w:sz w:val="17"/>
              </w:rPr>
              <w:t>Si NWC &lt; 0, se acota al PP&amp;E Neto (nunca menor a las plantas físicas).</w:t>
            </w:r>
          </w:p>
        </w:tc>
      </w:tr>
      <w:tr>
        <w:tc>
          <w:tcPr>
            <w:tcW w:type="dxa" w:w="1958"/>
            <w:tcMar>
              <w:top w:w="60" w:type="dxa"/>
              <w:bottom w:w="60" w:type="dxa"/>
              <w:left w:w="100" w:type="dxa"/>
              <w:right w:w="100" w:type="dxa"/>
            </w:tcMar>
          </w:tcPr>
          <w:p>
            <w:r>
              <w:rPr>
                <w:b/>
                <w:sz w:val="17"/>
              </w:rPr>
              <w:t>(=) Capital Tangible Operativo Promedio</w:t>
            </w:r>
          </w:p>
        </w:tc>
        <w:tc>
          <w:tcPr>
            <w:tcW w:type="dxa" w:w="1958"/>
            <w:tcMar>
              <w:top w:w="60" w:type="dxa"/>
              <w:bottom w:w="60" w:type="dxa"/>
              <w:left w:w="100" w:type="dxa"/>
              <w:right w:w="100" w:type="dxa"/>
            </w:tcMar>
          </w:tcPr>
          <w:p>
            <w:r>
              <w:rPr>
                <w:b/>
                <w:sz w:val="17"/>
              </w:rPr>
              <w:t>$42,323.5M</w:t>
            </w:r>
          </w:p>
        </w:tc>
        <w:tc>
          <w:tcPr>
            <w:tcW w:type="dxa" w:w="1958"/>
            <w:tcMar>
              <w:top w:w="60" w:type="dxa"/>
              <w:bottom w:w="60" w:type="dxa"/>
              <w:left w:w="100" w:type="dxa"/>
              <w:right w:w="100" w:type="dxa"/>
            </w:tcMar>
          </w:tcPr>
          <w:p>
            <w:r>
              <w:rPr>
                <w:sz w:val="17"/>
              </w:rPr>
              <w:t>$26,786.5M</w:t>
            </w:r>
          </w:p>
        </w:tc>
        <w:tc>
          <w:tcPr>
            <w:tcW w:type="dxa" w:w="1958"/>
            <w:tcMar>
              <w:top w:w="60" w:type="dxa"/>
              <w:bottom w:w="60" w:type="dxa"/>
              <w:left w:w="100" w:type="dxa"/>
              <w:right w:w="100" w:type="dxa"/>
            </w:tcMar>
          </w:tcPr>
          <w:p>
            <w:r>
              <w:rPr>
                <w:sz w:val="17"/>
              </w:rPr>
              <w:t>Denominador (Matching Principle)</w:t>
            </w:r>
          </w:p>
        </w:tc>
        <w:tc>
          <w:tcPr>
            <w:tcW w:type="dxa" w:w="1958"/>
            <w:tcMar>
              <w:top w:w="60" w:type="dxa"/>
              <w:bottom w:w="60" w:type="dxa"/>
              <w:left w:w="100" w:type="dxa"/>
              <w:right w:w="100" w:type="dxa"/>
            </w:tcMar>
          </w:tcPr>
          <w:p>
            <w:r>
              <w:rPr>
                <w:sz w:val="17"/>
              </w:rPr>
              <w:t>Promedio (t + t-1)/2 para sincronizar capital con flujo anual de EBIT.</w:t>
            </w:r>
          </w:p>
        </w:tc>
      </w:tr>
      <w:tr>
        <w:tc>
          <w:tcPr>
            <w:tcW w:type="dxa" w:w="1958"/>
            <w:tcMar>
              <w:top w:w="60" w:type="dxa"/>
              <w:bottom w:w="60" w:type="dxa"/>
              <w:left w:w="100" w:type="dxa"/>
              <w:right w:w="100" w:type="dxa"/>
            </w:tcMar>
            <w:shd w:fill="F7FAFC"/>
            <w:shd w:fill="E2EFDA"/>
          </w:tcPr>
          <w:p>
            <w:r>
              <w:rPr>
                <w:b/>
                <w:sz w:val="17"/>
              </w:rPr>
              <w:t>(=) ROC Greenblatt Tangible (%)</w:t>
            </w:r>
          </w:p>
        </w:tc>
        <w:tc>
          <w:tcPr>
            <w:tcW w:type="dxa" w:w="1958"/>
            <w:tcMar>
              <w:top w:w="60" w:type="dxa"/>
              <w:bottom w:w="60" w:type="dxa"/>
              <w:left w:w="100" w:type="dxa"/>
              <w:right w:w="100" w:type="dxa"/>
            </w:tcMar>
            <w:shd w:fill="F7FAFC"/>
            <w:shd w:fill="E2EFDA"/>
          </w:tcPr>
          <w:p>
            <w:r>
              <w:rPr>
                <w:b/>
                <w:sz w:val="17"/>
              </w:rPr>
              <w:t>205.38%</w:t>
            </w:r>
          </w:p>
        </w:tc>
        <w:tc>
          <w:tcPr>
            <w:tcW w:type="dxa" w:w="1958"/>
            <w:tcMar>
              <w:top w:w="60" w:type="dxa"/>
              <w:bottom w:w="60" w:type="dxa"/>
              <w:left w:w="100" w:type="dxa"/>
              <w:right w:w="100" w:type="dxa"/>
            </w:tcMar>
            <w:shd w:fill="F7FAFC"/>
            <w:shd w:fill="E2EFDA"/>
          </w:tcPr>
          <w:p>
            <w:r>
              <w:rPr>
                <w:b/>
                <w:sz w:val="17"/>
              </w:rPr>
              <w:t>310.89%</w:t>
            </w:r>
          </w:p>
        </w:tc>
        <w:tc>
          <w:tcPr>
            <w:tcW w:type="dxa" w:w="1958"/>
            <w:tcMar>
              <w:top w:w="60" w:type="dxa"/>
              <w:bottom w:w="60" w:type="dxa"/>
              <w:left w:w="100" w:type="dxa"/>
              <w:right w:w="100" w:type="dxa"/>
            </w:tcMar>
            <w:shd w:fill="F7FAFC"/>
            <w:shd w:fill="E2EFDA"/>
          </w:tcPr>
          <w:p>
            <w:r>
              <w:rPr>
                <w:b/>
                <w:sz w:val="17"/>
              </w:rPr>
              <w:t>Ratio Final de Productividad</w:t>
            </w:r>
          </w:p>
        </w:tc>
        <w:tc>
          <w:tcPr>
            <w:tcW w:type="dxa" w:w="1958"/>
            <w:tcMar>
              <w:top w:w="60" w:type="dxa"/>
              <w:bottom w:w="60" w:type="dxa"/>
              <w:left w:w="100" w:type="dxa"/>
              <w:right w:w="100" w:type="dxa"/>
            </w:tcMar>
            <w:shd w:fill="F7FAFC"/>
            <w:shd w:fill="E2EFDA"/>
          </w:tcPr>
          <w:p>
            <w:r>
              <w:rPr>
                <w:b/>
                <w:sz w:val="17"/>
              </w:rPr>
              <w:t>EBIT / Capital Tangible Promedio.</w:t>
            </w:r>
          </w:p>
        </w:tc>
      </w:tr>
    </w:tbl>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Guía de Auditoría: Trazabilidad del ROC en los Balances SEC</w:t>
              <w:br/>
            </w:r>
          </w:p>
          <w:p>
            <w:pPr>
              <w:spacing w:before="40" w:after="40" w:line="276" w:lineRule="auto"/>
            </w:pPr>
            <w:r>
              <w:rPr>
                <w:rFonts w:ascii="Calibri" w:hAnsi="Calibri"/>
                <w:color w:val="2D3748"/>
                <w:sz w:val="19"/>
              </w:rPr>
              <w:t>• EBIT (Operating Income): Búsquelo en el Estado Consolidado de Operaciones (Form 10-K / 10-Q).</w:t>
            </w:r>
          </w:p>
          <w:p>
            <w:pPr>
              <w:spacing w:before="40" w:after="40" w:line="276" w:lineRule="auto"/>
            </w:pPr>
            <w:r>
              <w:rPr>
                <w:rFonts w:ascii="Calibri" w:hAnsi="Calibri"/>
                <w:color w:val="2D3748"/>
                <w:sz w:val="19"/>
              </w:rPr>
              <w:t>• Activos Operativos: Tome Total Current Assets del Balance y reste Cash &amp; Marketable Securities.</w:t>
            </w:r>
          </w:p>
          <w:p>
            <w:pPr>
              <w:spacing w:before="40" w:after="40" w:line="276" w:lineRule="auto"/>
            </w:pPr>
            <w:r>
              <w:rPr>
                <w:rFonts w:ascii="Calibri" w:hAnsi="Calibri"/>
                <w:color w:val="2D3748"/>
                <w:sz w:val="19"/>
              </w:rPr>
              <w:t>• Pasivos Operativos: Tome Total Current Liabilities del Balance y reste Commercial Paper y Deuda CP.</w:t>
            </w:r>
          </w:p>
          <w:p>
            <w:pPr>
              <w:spacing w:before="40" w:after="40" w:line="276" w:lineRule="auto"/>
            </w:pPr>
            <w:r>
              <w:rPr>
                <w:rFonts w:ascii="Calibri" w:hAnsi="Calibri"/>
                <w:color w:val="2D3748"/>
                <w:sz w:val="19"/>
              </w:rPr>
              <w:t>• PP&amp;E Neto: Búsquelo en Activos No Corrientes bajo Property, plant and equipment, net.</w:t>
            </w:r>
          </w:p>
          <w:p>
            <w:pPr>
              <w:spacing w:before="40" w:after="40" w:line="276" w:lineRule="auto"/>
            </w:pPr>
            <w:r>
              <w:rPr>
                <w:rFonts w:ascii="Calibri" w:hAnsi="Calibri"/>
                <w:color w:val="2D3748"/>
                <w:sz w:val="19"/>
              </w:rPr>
              <w:t>• Salvaguarda de Capital de Trabajo Negativo: Si NWC &lt; 0, Joel Greenblatt fija el capital tangible en el PP&amp;E neto para impedir denominadores distorsionados o bases de capital negativas.</w:t>
            </w:r>
          </w:p>
        </w:tc>
      </w:tr>
    </w:tbl>
    <w:p>
      <w:pPr>
        <w:spacing w:before="0" w:after="120"/>
      </w:pPr>
    </w:p>
    <w:p>
      <w:pPr>
        <w:pStyle w:val="Heading2"/>
      </w:pPr>
      <w:r>
        <w:t>11.3. Desglose y Explicación del ROIC: Tradicional vs. Ajustado por Intangibles (Damodaran)</w:t>
      </w:r>
    </w:p>
    <w:p>
      <w:r>
        <w:rPr>
          <w:sz w:val="19"/>
        </w:rPr>
        <w:t>El ROIC Tradicional contable (20.30%) sobrestima el retorno al mandar el I+D a gasto inmediato. La metodología Damodaran capitaliza la innovación a 3 años, reconociendo $99,448.3M de intangibles fuera de balance. El ROIC Ajustado resultante de 21.46% refleja el verdadero retorno económico sobre el capital total invertido ($432,661.8M).</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440"/>
        <w:gridCol w:w="1440"/>
        <w:gridCol w:w="1440"/>
        <w:gridCol w:w="1440"/>
        <w:gridCol w:w="1440"/>
        <w:gridCol w:w="1440"/>
        <w:gridCol w:w="1152"/>
      </w:tblGrid>
      <w:tr>
        <w:tc>
          <w:tcPr>
            <w:tcW w:type="dxa" w:w="1399"/>
            <w:shd w:fill="1B365D"/>
            <w:tcMar>
              <w:top w:w="80" w:type="dxa"/>
              <w:bottom w:w="80" w:type="dxa"/>
              <w:left w:w="100" w:type="dxa"/>
              <w:right w:w="100" w:type="dxa"/>
            </w:tcMar>
          </w:tcPr>
          <w:p>
            <w:r>
              <w:rPr>
                <w:b/>
                <w:color w:val="FFFFFF"/>
                <w:sz w:val="17"/>
              </w:rPr>
              <w:t>Período Contable</w:t>
            </w:r>
          </w:p>
        </w:tc>
        <w:tc>
          <w:tcPr>
            <w:tcW w:type="dxa" w:w="1399"/>
            <w:shd w:fill="1B365D"/>
            <w:tcMar>
              <w:top w:w="80" w:type="dxa"/>
              <w:bottom w:w="80" w:type="dxa"/>
              <w:left w:w="100" w:type="dxa"/>
              <w:right w:w="100" w:type="dxa"/>
            </w:tcMar>
          </w:tcPr>
          <w:p>
            <w:r>
              <w:rPr>
                <w:b/>
                <w:color w:val="FFFFFF"/>
                <w:sz w:val="17"/>
              </w:rPr>
              <w:t>ROC Greenblatt</w:t>
            </w:r>
          </w:p>
        </w:tc>
        <w:tc>
          <w:tcPr>
            <w:tcW w:type="dxa" w:w="1399"/>
            <w:shd w:fill="1B365D"/>
            <w:tcMar>
              <w:top w:w="80" w:type="dxa"/>
              <w:bottom w:w="80" w:type="dxa"/>
              <w:left w:w="100" w:type="dxa"/>
              <w:right w:w="100" w:type="dxa"/>
            </w:tcMar>
          </w:tcPr>
          <w:p>
            <w:r>
              <w:rPr>
                <w:b/>
                <w:color w:val="FFFFFF"/>
                <w:sz w:val="17"/>
              </w:rPr>
              <w:t>ROIC Tradicional</w:t>
            </w:r>
          </w:p>
        </w:tc>
        <w:tc>
          <w:tcPr>
            <w:tcW w:type="dxa" w:w="1399"/>
            <w:shd w:fill="1B365D"/>
            <w:tcMar>
              <w:top w:w="80" w:type="dxa"/>
              <w:bottom w:w="80" w:type="dxa"/>
              <w:left w:w="100" w:type="dxa"/>
              <w:right w:w="100" w:type="dxa"/>
            </w:tcMar>
          </w:tcPr>
          <w:p>
            <w:r>
              <w:rPr>
                <w:b/>
                <w:color w:val="FFFFFF"/>
                <w:sz w:val="17"/>
              </w:rPr>
              <w:t>ROIC Ajustado</w:t>
            </w:r>
          </w:p>
        </w:tc>
        <w:tc>
          <w:tcPr>
            <w:tcW w:type="dxa" w:w="1399"/>
            <w:shd w:fill="1B365D"/>
            <w:tcMar>
              <w:top w:w="80" w:type="dxa"/>
              <w:bottom w:w="80" w:type="dxa"/>
              <w:left w:w="100" w:type="dxa"/>
              <w:right w:w="100" w:type="dxa"/>
            </w:tcMar>
          </w:tcPr>
          <w:p>
            <w:r>
              <w:rPr>
                <w:b/>
                <w:color w:val="FFFFFF"/>
                <w:sz w:val="17"/>
              </w:rPr>
              <w:t>Stock Intangibles ($M)</w:t>
            </w:r>
          </w:p>
        </w:tc>
        <w:tc>
          <w:tcPr>
            <w:tcW w:type="dxa" w:w="1399"/>
            <w:shd w:fill="1B365D"/>
            <w:tcMar>
              <w:top w:w="80" w:type="dxa"/>
              <w:bottom w:w="80" w:type="dxa"/>
              <w:left w:w="100" w:type="dxa"/>
              <w:right w:w="100" w:type="dxa"/>
            </w:tcMar>
          </w:tcPr>
          <w:p>
            <w:r>
              <w:rPr>
                <w:b/>
                <w:color w:val="FFFFFF"/>
                <w:sz w:val="17"/>
              </w:rPr>
              <w:t>Capital Invertido ($M)</w:t>
            </w:r>
          </w:p>
        </w:tc>
        <w:tc>
          <w:tcPr>
            <w:tcW w:type="dxa" w:w="1399"/>
            <w:shd w:fill="1B365D"/>
            <w:tcMar>
              <w:top w:w="80" w:type="dxa"/>
              <w:bottom w:w="80" w:type="dxa"/>
              <w:left w:w="100" w:type="dxa"/>
              <w:right w:w="100" w:type="dxa"/>
            </w:tcMar>
          </w:tcPr>
          <w:p>
            <w:r>
              <w:rPr>
                <w:b/>
                <w:color w:val="FFFFFF"/>
                <w:sz w:val="17"/>
              </w:rPr>
              <w:t>Spread vs WACC</w:t>
            </w:r>
          </w:p>
        </w:tc>
      </w:tr>
      <w:tr>
        <w:tc>
          <w:tcPr>
            <w:tcW w:type="dxa" w:w="1399"/>
            <w:tcMar>
              <w:top w:w="60" w:type="dxa"/>
              <w:bottom w:w="60" w:type="dxa"/>
              <w:left w:w="100" w:type="dxa"/>
              <w:right w:w="100" w:type="dxa"/>
            </w:tcMar>
          </w:tcPr>
          <w:p>
            <w:r>
              <w:rPr>
                <w:sz w:val="17"/>
              </w:rPr>
              <w:t>FY2021</w:t>
            </w:r>
          </w:p>
        </w:tc>
        <w:tc>
          <w:tcPr>
            <w:tcW w:type="dxa" w:w="1399"/>
            <w:tcMar>
              <w:top w:w="60" w:type="dxa"/>
              <w:bottom w:w="60" w:type="dxa"/>
              <w:left w:w="100" w:type="dxa"/>
              <w:right w:w="100" w:type="dxa"/>
            </w:tcMar>
          </w:tcPr>
          <w:p>
            <w:r>
              <w:rPr>
                <w:b/>
                <w:sz w:val="17"/>
              </w:rPr>
              <w:t>81.78%</w:t>
            </w:r>
          </w:p>
        </w:tc>
        <w:tc>
          <w:tcPr>
            <w:tcW w:type="dxa" w:w="1399"/>
            <w:tcMar>
              <w:top w:w="60" w:type="dxa"/>
              <w:bottom w:w="60" w:type="dxa"/>
              <w:left w:w="100" w:type="dxa"/>
              <w:right w:w="100" w:type="dxa"/>
            </w:tcMar>
          </w:tcPr>
          <w:p>
            <w:r>
              <w:rPr>
                <w:b/>
                <w:sz w:val="17"/>
              </w:rPr>
              <w:t>30.53%</w:t>
            </w:r>
          </w:p>
        </w:tc>
        <w:tc>
          <w:tcPr>
            <w:tcW w:type="dxa" w:w="1399"/>
            <w:tcMar>
              <w:top w:w="60" w:type="dxa"/>
              <w:bottom w:w="60" w:type="dxa"/>
              <w:left w:w="100" w:type="dxa"/>
              <w:right w:w="100" w:type="dxa"/>
            </w:tcMar>
          </w:tcPr>
          <w:p>
            <w:r>
              <w:rPr>
                <w:b/>
                <w:sz w:val="17"/>
              </w:rPr>
              <w:t>29.14%</w:t>
            </w:r>
          </w:p>
        </w:tc>
        <w:tc>
          <w:tcPr>
            <w:tcW w:type="dxa" w:w="1399"/>
            <w:tcMar>
              <w:top w:w="60" w:type="dxa"/>
              <w:bottom w:w="60" w:type="dxa"/>
              <w:left w:w="100" w:type="dxa"/>
              <w:right w:w="100" w:type="dxa"/>
            </w:tcMar>
          </w:tcPr>
          <w:p>
            <w:r>
              <w:rPr>
                <w:sz w:val="17"/>
              </w:rPr>
              <w:t>$41,486.3M</w:t>
            </w:r>
          </w:p>
        </w:tc>
        <w:tc>
          <w:tcPr>
            <w:tcW w:type="dxa" w:w="1399"/>
            <w:tcMar>
              <w:top w:w="60" w:type="dxa"/>
              <w:bottom w:w="60" w:type="dxa"/>
              <w:left w:w="100" w:type="dxa"/>
              <w:right w:w="100" w:type="dxa"/>
            </w:tcMar>
          </w:tcPr>
          <w:p>
            <w:r>
              <w:rPr>
                <w:sz w:val="17"/>
              </w:rPr>
              <w:t>$163,717.2M</w:t>
            </w:r>
          </w:p>
        </w:tc>
        <w:tc>
          <w:tcPr>
            <w:tcW w:type="dxa" w:w="1399"/>
            <w:tcMar>
              <w:top w:w="60" w:type="dxa"/>
              <w:bottom w:w="60" w:type="dxa"/>
              <w:left w:w="100" w:type="dxa"/>
              <w:right w:w="100" w:type="dxa"/>
            </w:tcMar>
          </w:tcPr>
          <w:p>
            <w:r>
              <w:rPr>
                <w:b/>
                <w:sz w:val="17"/>
              </w:rPr>
              <w:t>+18.40 p.p.</w:t>
            </w:r>
          </w:p>
        </w:tc>
      </w:tr>
      <w:tr>
        <w:tc>
          <w:tcPr>
            <w:tcW w:type="dxa" w:w="1399"/>
            <w:tcMar>
              <w:top w:w="60" w:type="dxa"/>
              <w:bottom w:w="60" w:type="dxa"/>
              <w:left w:w="100" w:type="dxa"/>
              <w:right w:w="100" w:type="dxa"/>
            </w:tcMar>
            <w:shd w:fill="F7FAFC"/>
          </w:tcPr>
          <w:p>
            <w:r>
              <w:rPr>
                <w:sz w:val="17"/>
              </w:rPr>
              <w:t>FY2022</w:t>
            </w:r>
          </w:p>
        </w:tc>
        <w:tc>
          <w:tcPr>
            <w:tcW w:type="dxa" w:w="1399"/>
            <w:tcMar>
              <w:top w:w="60" w:type="dxa"/>
              <w:bottom w:w="60" w:type="dxa"/>
              <w:left w:w="100" w:type="dxa"/>
              <w:right w:w="100" w:type="dxa"/>
            </w:tcMar>
            <w:shd w:fill="F7FAFC"/>
          </w:tcPr>
          <w:p>
            <w:r>
              <w:rPr>
                <w:b/>
                <w:sz w:val="17"/>
              </w:rPr>
              <w:t>123.77%</w:t>
            </w:r>
          </w:p>
        </w:tc>
        <w:tc>
          <w:tcPr>
            <w:tcW w:type="dxa" w:w="1399"/>
            <w:tcMar>
              <w:top w:w="60" w:type="dxa"/>
              <w:bottom w:w="60" w:type="dxa"/>
              <w:left w:w="100" w:type="dxa"/>
              <w:right w:w="100" w:type="dxa"/>
            </w:tcMar>
            <w:shd w:fill="F7FAFC"/>
          </w:tcPr>
          <w:p>
            <w:r>
              <w:rPr>
                <w:b/>
                <w:sz w:val="17"/>
              </w:rPr>
              <w:t>17.12%</w:t>
            </w:r>
          </w:p>
        </w:tc>
        <w:tc>
          <w:tcPr>
            <w:tcW w:type="dxa" w:w="1399"/>
            <w:tcMar>
              <w:top w:w="60" w:type="dxa"/>
              <w:bottom w:w="60" w:type="dxa"/>
              <w:left w:w="100" w:type="dxa"/>
              <w:right w:w="100" w:type="dxa"/>
            </w:tcMar>
            <w:shd w:fill="F7FAFC"/>
          </w:tcPr>
          <w:p>
            <w:r>
              <w:rPr>
                <w:b/>
                <w:sz w:val="17"/>
              </w:rPr>
              <w:t>19.66%</w:t>
            </w:r>
          </w:p>
        </w:tc>
        <w:tc>
          <w:tcPr>
            <w:tcW w:type="dxa" w:w="1399"/>
            <w:tcMar>
              <w:top w:w="60" w:type="dxa"/>
              <w:bottom w:w="60" w:type="dxa"/>
              <w:left w:w="100" w:type="dxa"/>
              <w:right w:w="100" w:type="dxa"/>
            </w:tcMar>
            <w:shd w:fill="F7FAFC"/>
          </w:tcPr>
          <w:p>
            <w:r>
              <w:rPr>
                <w:sz w:val="17"/>
              </w:rPr>
              <w:t>$57,923.7M</w:t>
            </w:r>
          </w:p>
        </w:tc>
        <w:tc>
          <w:tcPr>
            <w:tcW w:type="dxa" w:w="1399"/>
            <w:tcMar>
              <w:top w:w="60" w:type="dxa"/>
              <w:bottom w:w="60" w:type="dxa"/>
              <w:left w:w="100" w:type="dxa"/>
              <w:right w:w="100" w:type="dxa"/>
            </w:tcMar>
            <w:shd w:fill="F7FAFC"/>
          </w:tcPr>
          <w:p>
            <w:r>
              <w:rPr>
                <w:sz w:val="17"/>
              </w:rPr>
              <w:t>$185,840.5M</w:t>
            </w:r>
          </w:p>
        </w:tc>
        <w:tc>
          <w:tcPr>
            <w:tcW w:type="dxa" w:w="1399"/>
            <w:tcMar>
              <w:top w:w="60" w:type="dxa"/>
              <w:bottom w:w="60" w:type="dxa"/>
              <w:left w:w="100" w:type="dxa"/>
              <w:right w:w="100" w:type="dxa"/>
            </w:tcMar>
            <w:shd w:fill="F7FAFC"/>
          </w:tcPr>
          <w:p>
            <w:r>
              <w:rPr>
                <w:b/>
                <w:sz w:val="17"/>
              </w:rPr>
              <w:t>+8.91 p.p.</w:t>
            </w:r>
          </w:p>
        </w:tc>
      </w:tr>
      <w:tr>
        <w:tc>
          <w:tcPr>
            <w:tcW w:type="dxa" w:w="1399"/>
            <w:tcMar>
              <w:top w:w="60" w:type="dxa"/>
              <w:bottom w:w="60" w:type="dxa"/>
              <w:left w:w="100" w:type="dxa"/>
              <w:right w:w="100" w:type="dxa"/>
            </w:tcMar>
          </w:tcPr>
          <w:p>
            <w:r>
              <w:rPr>
                <w:sz w:val="17"/>
              </w:rPr>
              <w:t>FY2023</w:t>
            </w:r>
          </w:p>
        </w:tc>
        <w:tc>
          <w:tcPr>
            <w:tcW w:type="dxa" w:w="1399"/>
            <w:tcMar>
              <w:top w:w="60" w:type="dxa"/>
              <w:bottom w:w="60" w:type="dxa"/>
              <w:left w:w="100" w:type="dxa"/>
              <w:right w:w="100" w:type="dxa"/>
            </w:tcMar>
          </w:tcPr>
          <w:p>
            <w:r>
              <w:rPr>
                <w:b/>
                <w:sz w:val="17"/>
              </w:rPr>
              <w:t>318.20%</w:t>
            </w:r>
          </w:p>
        </w:tc>
        <w:tc>
          <w:tcPr>
            <w:tcW w:type="dxa" w:w="1399"/>
            <w:tcMar>
              <w:top w:w="60" w:type="dxa"/>
              <w:bottom w:w="60" w:type="dxa"/>
              <w:left w:w="100" w:type="dxa"/>
              <w:right w:w="100" w:type="dxa"/>
            </w:tcMar>
          </w:tcPr>
          <w:p>
            <w:r>
              <w:rPr>
                <w:b/>
                <w:sz w:val="17"/>
              </w:rPr>
              <w:t>25.71%</w:t>
            </w:r>
          </w:p>
        </w:tc>
        <w:tc>
          <w:tcPr>
            <w:tcW w:type="dxa" w:w="1399"/>
            <w:tcMar>
              <w:top w:w="60" w:type="dxa"/>
              <w:bottom w:w="60" w:type="dxa"/>
              <w:left w:w="100" w:type="dxa"/>
              <w:right w:w="100" w:type="dxa"/>
            </w:tcMar>
          </w:tcPr>
          <w:p>
            <w:r>
              <w:rPr>
                <w:b/>
                <w:sz w:val="17"/>
              </w:rPr>
              <w:t>22.76%</w:t>
            </w:r>
          </w:p>
        </w:tc>
        <w:tc>
          <w:tcPr>
            <w:tcW w:type="dxa" w:w="1399"/>
            <w:tcMar>
              <w:top w:w="60" w:type="dxa"/>
              <w:bottom w:w="60" w:type="dxa"/>
              <w:left w:w="100" w:type="dxa"/>
              <w:right w:w="100" w:type="dxa"/>
            </w:tcMar>
          </w:tcPr>
          <w:p>
            <w:r>
              <w:rPr>
                <w:sz w:val="17"/>
              </w:rPr>
              <w:t>$70,260.0M</w:t>
            </w:r>
          </w:p>
        </w:tc>
        <w:tc>
          <w:tcPr>
            <w:tcW w:type="dxa" w:w="1399"/>
            <w:tcMar>
              <w:top w:w="60" w:type="dxa"/>
              <w:bottom w:w="60" w:type="dxa"/>
              <w:left w:w="100" w:type="dxa"/>
              <w:right w:w="100" w:type="dxa"/>
            </w:tcMar>
          </w:tcPr>
          <w:p>
            <w:r>
              <w:rPr>
                <w:sz w:val="17"/>
              </w:rPr>
              <w:t>$214,002.3M</w:t>
            </w:r>
          </w:p>
        </w:tc>
        <w:tc>
          <w:tcPr>
            <w:tcW w:type="dxa" w:w="1399"/>
            <w:tcMar>
              <w:top w:w="60" w:type="dxa"/>
              <w:bottom w:w="60" w:type="dxa"/>
              <w:left w:w="100" w:type="dxa"/>
              <w:right w:w="100" w:type="dxa"/>
            </w:tcMar>
          </w:tcPr>
          <w:p>
            <w:r>
              <w:rPr>
                <w:b/>
                <w:sz w:val="17"/>
              </w:rPr>
              <w:t>+12.02 p.p.</w:t>
            </w:r>
          </w:p>
        </w:tc>
      </w:tr>
      <w:tr>
        <w:tc>
          <w:tcPr>
            <w:tcW w:type="dxa" w:w="1399"/>
            <w:tcMar>
              <w:top w:w="60" w:type="dxa"/>
              <w:bottom w:w="60" w:type="dxa"/>
              <w:left w:w="100" w:type="dxa"/>
              <w:right w:w="100" w:type="dxa"/>
            </w:tcMar>
            <w:shd w:fill="F7FAFC"/>
          </w:tcPr>
          <w:p>
            <w:r>
              <w:rPr>
                <w:sz w:val="17"/>
              </w:rPr>
              <w:t>FY2024</w:t>
            </w:r>
          </w:p>
        </w:tc>
        <w:tc>
          <w:tcPr>
            <w:tcW w:type="dxa" w:w="1399"/>
            <w:tcMar>
              <w:top w:w="60" w:type="dxa"/>
              <w:bottom w:w="60" w:type="dxa"/>
              <w:left w:w="100" w:type="dxa"/>
              <w:right w:w="100" w:type="dxa"/>
            </w:tcMar>
            <w:shd w:fill="F7FAFC"/>
          </w:tcPr>
          <w:p>
            <w:r>
              <w:rPr>
                <w:b/>
                <w:sz w:val="17"/>
              </w:rPr>
              <w:t>406.89%</w:t>
            </w:r>
          </w:p>
        </w:tc>
        <w:tc>
          <w:tcPr>
            <w:tcW w:type="dxa" w:w="1399"/>
            <w:tcMar>
              <w:top w:w="60" w:type="dxa"/>
              <w:bottom w:w="60" w:type="dxa"/>
              <w:left w:w="100" w:type="dxa"/>
              <w:right w:w="100" w:type="dxa"/>
            </w:tcMar>
            <w:shd w:fill="F7FAFC"/>
          </w:tcPr>
          <w:p>
            <w:r>
              <w:rPr>
                <w:b/>
                <w:sz w:val="17"/>
              </w:rPr>
              <w:t>34.56%</w:t>
            </w:r>
          </w:p>
        </w:tc>
        <w:tc>
          <w:tcPr>
            <w:tcW w:type="dxa" w:w="1399"/>
            <w:tcMar>
              <w:top w:w="60" w:type="dxa"/>
              <w:bottom w:w="60" w:type="dxa"/>
              <w:left w:w="100" w:type="dxa"/>
              <w:right w:w="100" w:type="dxa"/>
            </w:tcMar>
            <w:shd w:fill="F7FAFC"/>
          </w:tcPr>
          <w:p>
            <w:r>
              <w:rPr>
                <w:b/>
                <w:sz w:val="17"/>
              </w:rPr>
              <w:t>28.06%</w:t>
            </w:r>
          </w:p>
        </w:tc>
        <w:tc>
          <w:tcPr>
            <w:tcW w:type="dxa" w:w="1399"/>
            <w:tcMar>
              <w:top w:w="60" w:type="dxa"/>
              <w:bottom w:w="60" w:type="dxa"/>
              <w:left w:w="100" w:type="dxa"/>
              <w:right w:w="100" w:type="dxa"/>
            </w:tcMar>
            <w:shd w:fill="F7FAFC"/>
          </w:tcPr>
          <w:p>
            <w:r>
              <w:rPr>
                <w:sz w:val="17"/>
              </w:rPr>
              <w:t>$81,307.7M</w:t>
            </w:r>
          </w:p>
        </w:tc>
        <w:tc>
          <w:tcPr>
            <w:tcW w:type="dxa" w:w="1399"/>
            <w:tcMar>
              <w:top w:w="60" w:type="dxa"/>
              <w:bottom w:w="60" w:type="dxa"/>
              <w:left w:w="100" w:type="dxa"/>
              <w:right w:w="100" w:type="dxa"/>
            </w:tcMar>
            <w:shd w:fill="F7FAFC"/>
          </w:tcPr>
          <w:p>
            <w:r>
              <w:rPr>
                <w:sz w:val="17"/>
              </w:rPr>
              <w:t>$252,968.8M</w:t>
            </w:r>
          </w:p>
        </w:tc>
        <w:tc>
          <w:tcPr>
            <w:tcW w:type="dxa" w:w="1399"/>
            <w:tcMar>
              <w:top w:w="60" w:type="dxa"/>
              <w:bottom w:w="60" w:type="dxa"/>
              <w:left w:w="100" w:type="dxa"/>
              <w:right w:w="100" w:type="dxa"/>
            </w:tcMar>
            <w:shd w:fill="F7FAFC"/>
          </w:tcPr>
          <w:p>
            <w:r>
              <w:rPr>
                <w:b/>
                <w:sz w:val="17"/>
              </w:rPr>
              <w:t>+17.31 p.p.</w:t>
            </w:r>
          </w:p>
        </w:tc>
      </w:tr>
      <w:tr>
        <w:tc>
          <w:tcPr>
            <w:tcW w:type="dxa" w:w="1399"/>
            <w:tcMar>
              <w:top w:w="60" w:type="dxa"/>
              <w:bottom w:w="60" w:type="dxa"/>
              <w:left w:w="100" w:type="dxa"/>
              <w:right w:w="100" w:type="dxa"/>
            </w:tcMar>
          </w:tcPr>
          <w:p>
            <w:r>
              <w:rPr>
                <w:sz w:val="17"/>
              </w:rPr>
              <w:t>FY2025</w:t>
            </w:r>
          </w:p>
        </w:tc>
        <w:tc>
          <w:tcPr>
            <w:tcW w:type="dxa" w:w="1399"/>
            <w:tcMar>
              <w:top w:w="60" w:type="dxa"/>
              <w:bottom w:w="60" w:type="dxa"/>
              <w:left w:w="100" w:type="dxa"/>
              <w:right w:w="100" w:type="dxa"/>
            </w:tcMar>
          </w:tcPr>
          <w:p>
            <w:r>
              <w:rPr>
                <w:b/>
                <w:sz w:val="17"/>
              </w:rPr>
              <w:t>310.89%</w:t>
            </w:r>
          </w:p>
        </w:tc>
        <w:tc>
          <w:tcPr>
            <w:tcW w:type="dxa" w:w="1399"/>
            <w:tcMar>
              <w:top w:w="60" w:type="dxa"/>
              <w:bottom w:w="60" w:type="dxa"/>
              <w:left w:w="100" w:type="dxa"/>
              <w:right w:w="100" w:type="dxa"/>
            </w:tcMar>
          </w:tcPr>
          <w:p>
            <w:r>
              <w:rPr>
                <w:b/>
                <w:sz w:val="17"/>
              </w:rPr>
              <w:t>24.07%</w:t>
            </w:r>
          </w:p>
        </w:tc>
        <w:tc>
          <w:tcPr>
            <w:tcW w:type="dxa" w:w="1399"/>
            <w:tcMar>
              <w:top w:w="60" w:type="dxa"/>
              <w:bottom w:w="60" w:type="dxa"/>
              <w:left w:w="100" w:type="dxa"/>
              <w:right w:w="100" w:type="dxa"/>
            </w:tcMar>
          </w:tcPr>
          <w:p>
            <w:r>
              <w:rPr>
                <w:b/>
                <w:sz w:val="17"/>
              </w:rPr>
              <w:t>21.37%</w:t>
            </w:r>
          </w:p>
        </w:tc>
        <w:tc>
          <w:tcPr>
            <w:tcW w:type="dxa" w:w="1399"/>
            <w:tcMar>
              <w:top w:w="60" w:type="dxa"/>
              <w:bottom w:w="60" w:type="dxa"/>
              <w:left w:w="100" w:type="dxa"/>
              <w:right w:w="100" w:type="dxa"/>
            </w:tcMar>
          </w:tcPr>
          <w:p>
            <w:r>
              <w:rPr>
                <w:sz w:val="17"/>
              </w:rPr>
              <w:t>$99,448.3M</w:t>
            </w:r>
          </w:p>
        </w:tc>
        <w:tc>
          <w:tcPr>
            <w:tcW w:type="dxa" w:w="1399"/>
            <w:tcMar>
              <w:top w:w="60" w:type="dxa"/>
              <w:bottom w:w="60" w:type="dxa"/>
              <w:left w:w="100" w:type="dxa"/>
              <w:right w:w="100" w:type="dxa"/>
            </w:tcMar>
          </w:tcPr>
          <w:p>
            <w:r>
              <w:rPr>
                <w:sz w:val="17"/>
              </w:rPr>
              <w:t>$333,818.5M</w:t>
            </w:r>
          </w:p>
        </w:tc>
        <w:tc>
          <w:tcPr>
            <w:tcW w:type="dxa" w:w="1399"/>
            <w:tcMar>
              <w:top w:w="60" w:type="dxa"/>
              <w:bottom w:w="60" w:type="dxa"/>
              <w:left w:w="100" w:type="dxa"/>
              <w:right w:w="100" w:type="dxa"/>
            </w:tcMar>
          </w:tcPr>
          <w:p>
            <w:r>
              <w:rPr>
                <w:b/>
                <w:sz w:val="17"/>
              </w:rPr>
              <w:t>+10.63 p.p.</w:t>
            </w:r>
          </w:p>
        </w:tc>
      </w:tr>
      <w:tr>
        <w:tc>
          <w:tcPr>
            <w:tcW w:type="dxa" w:w="1399"/>
            <w:tcMar>
              <w:top w:w="60" w:type="dxa"/>
              <w:bottom w:w="60" w:type="dxa"/>
              <w:left w:w="100" w:type="dxa"/>
              <w:right w:w="100" w:type="dxa"/>
            </w:tcMar>
            <w:shd w:fill="F7FAFC"/>
            <w:shd w:fill="E2EFDA"/>
          </w:tcPr>
          <w:p>
            <w:r>
              <w:rPr>
                <w:sz w:val="17"/>
              </w:rPr>
              <w:t>LTM</w:t>
            </w:r>
          </w:p>
        </w:tc>
        <w:tc>
          <w:tcPr>
            <w:tcW w:type="dxa" w:w="1399"/>
            <w:tcMar>
              <w:top w:w="60" w:type="dxa"/>
              <w:bottom w:w="60" w:type="dxa"/>
              <w:left w:w="100" w:type="dxa"/>
              <w:right w:w="100" w:type="dxa"/>
            </w:tcMar>
            <w:shd w:fill="F7FAFC"/>
            <w:shd w:fill="E2EFDA"/>
          </w:tcPr>
          <w:p>
            <w:r>
              <w:rPr>
                <w:b/>
                <w:sz w:val="17"/>
              </w:rPr>
              <w:t>205.38%</w:t>
            </w:r>
          </w:p>
        </w:tc>
        <w:tc>
          <w:tcPr>
            <w:tcW w:type="dxa" w:w="1399"/>
            <w:tcMar>
              <w:top w:w="60" w:type="dxa"/>
              <w:bottom w:w="60" w:type="dxa"/>
              <w:left w:w="100" w:type="dxa"/>
              <w:right w:w="100" w:type="dxa"/>
            </w:tcMar>
            <w:shd w:fill="F7FAFC"/>
            <w:shd w:fill="E2EFDA"/>
          </w:tcPr>
          <w:p>
            <w:r>
              <w:rPr>
                <w:b/>
                <w:sz w:val="17"/>
              </w:rPr>
              <w:t>20.30%</w:t>
            </w:r>
          </w:p>
        </w:tc>
        <w:tc>
          <w:tcPr>
            <w:tcW w:type="dxa" w:w="1399"/>
            <w:tcMar>
              <w:top w:w="60" w:type="dxa"/>
              <w:bottom w:w="60" w:type="dxa"/>
              <w:left w:w="100" w:type="dxa"/>
              <w:right w:w="100" w:type="dxa"/>
            </w:tcMar>
            <w:shd w:fill="F7FAFC"/>
            <w:shd w:fill="E2EFDA"/>
          </w:tcPr>
          <w:p>
            <w:r>
              <w:rPr>
                <w:b/>
                <w:sz w:val="17"/>
              </w:rPr>
              <w:t>21.46%</w:t>
            </w:r>
          </w:p>
        </w:tc>
        <w:tc>
          <w:tcPr>
            <w:tcW w:type="dxa" w:w="1399"/>
            <w:tcMar>
              <w:top w:w="60" w:type="dxa"/>
              <w:bottom w:w="60" w:type="dxa"/>
              <w:left w:w="100" w:type="dxa"/>
              <w:right w:w="100" w:type="dxa"/>
            </w:tcMar>
            <w:shd w:fill="F7FAFC"/>
            <w:shd w:fill="E2EFDA"/>
          </w:tcPr>
          <w:p>
            <w:r>
              <w:rPr>
                <w:sz w:val="17"/>
              </w:rPr>
              <w:t>$99,448.3M</w:t>
            </w:r>
          </w:p>
        </w:tc>
        <w:tc>
          <w:tcPr>
            <w:tcW w:type="dxa" w:w="1399"/>
            <w:tcMar>
              <w:top w:w="60" w:type="dxa"/>
              <w:bottom w:w="60" w:type="dxa"/>
              <w:left w:w="100" w:type="dxa"/>
              <w:right w:w="100" w:type="dxa"/>
            </w:tcMar>
            <w:shd w:fill="F7FAFC"/>
            <w:shd w:fill="E2EFDA"/>
          </w:tcPr>
          <w:p>
            <w:r>
              <w:rPr>
                <w:sz w:val="17"/>
              </w:rPr>
              <w:t>$432,661.8M</w:t>
            </w:r>
          </w:p>
        </w:tc>
        <w:tc>
          <w:tcPr>
            <w:tcW w:type="dxa" w:w="1399"/>
            <w:tcMar>
              <w:top w:w="60" w:type="dxa"/>
              <w:bottom w:w="60" w:type="dxa"/>
              <w:left w:w="100" w:type="dxa"/>
              <w:right w:w="100" w:type="dxa"/>
            </w:tcMar>
            <w:shd w:fill="F7FAFC"/>
            <w:shd w:fill="E2EFDA"/>
          </w:tcPr>
          <w:p>
            <w:r>
              <w:rPr>
                <w:b/>
                <w:sz w:val="17"/>
              </w:rPr>
              <w:t>+10.71 p.p.</w:t>
            </w:r>
          </w:p>
        </w:tc>
      </w:tr>
    </w:tbl>
    <w:p>
      <w:pPr>
        <w:spacing w:before="160" w:after="160"/>
      </w:pPr>
      <w:r>
        <w:rPr>
          <w:i/>
          <w:sz w:val="18"/>
        </w:rPr>
        <w:t>Matriz de Sensibilidad de Vida Útil: N-1 (2a) = 22.14% | N Base (3a) = 21.46% | N+1 (4a) = 21.19%.</w:t>
      </w:r>
    </w:p>
    <w:p>
      <w:pPr>
        <w:pStyle w:val="Heading2"/>
      </w:pPr>
      <w:r>
        <w:t>11.4. Creación de Valor Económico (EVA) y Durabilidad del Foso Defensivo</w:t>
      </w:r>
    </w:p>
    <w:p>
      <w:r>
        <w:rPr>
          <w:sz w:val="19"/>
        </w:rPr>
        <w:t>Spread Económico = ROIC Ajustado (21.46%) − WACC (10.75%) = +10.71 p.p.</w:t>
        <w:br/>
        <w:t>Dictamen: 🛡️ NARROW MOAT / CREACIÓN DE VALOR SOSTENIBLE. La compañía supera holgadamente su costo de capital, generando retornos netos excedentes sobre cada dólar invertido.</w:t>
      </w:r>
    </w:p>
    <w:p>
      <w:pPr>
        <w:pStyle w:val="Heading2"/>
      </w:pPr>
      <w:r>
        <w:t>11.5. Cuadro de Mando Consolidado de Ratios de Capital, Retornos y Valor</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880"/>
        <w:gridCol w:w="1296"/>
        <w:gridCol w:w="1584"/>
        <w:gridCol w:w="2016"/>
      </w:tblGrid>
      <w:tr>
        <w:tc>
          <w:tcPr>
            <w:tcW w:type="dxa" w:w="1958"/>
            <w:shd w:fill="1B365D"/>
            <w:tcMar>
              <w:top w:w="80" w:type="dxa"/>
              <w:bottom w:w="80" w:type="dxa"/>
              <w:left w:w="100" w:type="dxa"/>
              <w:right w:w="100" w:type="dxa"/>
            </w:tcMar>
          </w:tcPr>
          <w:p>
            <w:r>
              <w:rPr>
                <w:b/>
                <w:color w:val="FFFFFF"/>
                <w:sz w:val="17"/>
              </w:rPr>
              <w:t>Categoría Analítica</w:t>
            </w:r>
          </w:p>
        </w:tc>
        <w:tc>
          <w:tcPr>
            <w:tcW w:type="dxa" w:w="1958"/>
            <w:shd w:fill="1B365D"/>
            <w:tcMar>
              <w:top w:w="80" w:type="dxa"/>
              <w:bottom w:w="80" w:type="dxa"/>
              <w:left w:w="100" w:type="dxa"/>
              <w:right w:w="100" w:type="dxa"/>
            </w:tcMar>
          </w:tcPr>
          <w:p>
            <w:r>
              <w:rPr>
                <w:b/>
                <w:color w:val="FFFFFF"/>
                <w:sz w:val="17"/>
              </w:rPr>
              <w:t>Métrica / Ratio Institucional</w:t>
            </w:r>
          </w:p>
        </w:tc>
        <w:tc>
          <w:tcPr>
            <w:tcW w:type="dxa" w:w="1958"/>
            <w:shd w:fill="1B365D"/>
            <w:tcMar>
              <w:top w:w="80" w:type="dxa"/>
              <w:bottom w:w="80" w:type="dxa"/>
              <w:left w:w="100" w:type="dxa"/>
              <w:right w:w="100" w:type="dxa"/>
            </w:tcMar>
          </w:tcPr>
          <w:p>
            <w:r>
              <w:rPr>
                <w:b/>
                <w:color w:val="FFFFFF"/>
                <w:sz w:val="17"/>
              </w:rPr>
              <w:t>Valor LTM</w:t>
            </w:r>
          </w:p>
        </w:tc>
        <w:tc>
          <w:tcPr>
            <w:tcW w:type="dxa" w:w="1958"/>
            <w:shd w:fill="1B365D"/>
            <w:tcMar>
              <w:top w:w="80" w:type="dxa"/>
              <w:bottom w:w="80" w:type="dxa"/>
              <w:left w:w="100" w:type="dxa"/>
              <w:right w:w="100" w:type="dxa"/>
            </w:tcMar>
          </w:tcPr>
          <w:p>
            <w:r>
              <w:rPr>
                <w:b/>
                <w:color w:val="FFFFFF"/>
                <w:sz w:val="17"/>
              </w:rPr>
              <w:t>Benchmark / Ref.</w:t>
            </w:r>
          </w:p>
        </w:tc>
        <w:tc>
          <w:tcPr>
            <w:tcW w:type="dxa" w:w="1958"/>
            <w:shd w:fill="1B365D"/>
            <w:tcMar>
              <w:top w:w="80" w:type="dxa"/>
              <w:bottom w:w="80" w:type="dxa"/>
              <w:left w:w="100" w:type="dxa"/>
              <w:right w:w="100" w:type="dxa"/>
            </w:tcMar>
          </w:tcPr>
          <w:p>
            <w:r>
              <w:rPr>
                <w:b/>
                <w:color w:val="FFFFFF"/>
                <w:sz w:val="17"/>
              </w:rPr>
              <w:t>Diagnóstico para el Inversor</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Tasa Libre de Riesgo (Rf - Bono 10Y)</w:t>
            </w:r>
          </w:p>
        </w:tc>
        <w:tc>
          <w:tcPr>
            <w:tcW w:type="dxa" w:w="1958"/>
            <w:tcMar>
              <w:top w:w="60" w:type="dxa"/>
              <w:bottom w:w="60" w:type="dxa"/>
              <w:left w:w="100" w:type="dxa"/>
              <w:right w:w="100" w:type="dxa"/>
            </w:tcMar>
          </w:tcPr>
          <w:p>
            <w:r>
              <w:rPr>
                <w:b/>
                <w:sz w:val="17"/>
              </w:rPr>
              <w:t>5.24%</w:t>
            </w:r>
          </w:p>
        </w:tc>
        <w:tc>
          <w:tcPr>
            <w:tcW w:type="dxa" w:w="1958"/>
            <w:tcMar>
              <w:top w:w="60" w:type="dxa"/>
              <w:bottom w:w="60" w:type="dxa"/>
              <w:left w:w="100" w:type="dxa"/>
              <w:right w:w="100" w:type="dxa"/>
            </w:tcMar>
          </w:tcPr>
          <w:p>
            <w:r>
              <w:rPr>
                <w:sz w:val="17"/>
              </w:rPr>
              <w:t>US Treasury Yield</w:t>
            </w:r>
          </w:p>
        </w:tc>
        <w:tc>
          <w:tcPr>
            <w:tcW w:type="dxa" w:w="1958"/>
            <w:tcMar>
              <w:top w:w="60" w:type="dxa"/>
              <w:bottom w:w="60" w:type="dxa"/>
              <w:left w:w="100" w:type="dxa"/>
              <w:right w:w="100" w:type="dxa"/>
            </w:tcMar>
          </w:tcPr>
          <w:p>
            <w:r>
              <w:rPr>
                <w:sz w:val="17"/>
              </w:rPr>
              <w:t>Costo de oportunidad libre de riesgo macroeconómico.</w:t>
            </w:r>
          </w:p>
        </w:tc>
      </w:tr>
      <w:tr>
        <w:tc>
          <w:tcPr>
            <w:tcW w:type="dxa" w:w="1958"/>
            <w:tcMar>
              <w:top w:w="60" w:type="dxa"/>
              <w:bottom w:w="60" w:type="dxa"/>
              <w:left w:w="100" w:type="dxa"/>
              <w:right w:w="100" w:type="dxa"/>
            </w:tcMar>
            <w:shd w:fill="F7FAFC"/>
          </w:tcPr>
          <w:p>
            <w:r>
              <w:rPr>
                <w:sz w:val="17"/>
              </w:rPr>
              <w:t>Parámetros Macro y Mercado</w:t>
            </w:r>
          </w:p>
        </w:tc>
        <w:tc>
          <w:tcPr>
            <w:tcW w:type="dxa" w:w="1958"/>
            <w:tcMar>
              <w:top w:w="60" w:type="dxa"/>
              <w:bottom w:w="60" w:type="dxa"/>
              <w:left w:w="100" w:type="dxa"/>
              <w:right w:w="100" w:type="dxa"/>
            </w:tcMar>
            <w:shd w:fill="F7FAFC"/>
          </w:tcPr>
          <w:p>
            <w:r>
              <w:rPr>
                <w:b/>
                <w:sz w:val="17"/>
              </w:rPr>
              <w:t>Beta de la Acción (β)</w:t>
            </w:r>
          </w:p>
        </w:tc>
        <w:tc>
          <w:tcPr>
            <w:tcW w:type="dxa" w:w="1958"/>
            <w:tcMar>
              <w:top w:w="60" w:type="dxa"/>
              <w:bottom w:w="60" w:type="dxa"/>
              <w:left w:w="100" w:type="dxa"/>
              <w:right w:w="100" w:type="dxa"/>
            </w:tcMar>
            <w:shd w:fill="F7FAFC"/>
          </w:tcPr>
          <w:p>
            <w:r>
              <w:rPr>
                <w:b/>
                <w:sz w:val="17"/>
              </w:rPr>
              <w:t>1.22</w:t>
            </w:r>
          </w:p>
        </w:tc>
        <w:tc>
          <w:tcPr>
            <w:tcW w:type="dxa" w:w="1958"/>
            <w:tcMar>
              <w:top w:w="60" w:type="dxa"/>
              <w:bottom w:w="60" w:type="dxa"/>
              <w:left w:w="100" w:type="dxa"/>
              <w:right w:w="100" w:type="dxa"/>
            </w:tcMar>
            <w:shd w:fill="F7FAFC"/>
          </w:tcPr>
          <w:p>
            <w:r>
              <w:rPr>
                <w:sz w:val="17"/>
              </w:rPr>
              <w:t>S&amp;P 500 = 1.00x</w:t>
            </w:r>
          </w:p>
        </w:tc>
        <w:tc>
          <w:tcPr>
            <w:tcW w:type="dxa" w:w="1958"/>
            <w:tcMar>
              <w:top w:w="60" w:type="dxa"/>
              <w:bottom w:w="60" w:type="dxa"/>
              <w:left w:w="100" w:type="dxa"/>
              <w:right w:w="100" w:type="dxa"/>
            </w:tcMar>
            <w:shd w:fill="F7FAFC"/>
          </w:tcPr>
          <w:p>
            <w:r>
              <w:rPr>
                <w:sz w:val="17"/>
              </w:rPr>
              <w:t>Sensibilidad cíclica moderada y alineada al mercado.</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Prima de Riesgo de Mercado (ERP)</w:t>
            </w:r>
          </w:p>
        </w:tc>
        <w:tc>
          <w:tcPr>
            <w:tcW w:type="dxa" w:w="1958"/>
            <w:tcMar>
              <w:top w:w="60" w:type="dxa"/>
              <w:bottom w:w="60" w:type="dxa"/>
              <w:left w:w="100" w:type="dxa"/>
              <w:right w:w="100" w:type="dxa"/>
            </w:tcMar>
          </w:tcPr>
          <w:p>
            <w:r>
              <w:rPr>
                <w:b/>
                <w:sz w:val="17"/>
              </w:rPr>
              <w:t>4.75%</w:t>
            </w:r>
          </w:p>
        </w:tc>
        <w:tc>
          <w:tcPr>
            <w:tcW w:type="dxa" w:w="1958"/>
            <w:tcMar>
              <w:top w:w="60" w:type="dxa"/>
              <w:bottom w:w="60" w:type="dxa"/>
              <w:left w:w="100" w:type="dxa"/>
              <w:right w:w="100" w:type="dxa"/>
            </w:tcMar>
          </w:tcPr>
          <w:p>
            <w:r>
              <w:rPr>
                <w:sz w:val="17"/>
              </w:rPr>
              <w:t>NYU Stern Damodaran</w:t>
            </w:r>
          </w:p>
        </w:tc>
        <w:tc>
          <w:tcPr>
            <w:tcW w:type="dxa" w:w="1958"/>
            <w:tcMar>
              <w:top w:w="60" w:type="dxa"/>
              <w:bottom w:w="60" w:type="dxa"/>
              <w:left w:w="100" w:type="dxa"/>
              <w:right w:w="100" w:type="dxa"/>
            </w:tcMar>
          </w:tcPr>
          <w:p>
            <w:r>
              <w:rPr>
                <w:sz w:val="17"/>
              </w:rPr>
              <w:t>Exigencia de prima de retorno sobre el activo libre de riesgo.</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Costo del Capital Propio (Ke)</w:t>
            </w:r>
          </w:p>
        </w:tc>
        <w:tc>
          <w:tcPr>
            <w:tcW w:type="dxa" w:w="1958"/>
            <w:tcMar>
              <w:top w:w="60" w:type="dxa"/>
              <w:bottom w:w="60" w:type="dxa"/>
              <w:left w:w="100" w:type="dxa"/>
              <w:right w:w="100" w:type="dxa"/>
            </w:tcMar>
            <w:shd w:fill="F7FAFC"/>
          </w:tcPr>
          <w:p>
            <w:r>
              <w:rPr>
                <w:b/>
                <w:sz w:val="17"/>
              </w:rPr>
              <w:t>11.03%</w:t>
            </w:r>
          </w:p>
        </w:tc>
        <w:tc>
          <w:tcPr>
            <w:tcW w:type="dxa" w:w="1958"/>
            <w:tcMar>
              <w:top w:w="60" w:type="dxa"/>
              <w:bottom w:w="60" w:type="dxa"/>
              <w:left w:w="100" w:type="dxa"/>
              <w:right w:w="100" w:type="dxa"/>
            </w:tcMar>
            <w:shd w:fill="F7FAFC"/>
          </w:tcPr>
          <w:p>
            <w:r>
              <w:rPr>
                <w:sz w:val="17"/>
              </w:rPr>
              <w:t>Rango 9.5% - 10.5%</w:t>
            </w:r>
          </w:p>
        </w:tc>
        <w:tc>
          <w:tcPr>
            <w:tcW w:type="dxa" w:w="1958"/>
            <w:tcMar>
              <w:top w:w="60" w:type="dxa"/>
              <w:bottom w:w="60" w:type="dxa"/>
              <w:left w:w="100" w:type="dxa"/>
              <w:right w:w="100" w:type="dxa"/>
            </w:tcMar>
            <w:shd w:fill="F7FAFC"/>
          </w:tcPr>
          <w:p>
            <w:r>
              <w:rPr>
                <w:sz w:val="17"/>
              </w:rPr>
              <w:t>Retorno anual exigido por los tenedores de acciones comunes.</w:t>
            </w:r>
          </w:p>
        </w:tc>
      </w:tr>
      <w:tr>
        <w:tc>
          <w:tcPr>
            <w:tcW w:type="dxa" w:w="1958"/>
            <w:tcMar>
              <w:top w:w="60" w:type="dxa"/>
              <w:bottom w:w="60" w:type="dxa"/>
              <w:left w:w="100" w:type="dxa"/>
              <w:right w:w="100" w:type="dxa"/>
            </w:tcMar>
          </w:tcPr>
          <w:p>
            <w:r>
              <w:rPr>
                <w:sz w:val="17"/>
              </w:rPr>
              <w:t>Costo de Capital (WACC)</w:t>
            </w:r>
          </w:p>
        </w:tc>
        <w:tc>
          <w:tcPr>
            <w:tcW w:type="dxa" w:w="1958"/>
            <w:tcMar>
              <w:top w:w="60" w:type="dxa"/>
              <w:bottom w:w="60" w:type="dxa"/>
              <w:left w:w="100" w:type="dxa"/>
              <w:right w:w="100" w:type="dxa"/>
            </w:tcMar>
          </w:tcPr>
          <w:p>
            <w:r>
              <w:rPr>
                <w:b/>
                <w:sz w:val="17"/>
              </w:rPr>
              <w:t>Costo de Deuda Neta (Kd)</w:t>
            </w:r>
          </w:p>
        </w:tc>
        <w:tc>
          <w:tcPr>
            <w:tcW w:type="dxa" w:w="1958"/>
            <w:tcMar>
              <w:top w:w="60" w:type="dxa"/>
              <w:bottom w:w="60" w:type="dxa"/>
              <w:left w:w="100" w:type="dxa"/>
              <w:right w:w="100" w:type="dxa"/>
            </w:tcMar>
          </w:tcPr>
          <w:p>
            <w:r>
              <w:rPr>
                <w:b/>
                <w:sz w:val="17"/>
              </w:rPr>
              <w:t>4.55%</w:t>
            </w:r>
          </w:p>
        </w:tc>
        <w:tc>
          <w:tcPr>
            <w:tcW w:type="dxa" w:w="1958"/>
            <w:tcMar>
              <w:top w:w="60" w:type="dxa"/>
              <w:bottom w:w="60" w:type="dxa"/>
              <w:left w:w="100" w:type="dxa"/>
              <w:right w:w="100" w:type="dxa"/>
            </w:tcMar>
          </w:tcPr>
          <w:p>
            <w:r>
              <w:rPr>
                <w:sz w:val="17"/>
              </w:rPr>
              <w:t>Tasa cupón efectiva</w:t>
            </w:r>
          </w:p>
        </w:tc>
        <w:tc>
          <w:tcPr>
            <w:tcW w:type="dxa" w:w="1958"/>
            <w:tcMar>
              <w:top w:w="60" w:type="dxa"/>
              <w:bottom w:w="60" w:type="dxa"/>
              <w:left w:w="100" w:type="dxa"/>
              <w:right w:w="100" w:type="dxa"/>
            </w:tcMar>
          </w:tcPr>
          <w:p>
            <w:r>
              <w:rPr>
                <w:sz w:val="17"/>
              </w:rPr>
              <w:t>Financiación crediticia con escudo fiscal del 22.2%.</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WACC Consolidado</w:t>
            </w:r>
          </w:p>
        </w:tc>
        <w:tc>
          <w:tcPr>
            <w:tcW w:type="dxa" w:w="1958"/>
            <w:tcMar>
              <w:top w:w="60" w:type="dxa"/>
              <w:bottom w:w="60" w:type="dxa"/>
              <w:left w:w="100" w:type="dxa"/>
              <w:right w:w="100" w:type="dxa"/>
            </w:tcMar>
            <w:shd w:fill="F7FAFC"/>
          </w:tcPr>
          <w:p>
            <w:r>
              <w:rPr>
                <w:b/>
                <w:sz w:val="17"/>
              </w:rPr>
              <w:t>10.75%</w:t>
            </w:r>
          </w:p>
        </w:tc>
        <w:tc>
          <w:tcPr>
            <w:tcW w:type="dxa" w:w="1958"/>
            <w:tcMar>
              <w:top w:w="60" w:type="dxa"/>
              <w:bottom w:w="60" w:type="dxa"/>
              <w:left w:w="100" w:type="dxa"/>
              <w:right w:w="100" w:type="dxa"/>
            </w:tcMar>
            <w:shd w:fill="F7FAFC"/>
          </w:tcPr>
          <w:p>
            <w:r>
              <w:rPr>
                <w:sz w:val="17"/>
              </w:rPr>
              <w:t>Mediana Sector (8.70%)</w:t>
            </w:r>
          </w:p>
        </w:tc>
        <w:tc>
          <w:tcPr>
            <w:tcW w:type="dxa" w:w="1958"/>
            <w:tcMar>
              <w:top w:w="60" w:type="dxa"/>
              <w:bottom w:w="60" w:type="dxa"/>
              <w:left w:w="100" w:type="dxa"/>
              <w:right w:w="100" w:type="dxa"/>
            </w:tcMar>
            <w:shd w:fill="F7FAFC"/>
          </w:tcPr>
          <w:p>
            <w:r>
              <w:rPr>
                <w:sz w:val="17"/>
              </w:rPr>
              <w:t>Tasa de corte u obstáculo financiero mínimo para crear valor.</w:t>
            </w:r>
          </w:p>
        </w:tc>
      </w:tr>
      <w:tr>
        <w:tc>
          <w:tcPr>
            <w:tcW w:type="dxa" w:w="1958"/>
            <w:tcMar>
              <w:top w:w="60" w:type="dxa"/>
              <w:bottom w:w="60" w:type="dxa"/>
              <w:left w:w="100" w:type="dxa"/>
              <w:right w:w="100" w:type="dxa"/>
            </w:tcMar>
            <w:shd w:fill="E2EFDA"/>
          </w:tcPr>
          <w:p>
            <w:r>
              <w:rPr>
                <w:sz w:val="17"/>
              </w:rPr>
              <w:t>Productividad Tangible</w:t>
            </w:r>
          </w:p>
        </w:tc>
        <w:tc>
          <w:tcPr>
            <w:tcW w:type="dxa" w:w="1958"/>
            <w:tcMar>
              <w:top w:w="60" w:type="dxa"/>
              <w:bottom w:w="60" w:type="dxa"/>
              <w:left w:w="100" w:type="dxa"/>
              <w:right w:w="100" w:type="dxa"/>
            </w:tcMar>
            <w:shd w:fill="E2EFDA"/>
          </w:tcPr>
          <w:p>
            <w:r>
              <w:rPr>
                <w:b/>
                <w:sz w:val="17"/>
              </w:rPr>
              <w:t>ROC Greenblatt (Pre-Tax)</w:t>
            </w:r>
          </w:p>
        </w:tc>
        <w:tc>
          <w:tcPr>
            <w:tcW w:type="dxa" w:w="1958"/>
            <w:tcMar>
              <w:top w:w="60" w:type="dxa"/>
              <w:bottom w:w="60" w:type="dxa"/>
              <w:left w:w="100" w:type="dxa"/>
              <w:right w:w="100" w:type="dxa"/>
            </w:tcMar>
            <w:shd w:fill="E2EFDA"/>
          </w:tcPr>
          <w:p>
            <w:r>
              <w:rPr>
                <w:b/>
                <w:sz w:val="17"/>
              </w:rPr>
              <w:t>205.38%</w:t>
            </w:r>
          </w:p>
        </w:tc>
        <w:tc>
          <w:tcPr>
            <w:tcW w:type="dxa" w:w="1958"/>
            <w:tcMar>
              <w:top w:w="60" w:type="dxa"/>
              <w:bottom w:w="60" w:type="dxa"/>
              <w:left w:w="100" w:type="dxa"/>
              <w:right w:w="100" w:type="dxa"/>
            </w:tcMar>
            <w:shd w:fill="E2EFDA"/>
          </w:tcPr>
          <w:p>
            <w:r>
              <w:rPr>
                <w:sz w:val="17"/>
              </w:rPr>
              <w:t>Mediana Sector</w:t>
            </w:r>
          </w:p>
        </w:tc>
        <w:tc>
          <w:tcPr>
            <w:tcW w:type="dxa" w:w="1958"/>
            <w:tcMar>
              <w:top w:w="60" w:type="dxa"/>
              <w:bottom w:w="60" w:type="dxa"/>
              <w:left w:w="100" w:type="dxa"/>
              <w:right w:w="100" w:type="dxa"/>
            </w:tcMar>
            <w:shd w:fill="E2EFDA"/>
          </w:tcPr>
          <w:p>
            <w:r>
              <w:rPr>
                <w:sz w:val="17"/>
              </w:rPr>
              <w:t>Asset-Light; supera al sector por N/D.</w:t>
            </w:r>
          </w:p>
        </w:tc>
      </w:tr>
      <w:tr>
        <w:tc>
          <w:tcPr>
            <w:tcW w:type="dxa" w:w="1958"/>
            <w:tcMar>
              <w:top w:w="60" w:type="dxa"/>
              <w:bottom w:w="60" w:type="dxa"/>
              <w:left w:w="100" w:type="dxa"/>
              <w:right w:w="100" w:type="dxa"/>
            </w:tcMar>
            <w:shd w:fill="F7FAFC"/>
          </w:tcPr>
          <w:p>
            <w:r>
              <w:rPr>
                <w:sz w:val="17"/>
              </w:rPr>
              <w:t>Productividad Tangible</w:t>
            </w:r>
          </w:p>
        </w:tc>
        <w:tc>
          <w:tcPr>
            <w:tcW w:type="dxa" w:w="1958"/>
            <w:tcMar>
              <w:top w:w="60" w:type="dxa"/>
              <w:bottom w:w="60" w:type="dxa"/>
              <w:left w:w="100" w:type="dxa"/>
              <w:right w:w="100" w:type="dxa"/>
            </w:tcMar>
            <w:shd w:fill="F7FAFC"/>
          </w:tcPr>
          <w:p>
            <w:r>
              <w:rPr>
                <w:b/>
                <w:sz w:val="17"/>
              </w:rPr>
              <w:t>Capital Tangible Promedio</w:t>
            </w:r>
          </w:p>
        </w:tc>
        <w:tc>
          <w:tcPr>
            <w:tcW w:type="dxa" w:w="1958"/>
            <w:tcMar>
              <w:top w:w="60" w:type="dxa"/>
              <w:bottom w:w="60" w:type="dxa"/>
              <w:left w:w="100" w:type="dxa"/>
              <w:right w:w="100" w:type="dxa"/>
            </w:tcMar>
            <w:shd w:fill="F7FAFC"/>
          </w:tcPr>
          <w:p>
            <w:r>
              <w:rPr>
                <w:b/>
                <w:sz w:val="17"/>
              </w:rPr>
              <w:t>$42,323.5M</w:t>
            </w:r>
          </w:p>
        </w:tc>
        <w:tc>
          <w:tcPr>
            <w:tcW w:type="dxa" w:w="1958"/>
            <w:tcMar>
              <w:top w:w="60" w:type="dxa"/>
              <w:bottom w:w="60" w:type="dxa"/>
              <w:left w:w="100" w:type="dxa"/>
              <w:right w:w="100" w:type="dxa"/>
            </w:tcMar>
            <w:shd w:fill="F7FAFC"/>
          </w:tcPr>
          <w:p>
            <w:r>
              <w:rPr>
                <w:sz w:val="17"/>
              </w:rPr>
              <w:t>Balance SEC Form 10-Q</w:t>
            </w:r>
          </w:p>
        </w:tc>
        <w:tc>
          <w:tcPr>
            <w:tcW w:type="dxa" w:w="1958"/>
            <w:tcMar>
              <w:top w:w="60" w:type="dxa"/>
              <w:bottom w:w="60" w:type="dxa"/>
              <w:left w:w="100" w:type="dxa"/>
              <w:right w:w="100" w:type="dxa"/>
            </w:tcMar>
            <w:shd w:fill="F7FAFC"/>
          </w:tcPr>
          <w:p>
            <w:r>
              <w:rPr>
                <w:sz w:val="17"/>
              </w:rPr>
              <w:t>Base física operativa mínima tras salvaguardas.</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ROIC Contable Tradicional</w:t>
            </w:r>
          </w:p>
        </w:tc>
        <w:tc>
          <w:tcPr>
            <w:tcW w:type="dxa" w:w="1958"/>
            <w:tcMar>
              <w:top w:w="60" w:type="dxa"/>
              <w:bottom w:w="60" w:type="dxa"/>
              <w:left w:w="100" w:type="dxa"/>
              <w:right w:w="100" w:type="dxa"/>
            </w:tcMar>
          </w:tcPr>
          <w:p>
            <w:r>
              <w:rPr>
                <w:b/>
                <w:sz w:val="17"/>
              </w:rPr>
              <w:t>20.30%</w:t>
            </w:r>
          </w:p>
        </w:tc>
        <w:tc>
          <w:tcPr>
            <w:tcW w:type="dxa" w:w="1958"/>
            <w:tcMar>
              <w:top w:w="60" w:type="dxa"/>
              <w:bottom w:w="60" w:type="dxa"/>
              <w:left w:w="100" w:type="dxa"/>
              <w:right w:w="100" w:type="dxa"/>
            </w:tcMar>
          </w:tcPr>
          <w:p>
            <w:r>
              <w:rPr>
                <w:sz w:val="17"/>
              </w:rPr>
              <w:t>ROIC sin ajustes</w:t>
            </w:r>
          </w:p>
        </w:tc>
        <w:tc>
          <w:tcPr>
            <w:tcW w:type="dxa" w:w="1958"/>
            <w:tcMar>
              <w:top w:w="60" w:type="dxa"/>
              <w:bottom w:w="60" w:type="dxa"/>
              <w:left w:w="100" w:type="dxa"/>
              <w:right w:w="100" w:type="dxa"/>
            </w:tcMar>
          </w:tcPr>
          <w:p>
            <w:r>
              <w:rPr>
                <w:sz w:val="17"/>
              </w:rPr>
              <w:t>Métrica distorsionada por no capitalizar gasto de innovación.</w:t>
            </w:r>
          </w:p>
        </w:tc>
      </w:tr>
      <w:tr>
        <w:tc>
          <w:tcPr>
            <w:tcW w:type="dxa" w:w="1958"/>
            <w:tcMar>
              <w:top w:w="60" w:type="dxa"/>
              <w:bottom w:w="60" w:type="dxa"/>
              <w:left w:w="100" w:type="dxa"/>
              <w:right w:w="100" w:type="dxa"/>
            </w:tcMar>
            <w:shd w:fill="F7FAFC"/>
          </w:tcPr>
          <w:p>
            <w:r>
              <w:rPr>
                <w:sz w:val="17"/>
              </w:rPr>
              <w:t>Retorno Reconstituido</w:t>
            </w:r>
          </w:p>
        </w:tc>
        <w:tc>
          <w:tcPr>
            <w:tcW w:type="dxa" w:w="1958"/>
            <w:tcMar>
              <w:top w:w="60" w:type="dxa"/>
              <w:bottom w:w="60" w:type="dxa"/>
              <w:left w:w="100" w:type="dxa"/>
              <w:right w:w="100" w:type="dxa"/>
            </w:tcMar>
            <w:shd w:fill="F7FAFC"/>
          </w:tcPr>
          <w:p>
            <w:r>
              <w:rPr>
                <w:b/>
                <w:sz w:val="17"/>
              </w:rPr>
              <w:t>Stock Intangibles I+D</w:t>
            </w:r>
          </w:p>
        </w:tc>
        <w:tc>
          <w:tcPr>
            <w:tcW w:type="dxa" w:w="1958"/>
            <w:tcMar>
              <w:top w:w="60" w:type="dxa"/>
              <w:bottom w:w="60" w:type="dxa"/>
              <w:left w:w="100" w:type="dxa"/>
              <w:right w:w="100" w:type="dxa"/>
            </w:tcMar>
            <w:shd w:fill="F7FAFC"/>
          </w:tcPr>
          <w:p>
            <w:r>
              <w:rPr>
                <w:b/>
                <w:sz w:val="17"/>
              </w:rPr>
              <w:t>$99,448.3M</w:t>
            </w:r>
          </w:p>
        </w:tc>
        <w:tc>
          <w:tcPr>
            <w:tcW w:type="dxa" w:w="1958"/>
            <w:tcMar>
              <w:top w:w="60" w:type="dxa"/>
              <w:bottom w:w="60" w:type="dxa"/>
              <w:left w:w="100" w:type="dxa"/>
              <w:right w:w="100" w:type="dxa"/>
            </w:tcMar>
            <w:shd w:fill="F7FAFC"/>
          </w:tcPr>
          <w:p>
            <w:r>
              <w:rPr>
                <w:sz w:val="17"/>
              </w:rPr>
              <w:t>Amortización 3 Años</w:t>
            </w:r>
          </w:p>
        </w:tc>
        <w:tc>
          <w:tcPr>
            <w:tcW w:type="dxa" w:w="1958"/>
            <w:tcMar>
              <w:top w:w="60" w:type="dxa"/>
              <w:bottom w:w="60" w:type="dxa"/>
              <w:left w:w="100" w:type="dxa"/>
              <w:right w:w="100" w:type="dxa"/>
            </w:tcMar>
            <w:shd w:fill="F7FAFC"/>
          </w:tcPr>
          <w:p>
            <w:r>
              <w:rPr>
                <w:sz w:val="17"/>
              </w:rPr>
              <w:t>Valor acumulado de patentes, silicio y software.</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Capital Invertido Promedio</w:t>
            </w:r>
          </w:p>
        </w:tc>
        <w:tc>
          <w:tcPr>
            <w:tcW w:type="dxa" w:w="1958"/>
            <w:tcMar>
              <w:top w:w="60" w:type="dxa"/>
              <w:bottom w:w="60" w:type="dxa"/>
              <w:left w:w="100" w:type="dxa"/>
              <w:right w:w="100" w:type="dxa"/>
            </w:tcMar>
          </w:tcPr>
          <w:p>
            <w:r>
              <w:rPr>
                <w:b/>
                <w:sz w:val="17"/>
              </w:rPr>
              <w:t>$432,661.8M</w:t>
            </w:r>
          </w:p>
        </w:tc>
        <w:tc>
          <w:tcPr>
            <w:tcW w:type="dxa" w:w="1958"/>
            <w:tcMar>
              <w:top w:w="60" w:type="dxa"/>
              <w:bottom w:w="60" w:type="dxa"/>
              <w:left w:w="100" w:type="dxa"/>
              <w:right w:w="100" w:type="dxa"/>
            </w:tcMar>
          </w:tcPr>
          <w:p>
            <w:r>
              <w:rPr>
                <w:sz w:val="17"/>
              </w:rPr>
              <w:t>Base Económica Total</w:t>
            </w:r>
          </w:p>
        </w:tc>
        <w:tc>
          <w:tcPr>
            <w:tcW w:type="dxa" w:w="1958"/>
            <w:tcMar>
              <w:top w:w="60" w:type="dxa"/>
              <w:bottom w:w="60" w:type="dxa"/>
              <w:left w:w="100" w:type="dxa"/>
              <w:right w:w="100" w:type="dxa"/>
            </w:tcMar>
          </w:tcPr>
          <w:p>
            <w:r>
              <w:rPr>
                <w:sz w:val="17"/>
              </w:rPr>
              <w:t>Base de capital honesta que absorbe las inversiones en I+D.</w:t>
            </w:r>
          </w:p>
        </w:tc>
      </w:tr>
      <w:tr>
        <w:tc>
          <w:tcPr>
            <w:tcW w:type="dxa" w:w="1958"/>
            <w:tcMar>
              <w:top w:w="60" w:type="dxa"/>
              <w:bottom w:w="60" w:type="dxa"/>
              <w:left w:w="100" w:type="dxa"/>
              <w:right w:w="100" w:type="dxa"/>
            </w:tcMar>
            <w:shd w:fill="F7FAFC"/>
            <w:shd w:fill="E2EFDA"/>
          </w:tcPr>
          <w:p>
            <w:r>
              <w:rPr>
                <w:b/>
                <w:sz w:val="17"/>
              </w:rPr>
              <w:t>Retorno Reconstituido</w:t>
            </w:r>
          </w:p>
        </w:tc>
        <w:tc>
          <w:tcPr>
            <w:tcW w:type="dxa" w:w="1958"/>
            <w:tcMar>
              <w:top w:w="60" w:type="dxa"/>
              <w:bottom w:w="60" w:type="dxa"/>
              <w:left w:w="100" w:type="dxa"/>
              <w:right w:w="100" w:type="dxa"/>
            </w:tcMar>
            <w:shd w:fill="F7FAFC"/>
            <w:shd w:fill="E2EFDA"/>
          </w:tcPr>
          <w:p>
            <w:r>
              <w:rPr>
                <w:b/>
                <w:sz w:val="17"/>
              </w:rPr>
              <w:t>ROIC Ajustado por Intangibles</w:t>
            </w:r>
          </w:p>
        </w:tc>
        <w:tc>
          <w:tcPr>
            <w:tcW w:type="dxa" w:w="1958"/>
            <w:tcMar>
              <w:top w:w="60" w:type="dxa"/>
              <w:bottom w:w="60" w:type="dxa"/>
              <w:left w:w="100" w:type="dxa"/>
              <w:right w:w="100" w:type="dxa"/>
            </w:tcMar>
            <w:shd w:fill="F7FAFC"/>
            <w:shd w:fill="E2EFDA"/>
          </w:tcPr>
          <w:p>
            <w:r>
              <w:rPr>
                <w:b/>
                <w:sz w:val="17"/>
              </w:rPr>
              <w:t>21.46%</w:t>
            </w:r>
          </w:p>
        </w:tc>
        <w:tc>
          <w:tcPr>
            <w:tcW w:type="dxa" w:w="1958"/>
            <w:tcMar>
              <w:top w:w="60" w:type="dxa"/>
              <w:bottom w:w="60" w:type="dxa"/>
              <w:left w:w="100" w:type="dxa"/>
              <w:right w:w="100" w:type="dxa"/>
            </w:tcMar>
            <w:shd w:fill="F7FAFC"/>
            <w:shd w:fill="E2EFDA"/>
          </w:tcPr>
          <w:p>
            <w:r>
              <w:rPr>
                <w:b/>
                <w:sz w:val="17"/>
              </w:rPr>
              <w:t>Mediana Sector (15.50%)</w:t>
            </w:r>
          </w:p>
        </w:tc>
        <w:tc>
          <w:tcPr>
            <w:tcW w:type="dxa" w:w="1958"/>
            <w:tcMar>
              <w:top w:w="60" w:type="dxa"/>
              <w:bottom w:w="60" w:type="dxa"/>
              <w:left w:w="100" w:type="dxa"/>
              <w:right w:w="100" w:type="dxa"/>
            </w:tcMar>
            <w:shd w:fill="F7FAFC"/>
            <w:shd w:fill="E2EFDA"/>
          </w:tcPr>
          <w:p>
            <w:r>
              <w:rPr>
                <w:b/>
                <w:sz w:val="17"/>
              </w:rPr>
              <w:t>Retorno real sobre capital total invertido en el negocio.</w:t>
            </w:r>
          </w:p>
        </w:tc>
      </w:tr>
      <w:tr>
        <w:tc>
          <w:tcPr>
            <w:tcW w:type="dxa" w:w="1958"/>
            <w:tcMar>
              <w:top w:w="60" w:type="dxa"/>
              <w:bottom w:w="60" w:type="dxa"/>
              <w:left w:w="100" w:type="dxa"/>
              <w:right w:w="100" w:type="dxa"/>
            </w:tcMar>
            <w:shd w:fill="E2EFDA"/>
          </w:tcPr>
          <w:p>
            <w:r>
              <w:rPr>
                <w:b/>
                <w:sz w:val="17"/>
              </w:rPr>
              <w:t>Creación de Valor (EVA)</w:t>
            </w:r>
          </w:p>
        </w:tc>
        <w:tc>
          <w:tcPr>
            <w:tcW w:type="dxa" w:w="1958"/>
            <w:tcMar>
              <w:top w:w="60" w:type="dxa"/>
              <w:bottom w:w="60" w:type="dxa"/>
              <w:left w:w="100" w:type="dxa"/>
              <w:right w:w="100" w:type="dxa"/>
            </w:tcMar>
            <w:shd w:fill="E2EFDA"/>
          </w:tcPr>
          <w:p>
            <w:r>
              <w:rPr>
                <w:b/>
                <w:sz w:val="17"/>
              </w:rPr>
              <w:t>Spread Económico Neto</w:t>
            </w:r>
          </w:p>
        </w:tc>
        <w:tc>
          <w:tcPr>
            <w:tcW w:type="dxa" w:w="1958"/>
            <w:tcMar>
              <w:top w:w="60" w:type="dxa"/>
              <w:bottom w:w="60" w:type="dxa"/>
              <w:left w:w="100" w:type="dxa"/>
              <w:right w:w="100" w:type="dxa"/>
            </w:tcMar>
            <w:shd w:fill="E2EFDA"/>
          </w:tcPr>
          <w:p>
            <w:r>
              <w:rPr>
                <w:b/>
                <w:sz w:val="17"/>
              </w:rPr>
              <w:t>+10.71 p.p.</w:t>
            </w:r>
          </w:p>
        </w:tc>
        <w:tc>
          <w:tcPr>
            <w:tcW w:type="dxa" w:w="1958"/>
            <w:tcMar>
              <w:top w:w="60" w:type="dxa"/>
              <w:bottom w:w="60" w:type="dxa"/>
              <w:left w:w="100" w:type="dxa"/>
              <w:right w:w="100" w:type="dxa"/>
            </w:tcMar>
            <w:shd w:fill="E2EFDA"/>
          </w:tcPr>
          <w:p>
            <w:r>
              <w:rPr>
                <w:b/>
                <w:sz w:val="17"/>
              </w:rPr>
              <w:t>Mediana Sector (+6.80 p.p.)</w:t>
            </w:r>
          </w:p>
        </w:tc>
        <w:tc>
          <w:tcPr>
            <w:tcW w:type="dxa" w:w="1958"/>
            <w:tcMar>
              <w:top w:w="60" w:type="dxa"/>
              <w:bottom w:w="60" w:type="dxa"/>
              <w:left w:w="100" w:type="dxa"/>
              <w:right w:w="100" w:type="dxa"/>
            </w:tcMar>
            <w:shd w:fill="E2EFDA"/>
          </w:tcPr>
          <w:p>
            <w:r>
              <w:rPr>
                <w:b/>
                <w:sz w:val="17"/>
              </w:rPr>
              <w:t>Extraordinaria generación de riqueza neta sobre el coste de capital.</w:t>
            </w:r>
          </w:p>
        </w:tc>
      </w:tr>
      <w:tr>
        <w:tc>
          <w:tcPr>
            <w:tcW w:type="dxa" w:w="1958"/>
            <w:tcMar>
              <w:top w:w="60" w:type="dxa"/>
              <w:bottom w:w="60" w:type="dxa"/>
              <w:left w:w="100" w:type="dxa"/>
              <w:right w:w="100" w:type="dxa"/>
            </w:tcMar>
            <w:shd w:fill="F7FAFC"/>
          </w:tcPr>
          <w:p>
            <w:r>
              <w:rPr>
                <w:sz w:val="17"/>
              </w:rPr>
              <w:t>Creación de Valor (EVA)</w:t>
            </w:r>
          </w:p>
        </w:tc>
        <w:tc>
          <w:tcPr>
            <w:tcW w:type="dxa" w:w="1958"/>
            <w:tcMar>
              <w:top w:w="60" w:type="dxa"/>
              <w:bottom w:w="60" w:type="dxa"/>
              <w:left w:w="100" w:type="dxa"/>
              <w:right w:w="100" w:type="dxa"/>
            </w:tcMar>
            <w:shd w:fill="F7FAFC"/>
          </w:tcPr>
          <w:p>
            <w:r>
              <w:rPr>
                <w:b/>
                <w:sz w:val="17"/>
              </w:rPr>
              <w:t>Dictamen Foso Defensivo</w:t>
            </w:r>
          </w:p>
        </w:tc>
        <w:tc>
          <w:tcPr>
            <w:tcW w:type="dxa" w:w="1958"/>
            <w:tcMar>
              <w:top w:w="60" w:type="dxa"/>
              <w:bottom w:w="60" w:type="dxa"/>
              <w:left w:w="100" w:type="dxa"/>
              <w:right w:w="100" w:type="dxa"/>
            </w:tcMar>
            <w:shd w:fill="F7FAFC"/>
          </w:tcPr>
          <w:p>
            <w:r>
              <w:rPr>
                <w:b/>
                <w:sz w:val="17"/>
              </w:rPr>
              <w:t>🛡️ NARROW MOAT / CREACIÓN DE VALOR SOSTENIBLE</w:t>
            </w:r>
          </w:p>
        </w:tc>
        <w:tc>
          <w:tcPr>
            <w:tcW w:type="dxa" w:w="1958"/>
            <w:tcMar>
              <w:top w:w="60" w:type="dxa"/>
              <w:bottom w:w="60" w:type="dxa"/>
              <w:left w:w="100" w:type="dxa"/>
              <w:right w:w="100" w:type="dxa"/>
            </w:tcMar>
            <w:shd w:fill="F7FAFC"/>
          </w:tcPr>
          <w:p>
            <w:r>
              <w:rPr>
                <w:sz w:val="17"/>
              </w:rPr>
              <w:t>Compounding Machine</w:t>
            </w:r>
          </w:p>
        </w:tc>
        <w:tc>
          <w:tcPr>
            <w:tcW w:type="dxa" w:w="1958"/>
            <w:tcMar>
              <w:top w:w="60" w:type="dxa"/>
              <w:bottom w:w="60" w:type="dxa"/>
              <w:left w:w="100" w:type="dxa"/>
              <w:right w:w="100" w:type="dxa"/>
            </w:tcMar>
            <w:shd w:fill="F7FAFC"/>
          </w:tcPr>
          <w:p>
            <w:r>
              <w:rPr>
                <w:sz w:val="17"/>
              </w:rPr>
              <w:t>Fortaleza estructural inquebrantable de largo plazo.</w:t>
            </w:r>
          </w:p>
        </w:tc>
      </w:tr>
    </w:tbl>
    <w:p/>
    <w:p>
      <w:pPr>
        <w:pStyle w:val="Heading1"/>
        <w:spacing w:before="280" w:after="80"/>
      </w:pPr>
      <w:r>
        <w:rPr>
          <w:rFonts w:ascii="Calibri" w:hAnsi="Calibri"/>
          <w:b/>
          <w:color w:val="1B365D"/>
          <w:sz w:val="28"/>
        </w:rPr>
        <w:t>12. Auditoría Forense Contable y Calidad de Beneficios (Detección de Trampas Contables)</w:t>
      </w:r>
    </w:p>
    <w:p>
      <w:pPr>
        <w:spacing w:before="80" w:after="160"/>
        <w:ind w:left="288" w:right="288"/>
      </w:pPr>
      <w:r>
        <w:rPr>
          <w:rFonts w:ascii="Calibri" w:hAnsi="Calibri"/>
          <w:b/>
          <w:color w:val="1B365D"/>
          <w:sz w:val="21"/>
        </w:rPr>
        <w:t>DICTAMEN FORENSE INSTITUCIONAL (LTM): MÁXIMA CALIDAD CONTABLE</w:t>
        <w:br/>
      </w:r>
      <w:r>
        <w:rPr>
          <w:rFonts w:ascii="Calibri" w:hAnsi="Calibri"/>
          <w:color w:val="2D3748"/>
          <w:sz w:val="19"/>
        </w:rPr>
        <w:t>• Ratio Sloan de Devengos: -15.25% [ALTA CONVERSIÓN DE CAJA (CFO &gt; NI)]</w:t>
        <w:br/>
        <w:t>• Montier C-Score: 2 / 6 [RIESGO MODERADO / ALERTA PREVENTIVA (&lt; 5% PROBABILIDAD DE MANIPULACIÓN)]</w:t>
        <w:br/>
        <w:t>• Dictamen: CALIDAD DE BENEFICIOS EXCEPCIONAL (GRADO INSTITUCIONAL): Conversión de efectivo sobresaliente (Ratio Sloan: -15.25%, CFO &gt; Utilidad Neta), devengos negativos que suprimen riesgo de inflación contable y Montier C-Score de 2/6 que descarta maniobras de manipulación deliberada.</w:t>
      </w:r>
    </w:p>
    <w:p>
      <w:pPr>
        <w:spacing w:after="120"/>
      </w:pPr>
      <w:r>
        <w:rPr>
          <w:rFonts w:ascii="Calibri" w:hAnsi="Calibri"/>
          <w:color w:val="2D3748"/>
          <w:sz w:val="19"/>
        </w:rPr>
        <w:t>A fin de verificar la autenticidad intrínseca de las ganancias reportadas ante los reguladores (SEC) y descartar de forma exhaustiva el riesgo de 'beneficios de papel', inflación artificial de márgenes o reconocimiento agresivo de ventas, se auditan tres instrumentos cuantitativos especializados no redundantes: el Ratio de Devengos de Sloan (1996), la Matriz de Divergencias de Alerta Temprana en balance y el Montier C-Score (2008).</w:t>
      </w:r>
    </w:p>
    <w:p>
      <w:pPr>
        <w:pStyle w:val="Heading2"/>
      </w:pPr>
      <w:r>
        <w:rPr>
          <w:rFonts w:ascii="Calibri" w:hAnsi="Calibri"/>
          <w:b/>
          <w:color w:val="1B365D"/>
          <w:sz w:val="23"/>
        </w:rPr>
        <w:t>12.1. Ratio de Devengos de Sloan (The Accrual Anomaly)</w:t>
      </w:r>
    </w:p>
    <w:p>
      <w:pPr>
        <w:spacing w:after="120"/>
      </w:pPr>
      <w:r>
        <w:rPr>
          <w:rFonts w:ascii="Calibri" w:hAnsi="Calibri"/>
          <w:color w:val="2D3748"/>
          <w:sz w:val="18"/>
        </w:rPr>
        <w:t>El profesor Richard Sloan (University of Michigan, 1996) demostró que los beneficios contables generados mediante asientos de ajuste o partidas no monetarias exhiben una persistencia temporal muy inferior a las ganancias respaldadas por cobros efectivos. Un ratio de devengos negativo —donde el flujo de caja operativo supera a la utilidad neta— constituye un foso de máxima calidad contable:</w:t>
        <w:br/>
        <w:t>Sloan Accrual Ratio = (Utilidad Neta GAAP − Flujo de Caja Operativo CFO) / Activos Totales Promedio</w:t>
        <w:br/>
        <w:t>• &lt; -3.0%: Excelente / Calidad Superior  |  • -3.0% a +7.0%: Rango Saludable  |  • +7.0% a +10.0%: Precaución  |  • &gt; +10.0%: Alerta Roja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094"/>
        <w:gridCol w:w="1094"/>
        <w:gridCol w:w="1094"/>
        <w:gridCol w:w="1094"/>
        <w:gridCol w:w="1094"/>
        <w:gridCol w:w="1728"/>
      </w:tblGrid>
      <w:tr>
        <w:tc>
          <w:tcPr>
            <w:tcW w:type="dxa" w:w="2592"/>
            <w:shd w:fill="1B365D"/>
            <w:tcMar>
              <w:top w:w="80" w:type="dxa"/>
              <w:bottom w:w="80" w:type="dxa"/>
              <w:left w:w="80" w:type="dxa"/>
              <w:right w:w="80" w:type="dxa"/>
            </w:tcMar>
          </w:tcPr>
          <w:p>
            <w:pPr>
              <w:jc w:val="left"/>
            </w:pPr>
            <w:r>
              <w:rPr>
                <w:rFonts w:ascii="Calibri" w:hAnsi="Calibri"/>
                <w:b/>
                <w:color w:val="FFFFFF"/>
                <w:sz w:val="17"/>
              </w:rPr>
              <w:t>Métrica Contable Forense</w:t>
            </w:r>
          </w:p>
        </w:tc>
        <w:tc>
          <w:tcPr>
            <w:tcW w:type="dxa" w:w="1094"/>
            <w:shd w:fill="0A3641"/>
            <w:tcMar>
              <w:top w:w="80" w:type="dxa"/>
              <w:bottom w:w="80" w:type="dxa"/>
              <w:left w:w="80" w:type="dxa"/>
              <w:right w:w="80" w:type="dxa"/>
            </w:tcMar>
          </w:tcPr>
          <w:p>
            <w:pPr>
              <w:jc w:val="center"/>
            </w:pPr>
            <w:r>
              <w:rPr>
                <w:rFonts w:ascii="Calibri" w:hAnsi="Calibri"/>
                <w:b/>
                <w:color w:val="FFD700"/>
                <w:sz w:val="17"/>
              </w:rPr>
              <w:t>LTM</w:t>
            </w:r>
          </w:p>
        </w:tc>
        <w:tc>
          <w:tcPr>
            <w:tcW w:type="dxa" w:w="1094"/>
            <w:shd w:fill="1B365D"/>
            <w:tcMar>
              <w:top w:w="80" w:type="dxa"/>
              <w:bottom w:w="80" w:type="dxa"/>
              <w:left w:w="80" w:type="dxa"/>
              <w:right w:w="80" w:type="dxa"/>
            </w:tcMar>
          </w:tcPr>
          <w:p>
            <w:pPr>
              <w:jc w:val="center"/>
            </w:pPr>
            <w:r>
              <w:rPr>
                <w:rFonts w:ascii="Calibri" w:hAnsi="Calibri"/>
                <w:b/>
                <w:color w:val="FFFFFF"/>
                <w:sz w:val="17"/>
              </w:rPr>
              <w:t>FY2025</w:t>
            </w:r>
          </w:p>
        </w:tc>
        <w:tc>
          <w:tcPr>
            <w:tcW w:type="dxa" w:w="1094"/>
            <w:shd w:fill="1B365D"/>
            <w:tcMar>
              <w:top w:w="80" w:type="dxa"/>
              <w:bottom w:w="80" w:type="dxa"/>
              <w:left w:w="80" w:type="dxa"/>
              <w:right w:w="80" w:type="dxa"/>
            </w:tcMar>
          </w:tcPr>
          <w:p>
            <w:pPr>
              <w:jc w:val="center"/>
            </w:pPr>
            <w:r>
              <w:rPr>
                <w:rFonts w:ascii="Calibri" w:hAnsi="Calibri"/>
                <w:b/>
                <w:color w:val="FFFFFF"/>
                <w:sz w:val="17"/>
              </w:rPr>
              <w:t>FY2024</w:t>
            </w:r>
          </w:p>
        </w:tc>
        <w:tc>
          <w:tcPr>
            <w:tcW w:type="dxa" w:w="1094"/>
            <w:shd w:fill="1B365D"/>
            <w:tcMar>
              <w:top w:w="80" w:type="dxa"/>
              <w:bottom w:w="80" w:type="dxa"/>
              <w:left w:w="80" w:type="dxa"/>
              <w:right w:w="80" w:type="dxa"/>
            </w:tcMar>
          </w:tcPr>
          <w:p>
            <w:pPr>
              <w:jc w:val="center"/>
            </w:pPr>
            <w:r>
              <w:rPr>
                <w:rFonts w:ascii="Calibri" w:hAnsi="Calibri"/>
                <w:b/>
                <w:color w:val="FFFFFF"/>
                <w:sz w:val="17"/>
              </w:rPr>
              <w:t>FY2023</w:t>
            </w:r>
          </w:p>
        </w:tc>
        <w:tc>
          <w:tcPr>
            <w:tcW w:type="dxa" w:w="1094"/>
            <w:shd w:fill="1B365D"/>
            <w:tcMar>
              <w:top w:w="80" w:type="dxa"/>
              <w:bottom w:w="80" w:type="dxa"/>
              <w:left w:w="80" w:type="dxa"/>
              <w:right w:w="80" w:type="dxa"/>
            </w:tcMar>
          </w:tcPr>
          <w:p>
            <w:pPr>
              <w:jc w:val="center"/>
            </w:pPr>
            <w:r>
              <w:rPr>
                <w:rFonts w:ascii="Calibri" w:hAnsi="Calibri"/>
                <w:b/>
                <w:color w:val="FFFFFF"/>
                <w:sz w:val="17"/>
              </w:rPr>
              <w:t>FY2022</w:t>
            </w:r>
          </w:p>
        </w:tc>
        <w:tc>
          <w:tcPr>
            <w:tcW w:type="dxa" w:w="1728"/>
            <w:shd w:fill="1B365D"/>
            <w:tcMar>
              <w:top w:w="80" w:type="dxa"/>
              <w:bottom w:w="80" w:type="dxa"/>
              <w:left w:w="80" w:type="dxa"/>
              <w:right w:w="80" w:type="dxa"/>
            </w:tcMar>
          </w:tcPr>
          <w:p>
            <w:pPr>
              <w:jc w:val="center"/>
            </w:pPr>
            <w:r>
              <w:rPr>
                <w:rFonts w:ascii="Calibri" w:hAnsi="Calibri"/>
                <w:b/>
                <w:color w:val="FFFFFF"/>
                <w:sz w:val="17"/>
              </w:rPr>
              <w:t>Umbral Institucional</w:t>
            </w:r>
          </w:p>
        </w:tc>
      </w:tr>
      <w:tr>
        <w:tc>
          <w:tcPr>
            <w:tcW w:type="dxa" w:w="2592"/>
            <w:tcMar>
              <w:top w:w="60" w:type="dxa"/>
              <w:bottom w:w="60" w:type="dxa"/>
              <w:left w:w="80" w:type="dxa"/>
              <w:right w:w="80" w:type="dxa"/>
            </w:tcMar>
          </w:tcPr>
          <w:p>
            <w:r>
              <w:rPr>
                <w:rFonts w:ascii="Calibri" w:hAnsi="Calibri"/>
                <w:b w:val="0"/>
                <w:sz w:val="17"/>
              </w:rPr>
              <w:t>(+) Utilidad Neta GAAP ($M)</w:t>
            </w:r>
          </w:p>
        </w:tc>
        <w:tc>
          <w:tcPr>
            <w:tcW w:type="dxa" w:w="1094"/>
            <w:tcMar>
              <w:top w:w="60" w:type="dxa"/>
              <w:bottom w:w="60" w:type="dxa"/>
              <w:left w:w="60" w:type="dxa"/>
              <w:right w:w="60" w:type="dxa"/>
            </w:tcMar>
          </w:tcPr>
          <w:p>
            <w:pPr>
              <w:jc w:val="right"/>
            </w:pPr>
            <w:r>
              <w:rPr>
                <w:rFonts w:ascii="Calibri" w:hAnsi="Calibri"/>
                <w:b w:val="0"/>
                <w:sz w:val="17"/>
              </w:rPr>
              <w:t>$68,098.0M</w:t>
            </w:r>
          </w:p>
        </w:tc>
        <w:tc>
          <w:tcPr>
            <w:tcW w:type="dxa" w:w="1094"/>
            <w:tcMar>
              <w:top w:w="60" w:type="dxa"/>
              <w:bottom w:w="60" w:type="dxa"/>
              <w:left w:w="60" w:type="dxa"/>
              <w:right w:w="60" w:type="dxa"/>
            </w:tcMar>
          </w:tcPr>
          <w:p>
            <w:pPr>
              <w:jc w:val="right"/>
            </w:pPr>
            <w:r>
              <w:rPr>
                <w:rFonts w:ascii="Calibri" w:hAnsi="Calibri"/>
                <w:b w:val="0"/>
                <w:sz w:val="17"/>
              </w:rPr>
              <w:t>$60,458.0M</w:t>
            </w:r>
          </w:p>
        </w:tc>
        <w:tc>
          <w:tcPr>
            <w:tcW w:type="dxa" w:w="1094"/>
            <w:tcMar>
              <w:top w:w="60" w:type="dxa"/>
              <w:bottom w:w="60" w:type="dxa"/>
              <w:left w:w="60" w:type="dxa"/>
              <w:right w:w="60" w:type="dxa"/>
            </w:tcMar>
          </w:tcPr>
          <w:p>
            <w:pPr>
              <w:jc w:val="right"/>
            </w:pPr>
            <w:r>
              <w:rPr>
                <w:rFonts w:ascii="Calibri" w:hAnsi="Calibri"/>
                <w:b w:val="0"/>
                <w:sz w:val="17"/>
              </w:rPr>
              <w:t>$62,360.0M</w:t>
            </w:r>
          </w:p>
        </w:tc>
        <w:tc>
          <w:tcPr>
            <w:tcW w:type="dxa" w:w="1094"/>
            <w:tcMar>
              <w:top w:w="60" w:type="dxa"/>
              <w:bottom w:w="60" w:type="dxa"/>
              <w:left w:w="60" w:type="dxa"/>
              <w:right w:w="60" w:type="dxa"/>
            </w:tcMar>
          </w:tcPr>
          <w:p>
            <w:pPr>
              <w:jc w:val="right"/>
            </w:pPr>
            <w:r>
              <w:rPr>
                <w:rFonts w:ascii="Calibri" w:hAnsi="Calibri"/>
                <w:b w:val="0"/>
                <w:sz w:val="17"/>
              </w:rPr>
              <w:t>$39,098.0M</w:t>
            </w:r>
          </w:p>
        </w:tc>
        <w:tc>
          <w:tcPr>
            <w:tcW w:type="dxa" w:w="1094"/>
            <w:tcMar>
              <w:top w:w="60" w:type="dxa"/>
              <w:bottom w:w="60" w:type="dxa"/>
              <w:left w:w="60" w:type="dxa"/>
              <w:right w:w="60" w:type="dxa"/>
            </w:tcMar>
          </w:tcPr>
          <w:p>
            <w:pPr>
              <w:jc w:val="right"/>
            </w:pPr>
            <w:r>
              <w:rPr>
                <w:rFonts w:ascii="Calibri" w:hAnsi="Calibri"/>
                <w:b w:val="0"/>
                <w:sz w:val="17"/>
              </w:rPr>
              <w:t>$23,200.0M</w:t>
            </w:r>
          </w:p>
        </w:tc>
        <w:tc>
          <w:tcPr>
            <w:tcW w:type="dxa" w:w="1728"/>
            <w:tcMar>
              <w:top w:w="60" w:type="dxa"/>
              <w:bottom w:w="60" w:type="dxa"/>
              <w:left w:w="60" w:type="dxa"/>
              <w:right w:w="60" w:type="dxa"/>
            </w:tcMar>
          </w:tcPr>
          <w:p>
            <w:pPr>
              <w:jc w:val="center"/>
            </w:pPr>
            <w:r>
              <w:rPr>
                <w:rFonts w:ascii="Calibri" w:hAnsi="Calibri"/>
                <w:i/>
                <w:sz w:val="17"/>
              </w:rPr>
              <w:t>Base Devengada</w:t>
            </w:r>
          </w:p>
        </w:tc>
      </w:tr>
      <w:tr>
        <w:tc>
          <w:tcPr>
            <w:tcW w:type="dxa" w:w="2592"/>
            <w:tcMar>
              <w:top w:w="60" w:type="dxa"/>
              <w:bottom w:w="60" w:type="dxa"/>
              <w:left w:w="80" w:type="dxa"/>
              <w:right w:w="80" w:type="dxa"/>
            </w:tcMar>
          </w:tcPr>
          <w:p>
            <w:r>
              <w:rPr>
                <w:rFonts w:ascii="Calibri" w:hAnsi="Calibri"/>
                <w:b w:val="0"/>
                <w:sz w:val="17"/>
              </w:rPr>
              <w:t>(-) Flujo Operativo CFO ($M)</w:t>
            </w:r>
          </w:p>
        </w:tc>
        <w:tc>
          <w:tcPr>
            <w:tcW w:type="dxa" w:w="1094"/>
            <w:tcMar>
              <w:top w:w="60" w:type="dxa"/>
              <w:bottom w:w="60" w:type="dxa"/>
              <w:left w:w="60" w:type="dxa"/>
              <w:right w:w="60" w:type="dxa"/>
            </w:tcMar>
          </w:tcPr>
          <w:p>
            <w:pPr>
              <w:jc w:val="right"/>
            </w:pPr>
            <w:r>
              <w:rPr>
                <w:rFonts w:ascii="Calibri" w:hAnsi="Calibri"/>
                <w:b w:val="0"/>
                <w:sz w:val="17"/>
              </w:rPr>
              <w:t>$130,301.0M</w:t>
            </w:r>
          </w:p>
        </w:tc>
        <w:tc>
          <w:tcPr>
            <w:tcW w:type="dxa" w:w="1094"/>
            <w:tcMar>
              <w:top w:w="60" w:type="dxa"/>
              <w:bottom w:w="60" w:type="dxa"/>
              <w:left w:w="60" w:type="dxa"/>
              <w:right w:w="60" w:type="dxa"/>
            </w:tcMar>
          </w:tcPr>
          <w:p>
            <w:pPr>
              <w:jc w:val="right"/>
            </w:pPr>
            <w:r>
              <w:rPr>
                <w:rFonts w:ascii="Calibri" w:hAnsi="Calibri"/>
                <w:b w:val="0"/>
                <w:sz w:val="17"/>
              </w:rPr>
              <w:t>$115,800.0M</w:t>
            </w:r>
          </w:p>
        </w:tc>
        <w:tc>
          <w:tcPr>
            <w:tcW w:type="dxa" w:w="1094"/>
            <w:tcMar>
              <w:top w:w="60" w:type="dxa"/>
              <w:bottom w:w="60" w:type="dxa"/>
              <w:left w:w="60" w:type="dxa"/>
              <w:right w:w="60" w:type="dxa"/>
            </w:tcMar>
          </w:tcPr>
          <w:p>
            <w:pPr>
              <w:jc w:val="right"/>
            </w:pPr>
            <w:r>
              <w:rPr>
                <w:rFonts w:ascii="Calibri" w:hAnsi="Calibri"/>
                <w:b w:val="0"/>
                <w:sz w:val="17"/>
              </w:rPr>
              <w:t>$91,328.0M</w:t>
            </w:r>
          </w:p>
        </w:tc>
        <w:tc>
          <w:tcPr>
            <w:tcW w:type="dxa" w:w="1094"/>
            <w:tcMar>
              <w:top w:w="60" w:type="dxa"/>
              <w:bottom w:w="60" w:type="dxa"/>
              <w:left w:w="60" w:type="dxa"/>
              <w:right w:w="60" w:type="dxa"/>
            </w:tcMar>
          </w:tcPr>
          <w:p>
            <w:pPr>
              <w:jc w:val="right"/>
            </w:pPr>
            <w:r>
              <w:rPr>
                <w:rFonts w:ascii="Calibri" w:hAnsi="Calibri"/>
                <w:b w:val="0"/>
                <w:sz w:val="17"/>
              </w:rPr>
              <w:t>$71,113.0M</w:t>
            </w:r>
          </w:p>
        </w:tc>
        <w:tc>
          <w:tcPr>
            <w:tcW w:type="dxa" w:w="1094"/>
            <w:tcMar>
              <w:top w:w="60" w:type="dxa"/>
              <w:bottom w:w="60" w:type="dxa"/>
              <w:left w:w="60" w:type="dxa"/>
              <w:right w:w="60" w:type="dxa"/>
            </w:tcMar>
          </w:tcPr>
          <w:p>
            <w:pPr>
              <w:jc w:val="right"/>
            </w:pPr>
            <w:r>
              <w:rPr>
                <w:rFonts w:ascii="Calibri" w:hAnsi="Calibri"/>
                <w:b w:val="0"/>
                <w:sz w:val="17"/>
              </w:rPr>
              <w:t>$50,475.0M</w:t>
            </w:r>
          </w:p>
        </w:tc>
        <w:tc>
          <w:tcPr>
            <w:tcW w:type="dxa" w:w="1728"/>
            <w:tcMar>
              <w:top w:w="60" w:type="dxa"/>
              <w:bottom w:w="60" w:type="dxa"/>
              <w:left w:w="60" w:type="dxa"/>
              <w:right w:w="60" w:type="dxa"/>
            </w:tcMar>
          </w:tcPr>
          <w:p>
            <w:pPr>
              <w:jc w:val="center"/>
            </w:pPr>
            <w:r>
              <w:rPr>
                <w:rFonts w:ascii="Calibri" w:hAnsi="Calibri"/>
                <w:i/>
                <w:sz w:val="17"/>
              </w:rPr>
              <w:t>Caja Líquida Real</w:t>
            </w:r>
          </w:p>
        </w:tc>
      </w:tr>
      <w:tr>
        <w:tc>
          <w:tcPr>
            <w:tcW w:type="dxa" w:w="2592"/>
            <w:tcMar>
              <w:top w:w="60" w:type="dxa"/>
              <w:bottom w:w="60" w:type="dxa"/>
              <w:left w:w="80" w:type="dxa"/>
              <w:right w:w="80" w:type="dxa"/>
            </w:tcMar>
          </w:tcPr>
          <w:p>
            <w:r>
              <w:rPr>
                <w:rFonts w:ascii="Calibri" w:hAnsi="Calibri"/>
                <w:b/>
                <w:sz w:val="17"/>
              </w:rPr>
              <w:t>(=) Devengos Totales (NI − CFO)</w:t>
            </w:r>
          </w:p>
        </w:tc>
        <w:tc>
          <w:tcPr>
            <w:tcW w:type="dxa" w:w="1094"/>
            <w:tcMar>
              <w:top w:w="60" w:type="dxa"/>
              <w:bottom w:w="60" w:type="dxa"/>
              <w:left w:w="60" w:type="dxa"/>
              <w:right w:w="60" w:type="dxa"/>
            </w:tcMar>
          </w:tcPr>
          <w:p>
            <w:pPr>
              <w:jc w:val="right"/>
            </w:pPr>
            <w:r>
              <w:rPr>
                <w:rFonts w:ascii="Calibri" w:hAnsi="Calibri"/>
                <w:b/>
                <w:sz w:val="17"/>
              </w:rPr>
              <w:t>$-62,203.0M</w:t>
            </w:r>
          </w:p>
        </w:tc>
        <w:tc>
          <w:tcPr>
            <w:tcW w:type="dxa" w:w="1094"/>
            <w:tcMar>
              <w:top w:w="60" w:type="dxa"/>
              <w:bottom w:w="60" w:type="dxa"/>
              <w:left w:w="60" w:type="dxa"/>
              <w:right w:w="60" w:type="dxa"/>
            </w:tcMar>
          </w:tcPr>
          <w:p>
            <w:pPr>
              <w:jc w:val="right"/>
            </w:pPr>
            <w:r>
              <w:rPr>
                <w:rFonts w:ascii="Calibri" w:hAnsi="Calibri"/>
                <w:b/>
                <w:sz w:val="17"/>
              </w:rPr>
              <w:t>$-55,342.0M</w:t>
            </w:r>
          </w:p>
        </w:tc>
        <w:tc>
          <w:tcPr>
            <w:tcW w:type="dxa" w:w="1094"/>
            <w:tcMar>
              <w:top w:w="60" w:type="dxa"/>
              <w:bottom w:w="60" w:type="dxa"/>
              <w:left w:w="60" w:type="dxa"/>
              <w:right w:w="60" w:type="dxa"/>
            </w:tcMar>
          </w:tcPr>
          <w:p>
            <w:pPr>
              <w:jc w:val="right"/>
            </w:pPr>
            <w:r>
              <w:rPr>
                <w:rFonts w:ascii="Calibri" w:hAnsi="Calibri"/>
                <w:b/>
                <w:sz w:val="17"/>
              </w:rPr>
              <w:t>$-28,968.0M</w:t>
            </w:r>
          </w:p>
        </w:tc>
        <w:tc>
          <w:tcPr>
            <w:tcW w:type="dxa" w:w="1094"/>
            <w:tcMar>
              <w:top w:w="60" w:type="dxa"/>
              <w:bottom w:w="60" w:type="dxa"/>
              <w:left w:w="60" w:type="dxa"/>
              <w:right w:w="60" w:type="dxa"/>
            </w:tcMar>
          </w:tcPr>
          <w:p>
            <w:pPr>
              <w:jc w:val="right"/>
            </w:pPr>
            <w:r>
              <w:rPr>
                <w:rFonts w:ascii="Calibri" w:hAnsi="Calibri"/>
                <w:b/>
                <w:sz w:val="17"/>
              </w:rPr>
              <w:t>$-32,015.0M</w:t>
            </w:r>
          </w:p>
        </w:tc>
        <w:tc>
          <w:tcPr>
            <w:tcW w:type="dxa" w:w="1094"/>
            <w:tcMar>
              <w:top w:w="60" w:type="dxa"/>
              <w:bottom w:w="60" w:type="dxa"/>
              <w:left w:w="60" w:type="dxa"/>
              <w:right w:w="60" w:type="dxa"/>
            </w:tcMar>
          </w:tcPr>
          <w:p>
            <w:pPr>
              <w:jc w:val="right"/>
            </w:pPr>
            <w:r>
              <w:rPr>
                <w:rFonts w:ascii="Calibri" w:hAnsi="Calibri"/>
                <w:b/>
                <w:sz w:val="17"/>
              </w:rPr>
              <w:t>$-27,275.0M</w:t>
            </w:r>
          </w:p>
        </w:tc>
        <w:tc>
          <w:tcPr>
            <w:tcW w:type="dxa" w:w="1728"/>
            <w:tcMar>
              <w:top w:w="60" w:type="dxa"/>
              <w:bottom w:w="60" w:type="dxa"/>
              <w:left w:w="60" w:type="dxa"/>
              <w:right w:w="60" w:type="dxa"/>
            </w:tcMar>
          </w:tcPr>
          <w:p>
            <w:pPr>
              <w:jc w:val="center"/>
            </w:pPr>
            <w:r>
              <w:rPr>
                <w:rFonts w:ascii="Calibri" w:hAnsi="Calibri"/>
                <w:i/>
                <w:sz w:val="17"/>
              </w:rPr>
              <w:t>CFO &gt; NI</w:t>
            </w:r>
          </w:p>
        </w:tc>
      </w:tr>
      <w:tr>
        <w:tc>
          <w:tcPr>
            <w:tcW w:type="dxa" w:w="2592"/>
            <w:tcMar>
              <w:top w:w="60" w:type="dxa"/>
              <w:bottom w:w="60" w:type="dxa"/>
              <w:left w:w="80" w:type="dxa"/>
              <w:right w:w="80" w:type="dxa"/>
            </w:tcMar>
          </w:tcPr>
          <w:p>
            <w:r>
              <w:rPr>
                <w:rFonts w:ascii="Calibri" w:hAnsi="Calibri"/>
                <w:b w:val="0"/>
                <w:sz w:val="17"/>
              </w:rPr>
              <w:t>Activos Totales Promedio ($M)</w:t>
            </w:r>
          </w:p>
        </w:tc>
        <w:tc>
          <w:tcPr>
            <w:tcW w:type="dxa" w:w="1094"/>
            <w:tcMar>
              <w:top w:w="60" w:type="dxa"/>
              <w:bottom w:w="60" w:type="dxa"/>
              <w:left w:w="60" w:type="dxa"/>
              <w:right w:w="60" w:type="dxa"/>
            </w:tcMar>
          </w:tcPr>
          <w:p>
            <w:pPr>
              <w:jc w:val="right"/>
            </w:pPr>
            <w:r>
              <w:rPr>
                <w:rFonts w:ascii="Calibri" w:hAnsi="Calibri"/>
                <w:b w:val="0"/>
                <w:sz w:val="17"/>
              </w:rPr>
              <w:t>$407,988.5M</w:t>
            </w:r>
          </w:p>
        </w:tc>
        <w:tc>
          <w:tcPr>
            <w:tcW w:type="dxa" w:w="1094"/>
            <w:tcMar>
              <w:top w:w="60" w:type="dxa"/>
              <w:bottom w:w="60" w:type="dxa"/>
              <w:left w:w="60" w:type="dxa"/>
              <w:right w:w="60" w:type="dxa"/>
            </w:tcMar>
          </w:tcPr>
          <w:p>
            <w:pPr>
              <w:jc w:val="right"/>
            </w:pPr>
            <w:r>
              <w:rPr>
                <w:rFonts w:ascii="Calibri" w:hAnsi="Calibri"/>
                <w:b w:val="0"/>
                <w:sz w:val="17"/>
              </w:rPr>
              <w:t>$321,037.5M</w:t>
            </w:r>
          </w:p>
        </w:tc>
        <w:tc>
          <w:tcPr>
            <w:tcW w:type="dxa" w:w="1094"/>
            <w:tcMar>
              <w:top w:w="60" w:type="dxa"/>
              <w:bottom w:w="60" w:type="dxa"/>
              <w:left w:w="60" w:type="dxa"/>
              <w:right w:w="60" w:type="dxa"/>
            </w:tcMar>
          </w:tcPr>
          <w:p>
            <w:pPr>
              <w:jc w:val="right"/>
            </w:pPr>
            <w:r>
              <w:rPr>
                <w:rFonts w:ascii="Calibri" w:hAnsi="Calibri"/>
                <w:b w:val="0"/>
                <w:sz w:val="17"/>
              </w:rPr>
              <w:t>$252,838.5M</w:t>
            </w:r>
          </w:p>
        </w:tc>
        <w:tc>
          <w:tcPr>
            <w:tcW w:type="dxa" w:w="1094"/>
            <w:tcMar>
              <w:top w:w="60" w:type="dxa"/>
              <w:bottom w:w="60" w:type="dxa"/>
              <w:left w:w="60" w:type="dxa"/>
              <w:right w:w="60" w:type="dxa"/>
            </w:tcMar>
          </w:tcPr>
          <w:p>
            <w:pPr>
              <w:jc w:val="right"/>
            </w:pPr>
            <w:r>
              <w:rPr>
                <w:rFonts w:ascii="Calibri" w:hAnsi="Calibri"/>
                <w:b w:val="0"/>
                <w:sz w:val="17"/>
              </w:rPr>
              <w:t>$207,675.0M</w:t>
            </w:r>
          </w:p>
        </w:tc>
        <w:tc>
          <w:tcPr>
            <w:tcW w:type="dxa" w:w="1094"/>
            <w:tcMar>
              <w:top w:w="60" w:type="dxa"/>
              <w:bottom w:w="60" w:type="dxa"/>
              <w:left w:w="60" w:type="dxa"/>
              <w:right w:w="60" w:type="dxa"/>
            </w:tcMar>
          </w:tcPr>
          <w:p>
            <w:pPr>
              <w:jc w:val="right"/>
            </w:pPr>
            <w:r>
              <w:rPr>
                <w:rFonts w:ascii="Calibri" w:hAnsi="Calibri"/>
                <w:b w:val="0"/>
                <w:sz w:val="17"/>
              </w:rPr>
              <w:t>$175,857.0M</w:t>
            </w:r>
          </w:p>
        </w:tc>
        <w:tc>
          <w:tcPr>
            <w:tcW w:type="dxa" w:w="1728"/>
            <w:tcMar>
              <w:top w:w="60" w:type="dxa"/>
              <w:bottom w:w="60" w:type="dxa"/>
              <w:left w:w="60" w:type="dxa"/>
              <w:right w:w="60" w:type="dxa"/>
            </w:tcMar>
          </w:tcPr>
          <w:p>
            <w:pPr>
              <w:jc w:val="center"/>
            </w:pPr>
            <w:r>
              <w:rPr>
                <w:rFonts w:ascii="Calibri" w:hAnsi="Calibri"/>
                <w:i/>
                <w:sz w:val="17"/>
              </w:rPr>
              <w:t>Base Activos</w:t>
            </w:r>
          </w:p>
        </w:tc>
      </w:tr>
      <w:tr>
        <w:tc>
          <w:tcPr>
            <w:tcW w:type="dxa" w:w="2592"/>
            <w:tcMar>
              <w:top w:w="60" w:type="dxa"/>
              <w:bottom w:w="60" w:type="dxa"/>
              <w:left w:w="80" w:type="dxa"/>
              <w:right w:w="80" w:type="dxa"/>
            </w:tcMar>
          </w:tcPr>
          <w:p>
            <w:r>
              <w:rPr>
                <w:rFonts w:ascii="Calibri" w:hAnsi="Calibri"/>
                <w:b/>
                <w:sz w:val="17"/>
              </w:rPr>
              <w:t>(=) Ratio Devengos Sloan (%)</w:t>
            </w:r>
          </w:p>
        </w:tc>
        <w:tc>
          <w:tcPr>
            <w:tcW w:type="dxa" w:w="1094"/>
            <w:tcMar>
              <w:top w:w="60" w:type="dxa"/>
              <w:bottom w:w="60" w:type="dxa"/>
              <w:left w:w="60" w:type="dxa"/>
              <w:right w:w="60" w:type="dxa"/>
            </w:tcMar>
          </w:tcPr>
          <w:p>
            <w:pPr>
              <w:jc w:val="right"/>
            </w:pPr>
            <w:r>
              <w:rPr>
                <w:rFonts w:ascii="Calibri" w:hAnsi="Calibri"/>
                <w:b/>
                <w:sz w:val="17"/>
              </w:rPr>
              <w:t>-15.25%</w:t>
            </w:r>
          </w:p>
        </w:tc>
        <w:tc>
          <w:tcPr>
            <w:tcW w:type="dxa" w:w="1094"/>
            <w:tcMar>
              <w:top w:w="60" w:type="dxa"/>
              <w:bottom w:w="60" w:type="dxa"/>
              <w:left w:w="60" w:type="dxa"/>
              <w:right w:w="60" w:type="dxa"/>
            </w:tcMar>
          </w:tcPr>
          <w:p>
            <w:pPr>
              <w:jc w:val="right"/>
            </w:pPr>
            <w:r>
              <w:rPr>
                <w:rFonts w:ascii="Calibri" w:hAnsi="Calibri"/>
                <w:b/>
                <w:sz w:val="17"/>
              </w:rPr>
              <w:t>-17.24%</w:t>
            </w:r>
          </w:p>
        </w:tc>
        <w:tc>
          <w:tcPr>
            <w:tcW w:type="dxa" w:w="1094"/>
            <w:tcMar>
              <w:top w:w="60" w:type="dxa"/>
              <w:bottom w:w="60" w:type="dxa"/>
              <w:left w:w="60" w:type="dxa"/>
              <w:right w:w="60" w:type="dxa"/>
            </w:tcMar>
          </w:tcPr>
          <w:p>
            <w:pPr>
              <w:jc w:val="right"/>
            </w:pPr>
            <w:r>
              <w:rPr>
                <w:rFonts w:ascii="Calibri" w:hAnsi="Calibri"/>
                <w:b/>
                <w:sz w:val="17"/>
              </w:rPr>
              <w:t>-11.46%</w:t>
            </w:r>
          </w:p>
        </w:tc>
        <w:tc>
          <w:tcPr>
            <w:tcW w:type="dxa" w:w="1094"/>
            <w:tcMar>
              <w:top w:w="60" w:type="dxa"/>
              <w:bottom w:w="60" w:type="dxa"/>
              <w:left w:w="60" w:type="dxa"/>
              <w:right w:w="60" w:type="dxa"/>
            </w:tcMar>
          </w:tcPr>
          <w:p>
            <w:pPr>
              <w:jc w:val="right"/>
            </w:pPr>
            <w:r>
              <w:rPr>
                <w:rFonts w:ascii="Calibri" w:hAnsi="Calibri"/>
                <w:b/>
                <w:sz w:val="17"/>
              </w:rPr>
              <w:t>-15.42%</w:t>
            </w:r>
          </w:p>
        </w:tc>
        <w:tc>
          <w:tcPr>
            <w:tcW w:type="dxa" w:w="1094"/>
            <w:tcMar>
              <w:top w:w="60" w:type="dxa"/>
              <w:bottom w:w="60" w:type="dxa"/>
              <w:left w:w="60" w:type="dxa"/>
              <w:right w:w="60" w:type="dxa"/>
            </w:tcMar>
          </w:tcPr>
          <w:p>
            <w:pPr>
              <w:jc w:val="right"/>
            </w:pPr>
            <w:r>
              <w:rPr>
                <w:rFonts w:ascii="Calibri" w:hAnsi="Calibri"/>
                <w:b/>
                <w:sz w:val="17"/>
              </w:rPr>
              <w:t>-15.51%</w:t>
            </w:r>
          </w:p>
        </w:tc>
        <w:tc>
          <w:tcPr>
            <w:tcW w:type="dxa" w:w="1728"/>
            <w:tcMar>
              <w:top w:w="60" w:type="dxa"/>
              <w:bottom w:w="60" w:type="dxa"/>
              <w:left w:w="60" w:type="dxa"/>
              <w:right w:w="60" w:type="dxa"/>
            </w:tcMar>
          </w:tcPr>
          <w:p>
            <w:pPr>
              <w:jc w:val="center"/>
            </w:pPr>
            <w:r>
              <w:rPr>
                <w:rFonts w:ascii="Calibri" w:hAnsi="Calibri"/>
                <w:i/>
                <w:sz w:val="17"/>
              </w:rPr>
              <w:t>&lt; -3.0% (Excelente)</w:t>
            </w:r>
          </w:p>
        </w:tc>
      </w:tr>
      <w:tr>
        <w:tc>
          <w:tcPr>
            <w:tcW w:type="dxa" w:w="2592"/>
            <w:tcMar>
              <w:top w:w="60" w:type="dxa"/>
              <w:bottom w:w="60" w:type="dxa"/>
              <w:left w:w="80" w:type="dxa"/>
              <w:right w:w="80" w:type="dxa"/>
            </w:tcMar>
          </w:tcPr>
          <w:p>
            <w:r>
              <w:rPr>
                <w:rFonts w:ascii="Calibri" w:hAnsi="Calibri"/>
                <w:b w:val="0"/>
                <w:sz w:val="17"/>
              </w:rPr>
              <w:t>Diagnóstico de Fidelidad</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728"/>
            <w:tcMar>
              <w:top w:w="60" w:type="dxa"/>
              <w:bottom w:w="60" w:type="dxa"/>
              <w:left w:w="60" w:type="dxa"/>
              <w:right w:w="60" w:type="dxa"/>
            </w:tcMar>
          </w:tcPr>
          <w:p>
            <w:pPr>
              <w:jc w:val="center"/>
            </w:pPr>
            <w:r>
              <w:rPr>
                <w:rFonts w:ascii="Calibri" w:hAnsi="Calibri"/>
                <w:i/>
                <w:sz w:val="17"/>
              </w:rPr>
              <w:t>Calidad Saludable</w:t>
            </w:r>
          </w:p>
        </w:tc>
      </w:tr>
    </w:tbl>
    <w:p>
      <w:pPr>
        <w:spacing w:before="80" w:after="160"/>
      </w:pPr>
      <w:r>
        <w:rPr>
          <w:rFonts w:ascii="Calibri" w:hAnsi="Calibri"/>
          <w:i/>
          <w:color w:val="2D3748"/>
          <w:sz w:val="17"/>
        </w:rPr>
        <w:t>Interpretación para el Inversor: En LTM, Meta Platforms, Inc. generó $130,301.0M de CFO frente a $68,098.0M de beneficio neto, arrojando una tasa de conversión de caja del 191.3% (cada dólar reportado está respaldado por $1.91 de efectivo). El Ratio Sloan de -15.25% descarta por completo el riesgo de beneficios ficticios.</w:t>
      </w:r>
    </w:p>
    <w:p>
      <w:pPr>
        <w:pStyle w:val="Heading2"/>
      </w:pPr>
      <w:r>
        <w:rPr>
          <w:rFonts w:ascii="Calibri" w:hAnsi="Calibri"/>
          <w:b/>
          <w:color w:val="1B365D"/>
          <w:sz w:val="23"/>
        </w:rPr>
        <w:t>12.2. Matriz de Divergencias de Alerta Temprana (Early Warning Spreads)</w:t>
      </w:r>
    </w:p>
    <w:p>
      <w:pPr>
        <w:spacing w:after="80"/>
      </w:pPr>
      <w:r>
        <w:rPr>
          <w:rFonts w:ascii="Calibri" w:hAnsi="Calibri"/>
          <w:color w:val="2D3748"/>
          <w:sz w:val="18"/>
        </w:rPr>
        <w:t>Rastrea desacoplamientos de velocidad entre partidas circulantes y resultados para prevenir Channel Stuffing, acumulación de inventario diferido y activación fraudulenta de costes en activos blandos.</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1872"/>
        <w:gridCol w:w="1440"/>
        <w:gridCol w:w="1440"/>
        <w:gridCol w:w="2880"/>
      </w:tblGrid>
      <w:tr>
        <w:tc>
          <w:tcPr>
            <w:tcW w:type="dxa" w:w="2160"/>
            <w:shd w:fill="1B365D"/>
            <w:tcMar>
              <w:top w:w="80" w:type="dxa"/>
              <w:bottom w:w="80" w:type="dxa"/>
              <w:left w:w="80" w:type="dxa"/>
              <w:right w:w="80" w:type="dxa"/>
            </w:tcMar>
          </w:tcPr>
          <w:p>
            <w:pPr>
              <w:jc w:val="left"/>
            </w:pPr>
            <w:r>
              <w:rPr>
                <w:rFonts w:ascii="Calibri" w:hAnsi="Calibri"/>
                <w:b/>
                <w:color w:val="FFFFFF"/>
                <w:sz w:val="17"/>
              </w:rPr>
              <w:t>Vector de Alerta Temprana</w:t>
            </w:r>
          </w:p>
        </w:tc>
        <w:tc>
          <w:tcPr>
            <w:tcW w:type="dxa" w:w="1872"/>
            <w:shd w:fill="1B365D"/>
            <w:tcMar>
              <w:top w:w="80" w:type="dxa"/>
              <w:bottom w:w="80" w:type="dxa"/>
              <w:left w:w="80" w:type="dxa"/>
              <w:right w:w="80" w:type="dxa"/>
            </w:tcMar>
          </w:tcPr>
          <w:p>
            <w:pPr>
              <w:jc w:val="left"/>
            </w:pPr>
            <w:r>
              <w:rPr>
                <w:rFonts w:ascii="Calibri" w:hAnsi="Calibri"/>
                <w:b/>
                <w:color w:val="FFFFFF"/>
                <w:sz w:val="17"/>
              </w:rPr>
              <w:t>Métrica Auditada</w:t>
            </w:r>
          </w:p>
        </w:tc>
        <w:tc>
          <w:tcPr>
            <w:tcW w:type="dxa" w:w="1440"/>
            <w:shd w:fill="1B365D"/>
            <w:tcMar>
              <w:top w:w="80" w:type="dxa"/>
              <w:bottom w:w="80" w:type="dxa"/>
              <w:left w:w="80" w:type="dxa"/>
              <w:right w:w="80" w:type="dxa"/>
            </w:tcMar>
          </w:tcPr>
          <w:p>
            <w:pPr>
              <w:jc w:val="center"/>
            </w:pPr>
            <w:r>
              <w:rPr>
                <w:rFonts w:ascii="Calibri" w:hAnsi="Calibri"/>
                <w:b/>
                <w:color w:val="FFFFFF"/>
                <w:sz w:val="17"/>
              </w:rPr>
              <w:t>Spread LTM</w:t>
            </w:r>
          </w:p>
        </w:tc>
        <w:tc>
          <w:tcPr>
            <w:tcW w:type="dxa" w:w="1440"/>
            <w:shd w:fill="1B365D"/>
            <w:tcMar>
              <w:top w:w="80" w:type="dxa"/>
              <w:bottom w:w="80" w:type="dxa"/>
              <w:left w:w="80" w:type="dxa"/>
              <w:right w:w="80" w:type="dxa"/>
            </w:tcMar>
          </w:tcPr>
          <w:p>
            <w:pPr>
              <w:jc w:val="center"/>
            </w:pPr>
            <w:r>
              <w:rPr>
                <w:rFonts w:ascii="Calibri" w:hAnsi="Calibri"/>
                <w:b/>
                <w:color w:val="FFFFFF"/>
                <w:sz w:val="17"/>
              </w:rPr>
              <w:t>Rotación / Ciclo</w:t>
            </w:r>
          </w:p>
        </w:tc>
        <w:tc>
          <w:tcPr>
            <w:tcW w:type="dxa" w:w="2880"/>
            <w:shd w:fill="1B365D"/>
            <w:tcMar>
              <w:top w:w="80" w:type="dxa"/>
              <w:bottom w:w="80" w:type="dxa"/>
              <w:left w:w="80" w:type="dxa"/>
              <w:right w:w="80" w:type="dxa"/>
            </w:tcMar>
          </w:tcPr>
          <w:p>
            <w:pPr>
              <w:jc w:val="left"/>
            </w:pPr>
            <w:r>
              <w:rPr>
                <w:rFonts w:ascii="Calibri" w:hAnsi="Calibri"/>
                <w:b/>
                <w:color w:val="FFFFFF"/>
                <w:sz w:val="17"/>
              </w:rPr>
              <w:t>Diagnóstico Forense</w:t>
            </w:r>
          </w:p>
        </w:tc>
      </w:tr>
      <w:tr>
        <w:tc>
          <w:tcPr>
            <w:tcW w:type="dxa" w:w="2160"/>
            <w:tcMar>
              <w:top w:w="60" w:type="dxa"/>
              <w:bottom w:w="60" w:type="dxa"/>
              <w:left w:w="80" w:type="dxa"/>
              <w:right w:w="80" w:type="dxa"/>
            </w:tcMar>
          </w:tcPr>
          <w:p>
            <w:pPr>
              <w:jc w:val="left"/>
            </w:pPr>
            <w:r>
              <w:rPr>
                <w:rFonts w:ascii="Calibri" w:hAnsi="Calibri"/>
                <w:b/>
                <w:sz w:val="17"/>
              </w:rPr>
              <w:t>1. Clientes vs. Ventas (Channel Stuffing)</w:t>
            </w:r>
          </w:p>
        </w:tc>
        <w:tc>
          <w:tcPr>
            <w:tcW w:type="dxa" w:w="1872"/>
            <w:tcMar>
              <w:top w:w="60" w:type="dxa"/>
              <w:bottom w:w="60" w:type="dxa"/>
              <w:left w:w="80" w:type="dxa"/>
              <w:right w:w="80" w:type="dxa"/>
            </w:tcMar>
          </w:tcPr>
          <w:p>
            <w:pPr>
              <w:jc w:val="left"/>
            </w:pPr>
            <w:r>
              <w:rPr>
                <w:rFonts w:ascii="Calibri" w:hAnsi="Calibri"/>
                <w:sz w:val="17"/>
              </w:rPr>
              <w:t>Crecimiento AR vs. Ventas</w:t>
            </w:r>
          </w:p>
        </w:tc>
        <w:tc>
          <w:tcPr>
            <w:tcW w:type="dxa" w:w="1440"/>
            <w:tcMar>
              <w:top w:w="60" w:type="dxa"/>
              <w:bottom w:w="60" w:type="dxa"/>
              <w:left w:w="80" w:type="dxa"/>
              <w:right w:w="80" w:type="dxa"/>
            </w:tcMar>
          </w:tcPr>
          <w:p>
            <w:pPr>
              <w:jc w:val="center"/>
            </w:pPr>
            <w:r>
              <w:rPr>
                <w:rFonts w:ascii="Calibri" w:hAnsi="Calibri"/>
                <w:sz w:val="17"/>
              </w:rPr>
              <w:t>-3.5%</w:t>
            </w:r>
          </w:p>
        </w:tc>
        <w:tc>
          <w:tcPr>
            <w:tcW w:type="dxa" w:w="1440"/>
            <w:tcMar>
              <w:top w:w="60" w:type="dxa"/>
              <w:bottom w:w="60" w:type="dxa"/>
              <w:left w:w="80" w:type="dxa"/>
              <w:right w:w="80" w:type="dxa"/>
            </w:tcMar>
          </w:tcPr>
          <w:p>
            <w:pPr>
              <w:jc w:val="center"/>
            </w:pPr>
            <w:r>
              <w:rPr>
                <w:rFonts w:ascii="Calibri" w:hAnsi="Calibri"/>
                <w:sz w:val="17"/>
              </w:rPr>
              <w:t>DSO: 34.8d (-1.1d)</w:t>
            </w:r>
          </w:p>
        </w:tc>
        <w:tc>
          <w:tcPr>
            <w:tcW w:type="dxa" w:w="2880"/>
            <w:tcMar>
              <w:top w:w="60" w:type="dxa"/>
              <w:bottom w:w="60" w:type="dxa"/>
              <w:left w:w="80" w:type="dxa"/>
              <w:right w:w="80" w:type="dxa"/>
            </w:tcMar>
          </w:tcPr>
          <w:p>
            <w:pPr>
              <w:jc w:val="center"/>
            </w:pPr>
            <w:r>
              <w:rPr>
                <w:rFonts w:ascii="Calibri" w:hAnsi="Calibri"/>
                <w:b/>
                <w:color w:val="276A3C"/>
                <w:sz w:val="17"/>
              </w:rPr>
              <w:t>COBRANZA DISCIPLINADA (OK)</w:t>
            </w:r>
          </w:p>
        </w:tc>
      </w:tr>
      <w:tr>
        <w:tc>
          <w:tcPr>
            <w:tcW w:type="dxa" w:w="2160"/>
            <w:tcMar>
              <w:top w:w="60" w:type="dxa"/>
              <w:bottom w:w="60" w:type="dxa"/>
              <w:left w:w="80" w:type="dxa"/>
              <w:right w:w="80" w:type="dxa"/>
            </w:tcMar>
          </w:tcPr>
          <w:p>
            <w:pPr>
              <w:jc w:val="left"/>
            </w:pPr>
            <w:r>
              <w:rPr>
                <w:rFonts w:ascii="Calibri" w:hAnsi="Calibri"/>
                <w:b/>
                <w:sz w:val="17"/>
              </w:rPr>
              <w:t>2. Inventarios vs. Coste Ventas (COGS)</w:t>
            </w:r>
          </w:p>
        </w:tc>
        <w:tc>
          <w:tcPr>
            <w:tcW w:type="dxa" w:w="1872"/>
            <w:tcMar>
              <w:top w:w="60" w:type="dxa"/>
              <w:bottom w:w="60" w:type="dxa"/>
              <w:left w:w="80" w:type="dxa"/>
              <w:right w:w="80" w:type="dxa"/>
            </w:tcMar>
          </w:tcPr>
          <w:p>
            <w:pPr>
              <w:jc w:val="left"/>
            </w:pPr>
            <w:r>
              <w:rPr>
                <w:rFonts w:ascii="Calibri" w:hAnsi="Calibri"/>
                <w:sz w:val="17"/>
              </w:rPr>
              <w:t>Crecimiento Inv vs. COGS</w:t>
            </w:r>
          </w:p>
        </w:tc>
        <w:tc>
          <w:tcPr>
            <w:tcW w:type="dxa" w:w="1440"/>
            <w:tcMar>
              <w:top w:w="60" w:type="dxa"/>
              <w:bottom w:w="60" w:type="dxa"/>
              <w:left w:w="80" w:type="dxa"/>
              <w:right w:w="80" w:type="dxa"/>
            </w:tcMar>
          </w:tcPr>
          <w:p>
            <w:pPr>
              <w:jc w:val="center"/>
            </w:pPr>
            <w:r>
              <w:rPr>
                <w:rFonts w:ascii="Calibri" w:hAnsi="Calibri"/>
                <w:sz w:val="17"/>
              </w:rPr>
              <w:t>+0.0%</w:t>
            </w:r>
          </w:p>
        </w:tc>
        <w:tc>
          <w:tcPr>
            <w:tcW w:type="dxa" w:w="1440"/>
            <w:tcMar>
              <w:top w:w="60" w:type="dxa"/>
              <w:bottom w:w="60" w:type="dxa"/>
              <w:left w:w="80" w:type="dxa"/>
              <w:right w:w="80" w:type="dxa"/>
            </w:tcMar>
          </w:tcPr>
          <w:p>
            <w:pPr>
              <w:jc w:val="center"/>
            </w:pPr>
            <w:r>
              <w:rPr>
                <w:rFonts w:ascii="Calibri" w:hAnsi="Calibri"/>
                <w:sz w:val="17"/>
              </w:rPr>
              <w:t>DIO: 0.0d (+0.0d)</w:t>
            </w:r>
          </w:p>
        </w:tc>
        <w:tc>
          <w:tcPr>
            <w:tcW w:type="dxa" w:w="2880"/>
            <w:tcMar>
              <w:top w:w="60" w:type="dxa"/>
              <w:bottom w:w="60" w:type="dxa"/>
              <w:left w:w="80" w:type="dxa"/>
              <w:right w:w="80" w:type="dxa"/>
            </w:tcMar>
          </w:tcPr>
          <w:p>
            <w:pPr>
              <w:jc w:val="center"/>
            </w:pPr>
            <w:r>
              <w:rPr>
                <w:rFonts w:ascii="Calibri" w:hAnsi="Calibri"/>
                <w:b/>
                <w:color w:val="C00000"/>
                <w:sz w:val="17"/>
              </w:rPr>
              <w:t>ALERTA PREVENTIVA (RAMP-UP)</w:t>
            </w:r>
          </w:p>
        </w:tc>
      </w:tr>
      <w:tr>
        <w:tc>
          <w:tcPr>
            <w:tcW w:type="dxa" w:w="2160"/>
            <w:tcMar>
              <w:top w:w="60" w:type="dxa"/>
              <w:bottom w:w="60" w:type="dxa"/>
              <w:left w:w="80" w:type="dxa"/>
              <w:right w:w="80" w:type="dxa"/>
            </w:tcMar>
          </w:tcPr>
          <w:p>
            <w:pPr>
              <w:jc w:val="left"/>
            </w:pPr>
            <w:r>
              <w:rPr>
                <w:rFonts w:ascii="Calibri" w:hAnsi="Calibri"/>
                <w:b/>
                <w:sz w:val="17"/>
              </w:rPr>
              <w:t>3. Índice de Activos Blandos</w:t>
            </w:r>
          </w:p>
        </w:tc>
        <w:tc>
          <w:tcPr>
            <w:tcW w:type="dxa" w:w="1872"/>
            <w:tcMar>
              <w:top w:w="60" w:type="dxa"/>
              <w:bottom w:w="60" w:type="dxa"/>
              <w:left w:w="80" w:type="dxa"/>
              <w:right w:w="80" w:type="dxa"/>
            </w:tcMar>
          </w:tcPr>
          <w:p>
            <w:pPr>
              <w:jc w:val="left"/>
            </w:pPr>
            <w:r>
              <w:rPr>
                <w:rFonts w:ascii="Calibri" w:hAnsi="Calibri"/>
                <w:sz w:val="17"/>
              </w:rPr>
              <w:t>Partidas No Físicas / Activos</w:t>
            </w:r>
          </w:p>
        </w:tc>
        <w:tc>
          <w:tcPr>
            <w:tcW w:type="dxa" w:w="1440"/>
            <w:tcMar>
              <w:top w:w="60" w:type="dxa"/>
              <w:bottom w:w="60" w:type="dxa"/>
              <w:left w:w="80" w:type="dxa"/>
              <w:right w:w="80" w:type="dxa"/>
            </w:tcMar>
          </w:tcPr>
          <w:p>
            <w:pPr>
              <w:jc w:val="center"/>
            </w:pPr>
            <w:r>
              <w:rPr>
                <w:rFonts w:ascii="Calibri" w:hAnsi="Calibri"/>
                <w:sz w:val="17"/>
              </w:rPr>
              <w:t>96.6%</w:t>
            </w:r>
          </w:p>
        </w:tc>
        <w:tc>
          <w:tcPr>
            <w:tcW w:type="dxa" w:w="1440"/>
            <w:tcMar>
              <w:top w:w="60" w:type="dxa"/>
              <w:bottom w:w="60" w:type="dxa"/>
              <w:left w:w="80" w:type="dxa"/>
              <w:right w:w="80" w:type="dxa"/>
            </w:tcMar>
          </w:tcPr>
          <w:p>
            <w:pPr>
              <w:jc w:val="center"/>
            </w:pPr>
            <w:r>
              <w:rPr>
                <w:rFonts w:ascii="Calibri" w:hAnsi="Calibri"/>
                <w:sz w:val="17"/>
              </w:rPr>
              <w:t>Δ: +6.4 pp</w:t>
            </w:r>
          </w:p>
        </w:tc>
        <w:tc>
          <w:tcPr>
            <w:tcW w:type="dxa" w:w="2880"/>
            <w:tcMar>
              <w:top w:w="60" w:type="dxa"/>
              <w:bottom w:w="60" w:type="dxa"/>
              <w:left w:w="80" w:type="dxa"/>
              <w:right w:w="80" w:type="dxa"/>
            </w:tcMar>
          </w:tcPr>
          <w:p>
            <w:pPr>
              <w:jc w:val="center"/>
            </w:pPr>
            <w:r>
              <w:rPr>
                <w:rFonts w:ascii="Calibri" w:hAnsi="Calibri"/>
                <w:b/>
                <w:color w:val="276A3C"/>
                <w:sz w:val="17"/>
              </w:rPr>
              <w:t>BALANCE SÓLIDO (OK)</w:t>
            </w:r>
          </w:p>
        </w:tc>
      </w:tr>
    </w:tbl>
    <w:p>
      <w:pPr>
        <w:spacing w:before="80" w:after="160"/>
      </w:pPr>
      <w:r>
        <w:rPr>
          <w:rFonts w:ascii="Calibri" w:hAnsi="Calibri"/>
          <w:i/>
          <w:color w:val="2D3748"/>
          <w:sz w:val="17"/>
        </w:rPr>
        <w:t>Nota Forense sobre Inventario (Meta Platforms, Inc.): Inventario en sintonía con la cadencia de costes (Spread: 0.0%, DIO: 0.0d). Existencias optimizadas.</w:t>
      </w:r>
    </w:p>
    <w:p>
      <w:pPr>
        <w:pStyle w:val="Heading2"/>
      </w:pPr>
      <w:r>
        <w:rPr>
          <w:rFonts w:ascii="Calibri" w:hAnsi="Calibri"/>
          <w:b/>
          <w:color w:val="1B365D"/>
          <w:sz w:val="23"/>
        </w:rPr>
        <w:t>12.3. Desglose Forense Montier C-Score (2/6 Banderas)</w:t>
      </w:r>
    </w:p>
    <w:p>
      <w:pPr>
        <w:spacing w:after="80"/>
      </w:pPr>
      <w:r>
        <w:rPr>
          <w:rFonts w:ascii="Calibri" w:hAnsi="Calibri"/>
          <w:color w:val="2D3748"/>
          <w:sz w:val="18"/>
        </w:rPr>
        <w:t>James Montier (Société Générale / GMO, 2008) desarrolló este sistema de 6 banderas para detectar manipulación deliberada. Puntajes de 0 a 1 reflejan menos de 5% de probabilidad de fraude contable, mientras que firmas con &gt;= 4 banderas colapsan en bolsa.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2016"/>
        <w:gridCol w:w="1872"/>
        <w:gridCol w:w="1152"/>
        <w:gridCol w:w="2592"/>
      </w:tblGrid>
      <w:tr>
        <w:tc>
          <w:tcPr>
            <w:tcW w:type="dxa" w:w="2160"/>
            <w:shd w:fill="1B365D"/>
            <w:tcMar>
              <w:top w:w="80" w:type="dxa"/>
              <w:bottom w:w="80" w:type="dxa"/>
              <w:left w:w="80" w:type="dxa"/>
              <w:right w:w="80" w:type="dxa"/>
            </w:tcMar>
          </w:tcPr>
          <w:p>
            <w:pPr>
              <w:jc w:val="left"/>
            </w:pPr>
            <w:r>
              <w:rPr>
                <w:rFonts w:ascii="Calibri" w:hAnsi="Calibri"/>
                <w:b/>
                <w:color w:val="FFFFFF"/>
                <w:sz w:val="17"/>
              </w:rPr>
              <w:t>Bandera de Manipulación (C-Score)</w:t>
            </w:r>
          </w:p>
        </w:tc>
        <w:tc>
          <w:tcPr>
            <w:tcW w:type="dxa" w:w="2016"/>
            <w:shd w:fill="1B365D"/>
            <w:tcMar>
              <w:top w:w="80" w:type="dxa"/>
              <w:bottom w:w="80" w:type="dxa"/>
              <w:left w:w="80" w:type="dxa"/>
              <w:right w:w="80" w:type="dxa"/>
            </w:tcMar>
          </w:tcPr>
          <w:p>
            <w:pPr>
              <w:jc w:val="left"/>
            </w:pPr>
            <w:r>
              <w:rPr>
                <w:rFonts w:ascii="Calibri" w:hAnsi="Calibri"/>
                <w:b/>
                <w:color w:val="FFFFFF"/>
                <w:sz w:val="17"/>
              </w:rPr>
              <w:t>Condición de Alerta</w:t>
            </w:r>
          </w:p>
        </w:tc>
        <w:tc>
          <w:tcPr>
            <w:tcW w:type="dxa" w:w="1872"/>
            <w:shd w:fill="1B365D"/>
            <w:tcMar>
              <w:top w:w="80" w:type="dxa"/>
              <w:bottom w:w="80" w:type="dxa"/>
              <w:left w:w="80" w:type="dxa"/>
              <w:right w:w="80" w:type="dxa"/>
            </w:tcMar>
          </w:tcPr>
          <w:p>
            <w:pPr>
              <w:jc w:val="left"/>
            </w:pPr>
            <w:r>
              <w:rPr>
                <w:rFonts w:ascii="Calibri" w:hAnsi="Calibri"/>
                <w:b/>
                <w:color w:val="FFFFFF"/>
                <w:sz w:val="17"/>
              </w:rPr>
              <w:t>Valor Auditado (LTM)</w:t>
            </w:r>
          </w:p>
        </w:tc>
        <w:tc>
          <w:tcPr>
            <w:tcW w:type="dxa" w:w="1152"/>
            <w:shd w:fill="1B365D"/>
            <w:tcMar>
              <w:top w:w="80" w:type="dxa"/>
              <w:bottom w:w="80" w:type="dxa"/>
              <w:left w:w="80" w:type="dxa"/>
              <w:right w:w="80" w:type="dxa"/>
            </w:tcMar>
          </w:tcPr>
          <w:p>
            <w:pPr>
              <w:jc w:val="center"/>
            </w:pPr>
            <w:r>
              <w:rPr>
                <w:rFonts w:ascii="Calibri" w:hAnsi="Calibri"/>
                <w:b/>
                <w:color w:val="FFFFFF"/>
                <w:sz w:val="17"/>
              </w:rPr>
              <w:t>Estado</w:t>
            </w:r>
          </w:p>
        </w:tc>
        <w:tc>
          <w:tcPr>
            <w:tcW w:type="dxa" w:w="2592"/>
            <w:shd w:fill="1B365D"/>
            <w:tcMar>
              <w:top w:w="80" w:type="dxa"/>
              <w:bottom w:w="80" w:type="dxa"/>
              <w:left w:w="80" w:type="dxa"/>
              <w:right w:w="80" w:type="dxa"/>
            </w:tcMar>
          </w:tcPr>
          <w:p>
            <w:pPr>
              <w:jc w:val="left"/>
            </w:pPr>
            <w:r>
              <w:rPr>
                <w:rFonts w:ascii="Calibri" w:hAnsi="Calibri"/>
                <w:b/>
                <w:color w:val="FFFFFF"/>
                <w:sz w:val="17"/>
              </w:rPr>
              <w:t>Trampa Contable que Previene</w:t>
            </w:r>
          </w:p>
        </w:tc>
      </w:tr>
      <w:tr>
        <w:tc>
          <w:tcPr>
            <w:tcW w:type="dxa" w:w="2160"/>
            <w:tcMar>
              <w:top w:w="60" w:type="dxa"/>
              <w:bottom w:w="60" w:type="dxa"/>
              <w:left w:w="80" w:type="dxa"/>
              <w:right w:w="80" w:type="dxa"/>
            </w:tcMar>
          </w:tcPr>
          <w:p>
            <w:pPr>
              <w:jc w:val="left"/>
            </w:pPr>
            <w:r>
              <w:rPr>
                <w:rFonts w:ascii="Calibri" w:hAnsi="Calibri"/>
                <w:sz w:val="16"/>
              </w:rPr>
              <w:t>1. Divergencia Beneficio vs. Flujo de Caja</w:t>
            </w:r>
          </w:p>
        </w:tc>
        <w:tc>
          <w:tcPr>
            <w:tcW w:type="dxa" w:w="2016"/>
            <w:tcMar>
              <w:top w:w="60" w:type="dxa"/>
              <w:bottom w:w="60" w:type="dxa"/>
              <w:left w:w="80" w:type="dxa"/>
              <w:right w:w="80" w:type="dxa"/>
            </w:tcMar>
          </w:tcPr>
          <w:p>
            <w:pPr>
              <w:jc w:val="left"/>
            </w:pPr>
            <w:r>
              <w:rPr>
                <w:rFonts w:ascii="Calibri" w:hAnsi="Calibri"/>
                <w:sz w:val="16"/>
              </w:rPr>
              <w:t>Utilidad Neta &gt; Flujo de Caja Operativo (NI &gt; CFO)</w:t>
            </w:r>
          </w:p>
        </w:tc>
        <w:tc>
          <w:tcPr>
            <w:tcW w:type="dxa" w:w="1872"/>
            <w:tcMar>
              <w:top w:w="60" w:type="dxa"/>
              <w:bottom w:w="60" w:type="dxa"/>
              <w:left w:w="80" w:type="dxa"/>
              <w:right w:w="80" w:type="dxa"/>
            </w:tcMar>
          </w:tcPr>
          <w:p>
            <w:pPr>
              <w:jc w:val="left"/>
            </w:pPr>
            <w:r>
              <w:rPr>
                <w:rFonts w:ascii="Calibri" w:hAnsi="Calibri"/>
                <w:sz w:val="16"/>
              </w:rPr>
              <w:t>NI: $68,098.0M vs CFO: $130,301.0M</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La utilidad contable no se transforma en liquidez real. Alerta de beneficios de papel.</w:t>
            </w:r>
          </w:p>
        </w:tc>
      </w:tr>
      <w:tr>
        <w:tc>
          <w:tcPr>
            <w:tcW w:type="dxa" w:w="2160"/>
            <w:tcMar>
              <w:top w:w="60" w:type="dxa"/>
              <w:bottom w:w="60" w:type="dxa"/>
              <w:left w:w="80" w:type="dxa"/>
              <w:right w:w="80" w:type="dxa"/>
            </w:tcMar>
          </w:tcPr>
          <w:p>
            <w:pPr>
              <w:jc w:val="left"/>
            </w:pPr>
            <w:r>
              <w:rPr>
                <w:rFonts w:ascii="Calibri" w:hAnsi="Calibri"/>
                <w:sz w:val="16"/>
              </w:rPr>
              <w:t>2. Cuentas por Cobrar vs. Ventas</w:t>
            </w:r>
          </w:p>
        </w:tc>
        <w:tc>
          <w:tcPr>
            <w:tcW w:type="dxa" w:w="2016"/>
            <w:tcMar>
              <w:top w:w="60" w:type="dxa"/>
              <w:bottom w:w="60" w:type="dxa"/>
              <w:left w:w="80" w:type="dxa"/>
              <w:right w:w="80" w:type="dxa"/>
            </w:tcMar>
          </w:tcPr>
          <w:p>
            <w:pPr>
              <w:jc w:val="left"/>
            </w:pPr>
            <w:r>
              <w:rPr>
                <w:rFonts w:ascii="Calibri" w:hAnsi="Calibri"/>
                <w:sz w:val="16"/>
              </w:rPr>
              <w:t>Δ Cuentas por Cobrar % &gt; Δ Ventas %</w:t>
            </w:r>
          </w:p>
        </w:tc>
        <w:tc>
          <w:tcPr>
            <w:tcW w:type="dxa" w:w="1872"/>
            <w:tcMar>
              <w:top w:w="60" w:type="dxa"/>
              <w:bottom w:w="60" w:type="dxa"/>
              <w:left w:w="80" w:type="dxa"/>
              <w:right w:w="80" w:type="dxa"/>
            </w:tcMar>
          </w:tcPr>
          <w:p>
            <w:pPr>
              <w:jc w:val="left"/>
            </w:pPr>
            <w:r>
              <w:rPr>
                <w:rFonts w:ascii="Calibri" w:hAnsi="Calibri"/>
                <w:sz w:val="16"/>
              </w:rPr>
              <w:t>ΔAR: 10.0% vs ΔVentas: 13.6%</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Las cuentas a cobrar crecen más rápido que las ventas. Indica relajación de cobros o facturación apresurada (channel stuffing).</w:t>
            </w:r>
          </w:p>
        </w:tc>
      </w:tr>
      <w:tr>
        <w:tc>
          <w:tcPr>
            <w:tcW w:type="dxa" w:w="2160"/>
            <w:tcMar>
              <w:top w:w="60" w:type="dxa"/>
              <w:bottom w:w="60" w:type="dxa"/>
              <w:left w:w="80" w:type="dxa"/>
              <w:right w:w="80" w:type="dxa"/>
            </w:tcMar>
          </w:tcPr>
          <w:p>
            <w:pPr>
              <w:jc w:val="left"/>
            </w:pPr>
            <w:r>
              <w:rPr>
                <w:rFonts w:ascii="Calibri" w:hAnsi="Calibri"/>
                <w:sz w:val="16"/>
              </w:rPr>
              <w:t>3. Inventarios vs. Coste de Ventas</w:t>
            </w:r>
          </w:p>
        </w:tc>
        <w:tc>
          <w:tcPr>
            <w:tcW w:type="dxa" w:w="2016"/>
            <w:tcMar>
              <w:top w:w="60" w:type="dxa"/>
              <w:bottom w:w="60" w:type="dxa"/>
              <w:left w:w="80" w:type="dxa"/>
              <w:right w:w="80" w:type="dxa"/>
            </w:tcMar>
          </w:tcPr>
          <w:p>
            <w:pPr>
              <w:jc w:val="left"/>
            </w:pPr>
            <w:r>
              <w:rPr>
                <w:rFonts w:ascii="Calibri" w:hAnsi="Calibri"/>
                <w:sz w:val="16"/>
              </w:rPr>
              <w:t>Δ Inventarios % &gt; Δ Coste de Ventas %</w:t>
            </w:r>
          </w:p>
        </w:tc>
        <w:tc>
          <w:tcPr>
            <w:tcW w:type="dxa" w:w="1872"/>
            <w:tcMar>
              <w:top w:w="60" w:type="dxa"/>
              <w:bottom w:w="60" w:type="dxa"/>
              <w:left w:w="80" w:type="dxa"/>
              <w:right w:w="80" w:type="dxa"/>
            </w:tcMar>
          </w:tcPr>
          <w:p>
            <w:pPr>
              <w:jc w:val="left"/>
            </w:pPr>
            <w:r>
              <w:rPr>
                <w:rFonts w:ascii="Calibri" w:hAnsi="Calibri"/>
                <w:sz w:val="16"/>
              </w:rPr>
              <w:t>N/D</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Las existencias crecen más rápido que los costes de venta. Puede esconder producto no vendido o absorción de costes en inventario para inflar márgenes.</w:t>
            </w:r>
          </w:p>
        </w:tc>
      </w:tr>
      <w:tr>
        <w:tc>
          <w:tcPr>
            <w:tcW w:type="dxa" w:w="2160"/>
            <w:tcMar>
              <w:top w:w="60" w:type="dxa"/>
              <w:bottom w:w="60" w:type="dxa"/>
              <w:left w:w="80" w:type="dxa"/>
              <w:right w:w="80" w:type="dxa"/>
            </w:tcMar>
          </w:tcPr>
          <w:p>
            <w:pPr>
              <w:jc w:val="left"/>
            </w:pPr>
            <w:r>
              <w:rPr>
                <w:rFonts w:ascii="Calibri" w:hAnsi="Calibri"/>
                <w:sz w:val="16"/>
              </w:rPr>
              <w:t>4. Deterioro del Margen Bruto</w:t>
            </w:r>
          </w:p>
        </w:tc>
        <w:tc>
          <w:tcPr>
            <w:tcW w:type="dxa" w:w="2016"/>
            <w:tcMar>
              <w:top w:w="60" w:type="dxa"/>
              <w:bottom w:w="60" w:type="dxa"/>
              <w:left w:w="80" w:type="dxa"/>
              <w:right w:w="80" w:type="dxa"/>
            </w:tcMar>
          </w:tcPr>
          <w:p>
            <w:pPr>
              <w:jc w:val="left"/>
            </w:pPr>
            <w:r>
              <w:rPr>
                <w:rFonts w:ascii="Calibri" w:hAnsi="Calibri"/>
                <w:sz w:val="16"/>
              </w:rPr>
              <w:t>Margen Bruto_t &lt; Margen Bruto_t-1</w:t>
            </w:r>
          </w:p>
        </w:tc>
        <w:tc>
          <w:tcPr>
            <w:tcW w:type="dxa" w:w="1872"/>
            <w:tcMar>
              <w:top w:w="60" w:type="dxa"/>
              <w:bottom w:w="60" w:type="dxa"/>
              <w:left w:w="80" w:type="dxa"/>
              <w:right w:w="80" w:type="dxa"/>
            </w:tcMar>
          </w:tcPr>
          <w:p>
            <w:pPr>
              <w:jc w:val="left"/>
            </w:pPr>
            <w:r>
              <w:rPr>
                <w:rFonts w:ascii="Calibri" w:hAnsi="Calibri"/>
                <w:sz w:val="16"/>
              </w:rPr>
              <w:t>Margen Bruto: 81.75% vs 82.0%</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El deterioro del margen bruto genera incentivos en los ejecutivos para estirar partidas contables inferiores.</w:t>
            </w:r>
          </w:p>
        </w:tc>
      </w:tr>
      <w:tr>
        <w:tc>
          <w:tcPr>
            <w:tcW w:type="dxa" w:w="2160"/>
            <w:tcMar>
              <w:top w:w="60" w:type="dxa"/>
              <w:bottom w:w="60" w:type="dxa"/>
              <w:left w:w="80" w:type="dxa"/>
              <w:right w:w="80" w:type="dxa"/>
            </w:tcMar>
          </w:tcPr>
          <w:p>
            <w:pPr>
              <w:jc w:val="left"/>
            </w:pPr>
            <w:r>
              <w:rPr>
                <w:rFonts w:ascii="Calibri" w:hAnsi="Calibri"/>
                <w:sz w:val="16"/>
              </w:rPr>
              <w:t>5. Incremento de Activos Blandos</w:t>
            </w:r>
          </w:p>
        </w:tc>
        <w:tc>
          <w:tcPr>
            <w:tcW w:type="dxa" w:w="2016"/>
            <w:tcMar>
              <w:top w:w="60" w:type="dxa"/>
              <w:bottom w:w="60" w:type="dxa"/>
              <w:left w:w="80" w:type="dxa"/>
              <w:right w:w="80" w:type="dxa"/>
            </w:tcMar>
          </w:tcPr>
          <w:p>
            <w:pPr>
              <w:jc w:val="left"/>
            </w:pPr>
            <w:r>
              <w:rPr>
                <w:rFonts w:ascii="Calibri" w:hAnsi="Calibri"/>
                <w:sz w:val="16"/>
              </w:rPr>
              <w:t>Ratio Activos Blandos_t &gt; Ratio Activos Blandos_t-1</w:t>
            </w:r>
          </w:p>
        </w:tc>
        <w:tc>
          <w:tcPr>
            <w:tcW w:type="dxa" w:w="1872"/>
            <w:tcMar>
              <w:top w:w="60" w:type="dxa"/>
              <w:bottom w:w="60" w:type="dxa"/>
              <w:left w:w="80" w:type="dxa"/>
              <w:right w:w="80" w:type="dxa"/>
            </w:tcMar>
          </w:tcPr>
          <w:p>
            <w:pPr>
              <w:jc w:val="left"/>
            </w:pPr>
            <w:r>
              <w:rPr>
                <w:rFonts w:ascii="Calibri" w:hAnsi="Calibri"/>
                <w:sz w:val="16"/>
              </w:rPr>
              <w:t>Activos Blandos: 96.6% vs 90.2%</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Aumento del peso relativo de partidas del balance que no son activos productivos tangibles ni tesorería.</w:t>
            </w:r>
          </w:p>
        </w:tc>
      </w:tr>
      <w:tr>
        <w:tc>
          <w:tcPr>
            <w:tcW w:type="dxa" w:w="2160"/>
            <w:tcMar>
              <w:top w:w="60" w:type="dxa"/>
              <w:bottom w:w="60" w:type="dxa"/>
              <w:left w:w="80" w:type="dxa"/>
              <w:right w:w="80" w:type="dxa"/>
            </w:tcMar>
          </w:tcPr>
          <w:p>
            <w:pPr>
              <w:jc w:val="left"/>
            </w:pPr>
            <w:r>
              <w:rPr>
                <w:rFonts w:ascii="Calibri" w:hAnsi="Calibri"/>
                <w:sz w:val="16"/>
              </w:rPr>
              <w:t>6. Reducción de la Tasa de Depreciación</w:t>
            </w:r>
          </w:p>
        </w:tc>
        <w:tc>
          <w:tcPr>
            <w:tcW w:type="dxa" w:w="2016"/>
            <w:tcMar>
              <w:top w:w="60" w:type="dxa"/>
              <w:bottom w:w="60" w:type="dxa"/>
              <w:left w:w="80" w:type="dxa"/>
              <w:right w:w="80" w:type="dxa"/>
            </w:tcMar>
          </w:tcPr>
          <w:p>
            <w:pPr>
              <w:jc w:val="left"/>
            </w:pPr>
            <w:r>
              <w:rPr>
                <w:rFonts w:ascii="Calibri" w:hAnsi="Calibri"/>
                <w:sz w:val="16"/>
              </w:rPr>
              <w:t>Tasa Depreciación_t &lt; Tasa Depreciación_t-1</w:t>
            </w:r>
          </w:p>
        </w:tc>
        <w:tc>
          <w:tcPr>
            <w:tcW w:type="dxa" w:w="1872"/>
            <w:tcMar>
              <w:top w:w="60" w:type="dxa"/>
              <w:bottom w:w="60" w:type="dxa"/>
              <w:left w:w="80" w:type="dxa"/>
              <w:right w:w="80" w:type="dxa"/>
            </w:tcMar>
          </w:tcPr>
          <w:p>
            <w:pPr>
              <w:jc w:val="left"/>
            </w:pPr>
            <w:r>
              <w:rPr>
                <w:rFonts w:ascii="Calibri" w:hAnsi="Calibri"/>
                <w:sz w:val="16"/>
              </w:rPr>
              <w:t>Tasa Deprec: 100.0% vs 100.0%</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Reducción de la amortización contable respecto a los activos brutos, inflando el beneficio neto al estirar vidas útiles.</w:t>
            </w:r>
          </w:p>
        </w:tc>
      </w:tr>
    </w:tbl>
    <w:p>
      <w:pPr>
        <w:spacing w:before="80" w:after="160"/>
      </w:pPr>
      <w:r>
        <w:rPr>
          <w:rFonts w:ascii="Calibri" w:hAnsi="Calibri"/>
          <w:b/>
          <w:color w:val="1B365D"/>
          <w:sz w:val="17"/>
        </w:rPr>
        <w:t>Dictamen Montier: 2 / 6 Banderas — RIESGO MODERADO / ALERTA PREVENTIVA. Probabilidad empírica de manipulación moderada (&lt; 25%).</w:t>
      </w:r>
    </w:p>
    <w:p>
      <w:pPr>
        <w:pStyle w:val="Heading2"/>
      </w:pPr>
      <w:r>
        <w:rPr>
          <w:rFonts w:ascii="Calibri" w:hAnsi="Calibri"/>
          <w:b/>
          <w:color w:val="1B365D"/>
          <w:sz w:val="23"/>
        </w:rPr>
        <w:t>12.4. Cuadro de Mando Consolidado de Fidelidad Contable</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016"/>
        <w:gridCol w:w="1440"/>
        <w:gridCol w:w="1728"/>
        <w:gridCol w:w="2592"/>
      </w:tblGrid>
      <w:tr>
        <w:tc>
          <w:tcPr>
            <w:tcW w:type="dxa" w:w="2016"/>
            <w:shd w:fill="1B365D"/>
            <w:tcMar>
              <w:top w:w="80" w:type="dxa"/>
              <w:bottom w:w="80" w:type="dxa"/>
              <w:left w:w="80" w:type="dxa"/>
              <w:right w:w="80" w:type="dxa"/>
            </w:tcMar>
          </w:tcPr>
          <w:p>
            <w:pPr>
              <w:jc w:val="left"/>
            </w:pPr>
            <w:r>
              <w:rPr>
                <w:rFonts w:ascii="Calibri" w:hAnsi="Calibri"/>
                <w:b/>
                <w:color w:val="FFFFFF"/>
                <w:sz w:val="17"/>
              </w:rPr>
              <w:t>Dimensión Forense</w:t>
            </w:r>
          </w:p>
        </w:tc>
        <w:tc>
          <w:tcPr>
            <w:tcW w:type="dxa" w:w="2016"/>
            <w:shd w:fill="1B365D"/>
            <w:tcMar>
              <w:top w:w="80" w:type="dxa"/>
              <w:bottom w:w="80" w:type="dxa"/>
              <w:left w:w="80" w:type="dxa"/>
              <w:right w:w="80" w:type="dxa"/>
            </w:tcMar>
          </w:tcPr>
          <w:p>
            <w:pPr>
              <w:jc w:val="left"/>
            </w:pPr>
            <w:r>
              <w:rPr>
                <w:rFonts w:ascii="Calibri" w:hAnsi="Calibri"/>
                <w:b/>
                <w:color w:val="FFFFFF"/>
                <w:sz w:val="17"/>
              </w:rPr>
              <w:t>Indicador Clave</w:t>
            </w:r>
          </w:p>
        </w:tc>
        <w:tc>
          <w:tcPr>
            <w:tcW w:type="dxa" w:w="1440"/>
            <w:shd w:fill="1B365D"/>
            <w:tcMar>
              <w:top w:w="80" w:type="dxa"/>
              <w:bottom w:w="80" w:type="dxa"/>
              <w:left w:w="80" w:type="dxa"/>
              <w:right w:w="80" w:type="dxa"/>
            </w:tcMar>
          </w:tcPr>
          <w:p>
            <w:pPr>
              <w:jc w:val="center"/>
            </w:pPr>
            <w:r>
              <w:rPr>
                <w:rFonts w:ascii="Calibri" w:hAnsi="Calibri"/>
                <w:b/>
                <w:color w:val="FFFFFF"/>
                <w:sz w:val="17"/>
              </w:rPr>
              <w:t>Valor LTM</w:t>
            </w:r>
          </w:p>
        </w:tc>
        <w:tc>
          <w:tcPr>
            <w:tcW w:type="dxa" w:w="1728"/>
            <w:shd w:fill="1B365D"/>
            <w:tcMar>
              <w:top w:w="80" w:type="dxa"/>
              <w:bottom w:w="80" w:type="dxa"/>
              <w:left w:w="80" w:type="dxa"/>
              <w:right w:w="80" w:type="dxa"/>
            </w:tcMar>
          </w:tcPr>
          <w:p>
            <w:pPr>
              <w:jc w:val="center"/>
            </w:pPr>
            <w:r>
              <w:rPr>
                <w:rFonts w:ascii="Calibri" w:hAnsi="Calibri"/>
                <w:b/>
                <w:color w:val="FFFFFF"/>
                <w:sz w:val="17"/>
              </w:rPr>
              <w:t>Zona de Seguridad</w:t>
            </w:r>
          </w:p>
        </w:tc>
        <w:tc>
          <w:tcPr>
            <w:tcW w:type="dxa" w:w="2592"/>
            <w:shd w:fill="1B365D"/>
            <w:tcMar>
              <w:top w:w="80" w:type="dxa"/>
              <w:bottom w:w="80" w:type="dxa"/>
              <w:left w:w="80" w:type="dxa"/>
              <w:right w:w="80" w:type="dxa"/>
            </w:tcMar>
          </w:tcPr>
          <w:p>
            <w:pPr>
              <w:jc w:val="left"/>
            </w:pPr>
            <w:r>
              <w:rPr>
                <w:rFonts w:ascii="Calibri" w:hAnsi="Calibri"/>
                <w:b/>
                <w:color w:val="FFFFFF"/>
                <w:sz w:val="17"/>
              </w:rPr>
              <w:t>Diagnóstico para el Inversor</w:t>
            </w:r>
          </w:p>
        </w:tc>
      </w:tr>
      <w:tr>
        <w:tc>
          <w:tcPr>
            <w:tcW w:type="dxa" w:w="2016"/>
            <w:tcMar>
              <w:top w:w="60" w:type="dxa"/>
              <w:bottom w:w="60" w:type="dxa"/>
              <w:left w:w="80" w:type="dxa"/>
              <w:right w:w="80" w:type="dxa"/>
            </w:tcMar>
          </w:tcPr>
          <w:p>
            <w:pPr>
              <w:jc w:val="left"/>
            </w:pPr>
            <w:r>
              <w:rPr>
                <w:rFonts w:ascii="Calibri" w:hAnsi="Calibri"/>
                <w:b/>
                <w:sz w:val="17"/>
              </w:rPr>
              <w:t>Calidad de Beneficios</w:t>
            </w:r>
          </w:p>
        </w:tc>
        <w:tc>
          <w:tcPr>
            <w:tcW w:type="dxa" w:w="2016"/>
            <w:tcMar>
              <w:top w:w="60" w:type="dxa"/>
              <w:bottom w:w="60" w:type="dxa"/>
              <w:left w:w="80" w:type="dxa"/>
              <w:right w:w="80" w:type="dxa"/>
            </w:tcMar>
          </w:tcPr>
          <w:p>
            <w:pPr>
              <w:jc w:val="left"/>
            </w:pPr>
            <w:r>
              <w:rPr>
                <w:rFonts w:ascii="Calibri" w:hAnsi="Calibri"/>
                <w:b/>
                <w:sz w:val="17"/>
              </w:rPr>
              <w:t>Ratio Devengos Sloan</w:t>
            </w:r>
          </w:p>
        </w:tc>
        <w:tc>
          <w:tcPr>
            <w:tcW w:type="dxa" w:w="1440"/>
            <w:tcMar>
              <w:top w:w="60" w:type="dxa"/>
              <w:bottom w:w="60" w:type="dxa"/>
              <w:left w:w="80" w:type="dxa"/>
              <w:right w:w="80" w:type="dxa"/>
            </w:tcMar>
          </w:tcPr>
          <w:p>
            <w:pPr>
              <w:jc w:val="center"/>
            </w:pPr>
            <w:r>
              <w:rPr>
                <w:rFonts w:ascii="Calibri" w:hAnsi="Calibri"/>
                <w:sz w:val="17"/>
              </w:rPr>
              <w:t>-15.25%</w:t>
            </w:r>
          </w:p>
        </w:tc>
        <w:tc>
          <w:tcPr>
            <w:tcW w:type="dxa" w:w="1728"/>
            <w:tcMar>
              <w:top w:w="60" w:type="dxa"/>
              <w:bottom w:w="60" w:type="dxa"/>
              <w:left w:w="80" w:type="dxa"/>
              <w:right w:w="80" w:type="dxa"/>
            </w:tcMar>
          </w:tcPr>
          <w:p>
            <w:pPr>
              <w:jc w:val="center"/>
            </w:pPr>
            <w:r>
              <w:rPr>
                <w:rFonts w:ascii="Calibri" w:hAnsi="Calibri"/>
                <w:sz w:val="17"/>
              </w:rPr>
              <w:t>&lt; -3.0% (Excelente)</w:t>
            </w:r>
          </w:p>
        </w:tc>
        <w:tc>
          <w:tcPr>
            <w:tcW w:type="dxa" w:w="2592"/>
            <w:tcMar>
              <w:top w:w="60" w:type="dxa"/>
              <w:bottom w:w="60" w:type="dxa"/>
              <w:left w:w="80" w:type="dxa"/>
              <w:right w:w="80" w:type="dxa"/>
            </w:tcMar>
          </w:tcPr>
          <w:p>
            <w:pPr>
              <w:jc w:val="left"/>
            </w:pPr>
            <w:r>
              <w:rPr>
                <w:rFonts w:ascii="Calibri" w:hAnsi="Calibri"/>
                <w:sz w:val="17"/>
              </w:rPr>
              <w:t>Caja operativa supera a utilidad; devengos negativos protectores.</w:t>
            </w:r>
          </w:p>
        </w:tc>
      </w:tr>
      <w:tr>
        <w:tc>
          <w:tcPr>
            <w:tcW w:type="dxa" w:w="2016"/>
            <w:tcMar>
              <w:top w:w="60" w:type="dxa"/>
              <w:bottom w:w="60" w:type="dxa"/>
              <w:left w:w="80" w:type="dxa"/>
              <w:right w:w="80" w:type="dxa"/>
            </w:tcMar>
          </w:tcPr>
          <w:p>
            <w:pPr>
              <w:jc w:val="left"/>
            </w:pPr>
            <w:r>
              <w:rPr>
                <w:rFonts w:ascii="Calibri" w:hAnsi="Calibri"/>
                <w:b/>
                <w:sz w:val="17"/>
              </w:rPr>
              <w:t>Conversión de Ganancias</w:t>
            </w:r>
          </w:p>
        </w:tc>
        <w:tc>
          <w:tcPr>
            <w:tcW w:type="dxa" w:w="2016"/>
            <w:tcMar>
              <w:top w:w="60" w:type="dxa"/>
              <w:bottom w:w="60" w:type="dxa"/>
              <w:left w:w="80" w:type="dxa"/>
              <w:right w:w="80" w:type="dxa"/>
            </w:tcMar>
          </w:tcPr>
          <w:p>
            <w:pPr>
              <w:jc w:val="left"/>
            </w:pPr>
            <w:r>
              <w:rPr>
                <w:rFonts w:ascii="Calibri" w:hAnsi="Calibri"/>
                <w:b/>
                <w:sz w:val="17"/>
              </w:rPr>
              <w:t>Ratio CFO / Net Income</w:t>
            </w:r>
          </w:p>
        </w:tc>
        <w:tc>
          <w:tcPr>
            <w:tcW w:type="dxa" w:w="1440"/>
            <w:tcMar>
              <w:top w:w="60" w:type="dxa"/>
              <w:bottom w:w="60" w:type="dxa"/>
              <w:left w:w="80" w:type="dxa"/>
              <w:right w:w="80" w:type="dxa"/>
            </w:tcMar>
          </w:tcPr>
          <w:p>
            <w:pPr>
              <w:jc w:val="center"/>
            </w:pPr>
            <w:r>
              <w:rPr>
                <w:rFonts w:ascii="Calibri" w:hAnsi="Calibri"/>
                <w:sz w:val="17"/>
              </w:rPr>
              <w:t>191.3%</w:t>
            </w:r>
          </w:p>
        </w:tc>
        <w:tc>
          <w:tcPr>
            <w:tcW w:type="dxa" w:w="1728"/>
            <w:tcMar>
              <w:top w:w="60" w:type="dxa"/>
              <w:bottom w:w="60" w:type="dxa"/>
              <w:left w:w="80" w:type="dxa"/>
              <w:right w:w="80" w:type="dxa"/>
            </w:tcMar>
          </w:tcPr>
          <w:p>
            <w:pPr>
              <w:jc w:val="center"/>
            </w:pPr>
            <w:r>
              <w:rPr>
                <w:rFonts w:ascii="Calibri" w:hAnsi="Calibri"/>
                <w:sz w:val="17"/>
              </w:rPr>
              <w:t>&gt; 100.0%</w:t>
            </w:r>
          </w:p>
        </w:tc>
        <w:tc>
          <w:tcPr>
            <w:tcW w:type="dxa" w:w="2592"/>
            <w:tcMar>
              <w:top w:w="60" w:type="dxa"/>
              <w:bottom w:w="60" w:type="dxa"/>
              <w:left w:w="80" w:type="dxa"/>
              <w:right w:w="80" w:type="dxa"/>
            </w:tcMar>
          </w:tcPr>
          <w:p>
            <w:pPr>
              <w:jc w:val="left"/>
            </w:pPr>
            <w:r>
              <w:rPr>
                <w:rFonts w:ascii="Calibri" w:hAnsi="Calibri"/>
                <w:sz w:val="17"/>
              </w:rPr>
              <w:t>Conversión ultra-eficiente de beneficios contables en liquidez real.</w:t>
            </w:r>
          </w:p>
        </w:tc>
      </w:tr>
      <w:tr>
        <w:tc>
          <w:tcPr>
            <w:tcW w:type="dxa" w:w="2016"/>
            <w:tcMar>
              <w:top w:w="60" w:type="dxa"/>
              <w:bottom w:w="60" w:type="dxa"/>
              <w:left w:w="80" w:type="dxa"/>
              <w:right w:w="80" w:type="dxa"/>
            </w:tcMar>
          </w:tcPr>
          <w:p>
            <w:pPr>
              <w:jc w:val="left"/>
            </w:pPr>
            <w:r>
              <w:rPr>
                <w:rFonts w:ascii="Calibri" w:hAnsi="Calibri"/>
                <w:b/>
                <w:sz w:val="17"/>
              </w:rPr>
              <w:t>Riesgo Channel Stuffing</w:t>
            </w:r>
          </w:p>
        </w:tc>
        <w:tc>
          <w:tcPr>
            <w:tcW w:type="dxa" w:w="2016"/>
            <w:tcMar>
              <w:top w:w="60" w:type="dxa"/>
              <w:bottom w:w="60" w:type="dxa"/>
              <w:left w:w="80" w:type="dxa"/>
              <w:right w:w="80" w:type="dxa"/>
            </w:tcMar>
          </w:tcPr>
          <w:p>
            <w:pPr>
              <w:jc w:val="left"/>
            </w:pPr>
            <w:r>
              <w:rPr>
                <w:rFonts w:ascii="Calibri" w:hAnsi="Calibri"/>
                <w:b/>
                <w:sz w:val="17"/>
              </w:rPr>
              <w:t>Spread AR vs. Ventas</w:t>
            </w:r>
          </w:p>
        </w:tc>
        <w:tc>
          <w:tcPr>
            <w:tcW w:type="dxa" w:w="1440"/>
            <w:tcMar>
              <w:top w:w="60" w:type="dxa"/>
              <w:bottom w:w="60" w:type="dxa"/>
              <w:left w:w="80" w:type="dxa"/>
              <w:right w:w="80" w:type="dxa"/>
            </w:tcMar>
          </w:tcPr>
          <w:p>
            <w:pPr>
              <w:jc w:val="center"/>
            </w:pPr>
            <w:r>
              <w:rPr>
                <w:rFonts w:ascii="Calibri" w:hAnsi="Calibri"/>
                <w:sz w:val="17"/>
              </w:rPr>
              <w:t>-3.5%</w:t>
            </w:r>
          </w:p>
        </w:tc>
        <w:tc>
          <w:tcPr>
            <w:tcW w:type="dxa" w:w="1728"/>
            <w:tcMar>
              <w:top w:w="60" w:type="dxa"/>
              <w:bottom w:w="60" w:type="dxa"/>
              <w:left w:w="80" w:type="dxa"/>
              <w:right w:w="80" w:type="dxa"/>
            </w:tcMar>
          </w:tcPr>
          <w:p>
            <w:pPr>
              <w:jc w:val="center"/>
            </w:pPr>
            <w:r>
              <w:rPr>
                <w:rFonts w:ascii="Calibri" w:hAnsi="Calibri"/>
                <w:sz w:val="17"/>
              </w:rPr>
              <w:t>&lt; +10.0%</w:t>
            </w:r>
          </w:p>
        </w:tc>
        <w:tc>
          <w:tcPr>
            <w:tcW w:type="dxa" w:w="2592"/>
            <w:tcMar>
              <w:top w:w="60" w:type="dxa"/>
              <w:bottom w:w="60" w:type="dxa"/>
              <w:left w:w="80" w:type="dxa"/>
              <w:right w:w="80" w:type="dxa"/>
            </w:tcMar>
          </w:tcPr>
          <w:p>
            <w:pPr>
              <w:jc w:val="left"/>
            </w:pPr>
            <w:r>
              <w:rPr>
                <w:rFonts w:ascii="Calibri" w:hAnsi="Calibri"/>
                <w:sz w:val="17"/>
              </w:rPr>
              <w:t>Cobranza disciplinada (DSO: 34.8d); cobros sincronizados sin ventas infladas.</w:t>
            </w:r>
          </w:p>
        </w:tc>
      </w:tr>
      <w:tr>
        <w:tc>
          <w:tcPr>
            <w:tcW w:type="dxa" w:w="2016"/>
            <w:tcMar>
              <w:top w:w="60" w:type="dxa"/>
              <w:bottom w:w="60" w:type="dxa"/>
              <w:left w:w="80" w:type="dxa"/>
              <w:right w:w="80" w:type="dxa"/>
            </w:tcMar>
          </w:tcPr>
          <w:p>
            <w:pPr>
              <w:jc w:val="left"/>
            </w:pPr>
            <w:r>
              <w:rPr>
                <w:rFonts w:ascii="Calibri" w:hAnsi="Calibri"/>
                <w:b/>
                <w:sz w:val="17"/>
              </w:rPr>
              <w:t>Gestión de Existencias</w:t>
            </w:r>
          </w:p>
        </w:tc>
        <w:tc>
          <w:tcPr>
            <w:tcW w:type="dxa" w:w="2016"/>
            <w:tcMar>
              <w:top w:w="60" w:type="dxa"/>
              <w:bottom w:w="60" w:type="dxa"/>
              <w:left w:w="80" w:type="dxa"/>
              <w:right w:w="80" w:type="dxa"/>
            </w:tcMar>
          </w:tcPr>
          <w:p>
            <w:pPr>
              <w:jc w:val="left"/>
            </w:pPr>
            <w:r>
              <w:rPr>
                <w:rFonts w:ascii="Calibri" w:hAnsi="Calibri"/>
                <w:b/>
                <w:sz w:val="17"/>
              </w:rPr>
              <w:t>Días Inventario (DIO)</w:t>
            </w:r>
          </w:p>
        </w:tc>
        <w:tc>
          <w:tcPr>
            <w:tcW w:type="dxa" w:w="1440"/>
            <w:tcMar>
              <w:top w:w="60" w:type="dxa"/>
              <w:bottom w:w="60" w:type="dxa"/>
              <w:left w:w="80" w:type="dxa"/>
              <w:right w:w="80" w:type="dxa"/>
            </w:tcMar>
          </w:tcPr>
          <w:p>
            <w:pPr>
              <w:jc w:val="center"/>
            </w:pPr>
            <w:r>
              <w:rPr>
                <w:rFonts w:ascii="Calibri" w:hAnsi="Calibri"/>
                <w:sz w:val="17"/>
              </w:rPr>
              <w:t>0.0 días</w:t>
            </w:r>
          </w:p>
        </w:tc>
        <w:tc>
          <w:tcPr>
            <w:tcW w:type="dxa" w:w="1728"/>
            <w:tcMar>
              <w:top w:w="60" w:type="dxa"/>
              <w:bottom w:w="60" w:type="dxa"/>
              <w:left w:w="80" w:type="dxa"/>
              <w:right w:w="80" w:type="dxa"/>
            </w:tcMar>
          </w:tcPr>
          <w:p>
            <w:pPr>
              <w:jc w:val="center"/>
            </w:pPr>
            <w:r>
              <w:rPr>
                <w:rFonts w:ascii="Calibri" w:hAnsi="Calibri"/>
                <w:sz w:val="17"/>
              </w:rPr>
              <w:t>&lt; 45 días</w:t>
            </w:r>
          </w:p>
        </w:tc>
        <w:tc>
          <w:tcPr>
            <w:tcW w:type="dxa" w:w="2592"/>
            <w:tcMar>
              <w:top w:w="60" w:type="dxa"/>
              <w:bottom w:w="60" w:type="dxa"/>
              <w:left w:w="80" w:type="dxa"/>
              <w:right w:w="80" w:type="dxa"/>
            </w:tcMar>
          </w:tcPr>
          <w:p>
            <w:pPr>
              <w:jc w:val="left"/>
            </w:pPr>
            <w:r>
              <w:rPr>
                <w:rFonts w:ascii="Calibri" w:hAnsi="Calibri"/>
                <w:sz w:val="17"/>
              </w:rPr>
              <w:t>Rotación ultra-rápida (0.0d); mínima inmovilización de capital.</w:t>
            </w:r>
          </w:p>
        </w:tc>
      </w:tr>
      <w:tr>
        <w:tc>
          <w:tcPr>
            <w:tcW w:type="dxa" w:w="2016"/>
            <w:tcMar>
              <w:top w:w="60" w:type="dxa"/>
              <w:bottom w:w="60" w:type="dxa"/>
              <w:left w:w="80" w:type="dxa"/>
              <w:right w:w="80" w:type="dxa"/>
            </w:tcMar>
          </w:tcPr>
          <w:p>
            <w:pPr>
              <w:jc w:val="left"/>
            </w:pPr>
            <w:r>
              <w:rPr>
                <w:rFonts w:ascii="Calibri" w:hAnsi="Calibri"/>
                <w:b/>
                <w:sz w:val="17"/>
              </w:rPr>
              <w:t>Integridad del Balance</w:t>
            </w:r>
          </w:p>
        </w:tc>
        <w:tc>
          <w:tcPr>
            <w:tcW w:type="dxa" w:w="2016"/>
            <w:tcMar>
              <w:top w:w="60" w:type="dxa"/>
              <w:bottom w:w="60" w:type="dxa"/>
              <w:left w:w="80" w:type="dxa"/>
              <w:right w:w="80" w:type="dxa"/>
            </w:tcMar>
          </w:tcPr>
          <w:p>
            <w:pPr>
              <w:jc w:val="left"/>
            </w:pPr>
            <w:r>
              <w:rPr>
                <w:rFonts w:ascii="Calibri" w:hAnsi="Calibri"/>
                <w:b/>
                <w:sz w:val="17"/>
              </w:rPr>
              <w:t>Variación Activos Blandos</w:t>
            </w:r>
          </w:p>
        </w:tc>
        <w:tc>
          <w:tcPr>
            <w:tcW w:type="dxa" w:w="1440"/>
            <w:tcMar>
              <w:top w:w="60" w:type="dxa"/>
              <w:bottom w:w="60" w:type="dxa"/>
              <w:left w:w="80" w:type="dxa"/>
              <w:right w:w="80" w:type="dxa"/>
            </w:tcMar>
          </w:tcPr>
          <w:p>
            <w:pPr>
              <w:jc w:val="center"/>
            </w:pPr>
            <w:r>
              <w:rPr>
                <w:rFonts w:ascii="Calibri" w:hAnsi="Calibri"/>
                <w:sz w:val="17"/>
              </w:rPr>
              <w:t>+6.4 pp</w:t>
            </w:r>
          </w:p>
        </w:tc>
        <w:tc>
          <w:tcPr>
            <w:tcW w:type="dxa" w:w="1728"/>
            <w:tcMar>
              <w:top w:w="60" w:type="dxa"/>
              <w:bottom w:w="60" w:type="dxa"/>
              <w:left w:w="80" w:type="dxa"/>
              <w:right w:w="80" w:type="dxa"/>
            </w:tcMar>
          </w:tcPr>
          <w:p>
            <w:pPr>
              <w:jc w:val="center"/>
            </w:pPr>
            <w:r>
              <w:rPr>
                <w:rFonts w:ascii="Calibri" w:hAnsi="Calibri"/>
                <w:sz w:val="17"/>
              </w:rPr>
              <w:t>&lt; +2.0 pp</w:t>
            </w:r>
          </w:p>
        </w:tc>
        <w:tc>
          <w:tcPr>
            <w:tcW w:type="dxa" w:w="2592"/>
            <w:tcMar>
              <w:top w:w="60" w:type="dxa"/>
              <w:bottom w:w="60" w:type="dxa"/>
              <w:left w:w="80" w:type="dxa"/>
              <w:right w:w="80" w:type="dxa"/>
            </w:tcMar>
          </w:tcPr>
          <w:p>
            <w:pPr>
              <w:jc w:val="left"/>
            </w:pPr>
            <w:r>
              <w:rPr>
                <w:rFonts w:ascii="Calibri" w:hAnsi="Calibri"/>
                <w:sz w:val="17"/>
              </w:rPr>
              <w:t>Alerta (+6.4 pp): Aumento en activos no físicos; auditar intangibles.</w:t>
            </w:r>
          </w:p>
        </w:tc>
      </w:tr>
      <w:tr>
        <w:tc>
          <w:tcPr>
            <w:tcW w:type="dxa" w:w="2016"/>
            <w:tcMar>
              <w:top w:w="60" w:type="dxa"/>
              <w:bottom w:w="60" w:type="dxa"/>
              <w:left w:w="80" w:type="dxa"/>
              <w:right w:w="80" w:type="dxa"/>
            </w:tcMar>
          </w:tcPr>
          <w:p>
            <w:pPr>
              <w:jc w:val="left"/>
            </w:pPr>
            <w:r>
              <w:rPr>
                <w:rFonts w:ascii="Calibri" w:hAnsi="Calibri"/>
                <w:b/>
                <w:sz w:val="17"/>
              </w:rPr>
              <w:t>Manipulación Agregada</w:t>
            </w:r>
          </w:p>
        </w:tc>
        <w:tc>
          <w:tcPr>
            <w:tcW w:type="dxa" w:w="2016"/>
            <w:tcMar>
              <w:top w:w="60" w:type="dxa"/>
              <w:bottom w:w="60" w:type="dxa"/>
              <w:left w:w="80" w:type="dxa"/>
              <w:right w:w="80" w:type="dxa"/>
            </w:tcMar>
          </w:tcPr>
          <w:p>
            <w:pPr>
              <w:jc w:val="left"/>
            </w:pPr>
            <w:r>
              <w:rPr>
                <w:rFonts w:ascii="Calibri" w:hAnsi="Calibri"/>
                <w:b/>
                <w:sz w:val="17"/>
              </w:rPr>
              <w:t>Montier C-Score Total</w:t>
            </w:r>
          </w:p>
        </w:tc>
        <w:tc>
          <w:tcPr>
            <w:tcW w:type="dxa" w:w="1440"/>
            <w:tcMar>
              <w:top w:w="60" w:type="dxa"/>
              <w:bottom w:w="60" w:type="dxa"/>
              <w:left w:w="80" w:type="dxa"/>
              <w:right w:w="80" w:type="dxa"/>
            </w:tcMar>
          </w:tcPr>
          <w:p>
            <w:pPr>
              <w:jc w:val="center"/>
            </w:pPr>
            <w:r>
              <w:rPr>
                <w:rFonts w:ascii="Calibri" w:hAnsi="Calibri"/>
                <w:sz w:val="17"/>
              </w:rPr>
              <w:t>2 / 6</w:t>
            </w:r>
          </w:p>
        </w:tc>
        <w:tc>
          <w:tcPr>
            <w:tcW w:type="dxa" w:w="1728"/>
            <w:tcMar>
              <w:top w:w="60" w:type="dxa"/>
              <w:bottom w:w="60" w:type="dxa"/>
              <w:left w:w="80" w:type="dxa"/>
              <w:right w:w="80" w:type="dxa"/>
            </w:tcMar>
          </w:tcPr>
          <w:p>
            <w:pPr>
              <w:jc w:val="center"/>
            </w:pPr>
            <w:r>
              <w:rPr>
                <w:rFonts w:ascii="Calibri" w:hAnsi="Calibri"/>
                <w:sz w:val="17"/>
              </w:rPr>
              <w:t>0 - 1 Banderas</w:t>
            </w:r>
          </w:p>
        </w:tc>
        <w:tc>
          <w:tcPr>
            <w:tcW w:type="dxa" w:w="2592"/>
            <w:tcMar>
              <w:top w:w="60" w:type="dxa"/>
              <w:bottom w:w="60" w:type="dxa"/>
              <w:left w:w="80" w:type="dxa"/>
              <w:right w:w="80" w:type="dxa"/>
            </w:tcMar>
          </w:tcPr>
          <w:p>
            <w:pPr>
              <w:jc w:val="left"/>
            </w:pPr>
            <w:r>
              <w:rPr>
                <w:rFonts w:ascii="Calibri" w:hAnsi="Calibri"/>
                <w:sz w:val="17"/>
              </w:rPr>
              <w:t>Riesgo moderado (2/6); banderas operativas no constitutivas de fraude.</w:t>
            </w:r>
          </w:p>
        </w:tc>
      </w:tr>
    </w:tbl>
    <w:p>
      <w:pPr>
        <w:spacing w:after="160"/>
      </w:pPr>
    </w:p>
    <w:p>
      <w:pPr>
        <w:pStyle w:val="Heading1"/>
      </w:pPr>
      <w:r>
        <w:t>13. Solvencia, Deuda y Estrés Financiero (Credit Risk Engine)</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Pr>
          <w:p>
            <w:r>
              <w:rPr>
                <w:b/>
                <w:color w:val="1B365D"/>
                <w:sz w:val="22"/>
              </w:rPr>
              <w:t>DICTAMEN GLOBAL DE SOLVENCIA (LTM): MÁXIMA SOLVENCIA INSTITUCIONAL</w:t>
              <w:br/>
            </w:r>
            <w:r>
              <w:rPr>
                <w:color w:val="2D3748"/>
                <w:sz w:val="19"/>
              </w:rPr>
              <w:t>Rating Sintético Damodaran: AAA (GRADO INSTITUCIONAL MÁXIMO (AAA / Aaa)) | Altman Z''-Score: 4.9 [ZONA SEGURA]</w:t>
              <w:br/>
              <w:br/>
              <w:t>FORTALEZA FINANCIERA INQUEBRANTABLE (GRADO INSTITUCIONAL AAA/AA): Apalancamiento óptimo (CAJA NETA), cobertura de intereses de 108.1x y Altman Z''-Score de 4.9 en Zona Segura. Cero estrés crediticio, con capacidad excepcional de financiación en cualquier ciclo macroeconómico.</w:t>
            </w:r>
          </w:p>
        </w:tc>
      </w:tr>
    </w:tbl>
    <w:p/>
    <w:p>
      <w:pPr>
        <w:pStyle w:val="Heading2"/>
      </w:pPr>
      <w:r>
        <w:t>13.1. Apalancamiento y Capacidad de Amortización (Cash Flow Leverage)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Amortización</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Diagnóstico</w:t>
            </w:r>
          </w:p>
        </w:tc>
      </w:tr>
      <w:tr>
        <w:tc>
          <w:tcPr>
            <w:tcW w:type="dxa" w:w="2448"/>
          </w:tcPr>
          <w:p>
            <w:r>
              <w:rPr>
                <w:b/>
                <w:sz w:val="17"/>
              </w:rPr>
              <w:t>Deuda Financiera Total</w:t>
            </w:r>
          </w:p>
        </w:tc>
        <w:tc>
          <w:tcPr>
            <w:tcW w:type="dxa" w:w="2448"/>
          </w:tcPr>
          <w:p>
            <w:r>
              <w:rPr>
                <w:sz w:val="17"/>
              </w:rPr>
              <w:t>Short + Long Term Debt</w:t>
            </w:r>
          </w:p>
        </w:tc>
        <w:tc>
          <w:tcPr>
            <w:tcW w:type="dxa" w:w="2448"/>
          </w:tcPr>
          <w:p>
            <w:r>
              <w:rPr>
                <w:b/>
                <w:sz w:val="17"/>
              </w:rPr>
              <w:t>$83,664.0M</w:t>
            </w:r>
          </w:p>
        </w:tc>
        <w:tc>
          <w:tcPr>
            <w:tcW w:type="dxa" w:w="2448"/>
          </w:tcPr>
          <w:p>
            <w:r>
              <w:rPr>
                <w:sz w:val="17"/>
              </w:rPr>
              <w:t>Referencia Balance</w:t>
            </w:r>
          </w:p>
        </w:tc>
      </w:tr>
      <w:tr>
        <w:tc>
          <w:tcPr>
            <w:tcW w:type="dxa" w:w="2448"/>
            <w:shd w:fill="F7FAFC"/>
          </w:tcPr>
          <w:p>
            <w:r>
              <w:rPr>
                <w:b/>
                <w:sz w:val="17"/>
              </w:rPr>
              <w:t>Tesorería y Equivalentes</w:t>
            </w:r>
          </w:p>
        </w:tc>
        <w:tc>
          <w:tcPr>
            <w:tcW w:type="dxa" w:w="2448"/>
            <w:shd w:fill="F7FAFC"/>
          </w:tcPr>
          <w:p>
            <w:r>
              <w:rPr>
                <w:sz w:val="17"/>
              </w:rPr>
              <w:t>Cash &amp; Equivalents</w:t>
            </w:r>
          </w:p>
        </w:tc>
        <w:tc>
          <w:tcPr>
            <w:tcW w:type="dxa" w:w="2448"/>
            <w:shd w:fill="F7FAFC"/>
          </w:tcPr>
          <w:p>
            <w:r>
              <w:rPr>
                <w:b/>
                <w:sz w:val="17"/>
              </w:rPr>
              <w:t>$90,260.0M</w:t>
            </w:r>
          </w:p>
        </w:tc>
        <w:tc>
          <w:tcPr>
            <w:tcW w:type="dxa" w:w="2448"/>
            <w:shd w:fill="F7FAFC"/>
          </w:tcPr>
          <w:p>
            <w:r>
              <w:rPr>
                <w:sz w:val="17"/>
              </w:rPr>
              <w:t>Liquidez Inmediata</w:t>
            </w:r>
          </w:p>
        </w:tc>
      </w:tr>
      <w:tr>
        <w:tc>
          <w:tcPr>
            <w:tcW w:type="dxa" w:w="2448"/>
          </w:tcPr>
          <w:p>
            <w:r>
              <w:rPr>
                <w:b/>
                <w:sz w:val="17"/>
              </w:rPr>
              <w:t>Deuda Financiera Neta</w:t>
            </w:r>
          </w:p>
        </w:tc>
        <w:tc>
          <w:tcPr>
            <w:tcW w:type="dxa" w:w="2448"/>
          </w:tcPr>
          <w:p>
            <w:r>
              <w:rPr>
                <w:sz w:val="17"/>
              </w:rPr>
              <w:t>Deuda Total - Tesorería</w:t>
            </w:r>
          </w:p>
        </w:tc>
        <w:tc>
          <w:tcPr>
            <w:tcW w:type="dxa" w:w="2448"/>
          </w:tcPr>
          <w:p>
            <w:r>
              <w:rPr>
                <w:b/>
                <w:sz w:val="17"/>
              </w:rPr>
              <w:t>$6,596.0M (Caja Neta)</w:t>
            </w:r>
          </w:p>
        </w:tc>
        <w:tc>
          <w:tcPr>
            <w:tcW w:type="dxa" w:w="2448"/>
          </w:tcPr>
          <w:p>
            <w:r>
              <w:rPr>
                <w:sz w:val="17"/>
              </w:rPr>
              <w:t>Posición Neta de Caja</w:t>
            </w:r>
          </w:p>
        </w:tc>
      </w:tr>
      <w:tr>
        <w:tc>
          <w:tcPr>
            <w:tcW w:type="dxa" w:w="2448"/>
            <w:shd w:fill="F7FAFC"/>
          </w:tcPr>
          <w:p>
            <w:r>
              <w:rPr>
                <w:b/>
                <w:sz w:val="17"/>
              </w:rPr>
              <w:t>Deuda Neta / EBITDA</w:t>
            </w:r>
          </w:p>
        </w:tc>
        <w:tc>
          <w:tcPr>
            <w:tcW w:type="dxa" w:w="2448"/>
            <w:shd w:fill="F7FAFC"/>
          </w:tcPr>
          <w:p>
            <w:r>
              <w:rPr>
                <w:sz w:val="17"/>
              </w:rPr>
              <w:t>Deuda Neta / EBITDA</w:t>
            </w:r>
          </w:p>
        </w:tc>
        <w:tc>
          <w:tcPr>
            <w:tcW w:type="dxa" w:w="2448"/>
            <w:shd w:fill="F7FAFC"/>
          </w:tcPr>
          <w:p>
            <w:r>
              <w:rPr>
                <w:b/>
                <w:sz w:val="17"/>
              </w:rPr>
              <w:t>CAJA NETA</w:t>
            </w:r>
          </w:p>
        </w:tc>
        <w:tc>
          <w:tcPr>
            <w:tcW w:type="dxa" w:w="2448"/>
            <w:shd w:fill="F7FAFC"/>
          </w:tcPr>
          <w:p>
            <w:r>
              <w:rPr>
                <w:sz w:val="17"/>
              </w:rPr>
              <w:t>EXCELENTE (POSICIÓN DE CAJA NETA)</w:t>
            </w:r>
          </w:p>
        </w:tc>
      </w:tr>
      <w:tr>
        <w:tc>
          <w:tcPr>
            <w:tcW w:type="dxa" w:w="2448"/>
          </w:tcPr>
          <w:p>
            <w:r>
              <w:rPr>
                <w:b/>
                <w:sz w:val="17"/>
              </w:rPr>
              <w:t>Deuda Neta / FCF</w:t>
            </w:r>
          </w:p>
        </w:tc>
        <w:tc>
          <w:tcPr>
            <w:tcW w:type="dxa" w:w="2448"/>
          </w:tcPr>
          <w:p>
            <w:r>
              <w:rPr>
                <w:sz w:val="17"/>
              </w:rPr>
              <w:t>Deuda Neta / FCF</w:t>
            </w:r>
          </w:p>
        </w:tc>
        <w:tc>
          <w:tcPr>
            <w:tcW w:type="dxa" w:w="2448"/>
          </w:tcPr>
          <w:p>
            <w:r>
              <w:rPr>
                <w:b/>
                <w:sz w:val="17"/>
              </w:rPr>
              <w:t>CAJA NETA</w:t>
            </w:r>
          </w:p>
        </w:tc>
        <w:tc>
          <w:tcPr>
            <w:tcW w:type="dxa" w:w="2448"/>
          </w:tcPr>
          <w:p>
            <w:r>
              <w:rPr>
                <w:sz w:val="17"/>
              </w:rPr>
              <w:t>Años de Caja Libre</w:t>
            </w:r>
          </w:p>
        </w:tc>
      </w:tr>
    </w:tbl>
    <w:p/>
    <w:p>
      <w:pPr>
        <w:pStyle w:val="Heading2"/>
      </w:pPr>
      <w:r>
        <w:t>13.2. Cobertura de Intereses y Carga Financiera</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Cobertura</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Evaluación</w:t>
            </w:r>
          </w:p>
        </w:tc>
      </w:tr>
      <w:tr>
        <w:tc>
          <w:tcPr>
            <w:tcW w:type="dxa" w:w="2448"/>
          </w:tcPr>
          <w:p>
            <w:r>
              <w:rPr>
                <w:b/>
                <w:sz w:val="17"/>
              </w:rPr>
              <w:t>Beneficio Operativo (EBIT)</w:t>
            </w:r>
          </w:p>
        </w:tc>
        <w:tc>
          <w:tcPr>
            <w:tcW w:type="dxa" w:w="2448"/>
          </w:tcPr>
          <w:p>
            <w:r>
              <w:rPr>
                <w:sz w:val="17"/>
              </w:rPr>
              <w:t>Operating Income</w:t>
            </w:r>
          </w:p>
        </w:tc>
        <w:tc>
          <w:tcPr>
            <w:tcW w:type="dxa" w:w="2448"/>
          </w:tcPr>
          <w:p>
            <w:r>
              <w:rPr>
                <w:b/>
                <w:sz w:val="17"/>
              </w:rPr>
              <w:t>$86,926.0M</w:t>
            </w:r>
          </w:p>
        </w:tc>
        <w:tc>
          <w:tcPr>
            <w:tcW w:type="dxa" w:w="2448"/>
          </w:tcPr>
          <w:p>
            <w:r>
              <w:rPr>
                <w:sz w:val="17"/>
              </w:rPr>
              <w:t>Fondo de Cobertura</w:t>
            </w:r>
          </w:p>
        </w:tc>
      </w:tr>
      <w:tr>
        <w:tc>
          <w:tcPr>
            <w:tcW w:type="dxa" w:w="2448"/>
            <w:shd w:fill="F7FAFC"/>
          </w:tcPr>
          <w:p>
            <w:r>
              <w:rPr>
                <w:b/>
                <w:sz w:val="17"/>
              </w:rPr>
              <w:t>Gasto por Intereses</w:t>
            </w:r>
          </w:p>
        </w:tc>
        <w:tc>
          <w:tcPr>
            <w:tcW w:type="dxa" w:w="2448"/>
            <w:shd w:fill="F7FAFC"/>
          </w:tcPr>
          <w:p>
            <w:r>
              <w:rPr>
                <w:sz w:val="17"/>
              </w:rPr>
              <w:t>Gasto Financiero Auditado/Estimado</w:t>
            </w:r>
          </w:p>
        </w:tc>
        <w:tc>
          <w:tcPr>
            <w:tcW w:type="dxa" w:w="2448"/>
            <w:shd w:fill="F7FAFC"/>
          </w:tcPr>
          <w:p>
            <w:r>
              <w:rPr>
                <w:b/>
                <w:sz w:val="17"/>
              </w:rPr>
              <w:t>$804.0M</w:t>
            </w:r>
          </w:p>
        </w:tc>
        <w:tc>
          <w:tcPr>
            <w:tcW w:type="dxa" w:w="2448"/>
            <w:shd w:fill="F7FAFC"/>
          </w:tcPr>
          <w:p>
            <w:r>
              <w:rPr>
                <w:sz w:val="17"/>
              </w:rPr>
              <w:t>Carga Obligatoria</w:t>
            </w:r>
          </w:p>
        </w:tc>
      </w:tr>
      <w:tr>
        <w:tc>
          <w:tcPr>
            <w:tcW w:type="dxa" w:w="2448"/>
          </w:tcPr>
          <w:p>
            <w:r>
              <w:rPr>
                <w:b/>
                <w:sz w:val="17"/>
              </w:rPr>
              <w:t>Cobertura de Intereses Operativa</w:t>
            </w:r>
          </w:p>
        </w:tc>
        <w:tc>
          <w:tcPr>
            <w:tcW w:type="dxa" w:w="2448"/>
          </w:tcPr>
          <w:p>
            <w:r>
              <w:rPr>
                <w:sz w:val="17"/>
              </w:rPr>
              <w:t>EBIT / Gasto Financiero</w:t>
            </w:r>
          </w:p>
        </w:tc>
        <w:tc>
          <w:tcPr>
            <w:tcW w:type="dxa" w:w="2448"/>
          </w:tcPr>
          <w:p>
            <w:r>
              <w:rPr>
                <w:b/>
                <w:sz w:val="17"/>
              </w:rPr>
              <w:t>108.1x</w:t>
            </w:r>
          </w:p>
        </w:tc>
        <w:tc>
          <w:tcPr>
            <w:tcW w:type="dxa" w:w="2448"/>
          </w:tcPr>
          <w:p>
            <w:r>
              <w:rPr>
                <w:sz w:val="17"/>
              </w:rPr>
              <w:t>COBERTURA EXCELENTE (&gt; 10.0x)</w:t>
            </w:r>
          </w:p>
        </w:tc>
      </w:tr>
      <w:tr>
        <w:tc>
          <w:tcPr>
            <w:tcW w:type="dxa" w:w="2448"/>
            <w:shd w:fill="F7FAFC"/>
          </w:tcPr>
          <w:p>
            <w:r>
              <w:rPr>
                <w:b/>
                <w:sz w:val="17"/>
              </w:rPr>
              <w:t>Carga Financiera sobre CFO</w:t>
            </w:r>
          </w:p>
        </w:tc>
        <w:tc>
          <w:tcPr>
            <w:tcW w:type="dxa" w:w="2448"/>
            <w:shd w:fill="F7FAFC"/>
          </w:tcPr>
          <w:p>
            <w:r>
              <w:rPr>
                <w:sz w:val="17"/>
              </w:rPr>
              <w:t>(Intereses / CFO) * 100</w:t>
            </w:r>
          </w:p>
        </w:tc>
        <w:tc>
          <w:tcPr>
            <w:tcW w:type="dxa" w:w="2448"/>
            <w:shd w:fill="F7FAFC"/>
          </w:tcPr>
          <w:p>
            <w:r>
              <w:rPr>
                <w:b/>
                <w:sz w:val="17"/>
              </w:rPr>
              <w:t>0.62%</w:t>
            </w:r>
          </w:p>
        </w:tc>
        <w:tc>
          <w:tcPr>
            <w:tcW w:type="dxa" w:w="2448"/>
            <w:shd w:fill="F7FAFC"/>
          </w:tcPr>
          <w:p>
            <w:r>
              <w:rPr>
                <w:sz w:val="17"/>
              </w:rPr>
              <w:t>Impacto en Caja</w:t>
            </w:r>
          </w:p>
        </w:tc>
      </w:tr>
    </w:tbl>
    <w:p/>
    <w:p>
      <w:pPr>
        <w:pStyle w:val="Heading2"/>
      </w:pPr>
      <w:r>
        <w:t>13.3. Modelos de Quiebra (Altman Z'') y Rating Sintético</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Instrumento Predictivo</w:t>
            </w:r>
          </w:p>
        </w:tc>
        <w:tc>
          <w:tcPr>
            <w:tcW w:type="dxa" w:w="2448"/>
            <w:shd w:fill="1B365D"/>
          </w:tcPr>
          <w:p>
            <w:r>
              <w:rPr>
                <w:b/>
                <w:color w:val="FFFFFF"/>
                <w:sz w:val="18"/>
              </w:rPr>
              <w:t>Resultado Cuantitativo</w:t>
            </w:r>
          </w:p>
        </w:tc>
        <w:tc>
          <w:tcPr>
            <w:tcW w:type="dxa" w:w="2448"/>
            <w:shd w:fill="1B365D"/>
          </w:tcPr>
          <w:p>
            <w:r>
              <w:rPr>
                <w:b/>
                <w:color w:val="FFFFFF"/>
                <w:sz w:val="18"/>
              </w:rPr>
              <w:t>Calificación / Zona</w:t>
            </w:r>
          </w:p>
        </w:tc>
        <w:tc>
          <w:tcPr>
            <w:tcW w:type="dxa" w:w="2448"/>
            <w:shd w:fill="1B365D"/>
          </w:tcPr>
          <w:p>
            <w:r>
              <w:rPr>
                <w:b/>
                <w:color w:val="FFFFFF"/>
                <w:sz w:val="18"/>
              </w:rPr>
              <w:t>Interpretación Institucional</w:t>
            </w:r>
          </w:p>
        </w:tc>
      </w:tr>
      <w:tr>
        <w:tc>
          <w:tcPr>
            <w:tcW w:type="dxa" w:w="2448"/>
          </w:tcPr>
          <w:p>
            <w:r>
              <w:rPr>
                <w:b/>
                <w:sz w:val="17"/>
              </w:rPr>
              <w:t>Altman Z''-Score (4 Variables)</w:t>
            </w:r>
          </w:p>
        </w:tc>
        <w:tc>
          <w:tcPr>
            <w:tcW w:type="dxa" w:w="2448"/>
          </w:tcPr>
          <w:p>
            <w:r>
              <w:rPr>
                <w:b/>
                <w:sz w:val="17"/>
              </w:rPr>
              <w:t>4.9</w:t>
            </w:r>
          </w:p>
        </w:tc>
        <w:tc>
          <w:tcPr>
            <w:tcW w:type="dxa" w:w="2448"/>
          </w:tcPr>
          <w:p>
            <w:r>
              <w:rPr>
                <w:sz w:val="17"/>
              </w:rPr>
              <w:t>ZONA SEGURA</w:t>
            </w:r>
          </w:p>
        </w:tc>
        <w:tc>
          <w:tcPr>
            <w:tcW w:type="dxa" w:w="2448"/>
          </w:tcPr>
          <w:p>
            <w:r>
              <w:rPr>
                <w:sz w:val="17"/>
              </w:rPr>
              <w:t>ZONA SEGURA (BAJO RIESGO DE QUIEBRA)</w:t>
            </w:r>
          </w:p>
        </w:tc>
      </w:tr>
      <w:tr>
        <w:tc>
          <w:tcPr>
            <w:tcW w:type="dxa" w:w="2448"/>
            <w:shd w:fill="F7FAFC"/>
          </w:tcPr>
          <w:p>
            <w:r>
              <w:rPr>
                <w:b/>
                <w:sz w:val="17"/>
              </w:rPr>
              <w:t>Rating Sintético Damodaran</w:t>
            </w:r>
          </w:p>
        </w:tc>
        <w:tc>
          <w:tcPr>
            <w:tcW w:type="dxa" w:w="2448"/>
            <w:shd w:fill="F7FAFC"/>
          </w:tcPr>
          <w:p>
            <w:r>
              <w:rPr>
                <w:b/>
                <w:sz w:val="17"/>
              </w:rPr>
              <w:t>AAA</w:t>
            </w:r>
          </w:p>
        </w:tc>
        <w:tc>
          <w:tcPr>
            <w:tcW w:type="dxa" w:w="2448"/>
            <w:shd w:fill="F7FAFC"/>
          </w:tcPr>
          <w:p>
            <w:r>
              <w:rPr>
                <w:sz w:val="17"/>
              </w:rPr>
              <w:t>GRADO INSTITUCIONAL MÁXIMO (AAA / Aaa)</w:t>
            </w:r>
          </w:p>
        </w:tc>
        <w:tc>
          <w:tcPr>
            <w:tcW w:type="dxa" w:w="2448"/>
            <w:shd w:fill="F7FAFC"/>
          </w:tcPr>
          <w:p>
            <w:r>
              <w:rPr>
                <w:sz w:val="17"/>
              </w:rPr>
              <w:t>Spread Teórico: +0.60%</w:t>
            </w:r>
          </w:p>
        </w:tc>
      </w:tr>
      <w:tr>
        <w:tc>
          <w:tcPr>
            <w:tcW w:type="dxa" w:w="2448"/>
          </w:tcPr>
          <w:p>
            <w:r>
              <w:rPr>
                <w:b/>
                <w:sz w:val="17"/>
              </w:rPr>
              <w:t>Probabilidad de Default a 10 Años</w:t>
            </w:r>
          </w:p>
        </w:tc>
        <w:tc>
          <w:tcPr>
            <w:tcW w:type="dxa" w:w="2448"/>
          </w:tcPr>
          <w:p>
            <w:r>
              <w:rPr>
                <w:b/>
                <w:sz w:val="17"/>
              </w:rPr>
              <w:t>&lt; 0.2%</w:t>
            </w:r>
          </w:p>
        </w:tc>
        <w:tc>
          <w:tcPr>
            <w:tcW w:type="dxa" w:w="2448"/>
          </w:tcPr>
          <w:p>
            <w:r>
              <w:rPr>
                <w:sz w:val="17"/>
              </w:rPr>
              <w:t>Estadística S&amp;P</w:t>
            </w:r>
          </w:p>
        </w:tc>
        <w:tc>
          <w:tcPr>
            <w:tcW w:type="dxa" w:w="2448"/>
          </w:tcPr>
          <w:p>
            <w:r>
              <w:rPr>
                <w:sz w:val="17"/>
              </w:rPr>
              <w:t>Mínimo riesgo crediticio histórico.</w:t>
            </w:r>
          </w:p>
        </w:tc>
      </w:tr>
    </w:tbl>
    <w:p>
      <w:pPr>
        <w:pStyle w:val="Heading1"/>
        <w:spacing w:before="280" w:after="80"/>
      </w:pPr>
      <w:r>
        <w:rPr>
          <w:rFonts w:ascii="Calibri" w:hAnsi="Calibri"/>
          <w:b/>
          <w:color w:val="1B365D"/>
          <w:sz w:val="28"/>
        </w:rPr>
        <w:t>14. Modelado Financiero y Descuento Inverso de Flujo de Caja (Reverse DCF &amp; Expectations)</w:t>
      </w:r>
    </w:p>
    <w:p>
      <w:pPr>
        <w:spacing w:before="80" w:after="160"/>
        <w:ind w:left="288" w:right="288"/>
      </w:pPr>
      <w:r>
        <w:rPr>
          <w:rFonts w:ascii="Calibri" w:hAnsi="Calibri"/>
          <w:b/>
          <w:color w:val="1B365D"/>
          <w:sz w:val="21"/>
        </w:rPr>
        <w:t>PROPÓSITO DE VALORACIÓN: INTEGRACIÓN FISCAL AI &amp; REVERSE DCF PROPIETARIO</w:t>
        <w:br/>
      </w:r>
      <w:r>
        <w:rPr>
          <w:rFonts w:ascii="Calibri" w:hAnsi="Calibri"/>
          <w:color w:val="2D3748"/>
          <w:sz w:val="19"/>
        </w:rPr>
        <w:t>• Precio de Referencia: $718.67  |  WACC Auditado: 10.75% (Rf: 5.24%, ERP: 4.75%)</w:t>
        <w:br/>
        <w:t>• Crecimiento Implícito Calculado: 20.3% Anual a 10 Años (vs. 18.5% Histórico)</w:t>
        <w:br/>
        <w:t>• Veredicto: Descuenta expectativas de 20.3% anual. Exigencia de crecimiento ambiciosa (+20.3% anual); requiere catalizadores sostenidos de expansión comercial.</w:t>
      </w:r>
    </w:p>
    <w:p>
      <w:pPr>
        <w:pStyle w:val="Heading2"/>
      </w:pPr>
      <w:r>
        <w:rPr>
          <w:rFonts w:ascii="Calibri" w:hAnsi="Calibri"/>
          <w:b/>
          <w:color w:val="1B365D"/>
          <w:sz w:val="23"/>
        </w:rPr>
        <w:t>14.1. Configuración Óptima en Plataformas de Valoración (Fiscal AI)</w:t>
      </w:r>
    </w:p>
    <w:p>
      <w:r>
        <w:rPr>
          <w:rFonts w:ascii="Calibri" w:hAnsi="Calibri"/>
          <w:color w:val="2D3748"/>
          <w:sz w:val="18"/>
        </w:rPr>
        <w:t>Para evitar sesgos especulativos se recomienda configurar Fiscal AI con: (1) Modo Perpetuity (2.5%), anclando el valor terminal a la inflación/PIB sin especular con múltiplos de salida; (2) Pestaña Revenue Growth, por ser el motor económico más limpio contra distorsiones contables; y (3) Horizonte de 10 Años, capturando el ciclo completo de inversión y maduración.</w:t>
      </w:r>
    </w:p>
    <w:p>
      <w:pPr>
        <w:pStyle w:val="Heading2"/>
      </w:pPr>
      <w:r>
        <w:rPr>
          <w:rFonts w:ascii="Calibri" w:hAnsi="Calibri"/>
          <w:b/>
          <w:color w:val="1B365D"/>
          <w:sz w:val="23"/>
        </w:rPr>
        <w:t>14.2. Tabla Maestra de Parámetros Auditados en Tiempo Real (Advanced Mode)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Casilla / Input Fiscal AI</w:t>
            </w:r>
          </w:p>
        </w:tc>
        <w:tc>
          <w:tcPr>
            <w:tcW w:type="dxa" w:w="2448"/>
            <w:shd w:fill="1B365D"/>
          </w:tcPr>
          <w:p>
            <w:r>
              <w:rPr>
                <w:b/>
                <w:color w:val="FFFFFF"/>
                <w:sz w:val="18"/>
              </w:rPr>
              <w:t>Valor Auditado</w:t>
            </w:r>
          </w:p>
        </w:tc>
        <w:tc>
          <w:tcPr>
            <w:tcW w:type="dxa" w:w="2448"/>
            <w:shd w:fill="1B365D"/>
          </w:tcPr>
          <w:p>
            <w:r>
              <w:rPr>
                <w:b/>
                <w:color w:val="FFFFFF"/>
                <w:sz w:val="18"/>
              </w:rPr>
              <w:t>Sección de Origen</w:t>
            </w:r>
          </w:p>
        </w:tc>
        <w:tc>
          <w:tcPr>
            <w:tcW w:type="dxa" w:w="2448"/>
            <w:shd w:fill="1B365D"/>
          </w:tcPr>
          <w:p>
            <w:r>
              <w:rPr>
                <w:b/>
                <w:color w:val="FFFFFF"/>
                <w:sz w:val="18"/>
              </w:rPr>
              <w:t>Racional Técnico y Sustento</w:t>
            </w:r>
          </w:p>
        </w:tc>
      </w:tr>
      <w:tr>
        <w:tc>
          <w:tcPr>
            <w:tcW w:type="dxa" w:w="2448"/>
          </w:tcPr>
          <w:p>
            <w:r>
              <w:rPr>
                <w:b/>
                <w:sz w:val="17"/>
              </w:rPr>
              <w:t>Current Share Price</w:t>
            </w:r>
          </w:p>
        </w:tc>
        <w:tc>
          <w:tcPr>
            <w:tcW w:type="dxa" w:w="2448"/>
          </w:tcPr>
          <w:p>
            <w:r>
              <w:rPr>
                <w:b/>
                <w:sz w:val="17"/>
              </w:rPr>
              <w:t>$718.67</w:t>
            </w:r>
          </w:p>
        </w:tc>
        <w:tc>
          <w:tcPr>
            <w:tcW w:type="dxa" w:w="2448"/>
          </w:tcPr>
          <w:p>
            <w:r>
              <w:rPr>
                <w:sz w:val="17"/>
              </w:rPr>
              <w:t>Mercado en Vivo</w:t>
            </w:r>
          </w:p>
        </w:tc>
        <w:tc>
          <w:tcPr>
            <w:tcW w:type="dxa" w:w="2448"/>
          </w:tcPr>
          <w:p>
            <w:r>
              <w:rPr>
                <w:sz w:val="17"/>
              </w:rPr>
              <w:t>Cotización bursátil en tiempo real.</w:t>
            </w:r>
          </w:p>
        </w:tc>
      </w:tr>
      <w:tr>
        <w:tc>
          <w:tcPr>
            <w:tcW w:type="dxa" w:w="2448"/>
            <w:shd w:fill="F7FAFC"/>
          </w:tcPr>
          <w:p>
            <w:r>
              <w:rPr>
                <w:b/>
                <w:sz w:val="17"/>
              </w:rPr>
              <w:t>Risk-Free Rate (Rf)</w:t>
            </w:r>
          </w:p>
        </w:tc>
        <w:tc>
          <w:tcPr>
            <w:tcW w:type="dxa" w:w="2448"/>
            <w:shd w:fill="F7FAFC"/>
          </w:tcPr>
          <w:p>
            <w:r>
              <w:rPr>
                <w:b/>
                <w:sz w:val="17"/>
              </w:rPr>
              <w:t>5.24%</w:t>
            </w:r>
          </w:p>
        </w:tc>
        <w:tc>
          <w:tcPr>
            <w:tcW w:type="dxa" w:w="2448"/>
            <w:shd w:fill="F7FAFC"/>
          </w:tcPr>
          <w:p>
            <w:r>
              <w:rPr>
                <w:sz w:val="17"/>
              </w:rPr>
              <w:t>Sección 11.2 (Bonos)</w:t>
            </w:r>
          </w:p>
        </w:tc>
        <w:tc>
          <w:tcPr>
            <w:tcW w:type="dxa" w:w="2448"/>
            <w:shd w:fill="F7FAFC"/>
          </w:tcPr>
          <w:p>
            <w:r>
              <w:rPr>
                <w:sz w:val="17"/>
              </w:rPr>
              <w:t>Rendimiento del Bono del Tesoro de EE.UU. a 10 años (^TNX).</w:t>
            </w:r>
          </w:p>
        </w:tc>
      </w:tr>
      <w:tr>
        <w:tc>
          <w:tcPr>
            <w:tcW w:type="dxa" w:w="2448"/>
          </w:tcPr>
          <w:p>
            <w:r>
              <w:rPr>
                <w:b/>
                <w:sz w:val="17"/>
              </w:rPr>
              <w:t>Equity Risk Premium</w:t>
            </w:r>
          </w:p>
        </w:tc>
        <w:tc>
          <w:tcPr>
            <w:tcW w:type="dxa" w:w="2448"/>
          </w:tcPr>
          <w:p>
            <w:r>
              <w:rPr>
                <w:b/>
                <w:sz w:val="17"/>
              </w:rPr>
              <w:t>4.75%</w:t>
            </w:r>
          </w:p>
        </w:tc>
        <w:tc>
          <w:tcPr>
            <w:tcW w:type="dxa" w:w="2448"/>
          </w:tcPr>
          <w:p>
            <w:r>
              <w:rPr>
                <w:sz w:val="17"/>
              </w:rPr>
              <w:t>Damodaran Benchmark</w:t>
            </w:r>
          </w:p>
        </w:tc>
        <w:tc>
          <w:tcPr>
            <w:tcW w:type="dxa" w:w="2448"/>
          </w:tcPr>
          <w:p>
            <w:r>
              <w:rPr>
                <w:sz w:val="17"/>
              </w:rPr>
              <w:t>Prima de riesgo de mercado institucional.</w:t>
            </w:r>
          </w:p>
        </w:tc>
      </w:tr>
      <w:tr>
        <w:tc>
          <w:tcPr>
            <w:tcW w:type="dxa" w:w="2448"/>
            <w:shd w:fill="F7FAFC"/>
          </w:tcPr>
          <w:p>
            <w:r>
              <w:rPr>
                <w:b/>
                <w:sz w:val="17"/>
              </w:rPr>
              <w:t>Beta (Levered)</w:t>
            </w:r>
          </w:p>
        </w:tc>
        <w:tc>
          <w:tcPr>
            <w:tcW w:type="dxa" w:w="2448"/>
            <w:shd w:fill="F7FAFC"/>
          </w:tcPr>
          <w:p>
            <w:r>
              <w:rPr>
                <w:b/>
                <w:sz w:val="17"/>
              </w:rPr>
              <w:t>1.22</w:t>
            </w:r>
          </w:p>
        </w:tc>
        <w:tc>
          <w:tcPr>
            <w:tcW w:type="dxa" w:w="2448"/>
            <w:shd w:fill="F7FAFC"/>
          </w:tcPr>
          <w:p>
            <w:r>
              <w:rPr>
                <w:sz w:val="17"/>
              </w:rPr>
              <w:t>Sección 11.2 (Arbitraje)</w:t>
            </w:r>
          </w:p>
        </w:tc>
        <w:tc>
          <w:tcPr>
            <w:tcW w:type="dxa" w:w="2448"/>
            <w:shd w:fill="F7FAFC"/>
          </w:tcPr>
          <w:p>
            <w:r>
              <w:rPr>
                <w:sz w:val="17"/>
              </w:rPr>
              <w:t>Sensibilidad sistemática frente al S&amp;P 500.</w:t>
            </w:r>
          </w:p>
        </w:tc>
      </w:tr>
      <w:tr>
        <w:tc>
          <w:tcPr>
            <w:tcW w:type="dxa" w:w="2448"/>
          </w:tcPr>
          <w:p>
            <w:r>
              <w:rPr>
                <w:b/>
                <w:sz w:val="17"/>
              </w:rPr>
              <w:t>Pre-Tax Cost of Debt</w:t>
            </w:r>
          </w:p>
        </w:tc>
        <w:tc>
          <w:tcPr>
            <w:tcW w:type="dxa" w:w="2448"/>
          </w:tcPr>
          <w:p>
            <w:r>
              <w:rPr>
                <w:b/>
                <w:sz w:val="17"/>
              </w:rPr>
              <w:t>5.84%</w:t>
            </w:r>
          </w:p>
        </w:tc>
        <w:tc>
          <w:tcPr>
            <w:tcW w:type="dxa" w:w="2448"/>
          </w:tcPr>
          <w:p>
            <w:r>
              <w:rPr>
                <w:sz w:val="17"/>
              </w:rPr>
              <w:t>Sección 11.2 (Sintético)</w:t>
            </w:r>
          </w:p>
        </w:tc>
        <w:tc>
          <w:tcPr>
            <w:tcW w:type="dxa" w:w="2448"/>
          </w:tcPr>
          <w:p>
            <w:r>
              <w:rPr>
                <w:sz w:val="17"/>
              </w:rPr>
              <w:t>Coste de financiamiento bruto por rating sintético.</w:t>
            </w:r>
          </w:p>
        </w:tc>
      </w:tr>
      <w:tr>
        <w:tc>
          <w:tcPr>
            <w:tcW w:type="dxa" w:w="2448"/>
            <w:shd w:fill="F7FAFC"/>
          </w:tcPr>
          <w:p>
            <w:r>
              <w:rPr>
                <w:b/>
                <w:sz w:val="17"/>
              </w:rPr>
              <w:t>After-Tax Cost of Debt</w:t>
            </w:r>
          </w:p>
        </w:tc>
        <w:tc>
          <w:tcPr>
            <w:tcW w:type="dxa" w:w="2448"/>
            <w:shd w:fill="F7FAFC"/>
          </w:tcPr>
          <w:p>
            <w:r>
              <w:rPr>
                <w:b/>
                <w:sz w:val="17"/>
              </w:rPr>
              <w:t>4.55%</w:t>
            </w:r>
          </w:p>
        </w:tc>
        <w:tc>
          <w:tcPr>
            <w:tcW w:type="dxa" w:w="2448"/>
            <w:shd w:fill="F7FAFC"/>
          </w:tcPr>
          <w:p>
            <w:r>
              <w:rPr>
                <w:sz w:val="17"/>
              </w:rPr>
              <w:t>Sección 11.2 (WACC)</w:t>
            </w:r>
          </w:p>
        </w:tc>
        <w:tc>
          <w:tcPr>
            <w:tcW w:type="dxa" w:w="2448"/>
            <w:shd w:fill="F7FAFC"/>
          </w:tcPr>
          <w:p>
            <w:r>
              <w:rPr>
                <w:sz w:val="17"/>
              </w:rPr>
              <w:t>Coste neto del escudo fiscal: Kd * (1 - t).</w:t>
            </w:r>
          </w:p>
        </w:tc>
      </w:tr>
      <w:tr>
        <w:tc>
          <w:tcPr>
            <w:tcW w:type="dxa" w:w="2448"/>
          </w:tcPr>
          <w:p>
            <w:r>
              <w:rPr>
                <w:b/>
                <w:sz w:val="17"/>
              </w:rPr>
              <w:t>Effective Tax Rate</w:t>
            </w:r>
          </w:p>
        </w:tc>
        <w:tc>
          <w:tcPr>
            <w:tcW w:type="dxa" w:w="2448"/>
          </w:tcPr>
          <w:p>
            <w:r>
              <w:rPr>
                <w:b/>
                <w:sz w:val="17"/>
              </w:rPr>
              <w:t>22.2%</w:t>
            </w:r>
          </w:p>
        </w:tc>
        <w:tc>
          <w:tcPr>
            <w:tcW w:type="dxa" w:w="2448"/>
          </w:tcPr>
          <w:p>
            <w:r>
              <w:rPr>
                <w:sz w:val="17"/>
              </w:rPr>
              <w:t>Sección 11.2 (SEC 10-K)</w:t>
            </w:r>
          </w:p>
        </w:tc>
        <w:tc>
          <w:tcPr>
            <w:tcW w:type="dxa" w:w="2448"/>
          </w:tcPr>
          <w:p>
            <w:r>
              <w:rPr>
                <w:sz w:val="17"/>
              </w:rPr>
              <w:t>Tasa impositiva estructural auditada.</w:t>
            </w:r>
          </w:p>
        </w:tc>
      </w:tr>
      <w:tr>
        <w:tc>
          <w:tcPr>
            <w:tcW w:type="dxa" w:w="2448"/>
            <w:shd w:fill="F7FAFC"/>
          </w:tcPr>
          <w:p>
            <w:r>
              <w:rPr>
                <w:b/>
                <w:sz w:val="17"/>
              </w:rPr>
              <w:t>Weight of Debt</w:t>
            </w:r>
          </w:p>
        </w:tc>
        <w:tc>
          <w:tcPr>
            <w:tcW w:type="dxa" w:w="2448"/>
            <w:shd w:fill="F7FAFC"/>
          </w:tcPr>
          <w:p>
            <w:r>
              <w:rPr>
                <w:b/>
                <w:sz w:val="17"/>
              </w:rPr>
              <w:t>4.4%</w:t>
            </w:r>
          </w:p>
        </w:tc>
        <w:tc>
          <w:tcPr>
            <w:tcW w:type="dxa" w:w="2448"/>
            <w:shd w:fill="F7FAFC"/>
          </w:tcPr>
          <w:p>
            <w:r>
              <w:rPr>
                <w:sz w:val="17"/>
              </w:rPr>
              <w:t>Estructura Capital</w:t>
            </w:r>
          </w:p>
        </w:tc>
        <w:tc>
          <w:tcPr>
            <w:tcW w:type="dxa" w:w="2448"/>
            <w:shd w:fill="F7FAFC"/>
          </w:tcPr>
          <w:p>
            <w:r>
              <w:rPr>
                <w:sz w:val="17"/>
              </w:rPr>
              <w:t>Peso de la deuda sobre el valor total.</w:t>
            </w:r>
          </w:p>
        </w:tc>
      </w:tr>
      <w:tr>
        <w:tc>
          <w:tcPr>
            <w:tcW w:type="dxa" w:w="2448"/>
          </w:tcPr>
          <w:p>
            <w:r>
              <w:rPr>
                <w:b/>
                <w:sz w:val="17"/>
              </w:rPr>
              <w:t>Weight of Equity</w:t>
            </w:r>
          </w:p>
        </w:tc>
        <w:tc>
          <w:tcPr>
            <w:tcW w:type="dxa" w:w="2448"/>
          </w:tcPr>
          <w:p>
            <w:r>
              <w:rPr>
                <w:b/>
                <w:sz w:val="17"/>
              </w:rPr>
              <w:t>95.6%</w:t>
            </w:r>
          </w:p>
        </w:tc>
        <w:tc>
          <w:tcPr>
            <w:tcW w:type="dxa" w:w="2448"/>
          </w:tcPr>
          <w:p>
            <w:r>
              <w:rPr>
                <w:sz w:val="17"/>
              </w:rPr>
              <w:t>Estructura Capital</w:t>
            </w:r>
          </w:p>
        </w:tc>
        <w:tc>
          <w:tcPr>
            <w:tcW w:type="dxa" w:w="2448"/>
          </w:tcPr>
          <w:p>
            <w:r>
              <w:rPr>
                <w:sz w:val="17"/>
              </w:rPr>
              <w:t>Peso de los fondos propios sobre el valor total.</w:t>
            </w:r>
          </w:p>
        </w:tc>
      </w:tr>
      <w:tr>
        <w:tc>
          <w:tcPr>
            <w:tcW w:type="dxa" w:w="2448"/>
            <w:shd w:fill="F7FAFC"/>
          </w:tcPr>
          <w:p>
            <w:r>
              <w:rPr>
                <w:b/>
                <w:sz w:val="17"/>
              </w:rPr>
              <w:t>WACC (Discount Rate)</w:t>
            </w:r>
          </w:p>
        </w:tc>
        <w:tc>
          <w:tcPr>
            <w:tcW w:type="dxa" w:w="2448"/>
            <w:shd w:fill="F7FAFC"/>
          </w:tcPr>
          <w:p>
            <w:r>
              <w:rPr>
                <w:b/>
                <w:sz w:val="17"/>
              </w:rPr>
              <w:t>10.75%</w:t>
            </w:r>
          </w:p>
        </w:tc>
        <w:tc>
          <w:tcPr>
            <w:tcW w:type="dxa" w:w="2448"/>
            <w:shd w:fill="F7FAFC"/>
          </w:tcPr>
          <w:p>
            <w:r>
              <w:rPr>
                <w:sz w:val="17"/>
              </w:rPr>
              <w:t>Sección 11.2 (WACC)</w:t>
            </w:r>
          </w:p>
        </w:tc>
        <w:tc>
          <w:tcPr>
            <w:tcW w:type="dxa" w:w="2448"/>
            <w:shd w:fill="F7FAFC"/>
          </w:tcPr>
          <w:p>
            <w:r>
              <w:rPr>
                <w:sz w:val="17"/>
              </w:rPr>
              <w:t>Tasa de descuento de corte auditada.</w:t>
            </w:r>
          </w:p>
        </w:tc>
      </w:tr>
      <w:tr>
        <w:tc>
          <w:tcPr>
            <w:tcW w:type="dxa" w:w="2448"/>
          </w:tcPr>
          <w:p>
            <w:r>
              <w:rPr>
                <w:b/>
                <w:sz w:val="17"/>
              </w:rPr>
              <w:t>Normalized FCF Margin</w:t>
            </w:r>
          </w:p>
        </w:tc>
        <w:tc>
          <w:tcPr>
            <w:tcW w:type="dxa" w:w="2448"/>
          </w:tcPr>
          <w:p>
            <w:r>
              <w:rPr>
                <w:b/>
                <w:sz w:val="17"/>
              </w:rPr>
              <w:t>17.9%</w:t>
            </w:r>
          </w:p>
        </w:tc>
        <w:tc>
          <w:tcPr>
            <w:tcW w:type="dxa" w:w="2448"/>
          </w:tcPr>
          <w:p>
            <w:r>
              <w:rPr>
                <w:sz w:val="17"/>
              </w:rPr>
              <w:t>Sección 4 &amp; Solvencia</w:t>
            </w:r>
          </w:p>
        </w:tc>
        <w:tc>
          <w:tcPr>
            <w:tcW w:type="dxa" w:w="2448"/>
          </w:tcPr>
          <w:p>
            <w:r>
              <w:rPr>
                <w:sz w:val="17"/>
              </w:rPr>
              <w:t>Conversión de ventas a caja libre tras CapEx.</w:t>
            </w:r>
          </w:p>
        </w:tc>
      </w:tr>
      <w:tr>
        <w:tc>
          <w:tcPr>
            <w:tcW w:type="dxa" w:w="2448"/>
            <w:shd w:fill="F7FAFC"/>
          </w:tcPr>
          <w:p>
            <w:r>
              <w:rPr>
                <w:b/>
                <w:sz w:val="17"/>
              </w:rPr>
              <w:t>Terminal Growth (gn)</w:t>
            </w:r>
          </w:p>
        </w:tc>
        <w:tc>
          <w:tcPr>
            <w:tcW w:type="dxa" w:w="2448"/>
            <w:shd w:fill="F7FAFC"/>
          </w:tcPr>
          <w:p>
            <w:r>
              <w:rPr>
                <w:b/>
                <w:sz w:val="17"/>
              </w:rPr>
              <w:t>2.5%</w:t>
            </w:r>
          </w:p>
        </w:tc>
        <w:tc>
          <w:tcPr>
            <w:tcW w:type="dxa" w:w="2448"/>
            <w:shd w:fill="F7FAFC"/>
          </w:tcPr>
          <w:p>
            <w:r>
              <w:rPr>
                <w:sz w:val="17"/>
              </w:rPr>
              <w:t>Hipótesis Canónica</w:t>
            </w:r>
          </w:p>
        </w:tc>
        <w:tc>
          <w:tcPr>
            <w:tcW w:type="dxa" w:w="2448"/>
            <w:shd w:fill="F7FAFC"/>
          </w:tcPr>
          <w:p>
            <w:r>
              <w:rPr>
                <w:sz w:val="17"/>
              </w:rPr>
              <w:t>Crecimiento tendencial de la economía global.</w:t>
            </w:r>
          </w:p>
        </w:tc>
      </w:tr>
      <w:tr>
        <w:tc>
          <w:tcPr>
            <w:tcW w:type="dxa" w:w="2448"/>
          </w:tcPr>
          <w:p>
            <w:r>
              <w:rPr>
                <w:b/>
                <w:sz w:val="17"/>
              </w:rPr>
              <w:t>Forecast Period</w:t>
            </w:r>
          </w:p>
        </w:tc>
        <w:tc>
          <w:tcPr>
            <w:tcW w:type="dxa" w:w="2448"/>
          </w:tcPr>
          <w:p>
            <w:r>
              <w:rPr>
                <w:b/>
                <w:sz w:val="17"/>
              </w:rPr>
              <w:t>10 Años</w:t>
            </w:r>
          </w:p>
        </w:tc>
        <w:tc>
          <w:tcPr>
            <w:tcW w:type="dxa" w:w="2448"/>
          </w:tcPr>
          <w:p>
            <w:r>
              <w:rPr>
                <w:sz w:val="17"/>
              </w:rPr>
              <w:t>Configuración Estándar</w:t>
            </w:r>
          </w:p>
        </w:tc>
        <w:tc>
          <w:tcPr>
            <w:tcW w:type="dxa" w:w="2448"/>
          </w:tcPr>
          <w:p>
            <w:r>
              <w:rPr>
                <w:sz w:val="17"/>
              </w:rPr>
              <w:t>Ciclo decenal de amortización y maduración.</w:t>
            </w:r>
          </w:p>
        </w:tc>
      </w:tr>
    </w:tbl>
    <w:p/>
    <w:p>
      <w:pPr>
        <w:pStyle w:val="Heading2"/>
      </w:pPr>
      <w:r>
        <w:rPr>
          <w:rFonts w:ascii="Calibri" w:hAnsi="Calibri"/>
          <w:b/>
          <w:color w:val="1B365D"/>
          <w:sz w:val="23"/>
        </w:rPr>
        <w:t>14.3. Matriz Bidimensional de Sensibilidad (WACC vs. gn)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1224"/>
        <w:gridCol w:w="1224"/>
        <w:gridCol w:w="1224"/>
        <w:gridCol w:w="1224"/>
        <w:gridCol w:w="1224"/>
        <w:gridCol w:w="1224"/>
        <w:gridCol w:w="1224"/>
        <w:gridCol w:w="1224"/>
      </w:tblGrid>
      <w:tr>
        <w:tc>
          <w:tcPr>
            <w:tcW w:type="dxa" w:w="1224"/>
            <w:shd w:fill="1B365D"/>
          </w:tcPr>
          <w:p>
            <w:r>
              <w:rPr>
                <w:b/>
                <w:color w:val="FFFFFF"/>
                <w:sz w:val="17"/>
              </w:rPr>
              <w:t>WACC \ gn</w:t>
            </w:r>
          </w:p>
        </w:tc>
        <w:tc>
          <w:tcPr>
            <w:tcW w:type="dxa" w:w="1224"/>
            <w:shd w:fill="1B365D"/>
          </w:tcPr>
          <w:p>
            <w:r>
              <w:rPr>
                <w:b/>
                <w:color w:val="FFFFFF"/>
                <w:sz w:val="17"/>
              </w:rPr>
              <w:t>1.0%</w:t>
            </w:r>
          </w:p>
        </w:tc>
        <w:tc>
          <w:tcPr>
            <w:tcW w:type="dxa" w:w="1224"/>
            <w:shd w:fill="1B365D"/>
          </w:tcPr>
          <w:p>
            <w:r>
              <w:rPr>
                <w:b/>
                <w:color w:val="FFFFFF"/>
                <w:sz w:val="17"/>
              </w:rPr>
              <w:t>1.5%</w:t>
            </w:r>
          </w:p>
        </w:tc>
        <w:tc>
          <w:tcPr>
            <w:tcW w:type="dxa" w:w="1224"/>
            <w:shd w:fill="1B365D"/>
          </w:tcPr>
          <w:p>
            <w:r>
              <w:rPr>
                <w:b/>
                <w:color w:val="FFFFFF"/>
                <w:sz w:val="17"/>
              </w:rPr>
              <w:t>2.0%</w:t>
            </w:r>
          </w:p>
        </w:tc>
        <w:tc>
          <w:tcPr>
            <w:tcW w:type="dxa" w:w="1224"/>
            <w:shd w:fill="1B365D"/>
          </w:tcPr>
          <w:p>
            <w:r>
              <w:rPr>
                <w:b/>
                <w:color w:val="FFFFFF"/>
                <w:sz w:val="17"/>
              </w:rPr>
              <w:t>2.5%</w:t>
            </w:r>
          </w:p>
        </w:tc>
        <w:tc>
          <w:tcPr>
            <w:tcW w:type="dxa" w:w="1224"/>
            <w:shd w:fill="1B365D"/>
          </w:tcPr>
          <w:p>
            <w:r>
              <w:rPr>
                <w:b/>
                <w:color w:val="FFFFFF"/>
                <w:sz w:val="17"/>
              </w:rPr>
              <w:t>3.0%</w:t>
            </w:r>
          </w:p>
        </w:tc>
        <w:tc>
          <w:tcPr>
            <w:tcW w:type="dxa" w:w="1224"/>
            <w:shd w:fill="1B365D"/>
          </w:tcPr>
          <w:p>
            <w:r>
              <w:rPr>
                <w:b/>
                <w:color w:val="FFFFFF"/>
                <w:sz w:val="17"/>
              </w:rPr>
              <w:t>3.5%</w:t>
            </w:r>
          </w:p>
        </w:tc>
        <w:tc>
          <w:tcPr>
            <w:tcW w:type="dxa" w:w="1224"/>
            <w:shd w:fill="1B365D"/>
          </w:tcPr>
          <w:p>
            <w:r>
              <w:rPr>
                <w:b/>
                <w:color w:val="FFFFFF"/>
                <w:sz w:val="17"/>
              </w:rPr>
              <w:t>Diagnóstico</w:t>
            </w:r>
          </w:p>
        </w:tc>
      </w:tr>
      <w:tr>
        <w:tc>
          <w:tcPr>
            <w:tcW w:type="dxa" w:w="1224"/>
          </w:tcPr>
          <w:p>
            <w:r>
              <w:rPr>
                <w:sz w:val="16"/>
              </w:rPr>
              <w:t>9.75% (Bajo / Expansión)</w:t>
            </w:r>
          </w:p>
        </w:tc>
        <w:tc>
          <w:tcPr>
            <w:tcW w:type="dxa" w:w="1224"/>
          </w:tcPr>
          <w:p>
            <w:r>
              <w:rPr>
                <w:sz w:val="16"/>
              </w:rPr>
              <w:t>19.8%</w:t>
            </w:r>
          </w:p>
        </w:tc>
        <w:tc>
          <w:tcPr>
            <w:tcW w:type="dxa" w:w="1224"/>
          </w:tcPr>
          <w:p>
            <w:r>
              <w:rPr>
                <w:sz w:val="16"/>
              </w:rPr>
              <w:t>19.3%</w:t>
            </w:r>
          </w:p>
        </w:tc>
        <w:tc>
          <w:tcPr>
            <w:tcW w:type="dxa" w:w="1224"/>
          </w:tcPr>
          <w:p>
            <w:r>
              <w:rPr>
                <w:sz w:val="16"/>
              </w:rPr>
              <w:t>18.7%</w:t>
            </w:r>
          </w:p>
        </w:tc>
        <w:tc>
          <w:tcPr>
            <w:tcW w:type="dxa" w:w="1224"/>
          </w:tcPr>
          <w:p>
            <w:r>
              <w:rPr>
                <w:b/>
                <w:sz w:val="16"/>
              </w:rPr>
              <w:t>18.0%</w:t>
            </w:r>
          </w:p>
        </w:tc>
        <w:tc>
          <w:tcPr>
            <w:tcW w:type="dxa" w:w="1224"/>
          </w:tcPr>
          <w:p>
            <w:r>
              <w:rPr>
                <w:sz w:val="16"/>
              </w:rPr>
              <w:t>17.3%</w:t>
            </w:r>
          </w:p>
        </w:tc>
        <w:tc>
          <w:tcPr>
            <w:tcW w:type="dxa" w:w="1224"/>
          </w:tcPr>
          <w:p>
            <w:r>
              <w:rPr>
                <w:sz w:val="16"/>
              </w:rPr>
              <w:t>16.6%</w:t>
            </w:r>
          </w:p>
        </w:tc>
        <w:tc>
          <w:tcPr>
            <w:tcW w:type="dxa" w:w="1224"/>
          </w:tcPr>
          <w:p>
            <w:r>
              <w:rPr>
                <w:sz w:val="16"/>
              </w:rPr>
              <w:t>Escenario favorable; exigencia de crecimiento más moderada.</w:t>
            </w:r>
          </w:p>
        </w:tc>
      </w:tr>
      <w:tr>
        <w:tc>
          <w:tcPr>
            <w:tcW w:type="dxa" w:w="1224"/>
            <w:shd w:fill="F7FAFC"/>
          </w:tcPr>
          <w:p>
            <w:r>
              <w:rPr>
                <w:sz w:val="16"/>
              </w:rPr>
              <w:t>10.25% (Favorable)</w:t>
            </w:r>
          </w:p>
        </w:tc>
        <w:tc>
          <w:tcPr>
            <w:tcW w:type="dxa" w:w="1224"/>
            <w:shd w:fill="F7FAFC"/>
          </w:tcPr>
          <w:p>
            <w:r>
              <w:rPr>
                <w:sz w:val="16"/>
              </w:rPr>
              <w:t>20.9%</w:t>
            </w:r>
          </w:p>
        </w:tc>
        <w:tc>
          <w:tcPr>
            <w:tcW w:type="dxa" w:w="1224"/>
            <w:shd w:fill="F7FAFC"/>
          </w:tcPr>
          <w:p>
            <w:r>
              <w:rPr>
                <w:sz w:val="16"/>
              </w:rPr>
              <w:t>20.3%</w:t>
            </w:r>
          </w:p>
        </w:tc>
        <w:tc>
          <w:tcPr>
            <w:tcW w:type="dxa" w:w="1224"/>
            <w:shd w:fill="F7FAFC"/>
          </w:tcPr>
          <w:p>
            <w:r>
              <w:rPr>
                <w:sz w:val="16"/>
              </w:rPr>
              <w:t>19.8%</w:t>
            </w:r>
          </w:p>
        </w:tc>
        <w:tc>
          <w:tcPr>
            <w:tcW w:type="dxa" w:w="1224"/>
            <w:shd w:fill="F7FAFC"/>
          </w:tcPr>
          <w:p>
            <w:r>
              <w:rPr>
                <w:b/>
                <w:sz w:val="16"/>
              </w:rPr>
              <w:t>19.2%</w:t>
            </w:r>
          </w:p>
        </w:tc>
        <w:tc>
          <w:tcPr>
            <w:tcW w:type="dxa" w:w="1224"/>
            <w:shd w:fill="F7FAFC"/>
          </w:tcPr>
          <w:p>
            <w:r>
              <w:rPr>
                <w:sz w:val="16"/>
              </w:rPr>
              <w:t>18.5%</w:t>
            </w:r>
          </w:p>
        </w:tc>
        <w:tc>
          <w:tcPr>
            <w:tcW w:type="dxa" w:w="1224"/>
            <w:shd w:fill="F7FAFC"/>
          </w:tcPr>
          <w:p>
            <w:r>
              <w:rPr>
                <w:sz w:val="16"/>
              </w:rPr>
              <w:t>17.8%</w:t>
            </w:r>
          </w:p>
        </w:tc>
        <w:tc>
          <w:tcPr>
            <w:tcW w:type="dxa" w:w="1224"/>
            <w:shd w:fill="F7FAFC"/>
          </w:tcPr>
          <w:p>
            <w:r>
              <w:rPr>
                <w:sz w:val="16"/>
              </w:rPr>
              <w:t>Escenario de sensibilidad operativa.</w:t>
            </w:r>
          </w:p>
        </w:tc>
      </w:tr>
      <w:tr>
        <w:tc>
          <w:tcPr>
            <w:tcW w:type="dxa" w:w="1224"/>
            <w:shd w:fill="F7FAFC"/>
          </w:tcPr>
          <w:p>
            <w:r>
              <w:rPr>
                <w:sz w:val="16"/>
              </w:rPr>
              <w:t>10.75% (WACC Auditado Base)</w:t>
            </w:r>
          </w:p>
        </w:tc>
        <w:tc>
          <w:tcPr>
            <w:tcW w:type="dxa" w:w="1224"/>
            <w:shd w:fill="F7FAFC"/>
          </w:tcPr>
          <w:p>
            <w:r>
              <w:rPr>
                <w:b/>
                <w:sz w:val="16"/>
              </w:rPr>
              <w:t>21.9%</w:t>
            </w:r>
          </w:p>
        </w:tc>
        <w:tc>
          <w:tcPr>
            <w:tcW w:type="dxa" w:w="1224"/>
            <w:shd w:fill="F7FAFC"/>
          </w:tcPr>
          <w:p>
            <w:r>
              <w:rPr>
                <w:b/>
                <w:sz w:val="16"/>
              </w:rPr>
              <w:t>21.4%</w:t>
            </w:r>
          </w:p>
        </w:tc>
        <w:tc>
          <w:tcPr>
            <w:tcW w:type="dxa" w:w="1224"/>
            <w:shd w:fill="F7FAFC"/>
          </w:tcPr>
          <w:p>
            <w:r>
              <w:rPr>
                <w:b/>
                <w:sz w:val="16"/>
              </w:rPr>
              <w:t>20.8%</w:t>
            </w:r>
          </w:p>
        </w:tc>
        <w:tc>
          <w:tcPr>
            <w:tcW w:type="dxa" w:w="1224"/>
            <w:shd w:fill="FFF2CC"/>
          </w:tcPr>
          <w:p>
            <w:r>
              <w:rPr>
                <w:b/>
                <w:sz w:val="16"/>
              </w:rPr>
              <w:t>20.3%</w:t>
            </w:r>
          </w:p>
        </w:tc>
        <w:tc>
          <w:tcPr>
            <w:tcW w:type="dxa" w:w="1224"/>
            <w:shd w:fill="F7FAFC"/>
          </w:tcPr>
          <w:p>
            <w:r>
              <w:rPr>
                <w:b/>
                <w:sz w:val="16"/>
              </w:rPr>
              <w:t>19.7%</w:t>
            </w:r>
          </w:p>
        </w:tc>
        <w:tc>
          <w:tcPr>
            <w:tcW w:type="dxa" w:w="1224"/>
            <w:shd w:fill="F7FAFC"/>
          </w:tcPr>
          <w:p>
            <w:r>
              <w:rPr>
                <w:b/>
                <w:sz w:val="16"/>
              </w:rPr>
              <w:t>19.0%</w:t>
            </w:r>
          </w:p>
        </w:tc>
        <w:tc>
          <w:tcPr>
            <w:tcW w:type="dxa" w:w="1224"/>
            <w:shd w:fill="F7FAFC"/>
          </w:tcPr>
          <w:p>
            <w:r>
              <w:rPr>
                <w:sz w:val="16"/>
              </w:rPr>
              <w:t>ESCENARIO CENTRAL: Crecimiento implícito real de mercado.</w:t>
            </w:r>
          </w:p>
        </w:tc>
      </w:tr>
      <w:tr>
        <w:tc>
          <w:tcPr>
            <w:tcW w:type="dxa" w:w="1224"/>
            <w:shd w:fill="F7FAFC"/>
          </w:tcPr>
          <w:p>
            <w:r>
              <w:rPr>
                <w:sz w:val="16"/>
              </w:rPr>
              <w:t>11.25% (Exigente)</w:t>
            </w:r>
          </w:p>
        </w:tc>
        <w:tc>
          <w:tcPr>
            <w:tcW w:type="dxa" w:w="1224"/>
            <w:shd w:fill="F7FAFC"/>
          </w:tcPr>
          <w:p>
            <w:r>
              <w:rPr>
                <w:sz w:val="16"/>
              </w:rPr>
              <w:t>22.8%</w:t>
            </w:r>
          </w:p>
        </w:tc>
        <w:tc>
          <w:tcPr>
            <w:tcW w:type="dxa" w:w="1224"/>
            <w:shd w:fill="F7FAFC"/>
          </w:tcPr>
          <w:p>
            <w:r>
              <w:rPr>
                <w:sz w:val="16"/>
              </w:rPr>
              <w:t>22.4%</w:t>
            </w:r>
          </w:p>
        </w:tc>
        <w:tc>
          <w:tcPr>
            <w:tcW w:type="dxa" w:w="1224"/>
            <w:shd w:fill="F7FAFC"/>
          </w:tcPr>
          <w:p>
            <w:r>
              <w:rPr>
                <w:sz w:val="16"/>
              </w:rPr>
              <w:t>21.9%</w:t>
            </w:r>
          </w:p>
        </w:tc>
        <w:tc>
          <w:tcPr>
            <w:tcW w:type="dxa" w:w="1224"/>
            <w:shd w:fill="F7FAFC"/>
          </w:tcPr>
          <w:p>
            <w:r>
              <w:rPr>
                <w:b/>
                <w:sz w:val="16"/>
              </w:rPr>
              <w:t>21.3%</w:t>
            </w:r>
          </w:p>
        </w:tc>
        <w:tc>
          <w:tcPr>
            <w:tcW w:type="dxa" w:w="1224"/>
            <w:shd w:fill="F7FAFC"/>
          </w:tcPr>
          <w:p>
            <w:r>
              <w:rPr>
                <w:sz w:val="16"/>
              </w:rPr>
              <w:t>20.8%</w:t>
            </w:r>
          </w:p>
        </w:tc>
        <w:tc>
          <w:tcPr>
            <w:tcW w:type="dxa" w:w="1224"/>
            <w:shd w:fill="F7FAFC"/>
          </w:tcPr>
          <w:p>
            <w:r>
              <w:rPr>
                <w:sz w:val="16"/>
              </w:rPr>
              <w:t>20.2%</w:t>
            </w:r>
          </w:p>
        </w:tc>
        <w:tc>
          <w:tcPr>
            <w:tcW w:type="dxa" w:w="1224"/>
            <w:shd w:fill="F7FAFC"/>
          </w:tcPr>
          <w:p>
            <w:r>
              <w:rPr>
                <w:sz w:val="16"/>
              </w:rPr>
              <w:t>Escenario de sensibilidad operativa.</w:t>
            </w:r>
          </w:p>
        </w:tc>
      </w:tr>
      <w:tr>
        <w:tc>
          <w:tcPr>
            <w:tcW w:type="dxa" w:w="1224"/>
          </w:tcPr>
          <w:p>
            <w:r>
              <w:rPr>
                <w:sz w:val="16"/>
              </w:rPr>
              <w:t>11.75% (Estrés / Tipos Altos)</w:t>
            </w:r>
          </w:p>
        </w:tc>
        <w:tc>
          <w:tcPr>
            <w:tcW w:type="dxa" w:w="1224"/>
          </w:tcPr>
          <w:p>
            <w:r>
              <w:rPr>
                <w:sz w:val="16"/>
              </w:rPr>
              <w:t>23.8%</w:t>
            </w:r>
          </w:p>
        </w:tc>
        <w:tc>
          <w:tcPr>
            <w:tcW w:type="dxa" w:w="1224"/>
          </w:tcPr>
          <w:p>
            <w:r>
              <w:rPr>
                <w:sz w:val="16"/>
              </w:rPr>
              <w:t>23.3%</w:t>
            </w:r>
          </w:p>
        </w:tc>
        <w:tc>
          <w:tcPr>
            <w:tcW w:type="dxa" w:w="1224"/>
          </w:tcPr>
          <w:p>
            <w:r>
              <w:rPr>
                <w:sz w:val="16"/>
              </w:rPr>
              <w:t>22.9%</w:t>
            </w:r>
          </w:p>
        </w:tc>
        <w:tc>
          <w:tcPr>
            <w:tcW w:type="dxa" w:w="1224"/>
          </w:tcPr>
          <w:p>
            <w:r>
              <w:rPr>
                <w:b/>
                <w:sz w:val="16"/>
              </w:rPr>
              <w:t>22.4%</w:t>
            </w:r>
          </w:p>
        </w:tc>
        <w:tc>
          <w:tcPr>
            <w:tcW w:type="dxa" w:w="1224"/>
          </w:tcPr>
          <w:p>
            <w:r>
              <w:rPr>
                <w:sz w:val="16"/>
              </w:rPr>
              <w:t>21.8%</w:t>
            </w:r>
          </w:p>
        </w:tc>
        <w:tc>
          <w:tcPr>
            <w:tcW w:type="dxa" w:w="1224"/>
          </w:tcPr>
          <w:p>
            <w:r>
              <w:rPr>
                <w:sz w:val="16"/>
              </w:rPr>
              <w:t>21.3%</w:t>
            </w:r>
          </w:p>
        </w:tc>
        <w:tc>
          <w:tcPr>
            <w:tcW w:type="dxa" w:w="1224"/>
          </w:tcPr>
          <w:p>
            <w:r>
              <w:rPr>
                <w:sz w:val="16"/>
              </w:rPr>
              <w:t>Vulnerabilidad a correcciones si el coste de capital aumenta.</w:t>
            </w:r>
          </w:p>
        </w:tc>
      </w:tr>
    </w:tbl>
    <w:p/>
    <w:p>
      <w:pPr>
        <w:pStyle w:val="Heading2"/>
      </w:pPr>
      <w:r>
        <w:rPr>
          <w:rFonts w:ascii="Calibri" w:hAnsi="Calibri"/>
          <w:b/>
          <w:color w:val="1B365D"/>
          <w:sz w:val="23"/>
        </w:rPr>
        <w:t>14.4. Cuadro de Mando Consolidado y Tesis Final de Inversión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Dimensión Fundamental</w:t>
            </w:r>
          </w:p>
        </w:tc>
        <w:tc>
          <w:tcPr>
            <w:tcW w:type="dxa" w:w="2448"/>
            <w:shd w:fill="1B365D"/>
          </w:tcPr>
          <w:p>
            <w:r>
              <w:rPr>
                <w:b/>
                <w:color w:val="FFFFFF"/>
                <w:sz w:val="18"/>
              </w:rPr>
              <w:t>Diagnóstico Auditado</w:t>
            </w:r>
          </w:p>
        </w:tc>
        <w:tc>
          <w:tcPr>
            <w:tcW w:type="dxa" w:w="2448"/>
            <w:shd w:fill="1B365D"/>
          </w:tcPr>
          <w:p>
            <w:r>
              <w:rPr>
                <w:b/>
                <w:color w:val="FFFFFF"/>
                <w:sz w:val="18"/>
              </w:rPr>
              <w:t>Calificación Institucional</w:t>
            </w:r>
          </w:p>
        </w:tc>
        <w:tc>
          <w:tcPr>
            <w:tcW w:type="dxa" w:w="2448"/>
            <w:shd w:fill="1B365D"/>
          </w:tcPr>
          <w:p>
            <w:r>
              <w:rPr>
                <w:b/>
                <w:color w:val="FFFFFF"/>
                <w:sz w:val="18"/>
              </w:rPr>
              <w:t>Veredicto de Asignación</w:t>
            </w:r>
          </w:p>
        </w:tc>
      </w:tr>
      <w:tr>
        <w:tc>
          <w:tcPr>
            <w:tcW w:type="dxa" w:w="2448"/>
          </w:tcPr>
          <w:p>
            <w:r>
              <w:rPr>
                <w:b/>
                <w:sz w:val="17"/>
              </w:rPr>
              <w:t>Ventaja Competitiva (Moat)</w:t>
            </w:r>
          </w:p>
        </w:tc>
        <w:tc>
          <w:tcPr>
            <w:tcW w:type="dxa" w:w="2448"/>
          </w:tcPr>
          <w:p>
            <w:r>
              <w:rPr>
                <w:sz w:val="17"/>
              </w:rPr>
              <w:t>Foso Defensivo Amplio (Ventajas Intangibles)</w:t>
            </w:r>
          </w:p>
        </w:tc>
        <w:tc>
          <w:tcPr>
            <w:tcW w:type="dxa" w:w="2448"/>
          </w:tcPr>
          <w:p>
            <w:r>
              <w:rPr>
                <w:b/>
                <w:sz w:val="17"/>
              </w:rPr>
              <w:t>WIDE MOAT</w:t>
            </w:r>
          </w:p>
        </w:tc>
        <w:tc>
          <w:tcPr>
            <w:tcW w:type="dxa" w:w="2448"/>
          </w:tcPr>
          <w:p>
            <w:r>
              <w:rPr>
                <w:sz w:val="17"/>
              </w:rPr>
              <w:t>Poder de fijación de precios y resiliencia de márgenes (38.1% EBIT).</w:t>
            </w:r>
          </w:p>
        </w:tc>
      </w:tr>
      <w:tr>
        <w:tc>
          <w:tcPr>
            <w:tcW w:type="dxa" w:w="2448"/>
            <w:shd w:fill="F7FAFC"/>
          </w:tcPr>
          <w:p>
            <w:r>
              <w:rPr>
                <w:b/>
                <w:sz w:val="17"/>
              </w:rPr>
              <w:t>Calidad de Beneficios</w:t>
            </w:r>
          </w:p>
        </w:tc>
        <w:tc>
          <w:tcPr>
            <w:tcW w:type="dxa" w:w="2448"/>
            <w:shd w:fill="F7FAFC"/>
          </w:tcPr>
          <w:p>
            <w:r>
              <w:rPr>
                <w:sz w:val="17"/>
              </w:rPr>
              <w:t>Ratio Sloan: -15.25% / Montier: 2/6</w:t>
            </w:r>
          </w:p>
        </w:tc>
        <w:tc>
          <w:tcPr>
            <w:tcW w:type="dxa" w:w="2448"/>
            <w:shd w:fill="F7FAFC"/>
          </w:tcPr>
          <w:p>
            <w:r>
              <w:rPr>
                <w:b/>
                <w:sz w:val="17"/>
              </w:rPr>
              <w:t>CALIDAD SÓLIDA / BAJO RIESGO</w:t>
            </w:r>
          </w:p>
        </w:tc>
        <w:tc>
          <w:tcPr>
            <w:tcW w:type="dxa" w:w="2448"/>
            <w:shd w:fill="F7FAFC"/>
          </w:tcPr>
          <w:p>
            <w:r>
              <w:rPr>
                <w:sz w:val="17"/>
              </w:rPr>
              <w:t>Ganancias 100% avaladas por caja real ($1.00 CFO por dólar de NI).</w:t>
            </w:r>
          </w:p>
        </w:tc>
      </w:tr>
      <w:tr>
        <w:tc>
          <w:tcPr>
            <w:tcW w:type="dxa" w:w="2448"/>
          </w:tcPr>
          <w:p>
            <w:r>
              <w:rPr>
                <w:b/>
                <w:sz w:val="17"/>
              </w:rPr>
              <w:t>Solvencia y Estructura</w:t>
            </w:r>
          </w:p>
        </w:tc>
        <w:tc>
          <w:tcPr>
            <w:tcW w:type="dxa" w:w="2448"/>
          </w:tcPr>
          <w:p>
            <w:r>
              <w:rPr>
                <w:sz w:val="17"/>
              </w:rPr>
              <w:t>Cobertura EBIT: 108.1x / Altman Z'': 4.90</w:t>
            </w:r>
          </w:p>
        </w:tc>
        <w:tc>
          <w:tcPr>
            <w:tcW w:type="dxa" w:w="2448"/>
          </w:tcPr>
          <w:p>
            <w:r>
              <w:rPr>
                <w:b/>
                <w:sz w:val="17"/>
              </w:rPr>
              <w:t>SINTÉTICO AAA</w:t>
            </w:r>
          </w:p>
        </w:tc>
        <w:tc>
          <w:tcPr>
            <w:tcW w:type="dxa" w:w="2448"/>
          </w:tcPr>
          <w:p>
            <w:r>
              <w:rPr>
                <w:sz w:val="17"/>
              </w:rPr>
              <w:t>Cero estrés financiero; colchón de $90.3B.</w:t>
            </w:r>
          </w:p>
        </w:tc>
      </w:tr>
      <w:tr>
        <w:tc>
          <w:tcPr>
            <w:tcW w:type="dxa" w:w="2448"/>
            <w:shd w:fill="F7FAFC"/>
          </w:tcPr>
          <w:p>
            <w:r>
              <w:rPr>
                <w:b/>
                <w:sz w:val="17"/>
              </w:rPr>
              <w:t>Productividad del Capital</w:t>
            </w:r>
          </w:p>
        </w:tc>
        <w:tc>
          <w:tcPr>
            <w:tcW w:type="dxa" w:w="2448"/>
            <w:shd w:fill="F7FAFC"/>
          </w:tcPr>
          <w:p>
            <w:r>
              <w:rPr>
                <w:sz w:val="17"/>
              </w:rPr>
              <w:t>ROC Greenblatt: 205.4% / ROIC Adj: 21.5%</w:t>
            </w:r>
          </w:p>
        </w:tc>
        <w:tc>
          <w:tcPr>
            <w:tcW w:type="dxa" w:w="2448"/>
            <w:shd w:fill="F7FAFC"/>
          </w:tcPr>
          <w:p>
            <w:r>
              <w:rPr>
                <w:b/>
                <w:sz w:val="17"/>
              </w:rPr>
              <w:t>CREADOR DE VALOR</w:t>
            </w:r>
          </w:p>
        </w:tc>
        <w:tc>
          <w:tcPr>
            <w:tcW w:type="dxa" w:w="2448"/>
            <w:shd w:fill="F7FAFC"/>
          </w:tcPr>
          <w:p>
            <w:r>
              <w:rPr>
                <w:sz w:val="17"/>
              </w:rPr>
              <w:t>Spread económico de +10.7 pp sobre WACC (Creación de valor de élite).</w:t>
            </w:r>
          </w:p>
        </w:tc>
      </w:tr>
      <w:tr>
        <w:tc>
          <w:tcPr>
            <w:tcW w:type="dxa" w:w="2448"/>
          </w:tcPr>
          <w:p>
            <w:r>
              <w:rPr>
                <w:b/>
                <w:sz w:val="17"/>
              </w:rPr>
              <w:t>Valoración de Mercado</w:t>
            </w:r>
          </w:p>
        </w:tc>
        <w:tc>
          <w:tcPr>
            <w:tcW w:type="dxa" w:w="2448"/>
          </w:tcPr>
          <w:p>
            <w:r>
              <w:rPr>
                <w:sz w:val="17"/>
              </w:rPr>
              <w:t>Crecimiento Implícito: 20.3% - 16.3%</w:t>
            </w:r>
          </w:p>
        </w:tc>
        <w:tc>
          <w:tcPr>
            <w:tcW w:type="dxa" w:w="2448"/>
          </w:tcPr>
          <w:p>
            <w:r>
              <w:rPr>
                <w:b/>
                <w:sz w:val="17"/>
              </w:rPr>
              <w:t>PRICED FOR PERFECTION</w:t>
            </w:r>
          </w:p>
        </w:tc>
        <w:tc>
          <w:tcPr>
            <w:tcW w:type="dxa" w:w="2448"/>
          </w:tcPr>
          <w:p>
            <w:r>
              <w:rPr>
                <w:sz w:val="17"/>
              </w:rPr>
              <w:t>Exigencia de crecimiento ambiciosa (+20.3% anual); requiere catalizadores sostenidos de expansión comercial.</w:t>
            </w:r>
          </w:p>
        </w:tc>
      </w:tr>
    </w:tbl>
    <w:p>
      <w:pPr>
        <w:spacing w:before="400"/>
        <w:jc w:val="center"/>
      </w:pPr>
      <w:r>
        <w:rPr>
          <w:rFonts w:ascii="Calibri" w:hAnsi="Calibri"/>
          <w:i/>
          <w:color w:val="4A5568"/>
          <w:sz w:val="17"/>
        </w:rPr>
        <w:t>Fin del Informe Oficial de Investigación Fundamental — Meta Platforms, Inc. (META) | Wall Street Equity Research Platform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