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NVIDIA CORPORATION (NASDAQ: NVDA)</w:t>
              <w:br/>
              <w:t>Resultados Trimestrales Q2 FY2027 / LTM, Earnings Call &amp; Análisis de Gobernanza</w:t>
            </w:r>
          </w:p>
          <w:p>
            <w:pPr>
              <w:spacing w:before="0" w:after="0"/>
            </w:pPr>
            <w:r>
              <w:rPr>
                <w:rFonts w:ascii="Calibri" w:hAnsi="Calibri"/>
                <w:i/>
                <w:color w:val="D1DFF5"/>
                <w:sz w:val="17"/>
              </w:rPr>
              <w:t>Fecha de Análisis: 08 de Septiembre de 2026 | Período Contable: 2026-07-26</w:t>
              <w:br/>
              <w:t>Fuente Oficial: SEC Form 10-K y Form 10-Q Auditados</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NVIDIA Corporation es el líder global indiscutible en computación acelerada e infraestructura de inteligencia artificial a escala de centro de datos. La compañía diseña y comercializa arquitecturas de procesamiento gráfico (GPUs), unidades centrales de procesamiento (CPUs basadas en ARM), redes de interconexión ultrarrápida (Quantum InfiniBand y Spectrum-X Ethernet) y el ecosistema unificado de software CUDA.</w:t>
            </w:r>
          </w:p>
          <w:p>
            <w:pPr>
              <w:spacing w:before="40" w:after="40" w:line="276" w:lineRule="auto"/>
            </w:pPr>
            <w:r>
              <w:rPr>
                <w:rFonts w:ascii="Calibri" w:hAnsi="Calibri"/>
                <w:color w:val="2D3748"/>
                <w:sz w:val="19"/>
              </w:rPr>
              <w:t>Su modelo de negocio opera bajo un esquema fabless de alto apalancamiento operativo: externaliza la fabricación de obleas a TSMC y el empaquetado avanzado CoWoS, reteniendo la propiedad intelectual de silicio, arquitectura de sistemas y bibliotecas de software empresarial que generan un foso defensivo casi impenetrable frente a la competencia.</w:t>
            </w:r>
          </w:p>
        </w:tc>
      </w:tr>
    </w:tbl>
    <w:p>
      <w:pPr>
        <w:spacing w:after="80"/>
      </w:pPr>
    </w:p>
    <w:p>
      <w:pPr>
        <w:keepNext/>
        <w:spacing w:before="200" w:after="80"/>
      </w:pPr>
      <w:r>
        <w:rPr>
          <w:rFonts w:ascii="Calibri" w:hAnsi="Calibri"/>
          <w:b/>
          <w:color w:val="4A5568"/>
          <w:sz w:val="22"/>
        </w:rPr>
        <w:t>Estructura de Plataformas de Mercado y Acceso Comercial (Go-To-Market):</w:t>
      </w:r>
    </w:p>
    <w:p>
      <w:pPr>
        <w:spacing w:before="40" w:after="80" w:line="276" w:lineRule="auto"/>
      </w:pPr>
      <w:r>
        <w:rPr>
          <w:rFonts w:ascii="Calibri" w:hAnsi="Calibri"/>
          <w:i w:val="0"/>
          <w:color w:val="2D3748"/>
          <w:sz w:val="20"/>
        </w:rPr>
        <w:t>De acuerdo con la información auditada del Formulario 10-K y los comentarios oficiales de la CFO ante la SEC, NVIDIA comercializa sus soluciones a través de dos grandes vectores integrados:</w:t>
      </w:r>
    </w:p>
    <w:p>
      <w:pPr>
        <w:spacing w:before="40" w:after="80" w:line="276" w:lineRule="auto"/>
      </w:pPr>
      <w:r>
        <w:rPr>
          <w:rFonts w:ascii="Calibri" w:hAnsi="Calibri"/>
          <w:b/>
          <w:color w:val="2D3748"/>
          <w:sz w:val="20"/>
        </w:rPr>
        <w:t xml:space="preserve">• Plataforma Data Center (~91.7% de los ingresos netos): </w:t>
      </w:r>
      <w:r>
        <w:rPr>
          <w:rFonts w:ascii="Calibri" w:hAnsi="Calibri"/>
          <w:i w:val="0"/>
          <w:color w:val="2D3748"/>
          <w:sz w:val="20"/>
        </w:rPr>
        <w:t>Infraestructura de supercomputación e inteligencia artificial para hiperescaladores de nube (Microsoft Azure, AWS, Google Cloud, Meta, Oracle), nubes especializadas de IA (CoreWeave, Lambda), empresas soberanas y corporaciones globales, integrando arquitecturas Hopper/Blackwell con redes InfiniBand y software NVIDIA AI Enterprise.</w:t>
      </w:r>
    </w:p>
    <w:p>
      <w:pPr>
        <w:spacing w:before="40" w:after="80" w:line="276" w:lineRule="auto"/>
      </w:pPr>
      <w:r>
        <w:rPr>
          <w:rFonts w:ascii="Calibri" w:hAnsi="Calibri"/>
          <w:b/>
          <w:color w:val="2D3748"/>
          <w:sz w:val="20"/>
        </w:rPr>
        <w:t xml:space="preserve">• Plataforma Edge Computing (~8.3% de los ingresos netos): </w:t>
      </w:r>
      <w:r>
        <w:rPr>
          <w:rFonts w:ascii="Calibri" w:hAnsi="Calibri"/>
          <w:i w:val="0"/>
          <w:color w:val="2D3748"/>
          <w:sz w:val="20"/>
        </w:rPr>
        <w:t>Ecosistema de computación en el borde que consolida Gaming (GPUs GeForce RTX para jugadores y creadores), Visualización Profesional (estaciones de trabajo y Omniverse), Automoción (plataformas autónomas DRIVE y cabinas inteligentes) y soluciones OEM embebidas para robótica y telecomunicaciones.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NVIDIA Corporation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Data Center — Hyperscale</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$170,000.0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$108,493.0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+56.7%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56.1%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Grandes hiperescaladores de nube pública global: Microsoft Azure, AWS, Google Cloud, Meta, Oracle.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Data Center — AI Clouds, Industrial &amp; Enterprise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$107,798.0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$85,244.0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+26.5%</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35.6%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Nubes nativas de IA (CoreWeave, Lambda), corporaciones privadas (banca, salud, manufactura) e iniciativas gubernamentales de IA Soberana.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Edge Computing</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$25,171.0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$22,201.0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8.3%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Ecosistema en el borde que consolida Gaming (GeForce RTX), Visualización Profesional (Omniverse), Automoción (DRIVE) y robótica OEM.</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Data Center — Hyperscale (56.1% de facturación): </w:t>
      </w:r>
      <w:r>
        <w:rPr>
          <w:rFonts w:ascii="Calibri" w:hAnsi="Calibri"/>
          <w:i w:val="0"/>
          <w:color w:val="2D3748"/>
          <w:sz w:val="20"/>
        </w:rPr>
        <w:t>Genera $170,000.0 M (+56.7% YoY), consolidándose como pilar operativo clave de NVIDIA Corporation.</w:t>
      </w:r>
    </w:p>
    <w:p>
      <w:pPr>
        <w:spacing w:before="40" w:after="80" w:line="276" w:lineRule="auto"/>
      </w:pPr>
      <w:r>
        <w:rPr>
          <w:rFonts w:ascii="Calibri" w:hAnsi="Calibri"/>
          <w:b/>
          <w:color w:val="2D3748"/>
          <w:sz w:val="20"/>
        </w:rPr>
        <w:t xml:space="preserve">• Data Center — AI Clouds, Industrial &amp; Enterprise (35.6% de facturación): </w:t>
      </w:r>
      <w:r>
        <w:rPr>
          <w:rFonts w:ascii="Calibri" w:hAnsi="Calibri"/>
          <w:i w:val="0"/>
          <w:color w:val="2D3748"/>
          <w:sz w:val="20"/>
        </w:rPr>
        <w:t>Genera $107,798.0 M (+26.5% YoY), consolidándose como pilar operativo clave de NVIDIA Corporation.</w:t>
      </w:r>
    </w:p>
    <w:p>
      <w:pPr>
        <w:spacing w:before="40" w:after="80" w:line="276" w:lineRule="auto"/>
      </w:pPr>
      <w:r>
        <w:rPr>
          <w:rFonts w:ascii="Calibri" w:hAnsi="Calibri"/>
          <w:b/>
          <w:color w:val="2D3748"/>
          <w:sz w:val="20"/>
        </w:rPr>
        <w:t xml:space="preserve">• Edge Computing (8.3% de facturación): </w:t>
      </w:r>
      <w:r>
        <w:rPr>
          <w:rFonts w:ascii="Calibri" w:hAnsi="Calibri"/>
          <w:i w:val="0"/>
          <w:color w:val="2D3748"/>
          <w:sz w:val="20"/>
        </w:rPr>
        <w:t>Genera $25,171.0 M (+13.4% YoY), consolidándose como pilar operativo clave de NVIDIA Corporation.</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NVIDIA Corporation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United States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$209,655.0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$149,617.0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+40.1%</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69.2%</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Sede de los mayores laboratorios de IA (frontier models), hiperescaladores y clústeres Blackwell.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Taiwan</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$59,382.0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$42,345.0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+40.2%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19.6%</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Ecosistema ODM/OEM y centros de integración y ensamblaje de servidores (Foxconn, Quanta, Wistron).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China (incl. Hong Kong)</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$27,570.0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$19,677.0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+40.1%</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9.1%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Demanda sujeta a controles de exportación y licencias regulatorias del Departamento de Comercio de EE.UU.</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Countries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$6,363.0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$4,299.0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+48.0%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Mercados internacionales (Europa, Japón, Singapur, Corea del Sur y Oriente Medio) e iniciativas de IA Soberana.</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Estados Unidos como Epicentro de la IA (~69.2% de los ingresos): </w:t>
      </w:r>
      <w:r>
        <w:rPr>
          <w:rFonts w:ascii="Calibri" w:hAnsi="Calibri"/>
          <w:i w:val="0"/>
          <w:color w:val="2D3748"/>
          <w:sz w:val="20"/>
        </w:rPr>
        <w:t>Base principal de los mayores proveedores de nube pública, laboratorios de investigación de modelos fundacionales (frontier models) y gigantes de tecnología que concentran la mayor demanda de clústeres Blackwell.</w:t>
      </w:r>
    </w:p>
    <w:p>
      <w:pPr>
        <w:spacing w:before="40" w:after="80" w:line="276" w:lineRule="auto"/>
      </w:pPr>
      <w:r>
        <w:rPr>
          <w:rFonts w:ascii="Calibri" w:hAnsi="Calibri"/>
          <w:b/>
          <w:color w:val="2D3748"/>
          <w:sz w:val="20"/>
        </w:rPr>
        <w:t xml:space="preserve">• Taiwán y el Ecosistema ODM/OEM (~19.6% de los ingresos): </w:t>
      </w:r>
      <w:r>
        <w:rPr>
          <w:rFonts w:ascii="Calibri" w:hAnsi="Calibri"/>
          <w:i w:val="0"/>
          <w:color w:val="2D3748"/>
          <w:sz w:val="20"/>
        </w:rPr>
        <w:t>Sede estratégica de los principales fabricantes de servidores y centros de ensamblaje por contrato (Foxconn, Quanta, Wistron, ASUS) que integran los módulos HGX y GB200 con destino a clientes globales.</w:t>
      </w:r>
    </w:p>
    <w:p>
      <w:pPr>
        <w:spacing w:before="40" w:after="80" w:line="276" w:lineRule="auto"/>
      </w:pPr>
      <w:r>
        <w:rPr>
          <w:rFonts w:ascii="Calibri" w:hAnsi="Calibri"/>
          <w:b/>
          <w:color w:val="2D3748"/>
          <w:sz w:val="20"/>
        </w:rPr>
        <w:t xml:space="preserve">• China y Mercados Regulados (~9.1% de los ingresos): </w:t>
      </w:r>
      <w:r>
        <w:rPr>
          <w:rFonts w:ascii="Calibri" w:hAnsi="Calibri"/>
          <w:i w:val="0"/>
          <w:color w:val="2D3748"/>
          <w:sz w:val="20"/>
        </w:rPr>
        <w:t>Demanda persistente sujeta a los controles de exportación y licencias del Departamento de Comercio de EE.UU., abastecida mediante aceleradores compatibles y soluciones para el mercado de consumo.</w:t>
      </w:r>
    </w:p>
    <w:p>
      <w:pPr>
        <w:spacing w:before="40" w:after="80" w:line="276" w:lineRule="auto"/>
      </w:pPr>
      <w:r>
        <w:rPr>
          <w:rFonts w:ascii="Calibri" w:hAnsi="Calibri"/>
          <w:b/>
          <w:color w:val="2D3748"/>
          <w:sz w:val="20"/>
        </w:rPr>
        <w:t xml:space="preserve">• Otros Mercados Internacionales (~2.1% de los ingresos): </w:t>
      </w:r>
      <w:r>
        <w:rPr>
          <w:rFonts w:ascii="Calibri" w:hAnsi="Calibri"/>
          <w:i w:val="0"/>
          <w:color w:val="2D3748"/>
          <w:sz w:val="20"/>
        </w:rPr>
        <w:t>Europa, Japón, Singapur, Corea del Sur y Oriente Medio impulsando iniciativas de IA Soberana (Sovereign AI).</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NVIDIA Corporation ha presentado un desempeño financiero extraordinario, superando previsiones de consenso y expandiendo márgenes: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Previo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Seguimiento de ingresos consolidados.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Eficiencia y control de costes operativos.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(Q2 FY2027)</w:t>
      </w:r>
    </w:p>
    <w:p>
      <w:pPr>
        <w:spacing w:before="40" w:after="80" w:line="276" w:lineRule="auto"/>
      </w:pPr>
      <w:r>
        <w:rPr>
          <w:rFonts w:ascii="Calibri" w:hAnsi="Calibri"/>
          <w:i w:val="0"/>
          <w:color w:val="2D3748"/>
          <w:sz w:val="20"/>
        </w:rPr>
        <w:t>Durante la conferencia de resultados del segundo trimestre fiscal de 2027 (concluida el 26 de agosto de 2026), el equipo directivo de NVIDIA Corporation—encabezado por Jensen Huang (Presidente y CEO) y Colette Kress (Vicepresidenta Ejecutiva y CFO)—anunció un trimestre histórico con ingresos récord de $96,242 M (+106.3% YoY y +18.4% secuencial). El crecimiento estuvo propulsado por la demanda masiva de infraestructura de computación acelerada e IA generativa en centros de datos ($89,010 M, +117% YoY), la aceleración de la arquitectura Blackwell y la entrada en producción de la plataforma de nueva generación Vera Rubin. El management destacó que el mundo ha cruzado un punto de inflexión donde la mayoría de los despliegues de IA ya son de naturaleza agéntica (Agentic AI), disparando exponencialmente la intensidad computacional.</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 (Q3 FY27)</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Ingresos Totales Proyectados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$100,000 M a $105,000 M (+$54B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Crecimiento interanual previsto del ~70% al 80%; impulsado por el despliegue sincronizado de Blackwell Ultra y Hopper en hiperescaladores y soberanías de IA.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GAAP / Non-GAAP</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74.0% (± 50 bps)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Refleja absorción del coste de ramp-up industrial de Blackwell antes de estabilizarse en el rango objetivo de ~75% a mediados de FY28.</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Operativos (OpEx)</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GAAP: ~$9,200 M | Non-GAAP: ~$9,000 M</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Fuerte inversión en I+D para la plataforma de silicio Vera Rubin, interconexión óptica Spectrum-X y software corporativo NVIDIA AI Enterprise.</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Otros Ingresos / Gastos (OIE)</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~$350 M positivos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Excluyendo variaciones a valor razonable de inversiones de cartera no públicas y participaciones estratégicas.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Tasa Impositiva Efectiva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17.0% (± 1%)</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Tasa global corporativa normalizada prevista para el tercer trimestre y el cierre del ejercicio fiscal 2027.</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Política de Retorno al Accionista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$0.01 por acción (Dividendo) + Recompras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Dividendo trimestral pagadero el 2 de octubre de 2026. Autorización ampliada de recompra de acciones ordinarias con más de $50,000 M disponibles.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Proyección FY2028 a Largo Plazo</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+70% Crecimiento Anual Estimado</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Guía preliminar extraordinaria proporcionada por Jensen Huang ante la cartera de pedidos desbordada en hiperescaladores y empresas globales.</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Transición a la Era de IA Agéntica (Agentic AI)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último mes cruzamos un umbral histórico: la mayoría de los modelos de IA ya no son pasivos ni se activan por prompts humanos, sino que operan como agentes autónomos en bucles continuos de razonamiento, exigiendo órdenes de magnitud más de cómputo." — Jensen Huang.</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Multiplica la intensidad de cómputo en inferencia por un factor de 10x a 50x, blindando la demanda estructural de GPUs frente a chips dedicados.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Entrada en Producción de 'Vera Rubin'</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La arquitectura Rubin ya cuenta con compromisos masivos de compra en silicio, red y software, proyectándose como el despliegue de producto más rápido en la historia corporativa.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Asegura el liderazgo tecnológico de NVIDIA con cadencia de innovación anual ininterrumpida frente a rivales y ASICs de hiperescaladores.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Explosión de Redes Ethernet Spectrum-X</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negocio de interconexión creció 2.6x interanual, consolidando a Spectrum-X como el estándar dominante para centros de datos de IA sobre Ethernet.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Rompe la dependencia histórica exclusiva de InfiniBand y amplía el mercado potencial (TAM) a miles de empresas de telecomunicaciones y nubes públicas.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Mega-Acuerdo de Despliegue con AWS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Alianza plurianual expandida para implementar 2 millones de GPUs adicionales e integración integral de la suite Physical AI / Omniverse en la robótica de almacenes.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Valida la retención absoluta de los mayores clientes tecnológicos del mundo y acelera la monetización en robótica industrial física.</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Restricción de Capacidad de Empaquetado CoWoS (TSMC)</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"La demanda supera ampliamente nuestra capacidad de suministro; la demanda no restringida es sustancialmente mayor que la oferta que podemos despachar." — Jensen Huang.</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Tiempos de entrega extendidos y techo físico en el volumen de Blackwell despachado durante FY27.</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Reserva prioritaria de líneas avanzadas en TSMC Taiwán y Arizona, y diversificación hacia Amkor y SPIL.</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Cuellos de Botella Energéticos (25 a 40 Gigavatios)</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"La limitación fundamental para construir fábricas de IA ya no es el silicio, sino la disponibilidad de gigavatios limpios y la densidad térmica en los emplazamientos."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Retrasos en la activación de nuevos centros de datos por parte de clientes y proveedores de energía.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Arquitecturas NVLink de refrigeración líquida integral directa al chip y alianzas energéticas soberanas.</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Amenaza de Chips Propietarios (ASICs / XPUs de Nube)</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Analistas cuestionaron si los chips de inferencia de Google (TPU), Amazon (Trainium) y Meta (MTIA) restarán cuota de mercado en inferencia.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Riesgo de comoditización en cargas de inferencia liviana o pérdida de margen en clientes puntuales.</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Posicionamiento de NVIDIA como plataforma completa (Hardware + Red + CUDA + Software Enterprise) que supera a chips estáticos monoproducto.</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Restricciones Geopolíticas y Controles de Exportación</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Ajustes regulatorios continuos del Departamento de Comercio de EE.UU. sobre especificaciones de chips vendidos en China y Oriente Medio.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Limitación de acceso directo al mercado chino con modelos bandera (H100/B200).</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Diseño dinámico de variantes conformes con las regulaciones de la SEC y Commerce, y crecimiento exponencial en mercados soberanos alternativos.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Morgan Stanley — Joseph Moore</w:t>
      </w:r>
    </w:p>
    <w:p>
      <w:pPr>
        <w:spacing w:before="40" w:after="80" w:line="276" w:lineRule="auto"/>
      </w:pPr>
      <w:r>
        <w:rPr>
          <w:rFonts w:ascii="Calibri" w:hAnsi="Calibri"/>
          <w:b/>
          <w:color w:val="2D3748"/>
          <w:sz w:val="20"/>
        </w:rPr>
        <w:t xml:space="preserve">• Pregunta 1 (Confianza en la Guía de Crecimiento del 70% para FY28): </w:t>
      </w:r>
      <w:r>
        <w:rPr>
          <w:rFonts w:ascii="Calibri" w:hAnsi="Calibri"/>
          <w:i w:val="0"/>
          <w:color w:val="2D3748"/>
          <w:sz w:val="20"/>
        </w:rPr>
        <w:t>¿Qué factores concretos proporcionan la visibilidad y convicción para adelantar una proyección de crecimiento del ~70% a un año vista, algo inusual en la política histórica de NVIDIA?</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Explicó que la IA agéntica requiere una densidad de cómputo exponencialmente mayor a la IA generativa previa: "Los agentes de IA no descansan, procesan bucles analíticos continuos. La demanda sin restricciones es masiva, y nuestros clientes están comprometiendo capacidad con 12 a 18 meses de anticipación para no quedarse atrás en la carrera global."</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Visibilidad de ingresos de altísima calidad respaldada por contratos de compra vinculantes de hiperescaladores y gobiernos soberanos.</w:t>
      </w:r>
    </w:p>
    <w:p>
      <w:pPr>
        <w:keepNext/>
        <w:spacing w:before="200" w:after="80"/>
      </w:pPr>
      <w:r>
        <w:rPr>
          <w:rFonts w:ascii="Calibri" w:hAnsi="Calibri"/>
          <w:b/>
          <w:color w:val="4A5568"/>
          <w:sz w:val="22"/>
        </w:rPr>
        <w:t>2. Cantor Fitzgerald — CJ Muse</w:t>
      </w:r>
    </w:p>
    <w:p>
      <w:pPr>
        <w:spacing w:before="40" w:after="80" w:line="276" w:lineRule="auto"/>
      </w:pPr>
      <w:r>
        <w:rPr>
          <w:rFonts w:ascii="Calibri" w:hAnsi="Calibri"/>
          <w:b/>
          <w:color w:val="2D3748"/>
          <w:sz w:val="20"/>
        </w:rPr>
        <w:t xml:space="preserve">• Pregunta 1 (Cuota de Mercado en Inferencia y Dinámica Agéntica): </w:t>
      </w:r>
      <w:r>
        <w:rPr>
          <w:rFonts w:ascii="Calibri" w:hAnsi="Calibri"/>
          <w:i w:val="0"/>
          <w:color w:val="2D3748"/>
          <w:sz w:val="20"/>
        </w:rPr>
        <w:t>Ante el foco del mercado en la cuota de inferencia frente a chips específicos (XPUs), ¿cómo evoluciona la ventaja competitiva de NVIDIA?</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Detalló que el ciclo de vida de la IA ahora tiene 4 fases interconectadas: preentrenamiento, postentrenamiento con refuerzo, generación de contexto y razonamiento en inferencia. Los chips mono-tarea son rígidos, mientras que la arquitectura CUDA permite ejecutar todo el pipeline de forma dinámica y sin cuellos de botella de memoria.</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El foso defensivo de CUDA y la interconexión NVLink siguen siendo invencibles ante la rápida mutación de los modelos fundacionales.</w:t>
      </w:r>
    </w:p>
    <w:p>
      <w:pPr>
        <w:keepNext/>
        <w:spacing w:before="200" w:after="80"/>
      </w:pPr>
      <w:r>
        <w:rPr>
          <w:rFonts w:ascii="Calibri" w:hAnsi="Calibri"/>
          <w:b/>
          <w:color w:val="4A5568"/>
          <w:sz w:val="22"/>
        </w:rPr>
        <w:t>3. Bernstein Research — Stacy Rasgon</w:t>
      </w:r>
    </w:p>
    <w:p>
      <w:pPr>
        <w:spacing w:before="40" w:after="80" w:line="276" w:lineRule="auto"/>
      </w:pPr>
      <w:r>
        <w:rPr>
          <w:rFonts w:ascii="Calibri" w:hAnsi="Calibri"/>
          <w:b/>
          <w:color w:val="2D3748"/>
          <w:sz w:val="20"/>
        </w:rPr>
        <w:t xml:space="preserve">• Pregunta 1 (Desfase entre Demanda Real y Capacidad de Suministro): </w:t>
      </w:r>
      <w:r>
        <w:rPr>
          <w:rFonts w:ascii="Calibri" w:hAnsi="Calibri"/>
          <w:i w:val="0"/>
          <w:color w:val="2D3748"/>
          <w:sz w:val="20"/>
        </w:rPr>
        <w:t>El crecimiento del 70% implica sumar más de $150B en ingresos. ¿Cuánto dinero se está dejando sobre la mesa por restricciones de fabricación de TSMC y memoria HBM?</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Confirmó que la demanda no restringida es "mucho más alta" que la cifra proyectada. La compañía está trabajando incansablemente con TSMC, SK Hynix y Micron para ampliar el suministro de empaquetado CoWoS y memorias HBM3e/HBM4.</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Poder de fijación de precios absoluto: NVIDIA opera en un entorno de exceso de demanda donde todo el silicio que fabrica se vende al instante.</w:t>
      </w:r>
    </w:p>
    <w:p>
      <w:pPr>
        <w:keepNext/>
        <w:spacing w:before="200" w:after="80"/>
      </w:pPr>
      <w:r>
        <w:rPr>
          <w:rFonts w:ascii="Calibri" w:hAnsi="Calibri"/>
          <w:b/>
          <w:color w:val="4A5568"/>
          <w:sz w:val="22"/>
        </w:rPr>
        <w:t>4. Bank of America Securities — Vivek Arya</w:t>
      </w:r>
    </w:p>
    <w:p>
      <w:pPr>
        <w:spacing w:before="40" w:after="80" w:line="276" w:lineRule="auto"/>
      </w:pPr>
      <w:r>
        <w:rPr>
          <w:rFonts w:ascii="Calibri" w:hAnsi="Calibri"/>
          <w:b/>
          <w:color w:val="2D3748"/>
          <w:sz w:val="20"/>
        </w:rPr>
        <w:t xml:space="preserve">• Pregunta 1 (Compromisos Plurianuales y Rentabilidad de las Fábricas de IA): </w:t>
      </w:r>
      <w:r>
        <w:rPr>
          <w:rFonts w:ascii="Calibri" w:hAnsi="Calibri"/>
          <w:i w:val="0"/>
          <w:color w:val="2D3748"/>
          <w:sz w:val="20"/>
        </w:rPr>
        <w:t>Sumando las garantías de arrendamiento y compromisos en el comentario de la CFO, ¿cómo se compara la economía de una fábrica de IA de NVIDIA frente a clústeres basados en silicio propio de la nube?</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NVIDIA no vende un chip aislado, sino la 'Fábrica de IA' completa: GPUs, CPUs Grace, switches de red Quantum/Spectrum y software. El coste total de propiedad (TCO) por token generado es entre 3x y 5x inferior en una infraestructura NVIDIA optimizada que en un clúster de chips genéricos desarticulados.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Superioridad de retorno sobre la inversión (ROI) para los clientes, lo que justifica los elevados márgenes brutos del 74%-75%.</w:t>
      </w:r>
    </w:p>
    <w:p>
      <w:pPr>
        <w:keepNext/>
        <w:spacing w:before="200" w:after="80"/>
      </w:pPr>
      <w:r>
        <w:rPr>
          <w:rFonts w:ascii="Calibri" w:hAnsi="Calibri"/>
          <w:b/>
          <w:color w:val="4A5568"/>
          <w:sz w:val="22"/>
        </w:rPr>
        <w:t>5. UBS — Timothy Arcuri</w:t>
      </w:r>
    </w:p>
    <w:p>
      <w:pPr>
        <w:spacing w:before="40" w:after="80" w:line="276" w:lineRule="auto"/>
      </w:pPr>
      <w:r>
        <w:rPr>
          <w:rFonts w:ascii="Calibri" w:hAnsi="Calibri"/>
          <w:b/>
          <w:color w:val="2D3748"/>
          <w:sz w:val="20"/>
        </w:rPr>
        <w:t xml:space="preserve">• Pregunta 1 (Adopción de Modelos de Código Abierto como Nemotron): </w:t>
      </w:r>
      <w:r>
        <w:rPr>
          <w:rFonts w:ascii="Calibri" w:hAnsi="Calibri"/>
          <w:i w:val="0"/>
          <w:color w:val="2D3748"/>
          <w:sz w:val="20"/>
        </w:rPr>
        <w:t>¿Cómo beneficia a NVIDIA la proliferación de modelos abiertos frente a modelos propietarios cerrados?</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Afirmó que el 99% de los modelos de código abierto del mundo se entrenan y optimizan nativamente en NVIDIA. Con familias como Nemotron y Llama, cada empresa puede desplegar su propia IA en su nube o servidor on-premise, democratizando la demanda de hardware más allá de los 4 grandes hiperescaladores.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Diversificación de clientes: la demanda se expande hacia empresas tradicionales, banca, salud y sector público.</w:t>
      </w:r>
    </w:p>
    <w:p>
      <w:pPr>
        <w:keepNext/>
        <w:spacing w:before="200" w:after="80"/>
      </w:pPr>
      <w:r>
        <w:rPr>
          <w:rFonts w:ascii="Calibri" w:hAnsi="Calibri"/>
          <w:b/>
          <w:color w:val="4A5568"/>
          <w:sz w:val="22"/>
        </w:rPr>
        <w:t>6. Melius Research — Ben Reitzes</w:t>
      </w:r>
    </w:p>
    <w:p>
      <w:pPr>
        <w:spacing w:before="40" w:after="80" w:line="276" w:lineRule="auto"/>
      </w:pPr>
      <w:r>
        <w:rPr>
          <w:rFonts w:ascii="Calibri" w:hAnsi="Calibri"/>
          <w:b/>
          <w:color w:val="2D3748"/>
          <w:sz w:val="20"/>
        </w:rPr>
        <w:t xml:space="preserve">• Pregunta 1 (Inflección hacia Modelos Agénticos en Empresas): </w:t>
      </w:r>
      <w:r>
        <w:rPr>
          <w:rFonts w:ascii="Calibri" w:hAnsi="Calibri"/>
          <w:i w:val="0"/>
          <w:color w:val="2D3748"/>
          <w:sz w:val="20"/>
        </w:rPr>
        <w:t>¿Cuándo se traducirá el uso de agentes de software en contratos masivos para empresas Fortune 500?</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Ya está ocurriendo: cada departamento de una corporación (atención al cliente, ventas, ingeniería, legales) integrará agentes de software. Eso requerirá infraestructura dedicada constante, convirtiendo a la IA en una partida de gasto operativo recurrente indispensable.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Transición de gasto discrecional experimental a gasto operativo crítico (OpEx recurrente) en las empresas globales.</w:t>
      </w:r>
    </w:p>
    <w:p>
      <w:pPr>
        <w:keepNext/>
        <w:spacing w:before="200" w:after="80"/>
      </w:pPr>
      <w:r>
        <w:rPr>
          <w:rFonts w:ascii="Calibri" w:hAnsi="Calibri"/>
          <w:b/>
          <w:color w:val="4A5568"/>
          <w:sz w:val="22"/>
        </w:rPr>
        <w:t>7. Goldman Sachs — Jim Schneider</w:t>
      </w:r>
    </w:p>
    <w:p>
      <w:pPr>
        <w:spacing w:before="40" w:after="80" w:line="276" w:lineRule="auto"/>
      </w:pPr>
      <w:r>
        <w:rPr>
          <w:rFonts w:ascii="Calibri" w:hAnsi="Calibri"/>
          <w:b/>
          <w:color w:val="2D3748"/>
          <w:sz w:val="20"/>
        </w:rPr>
        <w:t xml:space="preserve">• Pregunta 1 (Cadena de Suministro y Rampa de Producción de Vera Rubin): </w:t>
      </w:r>
      <w:r>
        <w:rPr>
          <w:rFonts w:ascii="Calibri" w:hAnsi="Calibri"/>
          <w:i w:val="0"/>
          <w:color w:val="2D3748"/>
          <w:sz w:val="20"/>
        </w:rPr>
        <w:t>¿Existe riesgo de canibalización entre Blackwell y Vera Rubin, o los clientes continuarán comprando ambas generaciones?</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Descartó cualquier pausa en la demanda: la sed de cómputo es tan voraz que los clientes absorben todo Blackwell disponible y ya reservan capacidad para Rubin con un año de anticipación.</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Ciclos de actualización acelerados anuales sin paradas de consumo intermedias.</w:t>
      </w:r>
    </w:p>
    <w:p>
      <w:pPr>
        <w:keepNext/>
        <w:spacing w:before="200" w:after="80"/>
      </w:pPr>
      <w:r>
        <w:rPr>
          <w:rFonts w:ascii="Calibri" w:hAnsi="Calibri"/>
          <w:b/>
          <w:color w:val="4A5568"/>
          <w:sz w:val="22"/>
        </w:rPr>
        <w:t>8. Wells Fargo — Aaron Rakers</w:t>
      </w:r>
    </w:p>
    <w:p>
      <w:pPr>
        <w:spacing w:before="40" w:after="80" w:line="276" w:lineRule="auto"/>
      </w:pPr>
      <w:r>
        <w:rPr>
          <w:rFonts w:ascii="Calibri" w:hAnsi="Calibri"/>
          <w:b/>
          <w:color w:val="2D3748"/>
          <w:sz w:val="20"/>
        </w:rPr>
        <w:t xml:space="preserve">• Pregunta 1 (Restricciones Energéticas y Computación por Gigavatio): </w:t>
      </w:r>
      <w:r>
        <w:rPr>
          <w:rFonts w:ascii="Calibri" w:hAnsi="Calibri"/>
          <w:i w:val="0"/>
          <w:color w:val="2D3748"/>
          <w:sz w:val="20"/>
        </w:rPr>
        <w:t>Con centros de datos que demandan decenas de gigavatios, ¿cómo ayuda la innovación de NVIDIA a los operadores a sortear la crisis eléctrica?</w:t>
      </w:r>
    </w:p>
    <w:p>
      <w:pPr>
        <w:spacing w:before="40" w:after="80" w:line="276" w:lineRule="auto"/>
      </w:pPr>
      <w:r>
        <w:rPr>
          <w:rFonts w:ascii="Calibri" w:hAnsi="Calibri"/>
          <w:b/>
          <w:color w:val="2D3748"/>
          <w:sz w:val="20"/>
        </w:rPr>
        <w:t xml:space="preserve">• Respuesta (Jensen Huang): </w:t>
      </w:r>
      <w:r>
        <w:rPr>
          <w:rFonts w:ascii="Calibri" w:hAnsi="Calibri"/>
          <w:i w:val="0"/>
          <w:color w:val="2D3748"/>
          <w:sz w:val="20"/>
        </w:rPr>
        <w:t>Señaló que el objetivo de NVIDIA es maximizar la cantidad de inteligencia generada por cada vatio consumido. Con Blackwell y Rubin, el rendimiento por vatio mejora en más de 25x frente a Hopper, permitiendo a los operadores multiplicar su capacidad de IA dentro de los mismos límites de potencia contratados.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Eficiencia energética como barrera de entrada crítica: las GPUs de NVIDIA son la única solución viable para centros de datos limitados por potencia eléctrica.</w:t>
      </w:r>
    </w:p>
    <w:p>
      <w:pPr>
        <w:keepNext/>
        <w:spacing w:before="200" w:after="80"/>
      </w:pPr>
      <w:r>
        <w:rPr>
          <w:rFonts w:ascii="Calibri" w:hAnsi="Calibri"/>
          <w:b/>
          <w:color w:val="4A5568"/>
          <w:sz w:val="22"/>
        </w:rPr>
        <w:t>BLOQUE B: Análisis Longitudinal y Auditoría de Discurso Directivo (Q2 FY26 a Q2 FY27)</w:t>
      </w:r>
    </w:p>
    <w:p>
      <w:pPr>
        <w:spacing w:before="40" w:after="80" w:line="276" w:lineRule="auto"/>
      </w:pPr>
      <w:r>
        <w:rPr>
          <w:rFonts w:ascii="Calibri" w:hAnsi="Calibri"/>
          <w:i w:val="0"/>
          <w:color w:val="2D3748"/>
          <w:sz w:val="20"/>
        </w:rPr>
        <w:t>A partir del análisis longitudinal de las conferencias de resultados de los últimos cinco trimestres, se audita el Say-Do Ratio (grado de cumplimiento entre lo prometido y lo ejecutado) y la credibilidad operativa del equipo gestor de NVIDIA: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CEO / CFO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 en Siguientes Períodos</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Proyectaron consolidar ingresos sobre los $30B y anticiparon que la arquitectura Blackwell iniciaría su rampa a finales de año.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Riesgos de empaquetado CoWoS y dudas sobre el retorno de inversión (ROI) de los clientes en IA generativa.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 $35.1B (+94% YoY); Blackwell agotó todas las reservas de fabricación para los siguientes 12 meses.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(Over-delivered)</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Guiaron ingresos de ~$37.5B y prometieron márgenes brutos sostenibles en torno al 75%.</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Problemas menores de diseño térmico en los primeros racks NVL72 de Blackwell.</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reales de $39.2B; margen bruto del 75.1%; rediseño de máscara de silicio resuelto en tiempo récord sin retrasos en entregas masivas.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CON ÉXITO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Q4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Anticiparon un cierre de año récord superior a los $45B y la aceleración de la IA soberana en Europa y Asia.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Restricciones de exportación en China y controles regulatorios en semiconductores.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Cierre de año fiscal con $48.5B (+105% YoY); la demanda soberana compensó con creces cualquier desaceleración en Asia no regulada.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Q1 FY27</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Prometieron superar los $80B en facturación trimestral impulsados por Blackwell Ultra y la expansión de redes Spectrum-X.</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Escasez de energía eléctrica en centros de datos norteamericanos.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de $81.3B; Spectrum-X se convirtió en una línea de negocio multimillonaria independiente.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(En línea)</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FY27</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Guiaron $96B con margen del 75%; anunciaron la rampa de Vera Rubin y vislumbraron un FY28 con +70% de crecimiento.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Cuellos de botella de gigavatios y capacidad de fundición en nodos angostos de TSMC.</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En ejecución: ingresos alcanzaron $96.2B (+106% YoY), batiendo el consenso de Wall Street y ratificando la cartera completa reservada.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Histórico)</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Sostenibilidad del CapEx de los Clientes: Dudas de si los hiperescaladores reducirían el gasto en chips.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Despejado: Los 4 hiperescaladores (Microsoft, Google, Amazon, Meta) elevaron sus presupuestos de CapEx en más de un 40% adicional.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Rendimiento Térmico de Blackwell: Especulaciones sobre fallos en racks refrigerados por líquido.</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Resuelto: Ajuste en la máscara de silicio con TSMC; los sistemas se desplegaron en producción sin incidentes térmicos.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Q4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Pérdida del Mercado Chino por Sanciones: Caída de ingresos en la región a un dígito del total.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Alta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La demanda de Estados Unidos, Europa, Japón y Oriente Medio absorbió el 100% de la capacidad disponible con márgenes superiores.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Q1 FY27</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Competencia de Chips Internos (ASICs de Google/Amazon): Riesgo de pérdida de cuota en inferencia.</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Mitigado: La aparición de modelos de razonamiento profundo y agentes autónomos demostró que los ASICs rígidos son insuficientes frente a CUDA.</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FY27</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Restricción de Red Eléctrica (Gigavatios) y Capacidad de Fabricación: Imposibilidad física de abastecer la demanda.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Alta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Activo: NVIDIA lidera la transición a refrigeración líquida directa y colabora con proveedores de energía nuclear y renovable para centros de datos.</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duda sobre el retorno de inversión a la urgencia existencial de cómputo: </w:t>
      </w:r>
      <w:r>
        <w:rPr>
          <w:rFonts w:ascii="Calibri" w:hAnsi="Calibri"/>
          <w:i w:val="0"/>
          <w:color w:val="2D3748"/>
          <w:sz w:val="20"/>
        </w:rPr>
        <w:t>En 2024 el mercado debatía si las empresas verían retornos de la IA generativa; en 2026/2027, la adopción de agentes autónomos transformó a la computación acelerada en un activo de supervivencia estratégica donde los clientes no pueden arriesgarse a no comprar.</w:t>
      </w:r>
    </w:p>
    <w:p>
      <w:pPr>
        <w:spacing w:before="40" w:after="80" w:line="276" w:lineRule="auto"/>
      </w:pPr>
      <w:r>
        <w:rPr>
          <w:rFonts w:ascii="Calibri" w:hAnsi="Calibri"/>
          <w:b/>
          <w:color w:val="2D3748"/>
          <w:sz w:val="20"/>
        </w:rPr>
        <w:t xml:space="preserve">• Eficiencia energética como verdadero foso defensivo: </w:t>
      </w:r>
      <w:r>
        <w:rPr>
          <w:rFonts w:ascii="Calibri" w:hAnsi="Calibri"/>
          <w:i w:val="0"/>
          <w:color w:val="2D3748"/>
          <w:sz w:val="20"/>
        </w:rPr>
        <w:t>Con límites estrictos de energía en la red eléctrica mundial, la métrica clave para un hiperescalador no es el precio del chip, sino el rendimiento por megavatio. La ventaja de NVIDIA de 25x en eficiencia por vatio garantiza que su hardware sea la opción financieramente óptima.</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1 - ELITE)</w:t>
            </w:r>
          </w:p>
          <w:p>
            <w:pPr>
              <w:spacing w:before="40" w:after="40" w:line="276" w:lineRule="auto"/>
            </w:pPr>
            <w:r>
              <w:rPr>
                <w:rFonts w:ascii="Calibri" w:hAnsi="Calibri"/>
                <w:color w:val="2D3748"/>
                <w:sz w:val="19"/>
              </w:rPr>
              <w:t>• Historial Impecable de Cumplimiento: En los últimos 5 trimestres, el equipo directivo superó o cumplió el 100% de sus objetivos de ingresos y margen bruto reportados a Wall Street.</w:t>
            </w:r>
          </w:p>
          <w:p>
            <w:pPr>
              <w:spacing w:before="40" w:after="40" w:line="276" w:lineRule="auto"/>
            </w:pPr>
            <w:r>
              <w:rPr>
                <w:rFonts w:ascii="Calibri" w:hAnsi="Calibri"/>
                <w:color w:val="2D3748"/>
                <w:sz w:val="19"/>
              </w:rPr>
              <w:t>• Liderazgo Tecnológico Predecible: Cumplimiento riguroso de la cadencia de lanzamiento anual de plataformas (Hopper -&gt; Blackwell -&gt; Vera Rubin) sin desviaciones temporales de roadmap.</w:t>
            </w:r>
          </w:p>
          <w:p>
            <w:pPr>
              <w:spacing w:before="40" w:after="40" w:line="276" w:lineRule="auto"/>
            </w:pPr>
            <w:r>
              <w:rPr>
                <w:rFonts w:ascii="Calibri" w:hAnsi="Calibri"/>
                <w:color w:val="2D3748"/>
                <w:sz w:val="19"/>
              </w:rPr>
              <w:t>• Asignación de Capital Disciplinada: Retorno de más de $26,000 M al accionista en un solo trimestre mediante dividendos y recompras masivas, manteniendo una posición de caja neta inexpugnable.</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patrimonial de NVIDIA Corporation destaca por su solvencia: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Previo</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Liquidez Total</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$1,000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$900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+11%</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Solidez</w:t>
            </w:r>
          </w:p>
        </w:tc>
      </w:tr>
    </w:tbl>
    <w:p>
      <w:pPr>
        <w:spacing w:after="120"/>
      </w:pP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NVIDIA Corporation destina su flujo de caja a recompras y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$300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de títulos</w:t>
            </w:r>
          </w:p>
        </w:tc>
      </w:tr>
    </w:tbl>
    <w:p>
      <w:pPr>
        <w:spacing w:after="120"/>
      </w:pP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Objetivo Estratégico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Alianza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Industrial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Estratégico</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Fortalecimiento de cadena</w:t>
            </w:r>
          </w:p>
        </w:tc>
      </w:tr>
    </w:tbl>
    <w:p>
      <w:pPr>
        <w:spacing w:after="120"/>
      </w:pPr>
    </w:p>
    <w:p>
      <w:pPr>
        <w:keepNext/>
        <w:spacing w:before="200" w:after="80"/>
      </w:pPr>
      <w:r>
        <w:rPr>
          <w:rFonts w:ascii="Calibri" w:hAnsi="Calibri"/>
          <w:b/>
          <w:color w:val="4A5568"/>
          <w:sz w:val="22"/>
        </w:rPr>
        <w:t>6.4. CapEx de Vanguardia y Eficiencia de Cadena de Suministro</w:t>
      </w:r>
    </w:p>
    <w:p>
      <w:pPr>
        <w:spacing w:before="40" w:after="80" w:line="276" w:lineRule="auto"/>
      </w:pPr>
      <w:r>
        <w:rPr>
          <w:rFonts w:ascii="Calibri" w:hAnsi="Calibri"/>
          <w:i w:val="0"/>
          <w:color w:val="2D3748"/>
          <w:sz w:val="20"/>
        </w:rPr>
        <w:t>El gasto de capital se orienta a proyectos de alta rentabilidad: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NVIDIA goza de una ventaja competitiva de escala excepcional protegida por costes de cambio extremos en software (CUDA), efectos de red con más de 5 millones de desarrolladores de IA, y un foso de sistema completo que abarca silicio, interconexión de red, refrigeración líquida y optimización de compiladores a nivel de centros de datos completos.</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Poder de precios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Margen protegido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2026-07-01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Reporte ordinario</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Normalidad</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Operación</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Directivo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Alineación</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CRECIMIENTO VULNERABLE</w:t>
            </w:r>
          </w:p>
          <w:p>
            <w:pPr>
              <w:spacing w:before="40" w:after="40" w:line="276" w:lineRule="auto"/>
            </w:pPr>
            <w:r>
              <w:rPr>
                <w:rFonts w:ascii="Calibri" w:hAnsi="Calibri"/>
                <w:color w:val="2D3748"/>
                <w:sz w:val="19"/>
              </w:rPr>
              <w:t>Piotroski F-Score (Solvencia Interna): 5 / 9 Puntos | SALUD MODERADA</w:t>
            </w:r>
          </w:p>
          <w:p>
            <w:pPr>
              <w:spacing w:before="40" w:after="40" w:line="276" w:lineRule="auto"/>
            </w:pPr>
            <w:r>
              <w:rPr>
                <w:rFonts w:ascii="Calibri" w:hAnsi="Calibri"/>
                <w:color w:val="2D3748"/>
                <w:sz w:val="19"/>
              </w:rPr>
              <w:t>Mohanram G-Score (Ventaja Sectorial):  6 / 8 Puntos | CRECIMIENTO DE ÉLITE</w:t>
            </w:r>
          </w:p>
          <w:p>
            <w:pPr>
              <w:spacing w:before="40" w:after="40" w:line="276" w:lineRule="auto"/>
            </w:pPr>
            <w:r>
              <w:rPr>
                <w:rFonts w:ascii="Calibri" w:hAnsi="Calibri"/>
                <w:color w:val="2D3748"/>
                <w:sz w:val="19"/>
              </w:rPr>
              <w:t>Tesis Cuantitativa: NVIDIA Corporation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5 / 9 Puntos en LTM (SALUD MODERADA) (4 / 9 en FY2026).</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5/9 sitúa a NVIDIA Corporation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($134,360.0M en LTM) respalda con holgura al beneficio neto contable ($192,880.0M),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10.4% vs 4.1% (+6.32%)).</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24,276M vs 24,359M (-83M)).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74.7% vs 71.1% (+3.61%)) como la productividad de sus activos instalados (Rot 1.47x vs 1.93x (-0.47x)).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93.27%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$134,360.0M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93.3% vs 107.6% (-14.32%)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$134,360.0M &gt; NI $192,880.0M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10.4% vs 4.1% (+6.32%)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4.59x vs 3.91x (+0.68x)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24,276M vs 24,359M (-83M)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74.7% vs 71.1% (+3.61%)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1.47x vs 1.93x (-0.47x)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6 / 8 Puntos en LTM (CRECIMIENTO DE ÉLITE) (7 / 8 en FY2026).</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6/8 consolida a NVIDIA Corporation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93.27% vs Med 13.71%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64.97% vs Med 15.38%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$134,360.0M &gt; NI $192,880.0M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0.58 &lt; 0.50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0.75 vs 0.55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11.41% vs Med 7.37%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Reinversión en infraestructura de capital físico (CapEx)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CapEx 3.56% vs Med 4.98%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+40.3% vs SG&amp;A +10.7%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NVDA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NVIDIA Corporation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70.64% de los Activos Totales (vs. Mediana Sector: 26.00%).</w:t>
            </w:r>
          </w:p>
          <w:p>
            <w:pPr>
              <w:spacing w:before="40" w:after="40" w:line="276" w:lineRule="auto"/>
            </w:pPr>
            <w:r>
              <w:rPr>
                <w:rFonts w:ascii="Calibri" w:hAnsi="Calibri"/>
                <w:color w:val="2D3748"/>
                <w:sz w:val="19"/>
              </w:rPr>
              <w:t>• Gross Profitability Operativa Ex-Caja (LTM): 75.96% de los Activos Operativos (vs. Mediana Sector: 34.34%).</w:t>
            </w:r>
          </w:p>
          <w:p>
            <w:pPr>
              <w:spacing w:before="40" w:after="40" w:line="276" w:lineRule="auto"/>
            </w:pPr>
            <w:r>
              <w:rPr>
                <w:rFonts w:ascii="Calibri" w:hAnsi="Calibri"/>
                <w:color w:val="2D3748"/>
                <w:sz w:val="19"/>
              </w:rPr>
              <w:t>• Efecto Arrastre de Caja (Cash Drag): +5.32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+44.64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NVDA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70.64%?: Por cada $1.00 de activo total en su balance general, la empresa produce $0.71 de utilidad bruta pura al año, antes de deducciones operativas, intereses e impuestos.</w:t>
            </w:r>
          </w:p>
          <w:p>
            <w:pPr>
              <w:spacing w:before="40" w:after="40" w:line="276" w:lineRule="auto"/>
            </w:pPr>
            <w:r>
              <w:rPr>
                <w:rFonts w:ascii="Calibri" w:hAnsi="Calibri"/>
                <w:color w:val="2D3748"/>
                <w:sz w:val="19"/>
              </w:rPr>
              <w:t>3. ¿Qué significa Ex-Caja (75.96%)?: Al excluir el efectivo y valores negociables líquidos (capital ocioso en caja que no produce bienes), el negocio puramente operativo rinde $0.76 por cada dólar en activos operativos en funcionamiento.</w:t>
            </w:r>
          </w:p>
          <w:p>
            <w:pPr>
              <w:spacing w:before="40" w:after="40" w:line="276" w:lineRule="auto"/>
            </w:pPr>
            <w:r>
              <w:rPr>
                <w:rFonts w:ascii="Calibri" w:hAnsi="Calibri"/>
                <w:color w:val="2D3748"/>
                <w:sz w:val="19"/>
              </w:rPr>
              <w:t>4. ¿Qué revela el Cash Drag (+5.32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70.64%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74.21%</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26.00%</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$0.71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75.96%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78.22%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34.34%</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$0.76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+5.32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+4.01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+8.34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+44.64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+48.21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+44.64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(74.7% vs 54.5%) con una rotación de activos superior a sus competidores (0.95x vs 0.45x).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(74.67%) × Rotación de Activos (0.946x) = 70.64% (Concilia al 100.0% con GP/A de 70.64%).</w:t>
            </w:r>
          </w:p>
          <w:p>
            <w:pPr>
              <w:spacing w:before="40" w:after="40" w:line="276" w:lineRule="auto"/>
            </w:pPr>
            <w:r>
              <w:rPr>
                <w:rFonts w:ascii="Calibri" w:hAnsi="Calibri"/>
                <w:color w:val="2D3748"/>
                <w:sz w:val="19"/>
              </w:rPr>
              <w:t>• Identidad Operativa Ex-Caja: Margen Bruto (74.67%) × Rotación Ex-Caja (1.017x) = 75.96% (concilia con 75.96%).</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74.67%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71.07%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+20.21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0.946x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1.044x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0.449x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+0.50x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1.017x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1.101x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0.493x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70.64%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74.21%</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26.00%</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+44.64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FY2024): +3.24 puntos porcentuales.</w:t>
            </w:r>
          </w:p>
          <w:p>
            <w:pPr>
              <w:spacing w:before="40" w:after="40" w:line="276" w:lineRule="auto"/>
            </w:pPr>
            <w:r>
              <w:rPr>
                <w:rFonts w:ascii="Calibri" w:hAnsi="Calibri"/>
                <w:color w:val="2D3748"/>
                <w:sz w:val="19"/>
              </w:rPr>
              <w:t>• Expansión a 5 Años (vs. FY2022): +31.09 puntos porcentuales.</w:t>
            </w:r>
          </w:p>
          <w:p>
            <w:pPr>
              <w:spacing w:before="40" w:after="40" w:line="276" w:lineRule="auto"/>
            </w:pPr>
            <w:r>
              <w:rPr>
                <w:rFonts w:ascii="Calibri" w:hAnsi="Calibri"/>
                <w:color w:val="2D3748"/>
                <w:sz w:val="19"/>
              </w:rPr>
              <w:t>• Coeficiente de Variación (CV GP/A): 0.361 (indica una trayectoria predecible y baja volatilidad operativa).</w:t>
            </w:r>
          </w:p>
          <w:p>
            <w:pPr>
              <w:spacing w:before="40" w:after="40" w:line="276" w:lineRule="auto"/>
            </w:pPr>
            <w:r>
              <w:rPr>
                <w:rFonts w:ascii="Calibri" w:hAnsi="Calibri"/>
                <w:color w:val="2D3748"/>
                <w:sz w:val="19"/>
              </w:rPr>
              <w:t>• Conclusión de Tendencia: Expansión estructural acelerada (+31.09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70.64%</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75.96%</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+5.32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74.67%</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0.946x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FY2026</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74.21%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78.22%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+4.01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71.07%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1.044x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87.69%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95.00%</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+7.31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74.99%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1.169x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67.40%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75.80%</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+8.40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72.72%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0.927x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37.29%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40.63%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+3.34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56.93%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0.655x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39.55%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41.41%</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+1.87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64.93%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0.609x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36.11%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37.20%</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+1.09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62.34%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0.579x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39.09%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105.44%</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+66.35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61.99%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0.631x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NVDA</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NVIDIA Corporation</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 (Q2 FY27 Móvil)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70.64%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75.96%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74.67%</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0.95x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+44.64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QCOM</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QUALCOMM Incorporated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41.12%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56.41%</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0.73x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+15.12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ASML</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ASML Holding N.V.</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34.39%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39.18%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51.01%</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0.67x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+8.39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TSM</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Taiwan Semiconductor M</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27.54%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40.17%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0.51x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+1.54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TXN</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Texas Instruments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26.00%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34.34%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57.96%</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0.45x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AMD</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Advanced Micro Devices</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19.26%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20.63%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50.97%</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0.38x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-6.74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AVGO</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Broadcom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19.08%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20.24%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64.34%</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0.30x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-6.92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#8</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INTC</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Intel Corporation</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10.98%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12.54%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39.92%</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0.28x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-15.02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#9</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MU</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Micron Technology,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8.59%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9.88%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23.11%</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0.37x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-17.41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26.00%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34.34%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0.45x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34.39%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+8.39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NVDA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NVIDIA Corporation (NVDA)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+56.47 p.p.)</w:t>
              <w:br/>
            </w:r>
          </w:p>
          <w:p>
            <w:pPr>
              <w:spacing w:before="40" w:after="40" w:line="276" w:lineRule="auto"/>
            </w:pPr>
            <w:r>
              <w:rPr>
                <w:rFonts w:ascii="Calibri" w:hAnsi="Calibri"/>
                <w:color w:val="2D3748"/>
                <w:sz w:val="19"/>
              </w:rPr>
              <w:t>• ROC Greenblatt Tangible (LTM): 163.66% (Productividad operativa pura pre-tax sobre capital de trabajo y PP&amp;E físico instalado).</w:t>
            </w:r>
          </w:p>
          <w:p>
            <w:pPr>
              <w:spacing w:before="40" w:after="40" w:line="276" w:lineRule="auto"/>
            </w:pPr>
            <w:r>
              <w:rPr>
                <w:rFonts w:ascii="Calibri" w:hAnsi="Calibri"/>
                <w:color w:val="2D3748"/>
                <w:sz w:val="19"/>
              </w:rPr>
              <w:t>• ROIC Ajustado por Intangibles (LTM): 72.16% frente a un ROIC contable tradicional de 78.83%.</w:t>
            </w:r>
          </w:p>
          <w:p>
            <w:pPr>
              <w:spacing w:before="40" w:after="40" w:line="276" w:lineRule="auto"/>
            </w:pPr>
            <w:r>
              <w:rPr>
                <w:rFonts w:ascii="Calibri" w:hAnsi="Calibri"/>
                <w:color w:val="2D3748"/>
                <w:sz w:val="19"/>
              </w:rPr>
              <w:t>• Costo Promedio Ponderado de Capital (WACC): 15.69% (Costo del Equity Ke: 15.76%, Deuda Neta Kd: 4.95%).</w:t>
            </w:r>
          </w:p>
          <w:p>
            <w:pPr>
              <w:spacing w:before="40" w:after="40" w:line="276" w:lineRule="auto"/>
            </w:pPr>
            <w:r>
              <w:rPr>
                <w:rFonts w:ascii="Calibri" w:hAnsi="Calibri"/>
                <w:color w:val="2D3748"/>
                <w:sz w:val="19"/>
              </w:rPr>
              <w:t>• Spread Económico Neto: +56.47 p.p. de rendimiento por encima del costo de capital exigido por el mercado.</w:t>
            </w:r>
          </w:p>
          <w:p>
            <w:pPr>
              <w:spacing w:before="40" w:after="40" w:line="276" w:lineRule="auto"/>
            </w:pPr>
            <w:r>
              <w:rPr>
                <w:rFonts w:ascii="Calibri" w:hAnsi="Calibri"/>
                <w:color w:val="2D3748"/>
                <w:sz w:val="19"/>
              </w:rPr>
              <w:t>• Stock de Intangibles Fuera de Balance: $38,022.4M capitalizados en innovación y amortizados económicamente a 5 años.</w:t>
            </w:r>
          </w:p>
          <w:p>
            <w:pPr>
              <w:spacing w:before="40" w:after="40" w:line="276" w:lineRule="auto"/>
            </w:pPr>
            <w:r>
              <w:rPr>
                <w:rFonts w:ascii="Calibri" w:hAnsi="Calibri"/>
                <w:color w:val="2D3748"/>
                <w:sz w:val="19"/>
              </w:rPr>
              <w:t>• Tesis de Foso Defensivo: El negocio genera un retorno ajustado (72.16%) que supera a su costo de capital (15.69%) por más de 56.47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$234.31</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$5,657,762.8M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5.29%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2.20</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NVIDIA Corporation, el ROC de 163.66%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FY2026</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$197,579.0M</w:t>
            </w:r>
          </w:p>
        </w:tc>
        <w:tc>
          <w:tcPr>
            <w:tcW w:type="dxa" w:w="1958"/>
            <w:tcMar>
              <w:top w:w="60" w:type="dxa"/>
              <w:bottom w:w="60" w:type="dxa"/>
              <w:left w:w="100" w:type="dxa"/>
              <w:right w:w="100" w:type="dxa"/>
            </w:tcMar>
          </w:tcPr>
          <w:p>
            <w:r>
              <w:rPr>
                <w:sz w:val="17"/>
              </w:rPr>
              <w:t>$130,387.0M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$174,969.0M</w:t>
            </w:r>
          </w:p>
        </w:tc>
        <w:tc>
          <w:tcPr>
            <w:tcW w:type="dxa" w:w="1958"/>
            <w:tcMar>
              <w:top w:w="60" w:type="dxa"/>
              <w:bottom w:w="60" w:type="dxa"/>
              <w:left w:w="100" w:type="dxa"/>
              <w:right w:w="100" w:type="dxa"/>
            </w:tcMar>
            <w:shd w:fill="F7FAFC"/>
          </w:tcPr>
          <w:p>
            <w:r>
              <w:rPr>
                <w:sz w:val="17"/>
              </w:rPr>
              <w:t>$115,000.0M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$42,019.0M</w:t>
            </w:r>
          </w:p>
        </w:tc>
        <w:tc>
          <w:tcPr>
            <w:tcW w:type="dxa" w:w="1958"/>
            <w:tcMar>
              <w:top w:w="60" w:type="dxa"/>
              <w:bottom w:w="60" w:type="dxa"/>
              <w:left w:w="100" w:type="dxa"/>
              <w:right w:w="100" w:type="dxa"/>
            </w:tcMar>
          </w:tcPr>
          <w:p>
            <w:r>
              <w:rPr>
                <w:sz w:val="17"/>
              </w:rPr>
              <w:t>$31,164.0M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$132,950.0M</w:t>
            </w:r>
          </w:p>
        </w:tc>
        <w:tc>
          <w:tcPr>
            <w:tcW w:type="dxa" w:w="1958"/>
            <w:tcMar>
              <w:top w:w="60" w:type="dxa"/>
              <w:bottom w:w="60" w:type="dxa"/>
              <w:left w:w="100" w:type="dxa"/>
              <w:right w:w="100" w:type="dxa"/>
            </w:tcMar>
            <w:shd w:fill="F7FAFC"/>
          </w:tcPr>
          <w:p>
            <w:r>
              <w:rPr>
                <w:sz w:val="17"/>
              </w:rPr>
              <w:t>$83,836.0M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$14,285.0M</w:t>
            </w:r>
          </w:p>
        </w:tc>
        <w:tc>
          <w:tcPr>
            <w:tcW w:type="dxa" w:w="1958"/>
            <w:tcMar>
              <w:top w:w="60" w:type="dxa"/>
              <w:bottom w:w="60" w:type="dxa"/>
              <w:left w:w="100" w:type="dxa"/>
              <w:right w:w="100" w:type="dxa"/>
            </w:tcMar>
          </w:tcPr>
          <w:p>
            <w:r>
              <w:rPr>
                <w:sz w:val="17"/>
              </w:rPr>
              <w:t>$10,383.0M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$147,235.0M</w:t>
            </w:r>
          </w:p>
        </w:tc>
        <w:tc>
          <w:tcPr>
            <w:tcW w:type="dxa" w:w="1958"/>
            <w:tcMar>
              <w:top w:w="60" w:type="dxa"/>
              <w:bottom w:w="60" w:type="dxa"/>
              <w:left w:w="100" w:type="dxa"/>
              <w:right w:w="100" w:type="dxa"/>
            </w:tcMar>
            <w:shd w:fill="F7FAFC"/>
          </w:tcPr>
          <w:p>
            <w:r>
              <w:rPr>
                <w:sz w:val="17"/>
              </w:rPr>
              <w:t>$94,219.0M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$120,727.0M</w:t>
            </w:r>
          </w:p>
        </w:tc>
        <w:tc>
          <w:tcPr>
            <w:tcW w:type="dxa" w:w="1958"/>
            <w:tcMar>
              <w:top w:w="60" w:type="dxa"/>
              <w:bottom w:w="60" w:type="dxa"/>
              <w:left w:w="100" w:type="dxa"/>
              <w:right w:w="100" w:type="dxa"/>
            </w:tcMar>
          </w:tcPr>
          <w:p>
            <w:r>
              <w:rPr>
                <w:sz w:val="17"/>
              </w:rPr>
              <w:t>$76,996.0M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163.66%</w:t>
            </w:r>
          </w:p>
        </w:tc>
        <w:tc>
          <w:tcPr>
            <w:tcW w:type="dxa" w:w="1958"/>
            <w:tcMar>
              <w:top w:w="60" w:type="dxa"/>
              <w:bottom w:w="60" w:type="dxa"/>
              <w:left w:w="100" w:type="dxa"/>
              <w:right w:w="100" w:type="dxa"/>
            </w:tcMar>
            <w:shd w:fill="F7FAFC"/>
            <w:shd w:fill="E2EFDA"/>
          </w:tcPr>
          <w:p>
            <w:r>
              <w:rPr>
                <w:b/>
                <w:sz w:val="17"/>
              </w:rPr>
              <w:t>169.34%</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(78.83%) sobrestima el retorno al mandar el I+D a gasto inmediato. La metodología Damodaran capitaliza la innovación a 5 años, reconociendo $38,022.4M de intangibles fuera de balance. El ROIC Ajustado resultante de 72.16% refleja el verdadero retorno económico sobre el capital total invertido ($248,444.4M).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FY2022</w:t>
            </w:r>
          </w:p>
        </w:tc>
        <w:tc>
          <w:tcPr>
            <w:tcW w:type="dxa" w:w="1399"/>
            <w:tcMar>
              <w:top w:w="60" w:type="dxa"/>
              <w:bottom w:w="60" w:type="dxa"/>
              <w:left w:w="100" w:type="dxa"/>
              <w:right w:w="100" w:type="dxa"/>
            </w:tcMar>
          </w:tcPr>
          <w:p>
            <w:r>
              <w:rPr>
                <w:b/>
                <w:sz w:val="17"/>
              </w:rPr>
              <w:t>50.57%</w:t>
            </w:r>
          </w:p>
        </w:tc>
        <w:tc>
          <w:tcPr>
            <w:tcW w:type="dxa" w:w="1399"/>
            <w:tcMar>
              <w:top w:w="60" w:type="dxa"/>
              <w:bottom w:w="60" w:type="dxa"/>
              <w:left w:w="100" w:type="dxa"/>
              <w:right w:w="100" w:type="dxa"/>
            </w:tcMar>
          </w:tcPr>
          <w:p>
            <w:r>
              <w:rPr>
                <w:b/>
                <w:sz w:val="17"/>
              </w:rPr>
              <w:t>30.34%</w:t>
            </w:r>
          </w:p>
        </w:tc>
        <w:tc>
          <w:tcPr>
            <w:tcW w:type="dxa" w:w="1399"/>
            <w:tcMar>
              <w:top w:w="60" w:type="dxa"/>
              <w:bottom w:w="60" w:type="dxa"/>
              <w:left w:w="100" w:type="dxa"/>
              <w:right w:w="100" w:type="dxa"/>
            </w:tcMar>
          </w:tcPr>
          <w:p>
            <w:r>
              <w:rPr>
                <w:b/>
                <w:sz w:val="17"/>
              </w:rPr>
              <w:t>29.40%</w:t>
            </w:r>
          </w:p>
        </w:tc>
        <w:tc>
          <w:tcPr>
            <w:tcW w:type="dxa" w:w="1399"/>
            <w:tcMar>
              <w:top w:w="60" w:type="dxa"/>
              <w:bottom w:w="60" w:type="dxa"/>
              <w:left w:w="100" w:type="dxa"/>
              <w:right w:w="100" w:type="dxa"/>
            </w:tcMar>
          </w:tcPr>
          <w:p>
            <w:r>
              <w:rPr>
                <w:sz w:val="17"/>
              </w:rPr>
              <w:t>$11,414.4M</w:t>
            </w:r>
          </w:p>
        </w:tc>
        <w:tc>
          <w:tcPr>
            <w:tcW w:type="dxa" w:w="1399"/>
            <w:tcMar>
              <w:top w:w="60" w:type="dxa"/>
              <w:bottom w:w="60" w:type="dxa"/>
              <w:left w:w="100" w:type="dxa"/>
              <w:right w:w="100" w:type="dxa"/>
            </w:tcMar>
          </w:tcPr>
          <w:p>
            <w:r>
              <w:rPr>
                <w:sz w:val="17"/>
              </w:rPr>
              <w:t>$41,459.3M</w:t>
            </w:r>
          </w:p>
        </w:tc>
        <w:tc>
          <w:tcPr>
            <w:tcW w:type="dxa" w:w="1399"/>
            <w:tcMar>
              <w:top w:w="60" w:type="dxa"/>
              <w:bottom w:w="60" w:type="dxa"/>
              <w:left w:w="100" w:type="dxa"/>
              <w:right w:w="100" w:type="dxa"/>
            </w:tcMar>
          </w:tcPr>
          <w:p>
            <w:r>
              <w:rPr>
                <w:b/>
                <w:sz w:val="17"/>
              </w:rPr>
              <w:t>+13.71 p.p.</w:t>
            </w:r>
          </w:p>
        </w:tc>
      </w:tr>
      <w:tr>
        <w:tc>
          <w:tcPr>
            <w:tcW w:type="dxa" w:w="1399"/>
            <w:tcMar>
              <w:top w:w="60" w:type="dxa"/>
              <w:bottom w:w="60" w:type="dxa"/>
              <w:left w:w="100" w:type="dxa"/>
              <w:right w:w="100" w:type="dxa"/>
            </w:tcMar>
            <w:shd w:fill="F7FAFC"/>
          </w:tcPr>
          <w:p>
            <w:r>
              <w:rPr>
                <w:sz w:val="17"/>
              </w:rPr>
              <w:t>FY2023</w:t>
            </w:r>
          </w:p>
        </w:tc>
        <w:tc>
          <w:tcPr>
            <w:tcW w:type="dxa" w:w="1399"/>
            <w:tcMar>
              <w:top w:w="60" w:type="dxa"/>
              <w:bottom w:w="60" w:type="dxa"/>
              <w:left w:w="100" w:type="dxa"/>
              <w:right w:w="100" w:type="dxa"/>
            </w:tcMar>
            <w:shd w:fill="F7FAFC"/>
          </w:tcPr>
          <w:p>
            <w:r>
              <w:rPr>
                <w:b/>
                <w:sz w:val="17"/>
              </w:rPr>
              <w:t>19.44%</w:t>
            </w:r>
          </w:p>
        </w:tc>
        <w:tc>
          <w:tcPr>
            <w:tcW w:type="dxa" w:w="1399"/>
            <w:tcMar>
              <w:top w:w="60" w:type="dxa"/>
              <w:bottom w:w="60" w:type="dxa"/>
              <w:left w:w="100" w:type="dxa"/>
              <w:right w:w="100" w:type="dxa"/>
            </w:tcMar>
            <w:shd w:fill="F7FAFC"/>
          </w:tcPr>
          <w:p>
            <w:r>
              <w:rPr>
                <w:b/>
                <w:sz w:val="17"/>
              </w:rPr>
              <w:t>11.41%</w:t>
            </w:r>
          </w:p>
        </w:tc>
        <w:tc>
          <w:tcPr>
            <w:tcW w:type="dxa" w:w="1399"/>
            <w:tcMar>
              <w:top w:w="60" w:type="dxa"/>
              <w:bottom w:w="60" w:type="dxa"/>
              <w:left w:w="100" w:type="dxa"/>
              <w:right w:w="100" w:type="dxa"/>
            </w:tcMar>
            <w:shd w:fill="F7FAFC"/>
          </w:tcPr>
          <w:p>
            <w:r>
              <w:rPr>
                <w:b/>
                <w:sz w:val="17"/>
              </w:rPr>
              <w:t>16.26%</w:t>
            </w:r>
          </w:p>
        </w:tc>
        <w:tc>
          <w:tcPr>
            <w:tcW w:type="dxa" w:w="1399"/>
            <w:tcMar>
              <w:top w:w="60" w:type="dxa"/>
              <w:bottom w:w="60" w:type="dxa"/>
              <w:left w:w="100" w:type="dxa"/>
              <w:right w:w="100" w:type="dxa"/>
            </w:tcMar>
            <w:shd w:fill="F7FAFC"/>
          </w:tcPr>
          <w:p>
            <w:r>
              <w:rPr>
                <w:sz w:val="17"/>
              </w:rPr>
              <w:t>$15,514.6M</w:t>
            </w:r>
          </w:p>
        </w:tc>
        <w:tc>
          <w:tcPr>
            <w:tcW w:type="dxa" w:w="1399"/>
            <w:tcMar>
              <w:top w:w="60" w:type="dxa"/>
              <w:bottom w:w="60" w:type="dxa"/>
              <w:left w:w="100" w:type="dxa"/>
              <w:right w:w="100" w:type="dxa"/>
            </w:tcMar>
            <w:shd w:fill="F7FAFC"/>
          </w:tcPr>
          <w:p>
            <w:r>
              <w:rPr>
                <w:sz w:val="17"/>
              </w:rPr>
              <w:t>$48,635.5M</w:t>
            </w:r>
          </w:p>
        </w:tc>
        <w:tc>
          <w:tcPr>
            <w:tcW w:type="dxa" w:w="1399"/>
            <w:tcMar>
              <w:top w:w="60" w:type="dxa"/>
              <w:bottom w:w="60" w:type="dxa"/>
              <w:left w:w="100" w:type="dxa"/>
              <w:right w:w="100" w:type="dxa"/>
            </w:tcMar>
            <w:shd w:fill="F7FAFC"/>
          </w:tcPr>
          <w:p>
            <w:r>
              <w:rPr>
                <w:b/>
                <w:sz w:val="17"/>
              </w:rPr>
              <w:t>+0.57 p.p.</w:t>
            </w:r>
          </w:p>
        </w:tc>
      </w:tr>
      <w:tr>
        <w:tc>
          <w:tcPr>
            <w:tcW w:type="dxa" w:w="1399"/>
            <w:tcMar>
              <w:top w:w="60" w:type="dxa"/>
              <w:bottom w:w="60" w:type="dxa"/>
              <w:left w:w="100" w:type="dxa"/>
              <w:right w:w="100" w:type="dxa"/>
            </w:tcMar>
          </w:tcPr>
          <w:p>
            <w:r>
              <w:rPr>
                <w:sz w:val="17"/>
              </w:rPr>
              <w:t>FY2024</w:t>
            </w:r>
          </w:p>
        </w:tc>
        <w:tc>
          <w:tcPr>
            <w:tcW w:type="dxa" w:w="1399"/>
            <w:tcMar>
              <w:top w:w="60" w:type="dxa"/>
              <w:bottom w:w="60" w:type="dxa"/>
              <w:left w:w="100" w:type="dxa"/>
              <w:right w:w="100" w:type="dxa"/>
            </w:tcMar>
          </w:tcPr>
          <w:p>
            <w:r>
              <w:rPr>
                <w:b/>
                <w:sz w:val="17"/>
              </w:rPr>
              <w:t>132.48%</w:t>
            </w:r>
          </w:p>
        </w:tc>
        <w:tc>
          <w:tcPr>
            <w:tcW w:type="dxa" w:w="1399"/>
            <w:tcMar>
              <w:top w:w="60" w:type="dxa"/>
              <w:bottom w:w="60" w:type="dxa"/>
              <w:left w:w="100" w:type="dxa"/>
              <w:right w:w="100" w:type="dxa"/>
            </w:tcMar>
          </w:tcPr>
          <w:p>
            <w:r>
              <w:rPr>
                <w:b/>
                <w:sz w:val="17"/>
              </w:rPr>
              <w:t>71.16%</w:t>
            </w:r>
          </w:p>
        </w:tc>
        <w:tc>
          <w:tcPr>
            <w:tcW w:type="dxa" w:w="1399"/>
            <w:tcMar>
              <w:top w:w="60" w:type="dxa"/>
              <w:bottom w:w="60" w:type="dxa"/>
              <w:left w:w="100" w:type="dxa"/>
              <w:right w:w="100" w:type="dxa"/>
            </w:tcMar>
          </w:tcPr>
          <w:p>
            <w:r>
              <w:rPr>
                <w:b/>
                <w:sz w:val="17"/>
              </w:rPr>
              <w:t>56.16%</w:t>
            </w:r>
          </w:p>
        </w:tc>
        <w:tc>
          <w:tcPr>
            <w:tcW w:type="dxa" w:w="1399"/>
            <w:tcMar>
              <w:top w:w="60" w:type="dxa"/>
              <w:bottom w:w="60" w:type="dxa"/>
              <w:left w:w="100" w:type="dxa"/>
              <w:right w:w="100" w:type="dxa"/>
            </w:tcMar>
          </w:tcPr>
          <w:p>
            <w:r>
              <w:rPr>
                <w:sz w:val="17"/>
              </w:rPr>
              <w:t>$19,842.4M</w:t>
            </w:r>
          </w:p>
        </w:tc>
        <w:tc>
          <w:tcPr>
            <w:tcW w:type="dxa" w:w="1399"/>
            <w:tcMar>
              <w:top w:w="60" w:type="dxa"/>
              <w:bottom w:w="60" w:type="dxa"/>
              <w:left w:w="100" w:type="dxa"/>
              <w:right w:w="100" w:type="dxa"/>
            </w:tcMar>
          </w:tcPr>
          <w:p>
            <w:r>
              <w:rPr>
                <w:sz w:val="17"/>
              </w:rPr>
              <w:t>$58,452.0M</w:t>
            </w:r>
          </w:p>
        </w:tc>
        <w:tc>
          <w:tcPr>
            <w:tcW w:type="dxa" w:w="1399"/>
            <w:tcMar>
              <w:top w:w="60" w:type="dxa"/>
              <w:bottom w:w="60" w:type="dxa"/>
              <w:left w:w="100" w:type="dxa"/>
              <w:right w:w="100" w:type="dxa"/>
            </w:tcMar>
          </w:tcPr>
          <w:p>
            <w:r>
              <w:rPr>
                <w:b/>
                <w:sz w:val="17"/>
              </w:rPr>
              <w:t>+40.46 p.p.</w:t>
            </w:r>
          </w:p>
        </w:tc>
      </w:tr>
      <w:tr>
        <w:tc>
          <w:tcPr>
            <w:tcW w:type="dxa" w:w="1399"/>
            <w:tcMar>
              <w:top w:w="60" w:type="dxa"/>
              <w:bottom w:w="60" w:type="dxa"/>
              <w:left w:w="100" w:type="dxa"/>
              <w:right w:w="100" w:type="dxa"/>
            </w:tcMar>
            <w:shd w:fill="F7FAFC"/>
          </w:tcPr>
          <w:p>
            <w:r>
              <w:rPr>
                <w:sz w:val="17"/>
              </w:rPr>
              <w:t>FY2025</w:t>
            </w:r>
          </w:p>
        </w:tc>
        <w:tc>
          <w:tcPr>
            <w:tcW w:type="dxa" w:w="1399"/>
            <w:tcMar>
              <w:top w:w="60" w:type="dxa"/>
              <w:bottom w:w="60" w:type="dxa"/>
              <w:left w:w="100" w:type="dxa"/>
              <w:right w:w="100" w:type="dxa"/>
            </w:tcMar>
            <w:shd w:fill="F7FAFC"/>
          </w:tcPr>
          <w:p>
            <w:r>
              <w:rPr>
                <w:b/>
                <w:sz w:val="17"/>
              </w:rPr>
              <w:t>178.29%</w:t>
            </w:r>
          </w:p>
        </w:tc>
        <w:tc>
          <w:tcPr>
            <w:tcW w:type="dxa" w:w="1399"/>
            <w:tcMar>
              <w:top w:w="60" w:type="dxa"/>
              <w:bottom w:w="60" w:type="dxa"/>
              <w:left w:w="100" w:type="dxa"/>
              <w:right w:w="100" w:type="dxa"/>
            </w:tcMar>
            <w:shd w:fill="F7FAFC"/>
          </w:tcPr>
          <w:p>
            <w:r>
              <w:rPr>
                <w:b/>
                <w:sz w:val="17"/>
              </w:rPr>
              <w:t>105.42%</w:t>
            </w:r>
          </w:p>
        </w:tc>
        <w:tc>
          <w:tcPr>
            <w:tcW w:type="dxa" w:w="1399"/>
            <w:tcMar>
              <w:top w:w="60" w:type="dxa"/>
              <w:bottom w:w="60" w:type="dxa"/>
              <w:left w:w="100" w:type="dxa"/>
              <w:right w:w="100" w:type="dxa"/>
            </w:tcMar>
            <w:shd w:fill="F7FAFC"/>
          </w:tcPr>
          <w:p>
            <w:r>
              <w:rPr>
                <w:b/>
                <w:sz w:val="17"/>
              </w:rPr>
              <w:t>85.06%</w:t>
            </w:r>
          </w:p>
        </w:tc>
        <w:tc>
          <w:tcPr>
            <w:tcW w:type="dxa" w:w="1399"/>
            <w:tcMar>
              <w:top w:w="60" w:type="dxa"/>
              <w:bottom w:w="60" w:type="dxa"/>
              <w:left w:w="100" w:type="dxa"/>
              <w:right w:w="100" w:type="dxa"/>
            </w:tcMar>
            <w:shd w:fill="F7FAFC"/>
          </w:tcPr>
          <w:p>
            <w:r>
              <w:rPr>
                <w:sz w:val="17"/>
              </w:rPr>
              <w:t>$27,149.4M</w:t>
            </w:r>
          </w:p>
        </w:tc>
        <w:tc>
          <w:tcPr>
            <w:tcW w:type="dxa" w:w="1399"/>
            <w:tcMar>
              <w:top w:w="60" w:type="dxa"/>
              <w:bottom w:w="60" w:type="dxa"/>
              <w:left w:w="100" w:type="dxa"/>
              <w:right w:w="100" w:type="dxa"/>
            </w:tcMar>
            <w:shd w:fill="F7FAFC"/>
          </w:tcPr>
          <w:p>
            <w:r>
              <w:rPr>
                <w:sz w:val="17"/>
              </w:rPr>
              <w:t>$90,511.9M</w:t>
            </w:r>
          </w:p>
        </w:tc>
        <w:tc>
          <w:tcPr>
            <w:tcW w:type="dxa" w:w="1399"/>
            <w:tcMar>
              <w:top w:w="60" w:type="dxa"/>
              <w:bottom w:w="60" w:type="dxa"/>
              <w:left w:w="100" w:type="dxa"/>
              <w:right w:w="100" w:type="dxa"/>
            </w:tcMar>
            <w:shd w:fill="F7FAFC"/>
          </w:tcPr>
          <w:p>
            <w:r>
              <w:rPr>
                <w:b/>
                <w:sz w:val="17"/>
              </w:rPr>
              <w:t>+69.36 p.p.</w:t>
            </w:r>
          </w:p>
        </w:tc>
      </w:tr>
      <w:tr>
        <w:tc>
          <w:tcPr>
            <w:tcW w:type="dxa" w:w="1399"/>
            <w:tcMar>
              <w:top w:w="60" w:type="dxa"/>
              <w:bottom w:w="60" w:type="dxa"/>
              <w:left w:w="100" w:type="dxa"/>
              <w:right w:w="100" w:type="dxa"/>
            </w:tcMar>
          </w:tcPr>
          <w:p>
            <w:r>
              <w:rPr>
                <w:sz w:val="17"/>
              </w:rPr>
              <w:t>FY2026</w:t>
            </w:r>
          </w:p>
        </w:tc>
        <w:tc>
          <w:tcPr>
            <w:tcW w:type="dxa" w:w="1399"/>
            <w:tcMar>
              <w:top w:w="60" w:type="dxa"/>
              <w:bottom w:w="60" w:type="dxa"/>
              <w:left w:w="100" w:type="dxa"/>
              <w:right w:w="100" w:type="dxa"/>
            </w:tcMar>
          </w:tcPr>
          <w:p>
            <w:r>
              <w:rPr>
                <w:b/>
                <w:sz w:val="17"/>
              </w:rPr>
              <w:t>169.34%</w:t>
            </w:r>
          </w:p>
        </w:tc>
        <w:tc>
          <w:tcPr>
            <w:tcW w:type="dxa" w:w="1399"/>
            <w:tcMar>
              <w:top w:w="60" w:type="dxa"/>
              <w:bottom w:w="60" w:type="dxa"/>
              <w:left w:w="100" w:type="dxa"/>
              <w:right w:w="100" w:type="dxa"/>
            </w:tcMar>
          </w:tcPr>
          <w:p>
            <w:r>
              <w:rPr>
                <w:b/>
                <w:sz w:val="17"/>
              </w:rPr>
              <w:t>88.54%</w:t>
            </w:r>
          </w:p>
        </w:tc>
        <w:tc>
          <w:tcPr>
            <w:tcW w:type="dxa" w:w="1399"/>
            <w:tcMar>
              <w:top w:w="60" w:type="dxa"/>
              <w:bottom w:w="60" w:type="dxa"/>
              <w:left w:w="100" w:type="dxa"/>
              <w:right w:w="100" w:type="dxa"/>
            </w:tcMar>
          </w:tcPr>
          <w:p>
            <w:r>
              <w:rPr>
                <w:b/>
                <w:sz w:val="17"/>
              </w:rPr>
              <w:t>76.09%</w:t>
            </w:r>
          </w:p>
        </w:tc>
        <w:tc>
          <w:tcPr>
            <w:tcW w:type="dxa" w:w="1399"/>
            <w:tcMar>
              <w:top w:w="60" w:type="dxa"/>
              <w:bottom w:w="60" w:type="dxa"/>
              <w:left w:w="100" w:type="dxa"/>
              <w:right w:w="100" w:type="dxa"/>
            </w:tcMar>
          </w:tcPr>
          <w:p>
            <w:r>
              <w:rPr>
                <w:sz w:val="17"/>
              </w:rPr>
              <w:t>$38,022.4M</w:t>
            </w:r>
          </w:p>
        </w:tc>
        <w:tc>
          <w:tcPr>
            <w:tcW w:type="dxa" w:w="1399"/>
            <w:tcMar>
              <w:top w:w="60" w:type="dxa"/>
              <w:bottom w:w="60" w:type="dxa"/>
              <w:left w:w="100" w:type="dxa"/>
              <w:right w:w="100" w:type="dxa"/>
            </w:tcMar>
          </w:tcPr>
          <w:p>
            <w:r>
              <w:rPr>
                <w:sz w:val="17"/>
              </w:rPr>
              <w:t>$157,585.4M</w:t>
            </w:r>
          </w:p>
        </w:tc>
        <w:tc>
          <w:tcPr>
            <w:tcW w:type="dxa" w:w="1399"/>
            <w:tcMar>
              <w:top w:w="60" w:type="dxa"/>
              <w:bottom w:w="60" w:type="dxa"/>
              <w:left w:w="100" w:type="dxa"/>
              <w:right w:w="100" w:type="dxa"/>
            </w:tcMar>
          </w:tcPr>
          <w:p>
            <w:r>
              <w:rPr>
                <w:b/>
                <w:sz w:val="17"/>
              </w:rPr>
              <w:t>+60.40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163.66%</w:t>
            </w:r>
          </w:p>
        </w:tc>
        <w:tc>
          <w:tcPr>
            <w:tcW w:type="dxa" w:w="1399"/>
            <w:tcMar>
              <w:top w:w="60" w:type="dxa"/>
              <w:bottom w:w="60" w:type="dxa"/>
              <w:left w:w="100" w:type="dxa"/>
              <w:right w:w="100" w:type="dxa"/>
            </w:tcMar>
            <w:shd w:fill="F7FAFC"/>
            <w:shd w:fill="E2EFDA"/>
          </w:tcPr>
          <w:p>
            <w:r>
              <w:rPr>
                <w:b/>
                <w:sz w:val="17"/>
              </w:rPr>
              <w:t>78.83%</w:t>
            </w:r>
          </w:p>
        </w:tc>
        <w:tc>
          <w:tcPr>
            <w:tcW w:type="dxa" w:w="1399"/>
            <w:tcMar>
              <w:top w:w="60" w:type="dxa"/>
              <w:bottom w:w="60" w:type="dxa"/>
              <w:left w:w="100" w:type="dxa"/>
              <w:right w:w="100" w:type="dxa"/>
            </w:tcMar>
            <w:shd w:fill="F7FAFC"/>
            <w:shd w:fill="E2EFDA"/>
          </w:tcPr>
          <w:p>
            <w:r>
              <w:rPr>
                <w:b/>
                <w:sz w:val="17"/>
              </w:rPr>
              <w:t>72.16%</w:t>
            </w:r>
          </w:p>
        </w:tc>
        <w:tc>
          <w:tcPr>
            <w:tcW w:type="dxa" w:w="1399"/>
            <w:tcMar>
              <w:top w:w="60" w:type="dxa"/>
              <w:bottom w:w="60" w:type="dxa"/>
              <w:left w:w="100" w:type="dxa"/>
              <w:right w:w="100" w:type="dxa"/>
            </w:tcMar>
            <w:shd w:fill="F7FAFC"/>
            <w:shd w:fill="E2EFDA"/>
          </w:tcPr>
          <w:p>
            <w:r>
              <w:rPr>
                <w:sz w:val="17"/>
              </w:rPr>
              <w:t>$38,022.4M</w:t>
            </w:r>
          </w:p>
        </w:tc>
        <w:tc>
          <w:tcPr>
            <w:tcW w:type="dxa" w:w="1399"/>
            <w:tcMar>
              <w:top w:w="60" w:type="dxa"/>
              <w:bottom w:w="60" w:type="dxa"/>
              <w:left w:w="100" w:type="dxa"/>
              <w:right w:w="100" w:type="dxa"/>
            </w:tcMar>
            <w:shd w:fill="F7FAFC"/>
            <w:shd w:fill="E2EFDA"/>
          </w:tcPr>
          <w:p>
            <w:r>
              <w:rPr>
                <w:sz w:val="17"/>
              </w:rPr>
              <w:t>$248,444.4M</w:t>
            </w:r>
          </w:p>
        </w:tc>
        <w:tc>
          <w:tcPr>
            <w:tcW w:type="dxa" w:w="1399"/>
            <w:tcMar>
              <w:top w:w="60" w:type="dxa"/>
              <w:bottom w:w="60" w:type="dxa"/>
              <w:left w:w="100" w:type="dxa"/>
              <w:right w:w="100" w:type="dxa"/>
            </w:tcMar>
            <w:shd w:fill="F7FAFC"/>
            <w:shd w:fill="E2EFDA"/>
          </w:tcPr>
          <w:p>
            <w:r>
              <w:rPr>
                <w:b/>
                <w:sz w:val="17"/>
              </w:rPr>
              <w:t>+56.47 p.p.</w:t>
            </w:r>
          </w:p>
        </w:tc>
      </w:tr>
    </w:tbl>
    <w:p>
      <w:pPr>
        <w:spacing w:before="160" w:after="160"/>
      </w:pPr>
      <w:r>
        <w:rPr>
          <w:i/>
          <w:sz w:val="18"/>
        </w:rPr>
        <w:t>Matriz de Sensibilidad de Vida Útil: N-1 (4a) = 72.93% | N Base (5a) = 72.16% | N+1 (6a) = 71.54%.</w:t>
      </w:r>
    </w:p>
    <w:p>
      <w:pPr>
        <w:pStyle w:val="Heading2"/>
      </w:pPr>
      <w:r>
        <w:t>11.4. Creación de Valor Económico (EVA) y Durabilidad del Foso Defensivo</w:t>
      </w:r>
    </w:p>
    <w:p>
      <w:r>
        <w:rPr>
          <w:sz w:val="19"/>
        </w:rPr>
        <w:t>Spread Económico = ROIC Ajustado (72.16%) − WACC (15.69%) = +56.47 p.p.</w:t>
        <w:br/>
        <w:t>Dictamen: 🏰 WIDE MOAT / COMPOUNDING MACHINE.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5.29%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2.20</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15.76%</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4.95%</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16.0%.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15.69%</w:t>
            </w:r>
          </w:p>
        </w:tc>
        <w:tc>
          <w:tcPr>
            <w:tcW w:type="dxa" w:w="1958"/>
            <w:tcMar>
              <w:top w:w="60" w:type="dxa"/>
              <w:bottom w:w="60" w:type="dxa"/>
              <w:left w:w="100" w:type="dxa"/>
              <w:right w:w="100" w:type="dxa"/>
            </w:tcMar>
            <w:shd w:fill="F7FAFC"/>
          </w:tcPr>
          <w:p>
            <w:r>
              <w:rPr>
                <w:sz w:val="17"/>
              </w:rPr>
              <w:t>Mediana Sector (9.20%)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163.66%</w:t>
            </w:r>
          </w:p>
        </w:tc>
        <w:tc>
          <w:tcPr>
            <w:tcW w:type="dxa" w:w="1958"/>
            <w:tcMar>
              <w:top w:w="60" w:type="dxa"/>
              <w:bottom w:w="60" w:type="dxa"/>
              <w:left w:w="100" w:type="dxa"/>
              <w:right w:w="100" w:type="dxa"/>
            </w:tcMar>
            <w:shd w:fill="E2EFDA"/>
          </w:tcPr>
          <w:p>
            <w:r>
              <w:rPr>
                <w:sz w:val="17"/>
              </w:rPr>
              <w:t>Mediana Sector (42.00%)</w:t>
            </w:r>
          </w:p>
        </w:tc>
        <w:tc>
          <w:tcPr>
            <w:tcW w:type="dxa" w:w="1958"/>
            <w:tcMar>
              <w:top w:w="60" w:type="dxa"/>
              <w:bottom w:w="60" w:type="dxa"/>
              <w:left w:w="100" w:type="dxa"/>
              <w:right w:w="100" w:type="dxa"/>
            </w:tcMar>
            <w:shd w:fill="E2EFDA"/>
          </w:tcPr>
          <w:p>
            <w:r>
              <w:rPr>
                <w:sz w:val="17"/>
              </w:rPr>
              <w:t>Asset-Light; supera al sector por +121.66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$120,727.0M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78.83%</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$38,022.4M</w:t>
            </w:r>
          </w:p>
        </w:tc>
        <w:tc>
          <w:tcPr>
            <w:tcW w:type="dxa" w:w="1958"/>
            <w:tcMar>
              <w:top w:w="60" w:type="dxa"/>
              <w:bottom w:w="60" w:type="dxa"/>
              <w:left w:w="100" w:type="dxa"/>
              <w:right w:w="100" w:type="dxa"/>
            </w:tcMar>
            <w:shd w:fill="F7FAFC"/>
          </w:tcPr>
          <w:p>
            <w:r>
              <w:rPr>
                <w:sz w:val="17"/>
              </w:rPr>
              <w:t>Amortización 5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$248,444.4M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72.16%</w:t>
            </w:r>
          </w:p>
        </w:tc>
        <w:tc>
          <w:tcPr>
            <w:tcW w:type="dxa" w:w="1958"/>
            <w:tcMar>
              <w:top w:w="60" w:type="dxa"/>
              <w:bottom w:w="60" w:type="dxa"/>
              <w:left w:w="100" w:type="dxa"/>
              <w:right w:w="100" w:type="dxa"/>
            </w:tcMar>
            <w:shd w:fill="F7FAFC"/>
            <w:shd w:fill="E2EFDA"/>
          </w:tcPr>
          <w:p>
            <w:r>
              <w:rPr>
                <w:b/>
                <w:sz w:val="17"/>
              </w:rPr>
              <w:t>Mediana Sector (17.00%)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+56.47 p.p.</w:t>
            </w:r>
          </w:p>
        </w:tc>
        <w:tc>
          <w:tcPr>
            <w:tcW w:type="dxa" w:w="1958"/>
            <w:tcMar>
              <w:top w:w="60" w:type="dxa"/>
              <w:bottom w:w="60" w:type="dxa"/>
              <w:left w:w="100" w:type="dxa"/>
              <w:right w:w="100" w:type="dxa"/>
            </w:tcMar>
            <w:shd w:fill="E2EFDA"/>
          </w:tcPr>
          <w:p>
            <w:r>
              <w:rPr>
                <w:b/>
                <w:sz w:val="17"/>
              </w:rPr>
              <w:t>Mediana Sector (+8.60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ALERTA FORENSE</w:t>
        <w:br/>
      </w:r>
      <w:r>
        <w:rPr>
          <w:rFonts w:ascii="Calibri" w:hAnsi="Calibri"/>
          <w:color w:val="2D3748"/>
          <w:sz w:val="19"/>
        </w:rPr>
        <w:t>• Ratio Sloan de Devengos: +22.21% [PELIGRO DE MANIPULACIÓN]</w:t>
        <w:br/>
        <w:t>• Montier C-Score: 4 / 6 [RIESGO ALTO / ALERTA FORENSE (&lt; 5% PROBABILIDAD DE MANIPULACIÓN)]</w:t>
        <w:br/>
        <w:t>• Dictamen: ALERTA FORENSE POR CALIDAD DE RESULTADOS: Detección de devengos desproporcionados (Ratio Sloan: 22.21%) o Montier C-Score elevado (4/6). Se recomienda auditoría minuciosa de políticas contables, partidas no monetarias y devengos acumulados.</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FY2026</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$192,880.0M</w:t>
            </w:r>
          </w:p>
        </w:tc>
        <w:tc>
          <w:tcPr>
            <w:tcW w:type="dxa" w:w="1094"/>
            <w:tcMar>
              <w:top w:w="60" w:type="dxa"/>
              <w:bottom w:w="60" w:type="dxa"/>
              <w:left w:w="60" w:type="dxa"/>
              <w:right w:w="60" w:type="dxa"/>
            </w:tcMar>
          </w:tcPr>
          <w:p>
            <w:pPr>
              <w:jc w:val="right"/>
            </w:pPr>
            <w:r>
              <w:rPr>
                <w:rFonts w:ascii="Calibri" w:hAnsi="Calibri"/>
                <w:b w:val="0"/>
                <w:sz w:val="17"/>
              </w:rPr>
              <w:t>$120,067.0M</w:t>
            </w:r>
          </w:p>
        </w:tc>
        <w:tc>
          <w:tcPr>
            <w:tcW w:type="dxa" w:w="1094"/>
            <w:tcMar>
              <w:top w:w="60" w:type="dxa"/>
              <w:bottom w:w="60" w:type="dxa"/>
              <w:left w:w="60" w:type="dxa"/>
              <w:right w:w="60" w:type="dxa"/>
            </w:tcMar>
          </w:tcPr>
          <w:p>
            <w:pPr>
              <w:jc w:val="right"/>
            </w:pPr>
            <w:r>
              <w:rPr>
                <w:rFonts w:ascii="Calibri" w:hAnsi="Calibri"/>
                <w:b w:val="0"/>
                <w:sz w:val="17"/>
              </w:rPr>
              <w:t>$72,880.0M</w:t>
            </w:r>
          </w:p>
        </w:tc>
        <w:tc>
          <w:tcPr>
            <w:tcW w:type="dxa" w:w="1094"/>
            <w:tcMar>
              <w:top w:w="60" w:type="dxa"/>
              <w:bottom w:w="60" w:type="dxa"/>
              <w:left w:w="60" w:type="dxa"/>
              <w:right w:w="60" w:type="dxa"/>
            </w:tcMar>
          </w:tcPr>
          <w:p>
            <w:pPr>
              <w:jc w:val="right"/>
            </w:pPr>
            <w:r>
              <w:rPr>
                <w:rFonts w:ascii="Calibri" w:hAnsi="Calibri"/>
                <w:b w:val="0"/>
                <w:sz w:val="17"/>
              </w:rPr>
              <w:t>$29,760.0M</w:t>
            </w:r>
          </w:p>
        </w:tc>
        <w:tc>
          <w:tcPr>
            <w:tcW w:type="dxa" w:w="1094"/>
            <w:tcMar>
              <w:top w:w="60" w:type="dxa"/>
              <w:bottom w:w="60" w:type="dxa"/>
              <w:left w:w="60" w:type="dxa"/>
              <w:right w:w="60" w:type="dxa"/>
            </w:tcMar>
          </w:tcPr>
          <w:p>
            <w:pPr>
              <w:jc w:val="right"/>
            </w:pPr>
            <w:r>
              <w:rPr>
                <w:rFonts w:ascii="Calibri" w:hAnsi="Calibri"/>
                <w:b w:val="0"/>
                <w:sz w:val="17"/>
              </w:rPr>
              <w:t>$4,368.0M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$134,360.0M</w:t>
            </w:r>
          </w:p>
        </w:tc>
        <w:tc>
          <w:tcPr>
            <w:tcW w:type="dxa" w:w="1094"/>
            <w:tcMar>
              <w:top w:w="60" w:type="dxa"/>
              <w:bottom w:w="60" w:type="dxa"/>
              <w:left w:w="60" w:type="dxa"/>
              <w:right w:w="60" w:type="dxa"/>
            </w:tcMar>
          </w:tcPr>
          <w:p>
            <w:pPr>
              <w:jc w:val="right"/>
            </w:pPr>
            <w:r>
              <w:rPr>
                <w:rFonts w:ascii="Calibri" w:hAnsi="Calibri"/>
                <w:b w:val="0"/>
                <w:sz w:val="17"/>
              </w:rPr>
              <w:t>$102,718.0M</w:t>
            </w:r>
          </w:p>
        </w:tc>
        <w:tc>
          <w:tcPr>
            <w:tcW w:type="dxa" w:w="1094"/>
            <w:tcMar>
              <w:top w:w="60" w:type="dxa"/>
              <w:bottom w:w="60" w:type="dxa"/>
              <w:left w:w="60" w:type="dxa"/>
              <w:right w:w="60" w:type="dxa"/>
            </w:tcMar>
          </w:tcPr>
          <w:p>
            <w:pPr>
              <w:jc w:val="right"/>
            </w:pPr>
            <w:r>
              <w:rPr>
                <w:rFonts w:ascii="Calibri" w:hAnsi="Calibri"/>
                <w:b w:val="0"/>
                <w:sz w:val="17"/>
              </w:rPr>
              <w:t>$64,089.0M</w:t>
            </w:r>
          </w:p>
        </w:tc>
        <w:tc>
          <w:tcPr>
            <w:tcW w:type="dxa" w:w="1094"/>
            <w:tcMar>
              <w:top w:w="60" w:type="dxa"/>
              <w:bottom w:w="60" w:type="dxa"/>
              <w:left w:w="60" w:type="dxa"/>
              <w:right w:w="60" w:type="dxa"/>
            </w:tcMar>
          </w:tcPr>
          <w:p>
            <w:pPr>
              <w:jc w:val="right"/>
            </w:pPr>
            <w:r>
              <w:rPr>
                <w:rFonts w:ascii="Calibri" w:hAnsi="Calibri"/>
                <w:b w:val="0"/>
                <w:sz w:val="17"/>
              </w:rPr>
              <w:t>$28,090.0M</w:t>
            </w:r>
          </w:p>
        </w:tc>
        <w:tc>
          <w:tcPr>
            <w:tcW w:type="dxa" w:w="1094"/>
            <w:tcMar>
              <w:top w:w="60" w:type="dxa"/>
              <w:bottom w:w="60" w:type="dxa"/>
              <w:left w:w="60" w:type="dxa"/>
              <w:right w:w="60" w:type="dxa"/>
            </w:tcMar>
          </w:tcPr>
          <w:p>
            <w:pPr>
              <w:jc w:val="right"/>
            </w:pPr>
            <w:r>
              <w:rPr>
                <w:rFonts w:ascii="Calibri" w:hAnsi="Calibri"/>
                <w:b w:val="0"/>
                <w:sz w:val="17"/>
              </w:rPr>
              <w:t>$5,641.0M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$+58,520.0M</w:t>
            </w:r>
          </w:p>
        </w:tc>
        <w:tc>
          <w:tcPr>
            <w:tcW w:type="dxa" w:w="1094"/>
            <w:tcMar>
              <w:top w:w="60" w:type="dxa"/>
              <w:bottom w:w="60" w:type="dxa"/>
              <w:left w:w="60" w:type="dxa"/>
              <w:right w:w="60" w:type="dxa"/>
            </w:tcMar>
          </w:tcPr>
          <w:p>
            <w:pPr>
              <w:jc w:val="right"/>
            </w:pPr>
            <w:r>
              <w:rPr>
                <w:rFonts w:ascii="Calibri" w:hAnsi="Calibri"/>
                <w:b/>
                <w:sz w:val="17"/>
              </w:rPr>
              <w:t>$+17,349.0M</w:t>
            </w:r>
          </w:p>
        </w:tc>
        <w:tc>
          <w:tcPr>
            <w:tcW w:type="dxa" w:w="1094"/>
            <w:tcMar>
              <w:top w:w="60" w:type="dxa"/>
              <w:bottom w:w="60" w:type="dxa"/>
              <w:left w:w="60" w:type="dxa"/>
              <w:right w:w="60" w:type="dxa"/>
            </w:tcMar>
          </w:tcPr>
          <w:p>
            <w:pPr>
              <w:jc w:val="right"/>
            </w:pPr>
            <w:r>
              <w:rPr>
                <w:rFonts w:ascii="Calibri" w:hAnsi="Calibri"/>
                <w:b/>
                <w:sz w:val="17"/>
              </w:rPr>
              <w:t>$+8,791.0M</w:t>
            </w:r>
          </w:p>
        </w:tc>
        <w:tc>
          <w:tcPr>
            <w:tcW w:type="dxa" w:w="1094"/>
            <w:tcMar>
              <w:top w:w="60" w:type="dxa"/>
              <w:bottom w:w="60" w:type="dxa"/>
              <w:left w:w="60" w:type="dxa"/>
              <w:right w:w="60" w:type="dxa"/>
            </w:tcMar>
          </w:tcPr>
          <w:p>
            <w:pPr>
              <w:jc w:val="right"/>
            </w:pPr>
            <w:r>
              <w:rPr>
                <w:rFonts w:ascii="Calibri" w:hAnsi="Calibri"/>
                <w:b/>
                <w:sz w:val="17"/>
              </w:rPr>
              <w:t>$+1,670.0M</w:t>
            </w:r>
          </w:p>
        </w:tc>
        <w:tc>
          <w:tcPr>
            <w:tcW w:type="dxa" w:w="1094"/>
            <w:tcMar>
              <w:top w:w="60" w:type="dxa"/>
              <w:bottom w:w="60" w:type="dxa"/>
              <w:left w:w="60" w:type="dxa"/>
              <w:right w:w="60" w:type="dxa"/>
            </w:tcMar>
          </w:tcPr>
          <w:p>
            <w:pPr>
              <w:jc w:val="right"/>
            </w:pPr>
            <w:r>
              <w:rPr>
                <w:rFonts w:ascii="Calibri" w:hAnsi="Calibri"/>
                <w:b/>
                <w:sz w:val="17"/>
              </w:rPr>
              <w:t>$-1,273.0M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$263,537.5M</w:t>
            </w:r>
          </w:p>
        </w:tc>
        <w:tc>
          <w:tcPr>
            <w:tcW w:type="dxa" w:w="1094"/>
            <w:tcMar>
              <w:top w:w="60" w:type="dxa"/>
              <w:bottom w:w="60" w:type="dxa"/>
              <w:left w:w="60" w:type="dxa"/>
              <w:right w:w="60" w:type="dxa"/>
            </w:tcMar>
          </w:tcPr>
          <w:p>
            <w:pPr>
              <w:jc w:val="right"/>
            </w:pPr>
            <w:r>
              <w:rPr>
                <w:rFonts w:ascii="Calibri" w:hAnsi="Calibri"/>
                <w:b w:val="0"/>
                <w:sz w:val="17"/>
              </w:rPr>
              <w:t>$159,202.0M</w:t>
            </w:r>
          </w:p>
        </w:tc>
        <w:tc>
          <w:tcPr>
            <w:tcW w:type="dxa" w:w="1094"/>
            <w:tcMar>
              <w:top w:w="60" w:type="dxa"/>
              <w:bottom w:w="60" w:type="dxa"/>
              <w:left w:w="60" w:type="dxa"/>
              <w:right w:w="60" w:type="dxa"/>
            </w:tcMar>
          </w:tcPr>
          <w:p>
            <w:pPr>
              <w:jc w:val="right"/>
            </w:pPr>
            <w:r>
              <w:rPr>
                <w:rFonts w:ascii="Calibri" w:hAnsi="Calibri"/>
                <w:b w:val="0"/>
                <w:sz w:val="17"/>
              </w:rPr>
              <w:t>$88,664.5M</w:t>
            </w:r>
          </w:p>
        </w:tc>
        <w:tc>
          <w:tcPr>
            <w:tcW w:type="dxa" w:w="1094"/>
            <w:tcMar>
              <w:top w:w="60" w:type="dxa"/>
              <w:bottom w:w="60" w:type="dxa"/>
              <w:left w:w="60" w:type="dxa"/>
              <w:right w:w="60" w:type="dxa"/>
            </w:tcMar>
          </w:tcPr>
          <w:p>
            <w:pPr>
              <w:jc w:val="right"/>
            </w:pPr>
            <w:r>
              <w:rPr>
                <w:rFonts w:ascii="Calibri" w:hAnsi="Calibri"/>
                <w:b w:val="0"/>
                <w:sz w:val="17"/>
              </w:rPr>
              <w:t>$53,455.0M</w:t>
            </w:r>
          </w:p>
        </w:tc>
        <w:tc>
          <w:tcPr>
            <w:tcW w:type="dxa" w:w="1094"/>
            <w:tcMar>
              <w:top w:w="60" w:type="dxa"/>
              <w:bottom w:w="60" w:type="dxa"/>
              <w:left w:w="60" w:type="dxa"/>
              <w:right w:w="60" w:type="dxa"/>
            </w:tcMar>
          </w:tcPr>
          <w:p>
            <w:pPr>
              <w:jc w:val="right"/>
            </w:pPr>
            <w:r>
              <w:rPr>
                <w:rFonts w:ascii="Calibri" w:hAnsi="Calibri"/>
                <w:b w:val="0"/>
                <w:sz w:val="17"/>
              </w:rPr>
              <w:t>$42,684.5M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+22.21%</w:t>
            </w:r>
          </w:p>
        </w:tc>
        <w:tc>
          <w:tcPr>
            <w:tcW w:type="dxa" w:w="1094"/>
            <w:tcMar>
              <w:top w:w="60" w:type="dxa"/>
              <w:bottom w:w="60" w:type="dxa"/>
              <w:left w:w="60" w:type="dxa"/>
              <w:right w:w="60" w:type="dxa"/>
            </w:tcMar>
          </w:tcPr>
          <w:p>
            <w:pPr>
              <w:jc w:val="right"/>
            </w:pPr>
            <w:r>
              <w:rPr>
                <w:rFonts w:ascii="Calibri" w:hAnsi="Calibri"/>
                <w:b/>
                <w:sz w:val="17"/>
              </w:rPr>
              <w:t>+10.90%</w:t>
            </w:r>
          </w:p>
        </w:tc>
        <w:tc>
          <w:tcPr>
            <w:tcW w:type="dxa" w:w="1094"/>
            <w:tcMar>
              <w:top w:w="60" w:type="dxa"/>
              <w:bottom w:w="60" w:type="dxa"/>
              <w:left w:w="60" w:type="dxa"/>
              <w:right w:w="60" w:type="dxa"/>
            </w:tcMar>
          </w:tcPr>
          <w:p>
            <w:pPr>
              <w:jc w:val="right"/>
            </w:pPr>
            <w:r>
              <w:rPr>
                <w:rFonts w:ascii="Calibri" w:hAnsi="Calibri"/>
                <w:b/>
                <w:sz w:val="17"/>
              </w:rPr>
              <w:t>+9.91%</w:t>
            </w:r>
          </w:p>
        </w:tc>
        <w:tc>
          <w:tcPr>
            <w:tcW w:type="dxa" w:w="1094"/>
            <w:tcMar>
              <w:top w:w="60" w:type="dxa"/>
              <w:bottom w:w="60" w:type="dxa"/>
              <w:left w:w="60" w:type="dxa"/>
              <w:right w:w="60" w:type="dxa"/>
            </w:tcMar>
          </w:tcPr>
          <w:p>
            <w:pPr>
              <w:jc w:val="right"/>
            </w:pPr>
            <w:r>
              <w:rPr>
                <w:rFonts w:ascii="Calibri" w:hAnsi="Calibri"/>
                <w:b/>
                <w:sz w:val="17"/>
              </w:rPr>
              <w:t>+3.12%</w:t>
            </w:r>
          </w:p>
        </w:tc>
        <w:tc>
          <w:tcPr>
            <w:tcW w:type="dxa" w:w="1094"/>
            <w:tcMar>
              <w:top w:w="60" w:type="dxa"/>
              <w:bottom w:w="60" w:type="dxa"/>
              <w:left w:w="60" w:type="dxa"/>
              <w:right w:w="60" w:type="dxa"/>
            </w:tcMar>
          </w:tcPr>
          <w:p>
            <w:pPr>
              <w:jc w:val="right"/>
            </w:pPr>
            <w:r>
              <w:rPr>
                <w:rFonts w:ascii="Calibri" w:hAnsi="Calibri"/>
                <w:b/>
                <w:sz w:val="17"/>
              </w:rPr>
              <w:t>-2.98%</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ALERTA ROJA</w:t>
            </w:r>
          </w:p>
        </w:tc>
        <w:tc>
          <w:tcPr>
            <w:tcW w:type="dxa" w:w="1094"/>
            <w:tcMar>
              <w:top w:w="60" w:type="dxa"/>
              <w:bottom w:w="60" w:type="dxa"/>
              <w:left w:w="60" w:type="dxa"/>
              <w:right w:w="60" w:type="dxa"/>
            </w:tcMar>
          </w:tcPr>
          <w:p>
            <w:pPr>
              <w:jc w:val="center"/>
            </w:pPr>
            <w:r>
              <w:rPr>
                <w:rFonts w:ascii="Calibri" w:hAnsi="Calibri"/>
                <w:b w:val="0"/>
                <w:sz w:val="17"/>
              </w:rPr>
              <w:t>ALERTA ROJA</w:t>
            </w:r>
          </w:p>
        </w:tc>
        <w:tc>
          <w:tcPr>
            <w:tcW w:type="dxa" w:w="1094"/>
            <w:tcMar>
              <w:top w:w="60" w:type="dxa"/>
              <w:bottom w:w="60" w:type="dxa"/>
              <w:left w:w="60" w:type="dxa"/>
              <w:right w:w="60" w:type="dxa"/>
            </w:tcMar>
          </w:tcPr>
          <w:p>
            <w:pPr>
              <w:jc w:val="center"/>
            </w:pPr>
            <w:r>
              <w:rPr>
                <w:rFonts w:ascii="Calibri" w:hAnsi="Calibri"/>
                <w:b w:val="0"/>
                <w:sz w:val="17"/>
              </w:rPr>
              <w:t>PRECAUCIÓN</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NVIDIA Corporation generó $134,360.0M de CFO frente a $192,880.0M de beneficio neto, arrojando una tasa de conversión de caja del 69.7% (cada dólar reportado está respaldado por $0.70 de efectivo). El Ratio Sloan de +22.21%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+23.6%</w:t>
            </w:r>
          </w:p>
        </w:tc>
        <w:tc>
          <w:tcPr>
            <w:tcW w:type="dxa" w:w="1440"/>
            <w:tcMar>
              <w:top w:w="60" w:type="dxa"/>
              <w:bottom w:w="60" w:type="dxa"/>
              <w:left w:w="80" w:type="dxa"/>
              <w:right w:w="80" w:type="dxa"/>
            </w:tcMar>
          </w:tcPr>
          <w:p>
            <w:pPr>
              <w:jc w:val="center"/>
            </w:pPr>
            <w:r>
              <w:rPr>
                <w:rFonts w:ascii="Calibri" w:hAnsi="Calibri"/>
                <w:sz w:val="17"/>
              </w:rPr>
              <w:t>DSO: 76.0d (+11.0d)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+24.7%</w:t>
            </w:r>
          </w:p>
        </w:tc>
        <w:tc>
          <w:tcPr>
            <w:tcW w:type="dxa" w:w="1440"/>
            <w:tcMar>
              <w:top w:w="60" w:type="dxa"/>
              <w:bottom w:w="60" w:type="dxa"/>
              <w:left w:w="80" w:type="dxa"/>
              <w:right w:w="80" w:type="dxa"/>
            </w:tcMar>
          </w:tcPr>
          <w:p>
            <w:pPr>
              <w:jc w:val="center"/>
            </w:pPr>
            <w:r>
              <w:rPr>
                <w:rFonts w:ascii="Calibri" w:hAnsi="Calibri"/>
                <w:sz w:val="17"/>
              </w:rPr>
              <w:t>DIO: 150.2d (+25.2d)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88.5%</w:t>
            </w:r>
          </w:p>
        </w:tc>
        <w:tc>
          <w:tcPr>
            <w:tcW w:type="dxa" w:w="1440"/>
            <w:tcMar>
              <w:top w:w="60" w:type="dxa"/>
              <w:bottom w:w="60" w:type="dxa"/>
              <w:left w:w="80" w:type="dxa"/>
              <w:right w:w="80" w:type="dxa"/>
            </w:tcMar>
          </w:tcPr>
          <w:p>
            <w:pPr>
              <w:jc w:val="center"/>
            </w:pPr>
            <w:r>
              <w:rPr>
                <w:rFonts w:ascii="Calibri" w:hAnsi="Calibri"/>
                <w:sz w:val="17"/>
              </w:rPr>
              <w:t>Δ: -1.3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(NVIDIA Corporation): Las existencias crecen 24.7% por encima del coste de ventas, elevando el inventario en +25.2 días (DIO: 150.2d). Evaluar si responde a preparación estacional de lanzamientos o acumulación no vendida.</w:t>
      </w:r>
    </w:p>
    <w:p>
      <w:pPr>
        <w:pStyle w:val="Heading2"/>
      </w:pPr>
      <w:r>
        <w:rPr>
          <w:rFonts w:ascii="Calibri" w:hAnsi="Calibri"/>
          <w:b/>
          <w:color w:val="1B365D"/>
          <w:sz w:val="23"/>
        </w:rPr>
        <w:t>12.3. Desglose Forense Montier C-Score (4/6 Banderas)</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$192,880.0M vs CFO: $134,360.0M</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w:t>
            </w:r>
          </w:p>
        </w:tc>
        <w:tc>
          <w:tcPr>
            <w:tcW w:type="dxa" w:w="2016"/>
            <w:tcMar>
              <w:top w:w="60" w:type="dxa"/>
              <w:bottom w:w="60" w:type="dxa"/>
              <w:left w:w="80" w:type="dxa"/>
              <w:right w:w="80" w:type="dxa"/>
            </w:tcMar>
          </w:tcPr>
          <w:p>
            <w:pPr>
              <w:jc w:val="left"/>
            </w:pPr>
            <w:r>
              <w:rPr>
                <w:rFonts w:ascii="Calibri" w:hAnsi="Calibri"/>
                <w:sz w:val="16"/>
              </w:rPr>
              <w:t>Δ Cuentas por Cobrar % &gt; Δ Ventas %</w:t>
            </w:r>
          </w:p>
        </w:tc>
        <w:tc>
          <w:tcPr>
            <w:tcW w:type="dxa" w:w="1872"/>
            <w:tcMar>
              <w:top w:w="60" w:type="dxa"/>
              <w:bottom w:w="60" w:type="dxa"/>
              <w:left w:w="80" w:type="dxa"/>
              <w:right w:w="80" w:type="dxa"/>
            </w:tcMar>
          </w:tcPr>
          <w:p>
            <w:pPr>
              <w:jc w:val="left"/>
            </w:pPr>
            <w:r>
              <w:rPr>
                <w:rFonts w:ascii="Calibri" w:hAnsi="Calibri"/>
                <w:sz w:val="16"/>
              </w:rPr>
              <w:t>ΔAR: 63.9% vs ΔVentas: 40.3%</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w:t>
            </w:r>
          </w:p>
        </w:tc>
        <w:tc>
          <w:tcPr>
            <w:tcW w:type="dxa" w:w="2016"/>
            <w:tcMar>
              <w:top w:w="60" w:type="dxa"/>
              <w:bottom w:w="60" w:type="dxa"/>
              <w:left w:w="80" w:type="dxa"/>
              <w:right w:w="80" w:type="dxa"/>
            </w:tcMar>
          </w:tcPr>
          <w:p>
            <w:pPr>
              <w:jc w:val="left"/>
            </w:pPr>
            <w:r>
              <w:rPr>
                <w:rFonts w:ascii="Calibri" w:hAnsi="Calibri"/>
                <w:sz w:val="16"/>
              </w:rPr>
              <w:t>Δ Inventarios % &gt; Δ Coste de Ventas %</w:t>
            </w:r>
          </w:p>
        </w:tc>
        <w:tc>
          <w:tcPr>
            <w:tcW w:type="dxa" w:w="1872"/>
            <w:tcMar>
              <w:top w:w="60" w:type="dxa"/>
              <w:bottom w:w="60" w:type="dxa"/>
              <w:left w:w="80" w:type="dxa"/>
              <w:right w:w="80" w:type="dxa"/>
            </w:tcMar>
          </w:tcPr>
          <w:p>
            <w:pPr>
              <w:jc w:val="left"/>
            </w:pPr>
            <w:r>
              <w:rPr>
                <w:rFonts w:ascii="Calibri" w:hAnsi="Calibri"/>
                <w:sz w:val="16"/>
              </w:rPr>
              <w:t>ΔInv: 47.5% vs ΔCOGS: 22.8%</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crecen más rápido que los costes de venta.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Deterioro del Margen Bruto</w:t>
            </w:r>
          </w:p>
        </w:tc>
        <w:tc>
          <w:tcPr>
            <w:tcW w:type="dxa" w:w="2016"/>
            <w:tcMar>
              <w:top w:w="60" w:type="dxa"/>
              <w:bottom w:w="60" w:type="dxa"/>
              <w:left w:w="80" w:type="dxa"/>
              <w:right w:w="80" w:type="dxa"/>
            </w:tcMar>
          </w:tcPr>
          <w:p>
            <w:pPr>
              <w:jc w:val="left"/>
            </w:pPr>
            <w:r>
              <w:rPr>
                <w:rFonts w:ascii="Calibri" w:hAnsi="Calibri"/>
                <w:sz w:val="16"/>
              </w:rPr>
              <w:t>Margen Bruto_t &lt; Margen Bruto_t-1</w:t>
            </w:r>
          </w:p>
        </w:tc>
        <w:tc>
          <w:tcPr>
            <w:tcW w:type="dxa" w:w="1872"/>
            <w:tcMar>
              <w:top w:w="60" w:type="dxa"/>
              <w:bottom w:w="60" w:type="dxa"/>
              <w:left w:w="80" w:type="dxa"/>
              <w:right w:w="80" w:type="dxa"/>
            </w:tcMar>
          </w:tcPr>
          <w:p>
            <w:pPr>
              <w:jc w:val="left"/>
            </w:pPr>
            <w:r>
              <w:rPr>
                <w:rFonts w:ascii="Calibri" w:hAnsi="Calibri"/>
                <w:sz w:val="16"/>
              </w:rPr>
              <w:t>Margen Bruto: 74.67% vs 71.07%</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deterioro del margen bruto genera incentivos en los ejecutivos para estirar partidas contables inferiores.</w:t>
            </w:r>
          </w:p>
        </w:tc>
      </w:tr>
      <w:tr>
        <w:tc>
          <w:tcPr>
            <w:tcW w:type="dxa" w:w="2160"/>
            <w:tcMar>
              <w:top w:w="60" w:type="dxa"/>
              <w:bottom w:w="60" w:type="dxa"/>
              <w:left w:w="80" w:type="dxa"/>
              <w:right w:w="80" w:type="dxa"/>
            </w:tcMar>
          </w:tcPr>
          <w:p>
            <w:pPr>
              <w:jc w:val="left"/>
            </w:pPr>
            <w:r>
              <w:rPr>
                <w:rFonts w:ascii="Calibri" w:hAnsi="Calibri"/>
                <w:sz w:val="16"/>
              </w:rPr>
              <w:t>5. Incremento de Activos Blandos</w:t>
            </w:r>
          </w:p>
        </w:tc>
        <w:tc>
          <w:tcPr>
            <w:tcW w:type="dxa" w:w="2016"/>
            <w:tcMar>
              <w:top w:w="60" w:type="dxa"/>
              <w:bottom w:w="60" w:type="dxa"/>
              <w:left w:w="80" w:type="dxa"/>
              <w:right w:w="80" w:type="dxa"/>
            </w:tcMar>
          </w:tcPr>
          <w:p>
            <w:pPr>
              <w:jc w:val="left"/>
            </w:pPr>
            <w:r>
              <w:rPr>
                <w:rFonts w:ascii="Calibri" w:hAnsi="Calibri"/>
                <w:sz w:val="16"/>
              </w:rPr>
              <w:t>Ratio Activos Blandos_t &gt; Ratio Activos Blandos_t-1</w:t>
            </w:r>
          </w:p>
        </w:tc>
        <w:tc>
          <w:tcPr>
            <w:tcW w:type="dxa" w:w="1872"/>
            <w:tcMar>
              <w:top w:w="60" w:type="dxa"/>
              <w:bottom w:w="60" w:type="dxa"/>
              <w:left w:w="80" w:type="dxa"/>
              <w:right w:w="80" w:type="dxa"/>
            </w:tcMar>
          </w:tcPr>
          <w:p>
            <w:pPr>
              <w:jc w:val="left"/>
            </w:pPr>
            <w:r>
              <w:rPr>
                <w:rFonts w:ascii="Calibri" w:hAnsi="Calibri"/>
                <w:sz w:val="16"/>
              </w:rPr>
              <w:t>Activos Blandos: 88.5% vs 89.9%</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Aumento del peso relativo de partidas del balance que no son activos productivos tangibles ni tesorería.</w:t>
            </w:r>
          </w:p>
        </w:tc>
      </w:tr>
      <w:tr>
        <w:tc>
          <w:tcPr>
            <w:tcW w:type="dxa" w:w="2160"/>
            <w:tcMar>
              <w:top w:w="60" w:type="dxa"/>
              <w:bottom w:w="60" w:type="dxa"/>
              <w:left w:w="80" w:type="dxa"/>
              <w:right w:w="80" w:type="dxa"/>
            </w:tcMar>
          </w:tcPr>
          <w:p>
            <w:pPr>
              <w:jc w:val="left"/>
            </w:pPr>
            <w:r>
              <w:rPr>
                <w:rFonts w:ascii="Calibri" w:hAnsi="Calibri"/>
                <w:sz w:val="16"/>
              </w:rPr>
              <w:t>6.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20.52% vs 21.5%</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w:t>
            </w:r>
          </w:p>
        </w:tc>
      </w:tr>
    </w:tbl>
    <w:p>
      <w:pPr>
        <w:spacing w:before="80" w:after="160"/>
      </w:pPr>
      <w:r>
        <w:rPr>
          <w:rFonts w:ascii="Calibri" w:hAnsi="Calibri"/>
          <w:b/>
          <w:color w:val="1B365D"/>
          <w:sz w:val="17"/>
        </w:rPr>
        <w:t>Dictamen Montier: 4 / 6 Banderas — RIESGO ALTO / ALERTA FORENSE. Probabilidad empírica de manipulación &gt; 80%.</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+22.21%</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Alerta Roja: Alto riesgo de beneficios de papel y baja calidad contable.</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69.7%</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Alerta (69.7%): Caja operativa significativamente inferior a la utilidad.</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+23.6%</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Alerta Channel Stuffing (+23.6%, DSO: 76.0d); cuentas por cobrar crecen más que ventas.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150.2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Inventario elevado (150.2d, Δ: +25.2d); vigilar estacionalidad o absorción.</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-1.3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gastos operativos no se activan en el balance.</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4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Alerta forense (4/6); alto riesgo de maquillaje contable (&gt; 80%).</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12.17 [ZONA SEGURA]</w:t>
              <w:br/>
              <w:br/>
              <w:t>FORTALEZA FINANCIERA INQUEBRANTABLE (GRADO INSTITUCIONAL AAA/AA): Apalancamiento óptimo (CAJA NETA), cobertura de intereses de 426.7x y Altman Z''-Score de 12.17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$33,366.0M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$99,369.0M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$66,003.0M (Caja Neta)</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$197,579.0M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$463.0M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426.7x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0.34%</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12.17</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$234.31  |  WACC Auditado: 15.69% (Rf: 5.29%, ERP: 4.75%)</w:t>
        <w:br/>
        <w:t>• Crecimiento Implícito Calculado: 29.7% Anual a 10 Años (vs. 66.9% Histórico y 66.9% Guidance)</w:t>
        <w:br/>
        <w:t>• Veredicto: Descuenta expectativas de 29.7% anual (-37.2 pp sobre guidance). Exigencia de crecimiento ambiciosa (+29.7% anual); requiere catalizadores sostenidos de expansión comercial.</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$234.31</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5.29%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2.2</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5.89%</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4.95%</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16.0%</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0.6%</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99.4%</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15.69%</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41.9%</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14.69% (Bajo / Expansión)</w:t>
            </w:r>
          </w:p>
        </w:tc>
        <w:tc>
          <w:tcPr>
            <w:tcW w:type="dxa" w:w="1224"/>
          </w:tcPr>
          <w:p>
            <w:r>
              <w:rPr>
                <w:sz w:val="16"/>
              </w:rPr>
              <w:t>29.0%</w:t>
            </w:r>
          </w:p>
        </w:tc>
        <w:tc>
          <w:tcPr>
            <w:tcW w:type="dxa" w:w="1224"/>
          </w:tcPr>
          <w:p>
            <w:r>
              <w:rPr>
                <w:sz w:val="16"/>
              </w:rPr>
              <w:t>28.6%</w:t>
            </w:r>
          </w:p>
        </w:tc>
        <w:tc>
          <w:tcPr>
            <w:tcW w:type="dxa" w:w="1224"/>
          </w:tcPr>
          <w:p>
            <w:r>
              <w:rPr>
                <w:sz w:val="16"/>
              </w:rPr>
              <w:t>28.3%</w:t>
            </w:r>
          </w:p>
        </w:tc>
        <w:tc>
          <w:tcPr>
            <w:tcW w:type="dxa" w:w="1224"/>
          </w:tcPr>
          <w:p>
            <w:r>
              <w:rPr>
                <w:b/>
                <w:sz w:val="16"/>
              </w:rPr>
              <w:t>27.9%</w:t>
            </w:r>
          </w:p>
        </w:tc>
        <w:tc>
          <w:tcPr>
            <w:tcW w:type="dxa" w:w="1224"/>
          </w:tcPr>
          <w:p>
            <w:r>
              <w:rPr>
                <w:sz w:val="16"/>
              </w:rPr>
              <w:t>27.5%</w:t>
            </w:r>
          </w:p>
        </w:tc>
        <w:tc>
          <w:tcPr>
            <w:tcW w:type="dxa" w:w="1224"/>
          </w:tcPr>
          <w:p>
            <w:r>
              <w:rPr>
                <w:sz w:val="16"/>
              </w:rPr>
              <w:t>27.0%</w:t>
            </w:r>
          </w:p>
        </w:tc>
        <w:tc>
          <w:tcPr>
            <w:tcW w:type="dxa" w:w="1224"/>
          </w:tcPr>
          <w:p>
            <w:r>
              <w:rPr>
                <w:sz w:val="16"/>
              </w:rPr>
              <w:t>Escenario favorable; exigencia de crecimiento más moderada.</w:t>
            </w:r>
          </w:p>
        </w:tc>
      </w:tr>
      <w:tr>
        <w:tc>
          <w:tcPr>
            <w:tcW w:type="dxa" w:w="1224"/>
            <w:shd w:fill="F7FAFC"/>
          </w:tcPr>
          <w:p>
            <w:r>
              <w:rPr>
                <w:sz w:val="16"/>
              </w:rPr>
              <w:t>15.19% (Favorable)</w:t>
            </w:r>
          </w:p>
        </w:tc>
        <w:tc>
          <w:tcPr>
            <w:tcW w:type="dxa" w:w="1224"/>
            <w:shd w:fill="F7FAFC"/>
          </w:tcPr>
          <w:p>
            <w:r>
              <w:rPr>
                <w:sz w:val="16"/>
              </w:rPr>
              <w:t>29.8%</w:t>
            </w:r>
          </w:p>
        </w:tc>
        <w:tc>
          <w:tcPr>
            <w:tcW w:type="dxa" w:w="1224"/>
            <w:shd w:fill="F7FAFC"/>
          </w:tcPr>
          <w:p>
            <w:r>
              <w:rPr>
                <w:sz w:val="16"/>
              </w:rPr>
              <w:t>29.5%</w:t>
            </w:r>
          </w:p>
        </w:tc>
        <w:tc>
          <w:tcPr>
            <w:tcW w:type="dxa" w:w="1224"/>
            <w:shd w:fill="F7FAFC"/>
          </w:tcPr>
          <w:p>
            <w:r>
              <w:rPr>
                <w:sz w:val="16"/>
              </w:rPr>
              <w:t>29.1%</w:t>
            </w:r>
          </w:p>
        </w:tc>
        <w:tc>
          <w:tcPr>
            <w:tcW w:type="dxa" w:w="1224"/>
            <w:shd w:fill="F7FAFC"/>
          </w:tcPr>
          <w:p>
            <w:r>
              <w:rPr>
                <w:b/>
                <w:sz w:val="16"/>
              </w:rPr>
              <w:t>28.8%</w:t>
            </w:r>
          </w:p>
        </w:tc>
        <w:tc>
          <w:tcPr>
            <w:tcW w:type="dxa" w:w="1224"/>
            <w:shd w:fill="F7FAFC"/>
          </w:tcPr>
          <w:p>
            <w:r>
              <w:rPr>
                <w:sz w:val="16"/>
              </w:rPr>
              <w:t>28.4%</w:t>
            </w:r>
          </w:p>
        </w:tc>
        <w:tc>
          <w:tcPr>
            <w:tcW w:type="dxa" w:w="1224"/>
            <w:shd w:fill="F7FAFC"/>
          </w:tcPr>
          <w:p>
            <w:r>
              <w:rPr>
                <w:sz w:val="16"/>
              </w:rPr>
              <w:t>28.0%</w:t>
            </w:r>
          </w:p>
        </w:tc>
        <w:tc>
          <w:tcPr>
            <w:tcW w:type="dxa" w:w="1224"/>
            <w:shd w:fill="F7FAFC"/>
          </w:tcPr>
          <w:p>
            <w:r>
              <w:rPr>
                <w:sz w:val="16"/>
              </w:rPr>
              <w:t>Escenario de sensibilidad operativa.</w:t>
            </w:r>
          </w:p>
        </w:tc>
      </w:tr>
      <w:tr>
        <w:tc>
          <w:tcPr>
            <w:tcW w:type="dxa" w:w="1224"/>
            <w:shd w:fill="F7FAFC"/>
          </w:tcPr>
          <w:p>
            <w:r>
              <w:rPr>
                <w:sz w:val="16"/>
              </w:rPr>
              <w:t>15.69% (WACC Auditado Base)</w:t>
            </w:r>
          </w:p>
        </w:tc>
        <w:tc>
          <w:tcPr>
            <w:tcW w:type="dxa" w:w="1224"/>
            <w:shd w:fill="F7FAFC"/>
          </w:tcPr>
          <w:p>
            <w:r>
              <w:rPr>
                <w:b/>
                <w:sz w:val="16"/>
              </w:rPr>
              <w:t>30.7%</w:t>
            </w:r>
          </w:p>
        </w:tc>
        <w:tc>
          <w:tcPr>
            <w:tcW w:type="dxa" w:w="1224"/>
            <w:shd w:fill="F7FAFC"/>
          </w:tcPr>
          <w:p>
            <w:r>
              <w:rPr>
                <w:b/>
                <w:sz w:val="16"/>
              </w:rPr>
              <w:t>30.4%</w:t>
            </w:r>
          </w:p>
        </w:tc>
        <w:tc>
          <w:tcPr>
            <w:tcW w:type="dxa" w:w="1224"/>
            <w:shd w:fill="F7FAFC"/>
          </w:tcPr>
          <w:p>
            <w:r>
              <w:rPr>
                <w:b/>
                <w:sz w:val="16"/>
              </w:rPr>
              <w:t>30.0%</w:t>
            </w:r>
          </w:p>
        </w:tc>
        <w:tc>
          <w:tcPr>
            <w:tcW w:type="dxa" w:w="1224"/>
            <w:shd w:fill="FFF2CC"/>
          </w:tcPr>
          <w:p>
            <w:r>
              <w:rPr>
                <w:b/>
                <w:sz w:val="16"/>
              </w:rPr>
              <w:t>29.7%</w:t>
            </w:r>
          </w:p>
        </w:tc>
        <w:tc>
          <w:tcPr>
            <w:tcW w:type="dxa" w:w="1224"/>
            <w:shd w:fill="F7FAFC"/>
          </w:tcPr>
          <w:p>
            <w:r>
              <w:rPr>
                <w:b/>
                <w:sz w:val="16"/>
              </w:rPr>
              <w:t>29.3%</w:t>
            </w:r>
          </w:p>
        </w:tc>
        <w:tc>
          <w:tcPr>
            <w:tcW w:type="dxa" w:w="1224"/>
            <w:shd w:fill="F7FAFC"/>
          </w:tcPr>
          <w:p>
            <w:r>
              <w:rPr>
                <w:b/>
                <w:sz w:val="16"/>
              </w:rPr>
              <w:t>28.9%</w:t>
            </w:r>
          </w:p>
        </w:tc>
        <w:tc>
          <w:tcPr>
            <w:tcW w:type="dxa" w:w="1224"/>
            <w:shd w:fill="F7FAFC"/>
          </w:tcPr>
          <w:p>
            <w:r>
              <w:rPr>
                <w:sz w:val="16"/>
              </w:rPr>
              <w:t>ESCENARIO CENTRAL: Crecimiento implícito real de mercado.</w:t>
            </w:r>
          </w:p>
        </w:tc>
      </w:tr>
      <w:tr>
        <w:tc>
          <w:tcPr>
            <w:tcW w:type="dxa" w:w="1224"/>
            <w:shd w:fill="F7FAFC"/>
          </w:tcPr>
          <w:p>
            <w:r>
              <w:rPr>
                <w:sz w:val="16"/>
              </w:rPr>
              <w:t>16.19% (Exigente)</w:t>
            </w:r>
          </w:p>
        </w:tc>
        <w:tc>
          <w:tcPr>
            <w:tcW w:type="dxa" w:w="1224"/>
            <w:shd w:fill="F7FAFC"/>
          </w:tcPr>
          <w:p>
            <w:r>
              <w:rPr>
                <w:sz w:val="16"/>
              </w:rPr>
              <w:t>31.5%</w:t>
            </w:r>
          </w:p>
        </w:tc>
        <w:tc>
          <w:tcPr>
            <w:tcW w:type="dxa" w:w="1224"/>
            <w:shd w:fill="F7FAFC"/>
          </w:tcPr>
          <w:p>
            <w:r>
              <w:rPr>
                <w:sz w:val="16"/>
              </w:rPr>
              <w:t>31.2%</w:t>
            </w:r>
          </w:p>
        </w:tc>
        <w:tc>
          <w:tcPr>
            <w:tcW w:type="dxa" w:w="1224"/>
            <w:shd w:fill="F7FAFC"/>
          </w:tcPr>
          <w:p>
            <w:r>
              <w:rPr>
                <w:sz w:val="16"/>
              </w:rPr>
              <w:t>30.9%</w:t>
            </w:r>
          </w:p>
        </w:tc>
        <w:tc>
          <w:tcPr>
            <w:tcW w:type="dxa" w:w="1224"/>
            <w:shd w:fill="F7FAFC"/>
          </w:tcPr>
          <w:p>
            <w:r>
              <w:rPr>
                <w:b/>
                <w:sz w:val="16"/>
              </w:rPr>
              <w:t>30.5%</w:t>
            </w:r>
          </w:p>
        </w:tc>
        <w:tc>
          <w:tcPr>
            <w:tcW w:type="dxa" w:w="1224"/>
            <w:shd w:fill="F7FAFC"/>
          </w:tcPr>
          <w:p>
            <w:r>
              <w:rPr>
                <w:sz w:val="16"/>
              </w:rPr>
              <w:t>30.2%</w:t>
            </w:r>
          </w:p>
        </w:tc>
        <w:tc>
          <w:tcPr>
            <w:tcW w:type="dxa" w:w="1224"/>
            <w:shd w:fill="F7FAFC"/>
          </w:tcPr>
          <w:p>
            <w:r>
              <w:rPr>
                <w:sz w:val="16"/>
              </w:rPr>
              <w:t>29.8%</w:t>
            </w:r>
          </w:p>
        </w:tc>
        <w:tc>
          <w:tcPr>
            <w:tcW w:type="dxa" w:w="1224"/>
            <w:shd w:fill="F7FAFC"/>
          </w:tcPr>
          <w:p>
            <w:r>
              <w:rPr>
                <w:sz w:val="16"/>
              </w:rPr>
              <w:t>Escenario de sensibilidad operativa.</w:t>
            </w:r>
          </w:p>
        </w:tc>
      </w:tr>
      <w:tr>
        <w:tc>
          <w:tcPr>
            <w:tcW w:type="dxa" w:w="1224"/>
          </w:tcPr>
          <w:p>
            <w:r>
              <w:rPr>
                <w:sz w:val="16"/>
              </w:rPr>
              <w:t>16.69% (Estrés / Tipos Altos)</w:t>
            </w:r>
          </w:p>
        </w:tc>
        <w:tc>
          <w:tcPr>
            <w:tcW w:type="dxa" w:w="1224"/>
          </w:tcPr>
          <w:p>
            <w:r>
              <w:rPr>
                <w:sz w:val="16"/>
              </w:rPr>
              <w:t>32.4%</w:t>
            </w:r>
          </w:p>
        </w:tc>
        <w:tc>
          <w:tcPr>
            <w:tcW w:type="dxa" w:w="1224"/>
          </w:tcPr>
          <w:p>
            <w:r>
              <w:rPr>
                <w:sz w:val="16"/>
              </w:rPr>
              <w:t>32.1%</w:t>
            </w:r>
          </w:p>
        </w:tc>
        <w:tc>
          <w:tcPr>
            <w:tcW w:type="dxa" w:w="1224"/>
          </w:tcPr>
          <w:p>
            <w:r>
              <w:rPr>
                <w:sz w:val="16"/>
              </w:rPr>
              <w:t>31.7%</w:t>
            </w:r>
          </w:p>
        </w:tc>
        <w:tc>
          <w:tcPr>
            <w:tcW w:type="dxa" w:w="1224"/>
          </w:tcPr>
          <w:p>
            <w:r>
              <w:rPr>
                <w:b/>
                <w:sz w:val="16"/>
              </w:rPr>
              <w:t>31.4%</w:t>
            </w:r>
          </w:p>
        </w:tc>
        <w:tc>
          <w:tcPr>
            <w:tcW w:type="dxa" w:w="1224"/>
          </w:tcPr>
          <w:p>
            <w:r>
              <w:rPr>
                <w:sz w:val="16"/>
              </w:rPr>
              <w:t>31.1%</w:t>
            </w:r>
          </w:p>
        </w:tc>
        <w:tc>
          <w:tcPr>
            <w:tcW w:type="dxa" w:w="1224"/>
          </w:tcPr>
          <w:p>
            <w:r>
              <w:rPr>
                <w:sz w:val="16"/>
              </w:rPr>
              <w:t>30.7%</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Foso Defensivo Amplio (Ventajas Intangibles)</w:t>
            </w:r>
          </w:p>
        </w:tc>
        <w:tc>
          <w:tcPr>
            <w:tcW w:type="dxa" w:w="2448"/>
          </w:tcPr>
          <w:p>
            <w:r>
              <w:rPr>
                <w:b/>
                <w:sz w:val="17"/>
              </w:rPr>
              <w:t>WIDE MOAT</w:t>
            </w:r>
          </w:p>
        </w:tc>
        <w:tc>
          <w:tcPr>
            <w:tcW w:type="dxa" w:w="2448"/>
          </w:tcPr>
          <w:p>
            <w:r>
              <w:rPr>
                <w:sz w:val="17"/>
              </w:rPr>
              <w:t>Poder de fijación de precios y resiliencia de márgenes (65.2% EBIT).</w:t>
            </w:r>
          </w:p>
        </w:tc>
      </w:tr>
      <w:tr>
        <w:tc>
          <w:tcPr>
            <w:tcW w:type="dxa" w:w="2448"/>
            <w:shd w:fill="F7FAFC"/>
          </w:tcPr>
          <w:p>
            <w:r>
              <w:rPr>
                <w:b/>
                <w:sz w:val="17"/>
              </w:rPr>
              <w:t>Calidad de Beneficios</w:t>
            </w:r>
          </w:p>
        </w:tc>
        <w:tc>
          <w:tcPr>
            <w:tcW w:type="dxa" w:w="2448"/>
            <w:shd w:fill="F7FAFC"/>
          </w:tcPr>
          <w:p>
            <w:r>
              <w:rPr>
                <w:sz w:val="17"/>
              </w:rPr>
              <w:t>Ratio Sloan: 22.21% / Montier: 4/6</w:t>
            </w:r>
          </w:p>
        </w:tc>
        <w:tc>
          <w:tcPr>
            <w:tcW w:type="dxa" w:w="2448"/>
            <w:shd w:fill="F7FAFC"/>
          </w:tcPr>
          <w:p>
            <w:r>
              <w:rPr>
                <w:b/>
                <w:sz w:val="17"/>
              </w:rPr>
              <w:t>ALERTA FORENSE</w:t>
            </w:r>
          </w:p>
        </w:tc>
        <w:tc>
          <w:tcPr>
            <w:tcW w:type="dxa" w:w="2448"/>
            <w:shd w:fill="F7FAFC"/>
          </w:tcPr>
          <w:p>
            <w:r>
              <w:rPr>
                <w:sz w:val="17"/>
              </w:rPr>
              <w:t>Ganancias 100% avaladas por caja real ($0.70 CFO por dólar de NI).</w:t>
            </w:r>
          </w:p>
        </w:tc>
      </w:tr>
      <w:tr>
        <w:tc>
          <w:tcPr>
            <w:tcW w:type="dxa" w:w="2448"/>
          </w:tcPr>
          <w:p>
            <w:r>
              <w:rPr>
                <w:b/>
                <w:sz w:val="17"/>
              </w:rPr>
              <w:t>Solvencia y Estructura</w:t>
            </w:r>
          </w:p>
        </w:tc>
        <w:tc>
          <w:tcPr>
            <w:tcW w:type="dxa" w:w="2448"/>
          </w:tcPr>
          <w:p>
            <w:r>
              <w:rPr>
                <w:sz w:val="17"/>
              </w:rPr>
              <w:t>Cobertura EBIT: 426.7x / Altman Z'': 12.17</w:t>
            </w:r>
          </w:p>
        </w:tc>
        <w:tc>
          <w:tcPr>
            <w:tcW w:type="dxa" w:w="2448"/>
          </w:tcPr>
          <w:p>
            <w:r>
              <w:rPr>
                <w:b/>
                <w:sz w:val="17"/>
              </w:rPr>
              <w:t>SINTÉTICO AAA</w:t>
            </w:r>
          </w:p>
        </w:tc>
        <w:tc>
          <w:tcPr>
            <w:tcW w:type="dxa" w:w="2448"/>
          </w:tcPr>
          <w:p>
            <w:r>
              <w:rPr>
                <w:sz w:val="17"/>
              </w:rPr>
              <w:t>Cero estrés financiero; colchón de $99.4B.</w:t>
            </w:r>
          </w:p>
        </w:tc>
      </w:tr>
      <w:tr>
        <w:tc>
          <w:tcPr>
            <w:tcW w:type="dxa" w:w="2448"/>
            <w:shd w:fill="F7FAFC"/>
          </w:tcPr>
          <w:p>
            <w:r>
              <w:rPr>
                <w:b/>
                <w:sz w:val="17"/>
              </w:rPr>
              <w:t>Productividad del Capital</w:t>
            </w:r>
          </w:p>
        </w:tc>
        <w:tc>
          <w:tcPr>
            <w:tcW w:type="dxa" w:w="2448"/>
            <w:shd w:fill="F7FAFC"/>
          </w:tcPr>
          <w:p>
            <w:r>
              <w:rPr>
                <w:sz w:val="17"/>
              </w:rPr>
              <w:t>ROC Greenblatt: 163.7% / ROIC Adj: 72.2%</w:t>
            </w:r>
          </w:p>
        </w:tc>
        <w:tc>
          <w:tcPr>
            <w:tcW w:type="dxa" w:w="2448"/>
            <w:shd w:fill="F7FAFC"/>
          </w:tcPr>
          <w:p>
            <w:r>
              <w:rPr>
                <w:b/>
                <w:sz w:val="17"/>
              </w:rPr>
              <w:t>COMPOUNDING MACHINE</w:t>
            </w:r>
          </w:p>
        </w:tc>
        <w:tc>
          <w:tcPr>
            <w:tcW w:type="dxa" w:w="2448"/>
            <w:shd w:fill="F7FAFC"/>
          </w:tcPr>
          <w:p>
            <w:r>
              <w:rPr>
                <w:sz w:val="17"/>
              </w:rPr>
              <w:t>Spread económico de +56.5 pp sobre WACC (Creación de valor de élite).</w:t>
            </w:r>
          </w:p>
        </w:tc>
      </w:tr>
      <w:tr>
        <w:tc>
          <w:tcPr>
            <w:tcW w:type="dxa" w:w="2448"/>
          </w:tcPr>
          <w:p>
            <w:r>
              <w:rPr>
                <w:b/>
                <w:sz w:val="17"/>
              </w:rPr>
              <w:t>Valoración de Mercado</w:t>
            </w:r>
          </w:p>
        </w:tc>
        <w:tc>
          <w:tcPr>
            <w:tcW w:type="dxa" w:w="2448"/>
          </w:tcPr>
          <w:p>
            <w:r>
              <w:rPr>
                <w:sz w:val="17"/>
              </w:rPr>
              <w:t>Crecimiento Implícito: 29.7% - 28.1%</w:t>
            </w:r>
          </w:p>
        </w:tc>
        <w:tc>
          <w:tcPr>
            <w:tcW w:type="dxa" w:w="2448"/>
          </w:tcPr>
          <w:p>
            <w:r>
              <w:rPr>
                <w:b/>
                <w:sz w:val="17"/>
              </w:rPr>
              <w:t>PRICED FOR PERFECTION</w:t>
            </w:r>
          </w:p>
        </w:tc>
        <w:tc>
          <w:tcPr>
            <w:tcW w:type="dxa" w:w="2448"/>
          </w:tcPr>
          <w:p>
            <w:r>
              <w:rPr>
                <w:sz w:val="17"/>
              </w:rPr>
              <w:t>Exigencia de crecimiento ambiciosa (+29.7% anual); requiere catalizadores sostenidos de expansión comercial.</w:t>
            </w:r>
          </w:p>
        </w:tc>
      </w:tr>
    </w:tbl>
    <w:p>
      <w:pPr>
        <w:spacing w:before="400"/>
        <w:jc w:val="center"/>
      </w:pPr>
      <w:r>
        <w:rPr>
          <w:rFonts w:ascii="Calibri" w:hAnsi="Calibri"/>
          <w:i/>
          <w:color w:val="4A5568"/>
          <w:sz w:val="17"/>
        </w:rPr>
        <w:t>Fin del Informe Oficial de Investigación Fundamental — NVIDIA Corporation (NVDA)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