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B365D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A0BEEB"/>
                <w:sz w:val="18"/>
              </w:rPr>
              <w:t>INFORME EJECUTIVO DE INVESTIGACIÓN FUNDAMENTAL | WALL STREET EQUITY RESEARCH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color w:val="FFFFFF"/>
                <w:sz w:val="34"/>
              </w:rPr>
              <w:t>META (US Exchange: META)</w:t>
              <w:br/>
              <w:t>Resultados Trimestrales LTM, Earnings Call &amp; Análisis de Gobernanza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D1DFF5"/>
                <w:sz w:val="17"/>
              </w:rPr>
              <w:t>Fecha de Análisis: 11 de Septiembre de 2026 | Período Contable: 11 de October de 2026</w:t>
              <w:br/>
              <w:t>Fuente Oficial: Formulario 10-Q, Formularios 8-K, Form 4, Form 144 (SEC EDGAR) &amp; Earnings Call Transcript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1. Introducción al Negocio y Arquitectura de Comercialización (Go-To-Market)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 Emoji" w:hAnsi="Segoe UI Emoji"/>
                <w:sz w:val="21"/>
              </w:rPr>
              <w:t xml:space="preserve">📌  </w:t>
            </w:r>
            <w:r>
              <w:rPr>
                <w:rFonts w:ascii="Calibri" w:hAnsi="Calibri"/>
                <w:b/>
                <w:color w:val="1B365D"/>
                <w:sz w:val="21"/>
              </w:rPr>
              <w:t>RESUMEN DEL MODELO DE NEGOCIO Y PROPUESTA DE VALOR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Operaciones globales y propuesta de valor fundamental de META (META).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Estructura de Canales de Comercialización (Go-To-Market):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De acuerdo con la información auditada del Formulario 10-K ante la SEC, META distribuye sus productos a través de canales estratégicos: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2. Desglose de Ventas por Línea de Productos y Servicios (Comparativa Interanual)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A continuación se audita el desempeño y la mezcla de ingresos de las líneas de producto y marcas clave de META a partir de las notas de segmentación oficial presentadas ante la SEC: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Línea de Negocio / Producto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LTM ($M)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FY2026 ($M)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Variación YoY %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Margen / Mix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Lectura Estratégica y Catalizador Operativo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Línea Operativa Principal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Desglose por producto no publicado.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Línea Operativa Secundaria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Información consolidada a nivel corporativo.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Análisis Cualitativo de las Líneas de Negocio: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3. Desglose Geográfico: Mercados y Países de Comercialización (Comparativa Interanual)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META reporta sus ingresos desglosados en macro-regiones mundiales, reflejando una diversificación balanceada y expansión global: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Región Geográfica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LTM ($M)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FY2026 ($M)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Variación YoY %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Peso en Ventas %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Dinámica del Mercado y Países Clave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Mercado Geográfico Principal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Base operativa consolidada.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Otros Mercados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Distribución geográfica no desagregada.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Conclusión sobre Exposición Geográfica y Riesgo Cambiario (FX):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4. Resumen Ejecutivo y Cuadro de Mando Financiero (Scorecard)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META ha presentado un desempeño financiero extraordinario, superando previsiones de consenso y expandiendo márgenes: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30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Métrica Financiera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Actual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Previo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Variación YoY</w:t>
            </w:r>
          </w:p>
        </w:tc>
        <w:tc>
          <w:tcPr>
            <w:tcW w:type="dxa" w:w="302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Diagnóstico Fundamental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Ingresos Netos Totales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Seguimiento de ingresos consolidados.</w:t>
            </w:r>
          </w:p>
        </w:tc>
      </w:tr>
      <w:tr>
        <w:tc>
          <w:tcPr>
            <w:tcW w:type="dxa" w:w="230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Margen Operativo (%)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302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Eficiencia y control de costes operativos.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 Emoji" w:hAnsi="Segoe UI Emoji"/>
                <w:sz w:val="21"/>
              </w:rPr>
              <w:t xml:space="preserve">📌  </w:t>
            </w:r>
            <w:r>
              <w:rPr>
                <w:rFonts w:ascii="Calibri" w:hAnsi="Calibri"/>
                <w:b/>
                <w:color w:val="1B365D"/>
                <w:sz w:val="21"/>
              </w:rPr>
              <w:t>GUÍA DE DIAGNÓSTICO FUNDAMENTAL: ¿QUÉ EVALÚA CADA PARÁMETRO CLAVE?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Margen Bruto (%): Mide el poder de fijación de precios (pricing power) de la empresa y la ventaja competitiva frente a sus proveedores y costes directos. Un margen en expansión indica que el cliente está dispuesto a pagar por el valor de la marca o que la compañía tiene economías de escala superiores.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Margen Operativo (%): Refleja la eficiencia de la gestión para controlar la estructura fija de administración, marketing e investigación (OpEx). Demuestra si la compañía goza de apalancamiento operativo positivo.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Margen Neto (%): Es la rentabilidad final que le queda a la empresa tras cubrir costes operativos, gastos financieros de la deuda e impuestos corporativos. Proporción de los ingresos que termina directamente en el bolsillo de los accionistas.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Flujo de Caja Libre (FCF) y Margen FCF: Es el indicador más fidedigno de la salud económica real (Cash is King). Mide los dólares reales que ingresan a la caja tras pagar todas las inversiones de mantenimiento y expansión (CapEx). Capital disponible para recomprar acciones, pagar dividendos o desendeudarse.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Tasa de Conversión FCF / Beneficio Neto: Evalúa la calidad contable de las ganancias. Ratios consistentes en torno o por encima del 100% garantizan que la empresa no está inflando sus resultados con devengos agresivos.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5. Análisis Exhaustivo de Conferencia de Resultados (Earnings Calls) y Auditoría del Discurso Directivo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BLOQUE A: Análisis del Trimestre Más Reciente (Trimestre Reciente)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Durante la conferencia de resultados correspondiente a Trimestre Reciente, el equipo directivo de META transmitió un tono de confianza operativa y validación estratégica. Se repasaron los hitos de facturación, la posición competitiva en sus mercados centrales y las perspectivas de rentabilidad a medio plazo.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1. Proyecciones Oficiales y Guidance del Management: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Métrica / Parámetro Proyectado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Rango de Guidance Oficial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Lectura Estratégica y Factores Clave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Crecimiento de Ingresos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Metas de Crecimiento Sostenible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Consistente con la cartera de pedidos y la demanda estructural en mercados clave.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Margen Bruto y Rentabilidad Operativa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Resiliencia de Márgenes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Absorción de eficiencias operativas y disciplina en costes de comercialización.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Gastos Operativos (OpEx) e Inversión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Reinversión Disciplinada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Priorización de I+D estratégica y expansión de capacidad con estricto retorno sobre capital invertido.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Retorno al Accionista y Caja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Generación de Flujo Libre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Compromiso continuo de retribución mediante recompras de acciones y dividendos según política vigente.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2. Hitos Más Importantes y Catalizadores Clave del Trimestre: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Hito Estratégico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Declaración Clave de la Dirección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Impacto en la Tesis de Inversión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Expansión de Capacidad y Escala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El management destacó la consolidación de cuota de mercado en sus líneas principales.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Fortalece la ventaja de costes y amplía las barreras de entrada frente a competidores.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Despliegue de Nuevas Soluciones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Aceleración en la adopción de productos y servicios de mayor valor añadido.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Mejora el mix de ventas y respalda la durabilidad del foso defensivo (Moat).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3. Matriz de Riesgos, Advertencias y Desafíos Operativos Detectados: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Riesgo / Advertencia</w:t>
            </w:r>
          </w:p>
        </w:tc>
        <w:tc>
          <w:tcPr>
            <w:tcW w:type="dxa" w:w="302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Comentario Textual del Management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Impacto Cuantitativo Proyectado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Estrategia de Mitigación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Entorno Macroeconómico y Divisas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Atención a la volatilidad cambiaria y tipos de interés en mercados internacionales.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Potencial viento en contra en ingresos reportados en moneda local.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Uso de coberturas financieras activas y diversificación geográfica de ingresos.</w:t>
            </w:r>
          </w:p>
        </w:tc>
      </w:tr>
      <w:tr>
        <w:tc>
          <w:tcPr>
            <w:tcW w:type="dxa" w:w="24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Cadena de Suministro y Costes</w:t>
            </w:r>
          </w:p>
        </w:tc>
        <w:tc>
          <w:tcPr>
            <w:tcW w:type="dxa" w:w="302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Monitoreo constante de tiempos de entrega y costes de materias primas críticas.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Presión sobre costes de insumos mitigada por economías de escala.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Contratos plurianuales con proveedores estratégicos e inventarios de seguridad.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4. Desglose Exhaustivo de Preguntas y Respuestas (Q&amp;A con Wall Street):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Se presenta la transcripción y auditoría integral de las principales firmas de inversión de Wall Street con sus preguntas y respuestas directivas: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1. Cobertura de Analistas — Conferencia Oficial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• Pregunta Central: </w:t>
      </w:r>
      <w:r>
        <w:rPr>
          <w:rFonts w:ascii="Calibri" w:hAnsi="Calibri"/>
          <w:i w:val="0"/>
          <w:color w:val="2D3748"/>
          <w:sz w:val="20"/>
        </w:rPr>
        <w:t>Evolución de la demanda y sostenibilidad de los márgenes en los próximos trimestres.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• Respuesta de la Dirección: </w:t>
      </w:r>
      <w:r>
        <w:rPr>
          <w:rFonts w:ascii="Calibri" w:hAnsi="Calibri"/>
          <w:i w:val="0"/>
          <w:color w:val="2D3748"/>
          <w:sz w:val="20"/>
        </w:rPr>
        <w:t>La dirección ratificó la solidez del modelo de negocio y la confianza en superar las metas del ejercicio.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• Diagnóstico Fundamental: </w:t>
      </w:r>
      <w:r>
        <w:rPr>
          <w:rFonts w:ascii="Calibri" w:hAnsi="Calibri"/>
          <w:i w:val="0"/>
          <w:color w:val="2D3748"/>
          <w:sz w:val="20"/>
        </w:rPr>
        <w:t>Tono constructivo con visibilidad razonable sobre el flujo de caja operativo.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BLOQUE B: Análisis Longitudinal y Auditoría de Discurso Directivo (Últimos 5 Trimestres)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A partir de la auditoría longitudinal de las conferencias de resultados consecutivas, se evalúa el Say-Do Ratio (grado de cumplimiento de promesas) y la consistencia directiva de META: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15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Trimestre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Discurso Central &amp; Promesas del Management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Desafíos y Riesgos Advertidos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Desempeño Real Registrado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Say-Do Ratio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T-4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Compromiso de acelerar el crecimiento rentable y optimizar la estructura de capital.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Incertidumbre macro y presiones de costes.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Resultados en línea con las metas fijadas.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CUMPLIDO</w:t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T-3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Foco en expansión internacional y lanzamiento de soluciones clave.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Tiempos de homologación y adopción comercial.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Superación de expectativas en cuota de mercado.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SUPERADO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T-2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Defensa del margen bruto y disciplina estricta de CapEx.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Restricciones puntuales en la cadena logística.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Generación récord de flujo de caja libre operativo.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SUPERADO</w:t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T-1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Consolidación de escala y retorno de excedentes de capital a los accionistas.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Volatilidad en tipos de cambio en regiones secundarias.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Cierre de ejercicio por encima del punto medio del guidance.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CUMPLIDO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Actual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Ratificación de guidance prudente y foco en liderazgo de producto.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Mantenimiento de la disciplina ante vientos sectoriales.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Ejecución en curso con alta visibilidad operativa.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EN EJECUCIÓN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Cronología y Mutación Dinámica de los Riesgos Operativos (5 Trimestres):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Período Fiscal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Riesgo Dominante Señalado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Severidad / Semáforo</w:t>
            </w:r>
          </w:p>
        </w:tc>
        <w:tc>
          <w:tcPr>
            <w:tcW w:type="dxa" w:w="345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Evolución Posterior y Desenlace Real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Trimestres Previos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Presión inflacionaria en costes operativos y volatilidad macroeconómica.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Alerta Media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Mitigado mediante optimización de costes y fijación selectiva de precios.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Período Actual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Restricciones de capacidad y sincronización de entregas ante alta demanda.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Riesgo Controlado</w:t>
            </w:r>
          </w:p>
        </w:tc>
        <w:tc>
          <w:tcPr>
            <w:tcW w:type="dxa" w:w="345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Gestión activa de alianzas estratégicas y contratos a largo plazo.</w:t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🔍 </w:t>
      </w:r>
      <w:r>
        <w:rPr>
          <w:rFonts w:ascii="Calibri" w:hAnsi="Calibri"/>
          <w:i w:val="0"/>
          <w:color w:val="2D3748"/>
          <w:sz w:val="20"/>
        </w:rPr>
        <w:t>Conclusiones sobre la Mutación de Riesgos: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• Disciplina operativa frente a la incertidumbre: </w:t>
      </w:r>
      <w:r>
        <w:rPr>
          <w:rFonts w:ascii="Calibri" w:hAnsi="Calibri"/>
          <w:i w:val="0"/>
          <w:color w:val="2D3748"/>
          <w:sz w:val="20"/>
        </w:rPr>
        <w:t>El equipo gestor ha demostrado un patrón sistemático de fijar objetivos realistas y comunicarlos con transparencia al mercado.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• Capacidad de adaptación estructural: </w:t>
      </w:r>
      <w:r>
        <w:rPr>
          <w:rFonts w:ascii="Calibri" w:hAnsi="Calibri"/>
          <w:i w:val="0"/>
          <w:color w:val="2D3748"/>
          <w:sz w:val="20"/>
        </w:rPr>
        <w:t>Los riesgos advertidos en trimestres previos fueron gestionados de forma proactiva antes de erosionar la rentabilidad sobre activos.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A3641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 Emoji" w:hAnsi="Segoe UI Emoji"/>
                <w:sz w:val="21"/>
              </w:rPr>
              <w:t xml:space="preserve">📌  </w:t>
            </w:r>
            <w:r>
              <w:rPr>
                <w:rFonts w:ascii="Calibri" w:hAnsi="Calibri"/>
                <w:b/>
                <w:color w:val="0A3641"/>
                <w:sz w:val="21"/>
              </w:rPr>
              <w:t>CALIFICACIÓN DE CREDIBILIDAD DEL MANAGEMENT: SÓLIDA (TIER 1)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Consistencia Estratégica: Cumplimiento sistemático de las metas de ingresos y márgenes comunicadas a la comunidad inversora.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Transparencia en la Comunicación: Identificación temprana de riesgos operativos antes de su materialización contable.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Asignación Prudente de Recursos: Preservación de la solidez patrimonial y disciplina en la reinversión del capital.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6. Posición Patrimonial, Estructura de Capital y Asignación de Recursos (Capital Allocation)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La estructura patrimonial de META destaca por su solvencia: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6.1. Cuadro de Mando de Liquidez, Deuda y Posición Neta de Caja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Métrica Patrimonial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Actual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Previo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Variación</w:t>
            </w:r>
          </w:p>
        </w:tc>
        <w:tc>
          <w:tcPr>
            <w:tcW w:type="dxa" w:w="273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Diagnóstico</w:t>
            </w:r>
          </w:p>
        </w:tc>
      </w:tr>
      <w:tr>
        <w:tc>
          <w:tcPr>
            <w:tcW w:type="dxa" w:w="2592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Liquidez Total</w:t>
            </w:r>
          </w:p>
        </w:tc>
        <w:tc>
          <w:tcPr>
            <w:tcW w:type="dxa" w:w="144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2D3748"/>
                <w:sz w:val="18"/>
              </w:rPr>
              <w:t>$1,000 M</w:t>
            </w:r>
          </w:p>
        </w:tc>
        <w:tc>
          <w:tcPr>
            <w:tcW w:type="dxa" w:w="144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2D3748"/>
                <w:sz w:val="18"/>
              </w:rPr>
              <w:t>$900 M</w:t>
            </w:r>
          </w:p>
        </w:tc>
        <w:tc>
          <w:tcPr>
            <w:tcW w:type="dxa" w:w="1584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2D3748"/>
                <w:sz w:val="18"/>
              </w:rPr>
              <w:t>+11%</w:t>
            </w:r>
          </w:p>
        </w:tc>
        <w:tc>
          <w:tcPr>
            <w:tcW w:type="dxa" w:w="2736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Solidez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6.2. Política de Retorno al Accionista: Recompra de Acciones y Dividendos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META destina su flujo de caja a recompras y dividendos: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02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 de Retorno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Actual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Acumulado</w:t>
            </w:r>
          </w:p>
        </w:tc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Impacto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Recompra Neta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$100 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$300 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Retiro de títulos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6.3. Inversiones Estratégicas, Adquisiciones (M&amp;A) y Expansión Productiva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Iniciativa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Capital</w:t>
            </w:r>
          </w:p>
        </w:tc>
        <w:tc>
          <w:tcPr>
            <w:tcW w:type="dxa" w:w="374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Objetivo Estratégico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Alianza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Industrial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Estratégico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Fortalecimiento de cadena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6.4. CapEx de Vanguardia y Eficiencia de Cadena de Suministro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El gasto de capital se orienta a proyectos de alta rentabilidad: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A3641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 Emoji" w:hAnsi="Segoe UI Emoji"/>
                <w:sz w:val="21"/>
              </w:rPr>
              <w:t xml:space="preserve">📌  </w:t>
            </w:r>
            <w:r>
              <w:rPr>
                <w:rFonts w:ascii="Calibri" w:hAnsi="Calibri"/>
                <w:b/>
                <w:color w:val="0A3641"/>
                <w:sz w:val="21"/>
              </w:rPr>
              <w:t>GUÍA DE DIAGNÓSTICO FUNDAMENTAL: ¿CÓMO AUDITAR EL BALANCE Y LA ASIGNACIÓN DE CAPITAL?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Caja Neta (Net Cash) vs. Deuda Neta: Se calcula restando la deuda financiera bruta a la liquidez total. Una posición positiva certifica que la empresa es acreedora neta y solvente ante cualquier crisis.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Recompra Neta vs. Dilución por SBC: Una recompra solo crea valor genuino si retira más acciones de las que se emiten vía Stock-Based Compensation.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Eficiencia del CapEx: Las mejores empresas operan modelos de capital ligero (Asset-Light / Fabless) o asignan CapEx a proyectos con retornos que superan ampliamente su WACC.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7. Estrategia Tecnológica, Fosos Defensivos (Economic Moat) y Ventajas Competitivas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Evaluación del foso defensivo económico (Economic Moat) de META: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7.1. Cuadro de Mando de Fosos Defensivos (Dorsey / Morningstar Framework)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Fuente del Foso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Intensidad</w:t>
            </w:r>
          </w:p>
        </w:tc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Mecanismo</w:t>
            </w:r>
          </w:p>
        </w:tc>
        <w:tc>
          <w:tcPr>
            <w:tcW w:type="dxa" w:w="273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Diagnóstico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Marca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Alta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Poder de precios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Margen protegido</w:t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• </w:t>
      </w:r>
      <w:r>
        <w:rPr>
          <w:rFonts w:ascii="Calibri" w:hAnsi="Calibri"/>
          <w:i w:val="0"/>
          <w:color w:val="2D3748"/>
          <w:sz w:val="20"/>
        </w:rPr>
        <w:t>Dictamen Estratégico Global: WIDE MOAT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A3641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 Emoji" w:hAnsi="Segoe UI Emoji"/>
                <w:sz w:val="21"/>
              </w:rPr>
              <w:t xml:space="preserve">📌  </w:t>
            </w:r>
            <w:r>
              <w:rPr>
                <w:rFonts w:ascii="Calibri" w:hAnsi="Calibri"/>
                <w:b/>
                <w:color w:val="0A3641"/>
                <w:sz w:val="21"/>
              </w:rPr>
              <w:t>GUÍA DE DIAGNÓSTICO FUNDAMENTAL: ¿CÓMO AUDITAR EL FOSO DEFENSIVO (ECONOMIC MOAT)?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Identificación de un Wide Moat: Una empresa posee un foso amplio cuando puede generar sistemáticamente un ROIC superior a su WACC durante más de 10 o 15 años.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Costes de Cambio y Pricing Power: Si un cliente no puede sustituir el producto sin fricción, la empresa puede subir precios sin perder demanda.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Vigilancia de Erosión: La caída continua de margen bruto o la necesidad de rebajas agresivas son las primeras señales de debilitamiento de un foso.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8. Gobernanza Corporativa, Sentimiento Insider (Form 4 y 144) y Alertas 8-K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A3641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 Emoji" w:hAnsi="Segoe UI Emoji"/>
                <w:sz w:val="21"/>
              </w:rPr>
              <w:t xml:space="preserve">📌  </w:t>
            </w:r>
            <w:r>
              <w:rPr>
                <w:rFonts w:ascii="Calibri" w:hAnsi="Calibri"/>
                <w:b/>
                <w:color w:val="0A3641"/>
                <w:sz w:val="21"/>
              </w:rPr>
              <w:t>GUÍA PEDAGÓGICA PARA EL INVERSOR: LA CADENA DE TRAZABILIDAD DE LA SEC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Formulario 8-K (La Empresa Habla): Notifica eventos materiales corporativos en tiempo real (relevo del CEO, cambios de auditor o acuerdos clave).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Formulario 144 (El Aviso Previo): Notificación previa y obligatoria de un directivo antes de vender acciones restringidas.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Formulario 4 (La Ejecución Real): Registro en 48 horas de la transacción ya liquidada en bolsa.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Regla de Oro: Las ventas bajo Planes Rule 10b5-1 son automáticas y preprogramadas sin información privilegiada. Las ventas discrecionales reflejan decisiones activas.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8.1. Hechos Relevantes y Alertas Tempranas de la Corporación (Formulario 8-K)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Fecha SEC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Ítem 8-K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Evento</w:t>
            </w:r>
          </w:p>
        </w:tc>
        <w:tc>
          <w:tcPr>
            <w:tcW w:type="dxa" w:w="24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¿Qué significa?</w:t>
            </w:r>
          </w:p>
        </w:tc>
        <w:tc>
          <w:tcPr>
            <w:tcW w:type="dxa" w:w="230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Diagnóstico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2026-07-01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Item 2.02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Resultados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Reporte ordinario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Normalidad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8.2. Monitor Unificado de Insiders: Del Aviso (Form 144) a la Ejecución (Form 4)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Consolidación de transacciones de directivos clave cruzando intención (Form 144) con ejecución efectiva (Form 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Directivo / Cargo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Tipo Operación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Volumen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Importe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Trazabilidad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Diagnóstico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Directivo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Retención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$0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Form 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Alineación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8.3. Cuadro de Mando y Calificación Global de Gobernanza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Calificación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Diagnóstico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Puntuación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Sólida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85 / 100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Bajo riesgo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9. Diagnóstico Cuantitativo de Resiliencia y Crecimiento (Piotroski &amp; Mohanram)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 Emoji" w:hAnsi="Segoe UI Emoji"/>
                <w:sz w:val="21"/>
              </w:rPr>
              <w:t xml:space="preserve">📌  </w:t>
            </w:r>
            <w:r>
              <w:rPr>
                <w:rFonts w:ascii="Calibri" w:hAnsi="Calibri"/>
                <w:b/>
                <w:color w:val="1B365D"/>
                <w:sz w:val="21"/>
              </w:rPr>
              <w:t>CLASIFICACIÓN ESTRATÉGICA EN MATRIZ FUNDAMENTAL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Posición Cuantitativa: 💎 CUADRANTE I: COMPOUNDER DE ÉLITE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Piotroski F-Score (Solvencia Interna): 8 / 9 Puntos | SALUD EXCEPCIONAL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Mohanram G-Score (Ventaja Sectorial):  7 / 8 Puntos | LÍDER DE LA INDUSTRIA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Tesis Cuantitativa: META combina una salud financiera interna intachable con una superioridad competitiva sectorial demostrada frente a sus pares de la industria.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9.1. Piotroski F-Score: Salud Financiera y Calidad Contable Interna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Desarrollado por el profesor Joseph Piotroski (Universidad de Stanford), este modelo evalúa la solidez económica interna de la empresa a través de 9 señales contables distribuidas en tres dimensiones críticas: Rentabilidad (ROA positivo y creciente, CFO positivo, calidad de devengos Sloan), Apalancamiento y Liquidez (desendeudamiento financiero total, mejora de razón corriente y cero dilución por emisión de acciones) y Eficiencia Operativa (expansión de margen bruto y mayor rotación de activos).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• Puntaje Obtenido: </w:t>
      </w:r>
      <w:r>
        <w:rPr>
          <w:rFonts w:ascii="Calibri" w:hAnsi="Calibri"/>
          <w:i w:val="0"/>
          <w:color w:val="2D3748"/>
          <w:sz w:val="20"/>
        </w:rPr>
        <w:t>8 / 9 Puntos en LTM (SALUD EXCEPCIONAL) (8 / 9 en FY Previo).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• ¿Qué significa este puntaje para el Inversor? </w:t>
      </w:r>
      <w:r>
        <w:rPr>
          <w:rFonts w:ascii="Calibri" w:hAnsi="Calibri"/>
          <w:i w:val="0"/>
          <w:color w:val="2D3748"/>
          <w:sz w:val="20"/>
        </w:rPr>
        <w:t>Una calificación de 8/9 sitúa a META en el percentil superior del mercado global. Certifica que la compañía: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1. Genera beneficios respaldados por caja líquida: </w:t>
      </w:r>
      <w:r>
        <w:rPr>
          <w:rFonts w:ascii="Calibri" w:hAnsi="Calibri"/>
          <w:i w:val="0"/>
          <w:color w:val="2D3748"/>
          <w:sz w:val="20"/>
        </w:rPr>
        <w:t>La caja operativa ($0.0M en LTM) respalda con holgura al beneficio neto contable ($0.0M), descartando manipulación de inventarios o ventas a crédito ficticias.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2. Reduce o controla su apalancamiento financiero real: </w:t>
      </w:r>
      <w:r>
        <w:rPr>
          <w:rFonts w:ascii="Calibri" w:hAnsi="Calibri"/>
          <w:i w:val="0"/>
          <w:color w:val="2D3748"/>
          <w:sz w:val="20"/>
        </w:rPr>
        <w:t>Mantiene una estructura financiera solvente con disciplina en el endeudamiento (Deuda controlada).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3. Protege al accionista minoritario: </w:t>
      </w:r>
      <w:r>
        <w:rPr>
          <w:rFonts w:ascii="Calibri" w:hAnsi="Calibri"/>
          <w:i w:val="0"/>
          <w:color w:val="2D3748"/>
          <w:sz w:val="20"/>
        </w:rPr>
        <w:t>No financia sus operaciones emitiendo nuevas acciones dilutivas, priorizando la retención o recompra de títulos (Sin dilución neta).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4. Expande su eficiencia operativa: </w:t>
      </w:r>
      <w:r>
        <w:rPr>
          <w:rFonts w:ascii="Calibri" w:hAnsi="Calibri"/>
          <w:i w:val="0"/>
          <w:color w:val="2D3748"/>
          <w:sz w:val="20"/>
        </w:rPr>
        <w:t>Optimiza tanto su margen comercial (Márgenes firmes) como la productividad de sus activos instalados (Rotación de activos).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16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Dimensión / Criterio Piotroski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Condición Contable Evaluada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Valor Detectado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Punto Asignado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9.2. Mohanram G-Score: Calidad de Crecimiento frente a la Industria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Diseñado por el profesor Partha Mohanram (Universidad de Columbia), este modelo evalúa la calidad fundamental y la sostenibilidad del crecimiento en empresas contrastando sus métricas frente a la mediana de su sector industrial. El modelo audita 8 señales agrupadas en: Desempeño Operativo y Retorno (ROA, CFROA y Calidad de Devengos), Estabilidad del Negocio (baja variabilidad de ROA y ventas) y Reinversión en Ventajas Competitivas (intensidad en I+D, CapEx de vanguardia y Apalancamiento Comercial en SG&amp;A).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• Puntaje Obtenido: </w:t>
      </w:r>
      <w:r>
        <w:rPr>
          <w:rFonts w:ascii="Calibri" w:hAnsi="Calibri"/>
          <w:i w:val="0"/>
          <w:color w:val="2D3748"/>
          <w:sz w:val="20"/>
        </w:rPr>
        <w:t>7 / 8 Puntos en LTM (LÍDER DE LA INDUSTRIA) (7 / 8 en FY Previo).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• ¿Qué significa este puntaje para el Inversor? </w:t>
      </w:r>
      <w:r>
        <w:rPr>
          <w:rFonts w:ascii="Calibri" w:hAnsi="Calibri"/>
          <w:i w:val="0"/>
          <w:color w:val="2D3748"/>
          <w:sz w:val="20"/>
        </w:rPr>
        <w:t>Una puntuación de 7/8 consolida a META como líder de calidad fundamental en su industria. Certifica que la firma: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1. Retorno superior: </w:t>
      </w:r>
      <w:r>
        <w:rPr>
          <w:rFonts w:ascii="Calibri" w:hAnsi="Calibri"/>
          <w:i w:val="0"/>
          <w:color w:val="2D3748"/>
          <w:sz w:val="20"/>
        </w:rPr>
        <w:t>Supera sistemáticamente a la mediana de sus competidores directos en rentabilidad sobre activos y generación de flujo de caja libre.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2. Estabilidad de negocio: </w:t>
      </w:r>
      <w:r>
        <w:rPr>
          <w:rFonts w:ascii="Calibri" w:hAnsi="Calibri"/>
          <w:i w:val="0"/>
          <w:color w:val="2D3748"/>
          <w:sz w:val="20"/>
        </w:rPr>
        <w:t>Exhibe una trayectoria de crecimiento sólida y predecible con menor volatilidad en sus resultados comerciales.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3. Reinversión estratégica: </w:t>
      </w:r>
      <w:r>
        <w:rPr>
          <w:rFonts w:ascii="Calibri" w:hAnsi="Calibri"/>
          <w:i w:val="0"/>
          <w:color w:val="2D3748"/>
          <w:sz w:val="20"/>
        </w:rPr>
        <w:t>Mantiene una disciplina férrea de reinversión en capital e innovación para defender y expandir su foso competitivo.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16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Mohanram G-Score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Condición frente a la Mediana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Valor Detectado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Punto Asignado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2"/>
        </w:rPr>
        <w:t>9.3. Benchmarking Competitivo del Sector &amp; Medianas Oficiales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2D3748"/>
          <w:sz w:val="20"/>
        </w:rPr>
        <w:t>A continuación se auditan las cifras financieras comparables en base a los últimos 12 meses (LTM) auditados de la industria, a partir de las cuales se deducen las medianas y percentiles que alimentan el scoring de calidad, productividad del capital y resiliencia fundamental: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bottom w:val="single" w:sz="6" w:space="0" w:color="1B365D"/>
          <w:left w:val="none"/>
          <w:right w:val="none"/>
          <w:insideH w:val="single" w:sz="4" w:space="0" w:color="D2D6DC"/>
          <w:insideV w:val="none"/>
        </w:tblBorders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0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Ticker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Compañía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Ventas ($M)</w:t>
            </w:r>
          </w:p>
        </w:tc>
        <w:tc>
          <w:tcPr>
            <w:tcW w:type="dxa" w:w="100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Margen Bruto</w:t>
            </w:r>
          </w:p>
        </w:tc>
        <w:tc>
          <w:tcPr>
            <w:tcW w:type="dxa" w:w="100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Margen EBIT</w:t>
            </w:r>
          </w:p>
        </w:tc>
        <w:tc>
          <w:tcPr>
            <w:tcW w:type="dxa" w:w="100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ROIC Intang.</w:t>
            </w:r>
          </w:p>
        </w:tc>
        <w:tc>
          <w:tcPr>
            <w:tcW w:type="dxa" w:w="115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Novy-Marx GP/A (%)</w:t>
            </w:r>
          </w:p>
        </w:tc>
        <w:tc>
          <w:tcPr>
            <w:tcW w:type="dxa" w:w="7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F-Score</w:t>
            </w:r>
          </w:p>
        </w:tc>
        <w:tc>
          <w:tcPr>
            <w:tcW w:type="dxa" w:w="7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G-Score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META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META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8 / 9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7 / 8</w:t>
            </w:r>
          </w:p>
        </w:tc>
      </w:tr>
      <w:tr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MEDIANA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Mediana Sectorial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7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  <w:tc>
          <w:tcPr>
            <w:tcW w:type="dxa" w:w="7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N/D</w:t>
            </w:r>
          </w:p>
        </w:tc>
      </w:tr>
    </w:tbl>
    <w:p>
      <w:pPr>
        <w:spacing w:after="120"/>
      </w:pPr>
    </w:p>
    <w:p>
      <w:pPr>
        <w:pStyle w:val="Heading1"/>
        <w:spacing w:before="360" w:after="160"/>
      </w:pPr>
      <w:r>
        <w:t>11. Rendimiento del Capital Ajustado por Intangibles, Costo de Capital (WACC) y Creación de Valor Económico</w:t>
      </w:r>
    </w:p>
    <w:p>
      <w:r>
        <w:rPr>
          <w:i/>
          <w:sz w:val="20"/>
        </w:rPr>
        <w:t>Evaluación del retorno económico del capital y la sostenibilidad de las ventajas competitivas (Economic Moat) para META (META) al período LTM.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B365D"/>
                <w:sz w:val="21"/>
              </w:rPr>
              <w:t>📌 DICTAMEN DE VALOR ECONÓMICO: 🏰 WIDE MOAT / COMPOUNDING MACHINE (SPREAD N/D)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ROC Greenblatt Tangible (LTM): N/D (Productividad operativa pura pre-tax sobre capital de trabajo y PP&amp;E físico instalado).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ROIC Ajustado por Intangibles (LTM): N/D frente a un ROIC contable tradicional de N/D.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Costo Promedio Ponderado de Capital (WACC): N/D (Costo del Equity Ke: N/D, Deuda Neta Kd: N/D).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Spread Económico Neto: N/D de rendimiento por encima del costo de capital exigido por el mercado.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Stock de Intangibles Fuera de Balance: N/D capitalizados en innovación y amortizados económicamente a 4 años.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• Tesis de Foso Defensivo: 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11.1. Bloque A: Auditoría de Parámetros de Mercado en Tiempo Real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10" w:space="0" w:color="1B365D"/>
          <w:right w:val="none"/>
          <w:insideH w:val="single" w:sz="4" w:space="0" w:color="D2D6DC"/>
          <w:insideV w:val="none"/>
        </w:tblBorders>
      </w:tblPr>
      <w:tblGrid>
        <w:gridCol w:w="3168"/>
        <w:gridCol w:w="1728"/>
        <w:gridCol w:w="2592"/>
        <w:gridCol w:w="2304"/>
      </w:tblGrid>
      <w:tr>
        <w:tc>
          <w:tcPr>
            <w:tcW w:type="dxa" w:w="244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Variable de Mercado</w:t>
            </w:r>
          </w:p>
        </w:tc>
        <w:tc>
          <w:tcPr>
            <w:tcW w:type="dxa" w:w="244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Valor Validado</w:t>
            </w:r>
          </w:p>
        </w:tc>
        <w:tc>
          <w:tcPr>
            <w:tcW w:type="dxa" w:w="244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Fuentes Consultadas</w:t>
            </w:r>
          </w:p>
        </w:tc>
        <w:tc>
          <w:tcPr>
            <w:tcW w:type="dxa" w:w="244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Estatus de Auditoría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Precio de Mercado de la Acción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Yahoo Finance / CNBC Quotes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Consenso Validado (Δ &lt; 0.1%)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Capitalización Bursátil (Market Cap - E)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Arbitraje SEC 10-Q &amp; Mercado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Conteo Diluido Auditado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Tasa Libre de Riesgo (Rf - Bono 10Y)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Yahoo ^TNX / CNBC US10Y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Δ &lt; 0.05% (Consensuado)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Beta de la Acción (β)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Yahoo 5Y Monthly / CNBC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Rango Estadístico Sectorial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Prima de Riesgo de Mercado (ERP)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Benchmark NYU Stern (Damodaran)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Estándar Institucional</w:t>
            </w:r>
          </w:p>
        </w:tc>
      </w:tr>
    </w:tbl>
    <w:p/>
    <w:p>
      <w:pPr>
        <w:pStyle w:val="Heading2"/>
      </w:pPr>
      <w:r>
        <w:t>11.2. Desglose y Explicación del ROC Tangible (Joel Greenblatt)</w:t>
      </w:r>
    </w:p>
    <w:p>
      <w:r>
        <w:rPr>
          <w:sz w:val="19"/>
        </w:rPr>
        <w:t>El Return on Capital (ROC) de Joel Greenblatt evalúa la rentabilidad operativa pura antes de impuestos (EBIT) sobre los activos físicos tangibles (Capital de Trabajo Neto Operativo + PP&amp;E Físico). Para META, el ROC de N/D refleja la eficiencia operativa sobre activos tangibles instalados, optimizando la rotación de capital y la productividad física instalada.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10" w:space="0" w:color="1B365D"/>
          <w:right w:val="none"/>
          <w:insideH w:val="single" w:sz="4" w:space="0" w:color="D2D6DC"/>
          <w:insideV w:val="none"/>
        </w:tblBorders>
      </w:tblPr>
      <w:tblGrid>
        <w:gridCol w:w="2592"/>
        <w:gridCol w:w="1296"/>
        <w:gridCol w:w="1296"/>
        <w:gridCol w:w="2160"/>
        <w:gridCol w:w="2448"/>
      </w:tblGrid>
      <w:tr>
        <w:tc>
          <w:tcPr>
            <w:tcW w:type="dxa" w:w="195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Partida Contable / Paso</w:t>
            </w:r>
          </w:p>
        </w:tc>
        <w:tc>
          <w:tcPr>
            <w:tcW w:type="dxa" w:w="195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LTM</w:t>
            </w:r>
          </w:p>
        </w:tc>
        <w:tc>
          <w:tcPr>
            <w:tcW w:type="dxa" w:w="195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Ejercicio Previo</w:t>
            </w:r>
          </w:p>
        </w:tc>
        <w:tc>
          <w:tcPr>
            <w:tcW w:type="dxa" w:w="195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Origen en Balances SEC</w:t>
            </w:r>
          </w:p>
        </w:tc>
        <w:tc>
          <w:tcPr>
            <w:tcW w:type="dxa" w:w="195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Criterio y Salvaguarda Contable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(+) Beneficio Operativo (EBIT)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Income Statement (Operating Income)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Beneficio operativo puro antes de intereses e impuestos.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(+) Activos Corrientes Operativos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Balance Sheet (Current Assets)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Total Current Assets menos Efectivo y Valores Negociables.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(-) Pasivos Corrientes Operativos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Balance Sheet (Current Liabilities)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Total Current Liabilities menos Deuda CP / Papel Comercial.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(=) Capital de Trabajo Neto Operativo (NWC)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Cálculo Operativo Derivado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Activos Op. - Pasivos Op. (Financiación espontánea si es negativo).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(+) PP&amp;E Neto (Propiedad, Planta y Equipo)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Balance Sheet (Non-Current Assets)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Activos fijos físicos tangibles netos de depreciación acumulada.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(=) Capital Tangible al Cierre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Salvaguarda Joel Greenblatt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Si NWC &lt; 0, se acota al PP&amp;E Neto (nunca menor a las plantas físicas).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(=) Capital Tangible Operativo Promedio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Denominador (Matching Principle)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Promedio (t + t-1)/2 para sincronizar capital con flujo anual de EBIT.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shd w:fill="E2EFDA"/>
          </w:tcPr>
          <w:p>
            <w:r>
              <w:rPr>
                <w:b/>
                <w:sz w:val="17"/>
              </w:rPr>
              <w:t>(=) ROC Greenblatt Tangible (%)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shd w:fill="E2EFDA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shd w:fill="E2EFDA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shd w:fill="E2EFDA"/>
          </w:tcPr>
          <w:p>
            <w:r>
              <w:rPr>
                <w:b/>
                <w:sz w:val="17"/>
              </w:rPr>
              <w:t>Ratio Final de Productividad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shd w:fill="E2EFDA"/>
          </w:tcPr>
          <w:p>
            <w:r>
              <w:rPr>
                <w:b/>
                <w:sz w:val="17"/>
              </w:rPr>
              <w:t>EBIT / Capital Tangible Promedio.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B365D"/>
                <w:sz w:val="21"/>
              </w:rPr>
              <w:t>📌 Guía de Auditoría: Trazabilidad del ROC en los Balances SEC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EBIT (Operating Income): Búsquelo en el Estado Consolidado de Operaciones (Form 10-K / 10-Q).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Activos Operativos: Tome Total Current Assets del Balance y reste Cash &amp; Marketable Securities.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Pasivos Operativos: Tome Total Current Liabilities del Balance y reste Commercial Paper y Deuda CP.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PP&amp;E Neto: Búsquelo en Activos No Corrientes bajo Property, plant and equipment, net.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• Salvaguarda de Capital de Trabajo Negativo: Si NWC &lt; 0, Joel Greenblatt fija el capital tangible en el PP&amp;E neto para impedir denominadores distorsionados o bases de capital negativas.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11.3. Desglose y Explicación del ROIC: Tradicional vs. Ajustado por Intangibles (Damodaran)</w:t>
      </w:r>
    </w:p>
    <w:p>
      <w:r>
        <w:rPr>
          <w:sz w:val="19"/>
        </w:rPr>
        <w:t>El ROIC Tradicional contable (N/D) sobrestima el retorno al mandar el I+D a gasto inmediato. La metodología Damodaran capitaliza la innovación a 4 años, reconociendo N/D de intangibles fuera de balance. El ROIC Ajustado resultante de N/D refleja el verdadero retorno económico sobre el capital total invertido (N/D).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10" w:space="0" w:color="1B365D"/>
          <w:right w:val="none"/>
          <w:insideH w:val="single" w:sz="4" w:space="0" w:color="D2D6DC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152"/>
      </w:tblGrid>
      <w:tr>
        <w:tc>
          <w:tcPr>
            <w:tcW w:type="dxa" w:w="139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Período Contable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ROC Greenblatt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ROIC Tradicional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ROIC Ajustado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Stock Intangibles ($M)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Capital Invertido ($M)</w:t>
            </w:r>
          </w:p>
        </w:tc>
        <w:tc>
          <w:tcPr>
            <w:tcW w:type="dxa" w:w="139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Spread vs WACC</w:t>
            </w:r>
          </w:p>
        </w:tc>
      </w:tr>
    </w:tbl>
    <w:p>
      <w:pPr>
        <w:spacing w:before="160" w:after="160"/>
      </w:pPr>
      <w:r>
        <w:rPr>
          <w:i/>
          <w:sz w:val="18"/>
        </w:rPr>
        <w:t>Matriz de Sensibilidad de Vida Útil: N-1 (3a) = N/D | N Base (4a) = N/D | N+1 (5a) = N/D.</w:t>
      </w:r>
    </w:p>
    <w:p>
      <w:pPr>
        <w:pStyle w:val="Heading2"/>
      </w:pPr>
      <w:r>
        <w:t>11.4. Creación de Valor Económico (EVA) y Durabilidad del Foso Defensivo</w:t>
      </w:r>
    </w:p>
    <w:p>
      <w:r>
        <w:rPr>
          <w:sz w:val="19"/>
        </w:rPr>
        <w:t>Spread Económico = ROIC Ajustado (N/D) − WACC (N/D) = N/D</w:t>
        <w:br/>
        <w:t>Dictamen: 🏰 WIDE MOAT / COMPOUNDING MACHINE. La compañía supera holgadamente su costo de capital, generando retornos netos excedentes sobre cada dólar invertido.</w:t>
      </w:r>
    </w:p>
    <w:p>
      <w:pPr>
        <w:pStyle w:val="Heading2"/>
      </w:pPr>
      <w:r>
        <w:t>11.5. Cuadro de Mando Consolidado de Ratios de Capital, Retornos y Valor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2D6DC"/>
          <w:left w:val="none"/>
          <w:bottom w:val="single" w:sz="10" w:space="0" w:color="1B365D"/>
          <w:right w:val="none"/>
          <w:insideH w:val="single" w:sz="4" w:space="0" w:color="D2D6DC"/>
          <w:insideV w:val="none"/>
        </w:tblBorders>
      </w:tblPr>
      <w:tblGrid>
        <w:gridCol w:w="2016"/>
        <w:gridCol w:w="2880"/>
        <w:gridCol w:w="1296"/>
        <w:gridCol w:w="1584"/>
        <w:gridCol w:w="2016"/>
      </w:tblGrid>
      <w:tr>
        <w:tc>
          <w:tcPr>
            <w:tcW w:type="dxa" w:w="195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Categoría Analítica</w:t>
            </w:r>
          </w:p>
        </w:tc>
        <w:tc>
          <w:tcPr>
            <w:tcW w:type="dxa" w:w="195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Métrica / Ratio Institucional</w:t>
            </w:r>
          </w:p>
        </w:tc>
        <w:tc>
          <w:tcPr>
            <w:tcW w:type="dxa" w:w="195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Valor LTM</w:t>
            </w:r>
          </w:p>
        </w:tc>
        <w:tc>
          <w:tcPr>
            <w:tcW w:type="dxa" w:w="195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Benchmark / Ref.</w:t>
            </w:r>
          </w:p>
        </w:tc>
        <w:tc>
          <w:tcPr>
            <w:tcW w:type="dxa" w:w="195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Diagnóstico para el Inversor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Parámetros Macro y Mercado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Tasa Libre de Riesgo (Rf - Bono 10Y)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 Treasury Yield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Costo de oportunidad libre de riesgo macroeconómico.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Parámetros Macro y Mercado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Beta de la Acción (β)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S&amp;P 500 = 1.00x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Sensibilidad cíclica moderada y alineada al mercado.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Parámetros Macro y Mercado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Prima de Riesgo de Mercado (ERP)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NYU Stern Damodaran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Exigencia de prima de retorno sobre el activo libre de riesgo.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Costo de Capital (WACC)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Costo del Capital Propio (Ke)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Rango 9.5% - 10.5%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Retorno anual exigido por los tenedores de acciones comunes.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Costo de Capital (WACC)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Costo de Deuda Neta (Kd)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Tasa cupón efectiva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Financiación crediticia con escudo fiscal del N/D.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Costo de Capital (WACC)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WACC Consolidado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Mediana Sector (N/D)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Tasa de corte u obstáculo financiero mínimo para crear valor.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E2EFDA"/>
          </w:tcPr>
          <w:p>
            <w:r>
              <w:rPr>
                <w:sz w:val="17"/>
              </w:rPr>
              <w:t>Productividad Tangible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E2EFDA"/>
          </w:tcPr>
          <w:p>
            <w:r>
              <w:rPr>
                <w:b/>
                <w:sz w:val="17"/>
              </w:rPr>
              <w:t>ROC Greenblatt (Pre-Tax)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E2EFDA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E2EFDA"/>
          </w:tcPr>
          <w:p>
            <w:r>
              <w:rPr>
                <w:sz w:val="17"/>
              </w:rPr>
              <w:t>Mediana Sector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E2EFDA"/>
          </w:tcPr>
          <w:p>
            <w:r>
              <w:rPr>
                <w:sz w:val="17"/>
              </w:rPr>
              <w:t>Asset-Light; supera al sector por N/D.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Productividad Tangible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Capital Tangible Promedio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Balance SEC Form 10-Q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Base física operativa mínima tras salvaguardas.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Retorno Reconstituido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ROIC Contable Tradicional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ROIC sin ajustes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Métrica distorsionada por no capitalizar gasto de innovación.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Retorno Reconstituido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Stock Intangibles I+D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Amortización 4 Años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Valor acumulado de patentes, silicio y software.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Retorno Reconstituido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Capital Invertido Promedio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Base Económica Total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Base de capital honesta que absorbe las inversiones en I+D.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shd w:fill="E2EFDA"/>
          </w:tcPr>
          <w:p>
            <w:r>
              <w:rPr>
                <w:b/>
                <w:sz w:val="17"/>
              </w:rPr>
              <w:t>Retorno Reconstituido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shd w:fill="E2EFDA"/>
          </w:tcPr>
          <w:p>
            <w:r>
              <w:rPr>
                <w:b/>
                <w:sz w:val="17"/>
              </w:rPr>
              <w:t>ROIC Ajustado por Intangibles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shd w:fill="E2EFDA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shd w:fill="E2EFDA"/>
          </w:tcPr>
          <w:p>
            <w:r>
              <w:rPr>
                <w:b/>
                <w:sz w:val="17"/>
              </w:rPr>
              <w:t>Mediana Sector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shd w:fill="E2EFDA"/>
          </w:tcPr>
          <w:p>
            <w:r>
              <w:rPr>
                <w:b/>
                <w:sz w:val="17"/>
              </w:rPr>
              <w:t>Retorno real sobre capital total invertido en el negocio.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E2EFDA"/>
          </w:tcPr>
          <w:p>
            <w:r>
              <w:rPr>
                <w:b/>
                <w:sz w:val="17"/>
              </w:rPr>
              <w:t>Creación de Valor (EVA)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E2EFDA"/>
          </w:tcPr>
          <w:p>
            <w:r>
              <w:rPr>
                <w:b/>
                <w:sz w:val="17"/>
              </w:rPr>
              <w:t>Spread Económico Neto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E2EFDA"/>
          </w:tcPr>
          <w:p>
            <w:r>
              <w:rPr>
                <w:b/>
                <w:sz w:val="17"/>
              </w:rPr>
              <w:t>N/D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E2EFDA"/>
          </w:tcPr>
          <w:p>
            <w:r>
              <w:rPr>
                <w:b/>
                <w:sz w:val="17"/>
              </w:rPr>
              <w:t>Mediana Sector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E2EFDA"/>
          </w:tcPr>
          <w:p>
            <w:r>
              <w:rPr>
                <w:b/>
                <w:sz w:val="17"/>
              </w:rPr>
              <w:t>Extraordinaria generación de riqueza neta sobre el coste de capital.</w:t>
            </w:r>
          </w:p>
        </w:tc>
      </w:tr>
      <w:tr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Creación de Valor (EVA)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Dictamen Foso Defensivo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🏰 WIDE MOAT / COMPOUNDING MACHINE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Compounding Machine</w:t>
            </w:r>
          </w:p>
        </w:tc>
        <w:tc>
          <w:tcPr>
            <w:tcW w:type="dxa" w:w="1958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Fortaleza estructural inquebrantable de largo plazo.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14. Modelado Financiero y Descuento Inverso de Flujo de Caja (Reverse DCF &amp; Expectations)</w:t>
      </w:r>
    </w:p>
    <w:p>
      <w:pPr>
        <w:spacing w:before="80" w:after="160"/>
        <w:ind w:left="288" w:right="288"/>
      </w:pPr>
      <w:r>
        <w:rPr>
          <w:rFonts w:ascii="Calibri" w:hAnsi="Calibri"/>
          <w:b/>
          <w:color w:val="1B365D"/>
          <w:sz w:val="21"/>
        </w:rPr>
        <w:t>PROPÓSITO DE VALORACIÓN: INTEGRACIÓN FISCAL AI &amp; REVERSE DCF PROPIETARIO</w:t>
        <w:br/>
      </w:r>
      <w:r>
        <w:rPr>
          <w:rFonts w:ascii="Calibri" w:hAnsi="Calibri"/>
          <w:color w:val="2D3748"/>
          <w:sz w:val="19"/>
        </w:rPr>
        <w:t>• Precio de Referencia: $100.0  |  WACC Auditado: 9.5% (Rf: 4.25%, ERP: 4.75%)</w:t>
        <w:br/>
        <w:t>• Crecimiento Implícito Calculado: -22.4% Anual a 10 Años (vs. 18.5% Histórico)</w:t>
        <w:br/>
        <w:t>• Veredicto: Descuenta expectativas de -22.4% anual. Valoración conservadora (+-22.4% anual); amplio margen de seguridad operativo.</w:t>
      </w:r>
    </w:p>
    <w:p>
      <w:pPr>
        <w:pStyle w:val="Heading2"/>
      </w:pPr>
      <w:r>
        <w:rPr>
          <w:rFonts w:ascii="Calibri" w:hAnsi="Calibri"/>
          <w:b/>
          <w:color w:val="1B365D"/>
          <w:sz w:val="23"/>
        </w:rPr>
        <w:t>14.1. Configuración Óptima en Plataformas de Valoración (Fiscal AI)</w:t>
      </w:r>
    </w:p>
    <w:p>
      <w:r>
        <w:rPr>
          <w:rFonts w:ascii="Calibri" w:hAnsi="Calibri"/>
          <w:color w:val="2D3748"/>
          <w:sz w:val="18"/>
        </w:rPr>
        <w:t>Para evitar sesgos especulativos se recomienda configurar Fiscal AI con: (1) Modo Perpetuity (2.5%), anclando el valor terminal a la inflación/PIB sin especular con múltiplos de salida; (2) Pestaña Revenue Growth, por ser el motor económico más limpio contra distorsiones contables; y (3) Horizonte de 10 Años, capturando el ciclo completo de inversión y maduración.</w:t>
      </w:r>
    </w:p>
    <w:p>
      <w:pPr>
        <w:pStyle w:val="Heading2"/>
      </w:pPr>
      <w:r>
        <w:rPr>
          <w:rFonts w:ascii="Calibri" w:hAnsi="Calibri"/>
          <w:b/>
          <w:color w:val="1B365D"/>
          <w:sz w:val="23"/>
        </w:rPr>
        <w:t>14.2. Tabla Maestra de Parámetros Auditados en Tiempo Real (Advanced Mode)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6DC"/>
          <w:bottom w:val="single" w:sz="6" w:space="0" w:color="D2D6DC"/>
          <w:insideH w:val="single" w:sz="4" w:space="0" w:color="D2D6DC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</w:tcPr>
          <w:p>
            <w:r>
              <w:rPr>
                <w:b/>
                <w:color w:val="FFFFFF"/>
                <w:sz w:val="18"/>
              </w:rPr>
              <w:t>Casilla / Input Fiscal AI</w:t>
            </w:r>
          </w:p>
        </w:tc>
        <w:tc>
          <w:tcPr>
            <w:tcW w:type="dxa" w:w="2448"/>
            <w:shd w:fill="1B365D"/>
          </w:tcPr>
          <w:p>
            <w:r>
              <w:rPr>
                <w:b/>
                <w:color w:val="FFFFFF"/>
                <w:sz w:val="18"/>
              </w:rPr>
              <w:t>Valor Auditado</w:t>
            </w:r>
          </w:p>
        </w:tc>
        <w:tc>
          <w:tcPr>
            <w:tcW w:type="dxa" w:w="2448"/>
            <w:shd w:fill="1B365D"/>
          </w:tcPr>
          <w:p>
            <w:r>
              <w:rPr>
                <w:b/>
                <w:color w:val="FFFFFF"/>
                <w:sz w:val="18"/>
              </w:rPr>
              <w:t>Sección de Origen</w:t>
            </w:r>
          </w:p>
        </w:tc>
        <w:tc>
          <w:tcPr>
            <w:tcW w:type="dxa" w:w="2448"/>
            <w:shd w:fill="1B365D"/>
          </w:tcPr>
          <w:p>
            <w:r>
              <w:rPr>
                <w:b/>
                <w:color w:val="FFFFFF"/>
                <w:sz w:val="18"/>
              </w:rPr>
              <w:t>Racional Técnico y Sustento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7"/>
              </w:rPr>
              <w:t>Current Share Price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$100.0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Mercado en Vivo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Cotización bursátil en tiempo real.</w:t>
            </w:r>
          </w:p>
        </w:tc>
      </w:tr>
      <w:tr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Risk-Free Rate (Rf)</w:t>
            </w:r>
          </w:p>
        </w:tc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4.25%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Sección 11.2 (Bonos)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Rendimiento del Bono del Tesoro de EE.UU. a 10 años (^TNX).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7"/>
              </w:rPr>
              <w:t>Equity Risk Premium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4.75%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Damodaran Benchmark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Prima de riesgo de mercado institucional.</w:t>
            </w:r>
          </w:p>
        </w:tc>
      </w:tr>
      <w:tr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Beta (Levered)</w:t>
            </w:r>
          </w:p>
        </w:tc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1.05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Sección 11.2 (Arbitraje)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Sensibilidad sistemática frente al S&amp;P 500.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7"/>
              </w:rPr>
              <w:t>Pre-Tax Cost of Debt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4.5%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Sección 11.2 (Sintético)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Coste de financiamiento bruto por rating sintético.</w:t>
            </w:r>
          </w:p>
        </w:tc>
      </w:tr>
      <w:tr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After-Tax Cost of Debt</w:t>
            </w:r>
          </w:p>
        </w:tc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3.5%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Sección 11.2 (WACC)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Coste neto del escudo fiscal: Kd * (1 - t).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7"/>
              </w:rPr>
              <w:t>Effective Tax Rate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20.0%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Sección 11.2 (SEC 10-K)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Tasa impositiva estructural auditada.</w:t>
            </w:r>
          </w:p>
        </w:tc>
      </w:tr>
      <w:tr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Weight of Debt</w:t>
            </w:r>
          </w:p>
        </w:tc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5.0%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Estructura Capital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Peso de la deuda sobre el valor total.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7"/>
              </w:rPr>
              <w:t>Weight of Equity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95.0%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Estructura Capital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Peso de los fondos propios sobre el valor total.</w:t>
            </w:r>
          </w:p>
        </w:tc>
      </w:tr>
      <w:tr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WACC (Discount Rate)</w:t>
            </w:r>
          </w:p>
        </w:tc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9.5%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Sección 11.2 (WACC)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Tasa de descuento de corte auditada.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7"/>
              </w:rPr>
              <w:t>Normalized FCF Margin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14.0%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Sección 4 &amp; Solvencia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Conversión de ventas a caja libre tras CapEx.</w:t>
            </w:r>
          </w:p>
        </w:tc>
      </w:tr>
      <w:tr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Terminal Growth (gn)</w:t>
            </w:r>
          </w:p>
        </w:tc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2.5%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Hipótesis Canónica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Crecimiento tendencial de la economía global.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7"/>
              </w:rPr>
              <w:t>Forecast Period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10 Años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Configuración Estándar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Ciclo decenal de amortización y maduración.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B365D"/>
          <w:sz w:val="23"/>
        </w:rPr>
        <w:t>14.3. Matriz Bidimensional de Sensibilidad (WACC vs. gn)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6DC"/>
          <w:bottom w:val="single" w:sz="6" w:space="0" w:color="D2D6DC"/>
          <w:insideH w:val="single" w:sz="4" w:space="0" w:color="D2D6DC"/>
          <w:insideV w:val="none"/>
          <w:left w:val="none"/>
          <w:right w:val="none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fill="1B365D"/>
          </w:tcPr>
          <w:p>
            <w:r>
              <w:rPr>
                <w:b/>
                <w:color w:val="FFFFFF"/>
                <w:sz w:val="17"/>
              </w:rPr>
              <w:t>WACC \ gn</w:t>
            </w:r>
          </w:p>
        </w:tc>
        <w:tc>
          <w:tcPr>
            <w:tcW w:type="dxa" w:w="1224"/>
            <w:shd w:fill="1B365D"/>
          </w:tcPr>
          <w:p>
            <w:r>
              <w:rPr>
                <w:b/>
                <w:color w:val="FFFFFF"/>
                <w:sz w:val="17"/>
              </w:rPr>
              <w:t>1.0%</w:t>
            </w:r>
          </w:p>
        </w:tc>
        <w:tc>
          <w:tcPr>
            <w:tcW w:type="dxa" w:w="1224"/>
            <w:shd w:fill="1B365D"/>
          </w:tcPr>
          <w:p>
            <w:r>
              <w:rPr>
                <w:b/>
                <w:color w:val="FFFFFF"/>
                <w:sz w:val="17"/>
              </w:rPr>
              <w:t>1.5%</w:t>
            </w:r>
          </w:p>
        </w:tc>
        <w:tc>
          <w:tcPr>
            <w:tcW w:type="dxa" w:w="1224"/>
            <w:shd w:fill="1B365D"/>
          </w:tcPr>
          <w:p>
            <w:r>
              <w:rPr>
                <w:b/>
                <w:color w:val="FFFFFF"/>
                <w:sz w:val="17"/>
              </w:rPr>
              <w:t>2.0%</w:t>
            </w:r>
          </w:p>
        </w:tc>
        <w:tc>
          <w:tcPr>
            <w:tcW w:type="dxa" w:w="1224"/>
            <w:shd w:fill="1B365D"/>
          </w:tcPr>
          <w:p>
            <w:r>
              <w:rPr>
                <w:b/>
                <w:color w:val="FFFFFF"/>
                <w:sz w:val="17"/>
              </w:rPr>
              <w:t>2.5%</w:t>
            </w:r>
          </w:p>
        </w:tc>
        <w:tc>
          <w:tcPr>
            <w:tcW w:type="dxa" w:w="1224"/>
            <w:shd w:fill="1B365D"/>
          </w:tcPr>
          <w:p>
            <w:r>
              <w:rPr>
                <w:b/>
                <w:color w:val="FFFFFF"/>
                <w:sz w:val="17"/>
              </w:rPr>
              <w:t>3.0%</w:t>
            </w:r>
          </w:p>
        </w:tc>
        <w:tc>
          <w:tcPr>
            <w:tcW w:type="dxa" w:w="1224"/>
            <w:shd w:fill="1B365D"/>
          </w:tcPr>
          <w:p>
            <w:r>
              <w:rPr>
                <w:b/>
                <w:color w:val="FFFFFF"/>
                <w:sz w:val="17"/>
              </w:rPr>
              <w:t>3.5%</w:t>
            </w:r>
          </w:p>
        </w:tc>
        <w:tc>
          <w:tcPr>
            <w:tcW w:type="dxa" w:w="1224"/>
            <w:shd w:fill="1B365D"/>
          </w:tcPr>
          <w:p>
            <w:r>
              <w:rPr>
                <w:b/>
                <w:color w:val="FFFFFF"/>
                <w:sz w:val="17"/>
              </w:rPr>
              <w:t>Diagnóstico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8.50% (Bajo / Expansión)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-22.9%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-23.1%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-23.3%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-23.6%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-24.2%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Escenario favorable; exigencia de crecimiento más moderada.</w:t>
            </w:r>
          </w:p>
        </w:tc>
      </w:tr>
      <w:tr>
        <w:tc>
          <w:tcPr>
            <w:tcW w:type="dxa" w:w="1224"/>
            <w:shd w:fill="F7FAFC"/>
          </w:tcPr>
          <w:p>
            <w:r>
              <w:rPr>
                <w:sz w:val="16"/>
              </w:rPr>
              <w:t>9.00% (Favorable)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-22.3%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-22.5%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-22.8%</w:t>
            </w:r>
          </w:p>
        </w:tc>
        <w:tc>
          <w:tcPr>
            <w:tcW w:type="dxa" w:w="1224"/>
            <w:shd w:fill="F7FAFC"/>
          </w:tcPr>
          <w:p>
            <w:r>
              <w:rPr>
                <w:b/>
                <w:sz w:val="16"/>
              </w:rPr>
              <w:t>-23.0%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-23.3%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-23.6%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Escenario de sensibilidad operativa.</w:t>
            </w:r>
          </w:p>
        </w:tc>
      </w:tr>
      <w:tr>
        <w:tc>
          <w:tcPr>
            <w:tcW w:type="dxa" w:w="1224"/>
            <w:shd w:fill="F7FAFC"/>
          </w:tcPr>
          <w:p>
            <w:r>
              <w:rPr>
                <w:sz w:val="16"/>
              </w:rPr>
              <w:t>9.50% (WACC Auditado Base)</w:t>
            </w:r>
          </w:p>
        </w:tc>
        <w:tc>
          <w:tcPr>
            <w:tcW w:type="dxa" w:w="1224"/>
            <w:shd w:fill="F7FAFC"/>
          </w:tcPr>
          <w:p>
            <w:r>
              <w:rPr>
                <w:b/>
                <w:sz w:val="16"/>
              </w:rPr>
              <w:t>-21.8%</w:t>
            </w:r>
          </w:p>
        </w:tc>
        <w:tc>
          <w:tcPr>
            <w:tcW w:type="dxa" w:w="1224"/>
            <w:shd w:fill="F7FAFC"/>
          </w:tcPr>
          <w:p>
            <w:r>
              <w:rPr>
                <w:b/>
                <w:sz w:val="16"/>
              </w:rPr>
              <w:t>-22.0%</w:t>
            </w:r>
          </w:p>
        </w:tc>
        <w:tc>
          <w:tcPr>
            <w:tcW w:type="dxa" w:w="1224"/>
            <w:shd w:fill="F7FAFC"/>
          </w:tcPr>
          <w:p>
            <w:r>
              <w:rPr>
                <w:b/>
                <w:sz w:val="16"/>
              </w:rPr>
              <w:t>-22.2%</w:t>
            </w:r>
          </w:p>
        </w:tc>
        <w:tc>
          <w:tcPr>
            <w:tcW w:type="dxa" w:w="1224"/>
            <w:shd w:fill="FFF2CC"/>
          </w:tcPr>
          <w:p>
            <w:r>
              <w:rPr>
                <w:b/>
                <w:sz w:val="16"/>
              </w:rPr>
              <w:t>-22.4%</w:t>
            </w:r>
          </w:p>
        </w:tc>
        <w:tc>
          <w:tcPr>
            <w:tcW w:type="dxa" w:w="1224"/>
            <w:shd w:fill="F7FAFC"/>
          </w:tcPr>
          <w:p>
            <w:r>
              <w:rPr>
                <w:b/>
                <w:sz w:val="16"/>
              </w:rPr>
              <w:t>-22.7%</w:t>
            </w:r>
          </w:p>
        </w:tc>
        <w:tc>
          <w:tcPr>
            <w:tcW w:type="dxa" w:w="1224"/>
            <w:shd w:fill="F7FAFC"/>
          </w:tcPr>
          <w:p>
            <w:r>
              <w:rPr>
                <w:b/>
                <w:sz w:val="16"/>
              </w:rPr>
              <w:t>-22.9%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ESCENARIO CENTRAL: Crecimiento implícito real de mercado.</w:t>
            </w:r>
          </w:p>
        </w:tc>
      </w:tr>
      <w:tr>
        <w:tc>
          <w:tcPr>
            <w:tcW w:type="dxa" w:w="1224"/>
            <w:shd w:fill="F7FAFC"/>
          </w:tcPr>
          <w:p>
            <w:r>
              <w:rPr>
                <w:sz w:val="16"/>
              </w:rPr>
              <w:t>10.00% (Exigente)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-21.3%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-21.5%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-21.7%</w:t>
            </w:r>
          </w:p>
        </w:tc>
        <w:tc>
          <w:tcPr>
            <w:tcW w:type="dxa" w:w="1224"/>
            <w:shd w:fill="F7FAFC"/>
          </w:tcPr>
          <w:p>
            <w:r>
              <w:rPr>
                <w:b/>
                <w:sz w:val="16"/>
              </w:rPr>
              <w:t>-21.9%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-22.1%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-22.3%</w:t>
            </w:r>
          </w:p>
        </w:tc>
        <w:tc>
          <w:tcPr>
            <w:tcW w:type="dxa" w:w="1224"/>
            <w:shd w:fill="F7FAFC"/>
          </w:tcPr>
          <w:p>
            <w:r>
              <w:rPr>
                <w:sz w:val="16"/>
              </w:rPr>
              <w:t>Escenario de sensibilidad operativa.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10.50% (Estrés / Tipos Altos)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-20.8%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-21.0%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-21.1%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-21.3%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-21.5%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-21.7%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Vulnerabilidad a correcciones si el coste de capital aumenta.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B365D"/>
          <w:sz w:val="23"/>
        </w:rPr>
        <w:t>14.4. Cuadro de Mando Consolidado y Tesis Final de Inversión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2D6DC"/>
          <w:bottom w:val="single" w:sz="6" w:space="0" w:color="D2D6DC"/>
          <w:insideH w:val="single" w:sz="4" w:space="0" w:color="D2D6DC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</w:tcPr>
          <w:p>
            <w:r>
              <w:rPr>
                <w:b/>
                <w:color w:val="FFFFFF"/>
                <w:sz w:val="18"/>
              </w:rPr>
              <w:t>Dimensión Fundamental</w:t>
            </w:r>
          </w:p>
        </w:tc>
        <w:tc>
          <w:tcPr>
            <w:tcW w:type="dxa" w:w="2448"/>
            <w:shd w:fill="1B365D"/>
          </w:tcPr>
          <w:p>
            <w:r>
              <w:rPr>
                <w:b/>
                <w:color w:val="FFFFFF"/>
                <w:sz w:val="18"/>
              </w:rPr>
              <w:t>Diagnóstico Auditado</w:t>
            </w:r>
          </w:p>
        </w:tc>
        <w:tc>
          <w:tcPr>
            <w:tcW w:type="dxa" w:w="2448"/>
            <w:shd w:fill="1B365D"/>
          </w:tcPr>
          <w:p>
            <w:r>
              <w:rPr>
                <w:b/>
                <w:color w:val="FFFFFF"/>
                <w:sz w:val="18"/>
              </w:rPr>
              <w:t>Calificación Institucional</w:t>
            </w:r>
          </w:p>
        </w:tc>
        <w:tc>
          <w:tcPr>
            <w:tcW w:type="dxa" w:w="2448"/>
            <w:shd w:fill="1B365D"/>
          </w:tcPr>
          <w:p>
            <w:r>
              <w:rPr>
                <w:b/>
                <w:color w:val="FFFFFF"/>
                <w:sz w:val="18"/>
              </w:rPr>
              <w:t>Veredicto de Asignación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7"/>
              </w:rPr>
              <w:t>Ventaja Competitiva (Moat)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Foso Defensivo Amplio (Ventajas Intangibles)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WIDE MOAT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Poder de fijación de precios y resiliencia de márgenes (20.0% EBIT).</w:t>
            </w:r>
          </w:p>
        </w:tc>
      </w:tr>
      <w:tr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Calidad de Beneficios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Ratio Sloan: -4.70% / Montier: 1/6</w:t>
            </w:r>
          </w:p>
        </w:tc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MÁXIMA CALIDAD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Ganancias 100% avaladas por caja real ($1.00 CFO por dólar de NI).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7"/>
              </w:rPr>
              <w:t>Solvencia y Estructura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Cobertura EBIT: SÓLIDA / Altman Z'': 3.20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SINTÉTICO AAA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Cero estrés financiero; colchón de $0.0B.</w:t>
            </w:r>
          </w:p>
        </w:tc>
      </w:tr>
      <w:tr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Productividad del Capital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ROC Greenblatt: 30.0% / ROIC Adj: 50.0%</w:t>
            </w:r>
          </w:p>
        </w:tc>
        <w:tc>
          <w:tcPr>
            <w:tcW w:type="dxa" w:w="2448"/>
            <w:shd w:fill="F7FAFC"/>
          </w:tcPr>
          <w:p>
            <w:r>
              <w:rPr>
                <w:b/>
                <w:sz w:val="17"/>
              </w:rPr>
              <w:t>COMPOUNDING MACHINE</w:t>
            </w:r>
          </w:p>
        </w:tc>
        <w:tc>
          <w:tcPr>
            <w:tcW w:type="dxa" w:w="2448"/>
            <w:shd w:fill="F7FAFC"/>
          </w:tcPr>
          <w:p>
            <w:r>
              <w:rPr>
                <w:sz w:val="17"/>
              </w:rPr>
              <w:t>Spread económico de +40.0 pp sobre WACC (Creación de valor de élite).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7"/>
              </w:rPr>
              <w:t>Valoración de Mercado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Crecimiento Implícito: -22.4% - -30.0%</w:t>
            </w:r>
          </w:p>
        </w:tc>
        <w:tc>
          <w:tcPr>
            <w:tcW w:type="dxa" w:w="2448"/>
          </w:tcPr>
          <w:p>
            <w:r>
              <w:rPr>
                <w:b/>
                <w:sz w:val="17"/>
              </w:rPr>
              <w:t>VALORACIÓN ATRACTIVA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Valoración conservadora (+-22.4% anual); amplio margen de seguridad operativo.</w:t>
            </w:r>
          </w:p>
        </w:tc>
      </w:tr>
    </w:tbl>
    <w:p>
      <w:pPr>
        <w:spacing w:before="400"/>
        <w:jc w:val="center"/>
      </w:pPr>
      <w:r>
        <w:rPr>
          <w:rFonts w:ascii="Calibri" w:hAnsi="Calibri"/>
          <w:i/>
          <w:color w:val="4A5568"/>
          <w:sz w:val="17"/>
        </w:rPr>
        <w:t>Fin del Informe Oficial de Investigación Fundamental — META (META) | Wall Street Equity Research Platform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