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25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Net revenues and financial income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$28,893.0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Net service revenues and financial income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$30,409.0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$25,286.0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+20.3%</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(+20.3% YoY); ganancia de cuota y dinamismo.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Net product revenues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$4,773.0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(+32.3%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$6,211.0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$5,646.0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7.4%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(+10.0%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$30,409.0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$25,286.0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(+20.3%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(+10.0%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$2,742.0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$2,609.0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3.3%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(+5.1%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As reported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0.0%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Reclassification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0.0%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expenses and indirect costs of net revenues and financial expenses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$2,702.0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(+10.8%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Net revenues and financial income (41.8% de facturación): </w:t>
      </w:r>
      <w:r>
        <w:rPr>
          <w:rFonts w:ascii="Calibri" w:hAnsi="Calibri"/>
          <w:i w:val="0"/>
          <w:color w:val="2D3748"/>
          <w:sz w:val="20"/>
        </w:rPr>
        <w:t>Genera $35,182.0 M (+21.8% YoY), consolidándose como pilar operativo clave de MercadoLibre, Inc..</w:t>
      </w:r>
    </w:p>
    <w:p>
      <w:pPr>
        <w:spacing w:before="40" w:after="80" w:line="276" w:lineRule="auto"/>
      </w:pPr>
      <w:r>
        <w:rPr>
          <w:rFonts w:ascii="Calibri" w:hAnsi="Calibri"/>
          <w:b/>
          <w:color w:val="2D3748"/>
          <w:sz w:val="20"/>
        </w:rPr>
        <w:t xml:space="preserve">• Net service revenues and financial income (36.1% de facturación): </w:t>
      </w:r>
      <w:r>
        <w:rPr>
          <w:rFonts w:ascii="Calibri" w:hAnsi="Calibri"/>
          <w:i w:val="0"/>
          <w:color w:val="2D3748"/>
          <w:sz w:val="20"/>
        </w:rPr>
        <w:t>Genera $30,409.0 M (+20.3% YoY), consolidándose como pilar operativo clave de MercadoLibre, Inc..</w:t>
      </w:r>
    </w:p>
    <w:p>
      <w:pPr>
        <w:spacing w:before="40" w:after="80" w:line="276" w:lineRule="auto"/>
      </w:pPr>
      <w:r>
        <w:rPr>
          <w:rFonts w:ascii="Calibri" w:hAnsi="Calibri"/>
          <w:b/>
          <w:color w:val="2D3748"/>
          <w:sz w:val="20"/>
        </w:rPr>
        <w:t xml:space="preserve">• Net product revenues (5.7% de facturación): </w:t>
      </w:r>
      <w:r>
        <w:rPr>
          <w:rFonts w:ascii="Calibri" w:hAnsi="Calibri"/>
          <w:i w:val="0"/>
          <w:color w:val="2D3748"/>
          <w:sz w:val="20"/>
        </w:rPr>
        <w:t>Genera $4,773.0 M (+32.3% YoY), consolidándose como pilar operativo clave de MercadoLibre, Inc..</w:t>
      </w:r>
    </w:p>
    <w:p>
      <w:pPr>
        <w:spacing w:before="40" w:after="80" w:line="276" w:lineRule="auto"/>
      </w:pPr>
      <w:r>
        <w:rPr>
          <w:rFonts w:ascii="Calibri" w:hAnsi="Calibri"/>
          <w:b/>
          <w:color w:val="2D3748"/>
          <w:sz w:val="20"/>
        </w:rPr>
        <w:t xml:space="preserve">• Argentina (7.4% de facturación): </w:t>
      </w:r>
      <w:r>
        <w:rPr>
          <w:rFonts w:ascii="Calibri" w:hAnsi="Calibri"/>
          <w:i w:val="0"/>
          <w:color w:val="2D3748"/>
          <w:sz w:val="20"/>
        </w:rPr>
        <w:t>Genera $6,211.0 M (+10.0%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Net service revenues and financial income - Brazil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$12,846.0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(+22.9%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Net service revenues and financial income - Mexico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$7,051.0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$5,699.0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(+23.7%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Net service revenues and financial income - Other Countries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$1,354.0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(+23.7%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Net product revenues - Brazil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(+34.1%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Net product revenues - Mexico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$776.0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Net product revenues - 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+42.5%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(+42.5%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Other Countries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$1,255.0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(+26.1%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$8,219.0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$6,859.0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(+19.8%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$4,076.0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(+18.8%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$888.0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$737.0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(+20.5%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Brazil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$3,125.0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(+34.4%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Mexico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$984.0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+30.7%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(+30.7%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Other countries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+42.9%</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(+42.9%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$11,344.0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$9,184.0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(+23.5%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$5,060.0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$4,185.0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+20.9%</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(+20.9%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$1,108.0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$891.0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(+24.4%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(+16.3%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$1,188.0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$897.0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(+32.4%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$436.0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(+27.1%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$4,285.0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+35.7%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(+35.7%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Credit revenues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$1,370.0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$-4,965.0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-33200.0%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(-33200.0%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(+6.7%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$-9,965.0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-43426.1%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(-43426.1%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(+33.3%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$7,606.0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$6,017.0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(+26.4%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(+31.0%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$474.0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$364.0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+30.2%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(+30.2%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Brazil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$18,950.0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$15,201.0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+24.7%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(+24.7%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Mexico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$6,475.0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(+24.5%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100.0%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(+33.3%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Brazil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Mexico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Other countries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As reported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Credit revenues - As reported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As reported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Brazil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Mexico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Other countries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Reclassification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Reclassification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Reclassification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Reclassification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Reclassification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Reclassification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Reclassification - Brazil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Reclassification - Mexico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Operating Segments - Reclassification - Other countries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13.6%</w:t>
            </w:r>
          </w:p>
        </w:tc>
        <w:tc>
          <w:tcPr>
            <w:tcW w:type="dxa" w:w="1224"/>
          </w:tcPr>
          <w:p>
            <w:r>
              <w:rPr>
                <w:sz w:val="16"/>
              </w:rPr>
              <w:t>13.1%</w:t>
            </w:r>
          </w:p>
        </w:tc>
        <w:tc>
          <w:tcPr>
            <w:tcW w:type="dxa" w:w="1224"/>
          </w:tcPr>
          <w:p>
            <w:r>
              <w:rPr>
                <w:sz w:val="16"/>
              </w:rPr>
              <w:t>12.6%</w:t>
            </w:r>
          </w:p>
        </w:tc>
        <w:tc>
          <w:tcPr>
            <w:tcW w:type="dxa" w:w="1224"/>
          </w:tcPr>
          <w:p>
            <w:r>
              <w:rPr>
                <w:b/>
                <w:sz w:val="16"/>
              </w:rPr>
              <w:t>12.0%</w:t>
            </w:r>
          </w:p>
        </w:tc>
        <w:tc>
          <w:tcPr>
            <w:tcW w:type="dxa" w:w="1224"/>
          </w:tcPr>
          <w:p>
            <w:r>
              <w:rPr>
                <w:sz w:val="16"/>
              </w:rPr>
              <w:t>11.4%</w:t>
            </w:r>
          </w:p>
        </w:tc>
        <w:tc>
          <w:tcPr>
            <w:tcW w:type="dxa" w:w="1224"/>
          </w:tcPr>
          <w:p>
            <w:r>
              <w:rPr>
                <w:sz w:val="16"/>
              </w:rPr>
              <w:t>10.8%</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14.1%</w:t>
            </w:r>
          </w:p>
        </w:tc>
        <w:tc>
          <w:tcPr>
            <w:tcW w:type="dxa" w:w="1224"/>
            <w:shd w:fill="F7FAFC"/>
          </w:tcPr>
          <w:p>
            <w:r>
              <w:rPr>
                <w:sz w:val="16"/>
              </w:rPr>
              <w:t>13.6%</w:t>
            </w:r>
          </w:p>
        </w:tc>
        <w:tc>
          <w:tcPr>
            <w:tcW w:type="dxa" w:w="1224"/>
            <w:shd w:fill="F7FAFC"/>
          </w:tcPr>
          <w:p>
            <w:r>
              <w:rPr>
                <w:b/>
                <w:sz w:val="16"/>
              </w:rPr>
              <w:t>13.0%</w:t>
            </w:r>
          </w:p>
        </w:tc>
        <w:tc>
          <w:tcPr>
            <w:tcW w:type="dxa" w:w="1224"/>
            <w:shd w:fill="F7FAFC"/>
          </w:tcPr>
          <w:p>
            <w:r>
              <w:rPr>
                <w:sz w:val="16"/>
              </w:rPr>
              <w:t>12.5%</w:t>
            </w:r>
          </w:p>
        </w:tc>
        <w:tc>
          <w:tcPr>
            <w:tcW w:type="dxa" w:w="1224"/>
            <w:shd w:fill="F7FAFC"/>
          </w:tcPr>
          <w:p>
            <w:r>
              <w:rPr>
                <w:sz w:val="16"/>
              </w:rPr>
              <w:t>11.9%</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13.0%</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15.5%</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16.0%</w:t>
            </w:r>
          </w:p>
        </w:tc>
        <w:tc>
          <w:tcPr>
            <w:tcW w:type="dxa" w:w="1224"/>
          </w:tcPr>
          <w:p>
            <w:r>
              <w:rPr>
                <w:sz w:val="16"/>
              </w:rPr>
              <w:t>15.5%</w:t>
            </w:r>
          </w:p>
        </w:tc>
        <w:tc>
          <w:tcPr>
            <w:tcW w:type="dxa" w:w="1224"/>
          </w:tcPr>
          <w:p>
            <w:r>
              <w:rPr>
                <w:sz w:val="16"/>
              </w:rPr>
              <w:t>15.0%</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($6,064.0 M) y FinTech a 2.4x EV/Ventas ($6,580.8 M), resultando en un Equity Value de $7,461.8 M y un Valor Teórico SOTP de $147.18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$1,895.0 M</w:t>
            </w:r>
          </w:p>
        </w:tc>
        <w:tc>
          <w:tcPr>
            <w:tcW w:type="dxa" w:w="1958"/>
          </w:tcPr>
          <w:p>
            <w:r>
              <w:rPr>
                <w:sz w:val="17"/>
              </w:rPr>
              <w:t>3.2x</w:t>
            </w:r>
          </w:p>
        </w:tc>
        <w:tc>
          <w:tcPr>
            <w:tcW w:type="dxa" w:w="1958"/>
          </w:tcPr>
          <w:p>
            <w:r>
              <w:rPr>
                <w:b/>
                <w:sz w:val="17"/>
              </w:rPr>
              <w:t>$6,064.0 M</w:t>
            </w:r>
          </w:p>
        </w:tc>
        <w:tc>
          <w:tcPr>
            <w:tcW w:type="dxa" w:w="1958"/>
          </w:tcPr>
          <w:p>
            <w:r>
              <w:rPr>
                <w:sz w:val="17"/>
              </w:rPr>
              <w:t>48.0%</w:t>
            </w:r>
          </w:p>
        </w:tc>
      </w:tr>
      <w:tr>
        <w:tc>
          <w:tcPr>
            <w:tcW w:type="dxa" w:w="1958"/>
            <w:shd w:fill="F7FAFC"/>
          </w:tcPr>
          <w:p>
            <w:r>
              <w:rPr>
                <w:b/>
                <w:sz w:val="17"/>
              </w:rPr>
              <w:t>FinTech y Crédito Digital</w:t>
            </w:r>
          </w:p>
        </w:tc>
        <w:tc>
          <w:tcPr>
            <w:tcW w:type="dxa" w:w="1958"/>
            <w:shd w:fill="F7FAFC"/>
          </w:tcPr>
          <w:p>
            <w:r>
              <w:rPr>
                <w:sz w:val="17"/>
              </w:rPr>
              <w:t>$2,742.0 M</w:t>
            </w:r>
          </w:p>
        </w:tc>
        <w:tc>
          <w:tcPr>
            <w:tcW w:type="dxa" w:w="1958"/>
            <w:shd w:fill="F7FAFC"/>
          </w:tcPr>
          <w:p>
            <w:r>
              <w:rPr>
                <w:sz w:val="17"/>
              </w:rPr>
              <w:t>2.4x</w:t>
            </w:r>
          </w:p>
        </w:tc>
        <w:tc>
          <w:tcPr>
            <w:tcW w:type="dxa" w:w="1958"/>
            <w:shd w:fill="F7FAFC"/>
          </w:tcPr>
          <w:p>
            <w:r>
              <w:rPr>
                <w:b/>
                <w:sz w:val="17"/>
              </w:rPr>
              <w:t>$6,580.8 M</w:t>
            </w:r>
          </w:p>
        </w:tc>
        <w:tc>
          <w:tcPr>
            <w:tcW w:type="dxa" w:w="1958"/>
            <w:shd w:fill="F7FAFC"/>
          </w:tcPr>
          <w:p>
            <w:r>
              <w:rPr>
                <w:sz w:val="17"/>
              </w:rPr>
              <w:t>52.0%</w:t>
            </w:r>
          </w:p>
        </w:tc>
      </w:tr>
      <w:tr>
        <w:tc>
          <w:tcPr>
            <w:tcW w:type="dxa" w:w="1958"/>
          </w:tcPr>
          <w:p>
            <w:r>
              <w:rPr>
                <w:b/>
                <w:sz w:val="17"/>
              </w:rPr>
              <w:t>Total Enterprise Value (EV)</w:t>
            </w:r>
          </w:p>
        </w:tc>
        <w:tc>
          <w:tcPr>
            <w:tcW w:type="dxa" w:w="1958"/>
          </w:tcPr>
          <w:p>
            <w:r>
              <w:rPr>
                <w:b/>
                <w:sz w:val="17"/>
              </w:rPr>
              <w:t>$4,637.0 M</w:t>
            </w:r>
          </w:p>
        </w:tc>
        <w:tc>
          <w:tcPr>
            <w:tcW w:type="dxa" w:w="1958"/>
          </w:tcPr>
          <w:p>
            <w:r>
              <w:rPr>
                <w:b/>
                <w:sz w:val="17"/>
              </w:rPr>
              <w:t>—</w:t>
            </w:r>
          </w:p>
        </w:tc>
        <w:tc>
          <w:tcPr>
            <w:tcW w:type="dxa" w:w="1958"/>
          </w:tcPr>
          <w:p>
            <w:r>
              <w:rPr>
                <w:b/>
                <w:sz w:val="17"/>
              </w:rPr>
              <w:t>$12,644.8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$-5,183.0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$7,461.8 M</w:t>
            </w:r>
          </w:p>
        </w:tc>
        <w:tc>
          <w:tcPr>
            <w:tcW w:type="dxa" w:w="1958"/>
          </w:tcPr>
          <w:p>
            <w:r>
              <w:rPr>
                <w:b/>
                <w:sz w:val="17"/>
              </w:rPr>
              <w:t>$147.18/sh (-91.9%)</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- 1.5%</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