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22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14.0% Anual a 10 Años (vs. 48.7% Histórico)</w:t>
        <w:br/>
        <w:t>• Veredicto: Descuenta expectativas de 14.0% anual. Exigencia asumible (+14.0% anual); alineada con el ritmo tendencial de la empresa y su sector.</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13.6%</w:t>
            </w:r>
          </w:p>
        </w:tc>
        <w:tc>
          <w:tcPr>
            <w:tcW w:type="dxa" w:w="1224"/>
          </w:tcPr>
          <w:p>
            <w:r>
              <w:rPr>
                <w:sz w:val="16"/>
              </w:rPr>
              <w:t>13.1%</w:t>
            </w:r>
          </w:p>
        </w:tc>
        <w:tc>
          <w:tcPr>
            <w:tcW w:type="dxa" w:w="1224"/>
          </w:tcPr>
          <w:p>
            <w:r>
              <w:rPr>
                <w:sz w:val="16"/>
              </w:rPr>
              <w:t>12.6%</w:t>
            </w:r>
          </w:p>
        </w:tc>
        <w:tc>
          <w:tcPr>
            <w:tcW w:type="dxa" w:w="1224"/>
          </w:tcPr>
          <w:p>
            <w:r>
              <w:rPr>
                <w:b/>
                <w:sz w:val="16"/>
              </w:rPr>
              <w:t>12.0%</w:t>
            </w:r>
          </w:p>
        </w:tc>
        <w:tc>
          <w:tcPr>
            <w:tcW w:type="dxa" w:w="1224"/>
          </w:tcPr>
          <w:p>
            <w:r>
              <w:rPr>
                <w:sz w:val="16"/>
              </w:rPr>
              <w:t>11.4%</w:t>
            </w:r>
          </w:p>
        </w:tc>
        <w:tc>
          <w:tcPr>
            <w:tcW w:type="dxa" w:w="1224"/>
          </w:tcPr>
          <w:p>
            <w:r>
              <w:rPr>
                <w:sz w:val="16"/>
              </w:rPr>
              <w:t>10.8%</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14.5%</w:t>
            </w:r>
          </w:p>
        </w:tc>
        <w:tc>
          <w:tcPr>
            <w:tcW w:type="dxa" w:w="1224"/>
            <w:shd w:fill="F7FAFC"/>
          </w:tcPr>
          <w:p>
            <w:r>
              <w:rPr>
                <w:sz w:val="16"/>
              </w:rPr>
              <w:t>14.1%</w:t>
            </w:r>
          </w:p>
        </w:tc>
        <w:tc>
          <w:tcPr>
            <w:tcW w:type="dxa" w:w="1224"/>
            <w:shd w:fill="F7FAFC"/>
          </w:tcPr>
          <w:p>
            <w:r>
              <w:rPr>
                <w:sz w:val="16"/>
              </w:rPr>
              <w:t>13.6%</w:t>
            </w:r>
          </w:p>
        </w:tc>
        <w:tc>
          <w:tcPr>
            <w:tcW w:type="dxa" w:w="1224"/>
            <w:shd w:fill="F7FAFC"/>
          </w:tcPr>
          <w:p>
            <w:r>
              <w:rPr>
                <w:b/>
                <w:sz w:val="16"/>
              </w:rPr>
              <w:t>13.0%</w:t>
            </w:r>
          </w:p>
        </w:tc>
        <w:tc>
          <w:tcPr>
            <w:tcW w:type="dxa" w:w="1224"/>
            <w:shd w:fill="F7FAFC"/>
          </w:tcPr>
          <w:p>
            <w:r>
              <w:rPr>
                <w:sz w:val="16"/>
              </w:rPr>
              <w:t>12.5%</w:t>
            </w:r>
          </w:p>
        </w:tc>
        <w:tc>
          <w:tcPr>
            <w:tcW w:type="dxa" w:w="1224"/>
            <w:shd w:fill="F7FAFC"/>
          </w:tcPr>
          <w:p>
            <w:r>
              <w:rPr>
                <w:sz w:val="16"/>
              </w:rPr>
              <w:t>11.9%</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15.4%</w:t>
            </w:r>
          </w:p>
        </w:tc>
        <w:tc>
          <w:tcPr>
            <w:tcW w:type="dxa" w:w="1224"/>
            <w:shd w:fill="F7FAFC"/>
          </w:tcPr>
          <w:p>
            <w:r>
              <w:rPr>
                <w:b/>
                <w:sz w:val="16"/>
              </w:rPr>
              <w:t>15.0%</w:t>
            </w:r>
          </w:p>
        </w:tc>
        <w:tc>
          <w:tcPr>
            <w:tcW w:type="dxa" w:w="1224"/>
            <w:shd w:fill="F7FAFC"/>
          </w:tcPr>
          <w:p>
            <w:r>
              <w:rPr>
                <w:b/>
                <w:sz w:val="16"/>
              </w:rPr>
              <w:t>14.5%</w:t>
            </w:r>
          </w:p>
        </w:tc>
        <w:tc>
          <w:tcPr>
            <w:tcW w:type="dxa" w:w="1224"/>
            <w:shd w:fill="FFF2CC"/>
          </w:tcPr>
          <w:p>
            <w:r>
              <w:rPr>
                <w:b/>
                <w:sz w:val="16"/>
              </w:rPr>
              <w:t>14.0%</w:t>
            </w:r>
          </w:p>
        </w:tc>
        <w:tc>
          <w:tcPr>
            <w:tcW w:type="dxa" w:w="1224"/>
            <w:shd w:fill="F7FAFC"/>
          </w:tcPr>
          <w:p>
            <w:r>
              <w:rPr>
                <w:b/>
                <w:sz w:val="16"/>
              </w:rPr>
              <w:t>13.5%</w:t>
            </w:r>
          </w:p>
        </w:tc>
        <w:tc>
          <w:tcPr>
            <w:tcW w:type="dxa" w:w="1224"/>
            <w:shd w:fill="F7FAFC"/>
          </w:tcPr>
          <w:p>
            <w:r>
              <w:rPr>
                <w:b/>
                <w:sz w:val="16"/>
              </w:rPr>
              <w:t>13.0%</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16.3%</w:t>
            </w:r>
          </w:p>
        </w:tc>
        <w:tc>
          <w:tcPr>
            <w:tcW w:type="dxa" w:w="1224"/>
            <w:shd w:fill="F7FAFC"/>
          </w:tcPr>
          <w:p>
            <w:r>
              <w:rPr>
                <w:sz w:val="16"/>
              </w:rPr>
              <w:t>15.9%</w:t>
            </w:r>
          </w:p>
        </w:tc>
        <w:tc>
          <w:tcPr>
            <w:tcW w:type="dxa" w:w="1224"/>
            <w:shd w:fill="F7FAFC"/>
          </w:tcPr>
          <w:p>
            <w:r>
              <w:rPr>
                <w:sz w:val="16"/>
              </w:rPr>
              <w:t>15.5%</w:t>
            </w:r>
          </w:p>
        </w:tc>
        <w:tc>
          <w:tcPr>
            <w:tcW w:type="dxa" w:w="1224"/>
            <w:shd w:fill="F7FAFC"/>
          </w:tcPr>
          <w:p>
            <w:r>
              <w:rPr>
                <w:b/>
                <w:sz w:val="16"/>
              </w:rPr>
              <w:t>15.0%</w:t>
            </w:r>
          </w:p>
        </w:tc>
        <w:tc>
          <w:tcPr>
            <w:tcW w:type="dxa" w:w="1224"/>
            <w:shd w:fill="F7FAFC"/>
          </w:tcPr>
          <w:p>
            <w:r>
              <w:rPr>
                <w:sz w:val="16"/>
              </w:rPr>
              <w:t>14.5%</w:t>
            </w:r>
          </w:p>
        </w:tc>
        <w:tc>
          <w:tcPr>
            <w:tcW w:type="dxa" w:w="1224"/>
            <w:shd w:fill="F7FAFC"/>
          </w:tcPr>
          <w:p>
            <w:r>
              <w:rPr>
                <w:sz w:val="16"/>
              </w:rPr>
              <w:t>14.0%</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17.2%</w:t>
            </w:r>
          </w:p>
        </w:tc>
        <w:tc>
          <w:tcPr>
            <w:tcW w:type="dxa" w:w="1224"/>
          </w:tcPr>
          <w:p>
            <w:r>
              <w:rPr>
                <w:sz w:val="16"/>
              </w:rPr>
              <w:t>16.8%</w:t>
            </w:r>
          </w:p>
        </w:tc>
        <w:tc>
          <w:tcPr>
            <w:tcW w:type="dxa" w:w="1224"/>
          </w:tcPr>
          <w:p>
            <w:r>
              <w:rPr>
                <w:sz w:val="16"/>
              </w:rPr>
              <w:t>16.4%</w:t>
            </w:r>
          </w:p>
        </w:tc>
        <w:tc>
          <w:tcPr>
            <w:tcW w:type="dxa" w:w="1224"/>
          </w:tcPr>
          <w:p>
            <w:r>
              <w:rPr>
                <w:b/>
                <w:sz w:val="16"/>
              </w:rPr>
              <w:t>16.0%</w:t>
            </w:r>
          </w:p>
        </w:tc>
        <w:tc>
          <w:tcPr>
            <w:tcW w:type="dxa" w:w="1224"/>
          </w:tcPr>
          <w:p>
            <w:r>
              <w:rPr>
                <w:sz w:val="16"/>
              </w:rPr>
              <w:t>15.5%</w:t>
            </w:r>
          </w:p>
        </w:tc>
        <w:tc>
          <w:tcPr>
            <w:tcW w:type="dxa" w:w="1224"/>
          </w:tcPr>
          <w:p>
            <w:r>
              <w:rPr>
                <w:sz w:val="16"/>
              </w:rPr>
              <w:t>15.0%</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Valoración por Suma de las Partes (SOTP - Platform Ecosystem)</w:t>
      </w:r>
    </w:p>
    <w:p>
      <w:r>
        <w:rPr>
          <w:rFonts w:ascii="Calibri" w:hAnsi="Calibri"/>
          <w:color w:val="2D3748"/>
          <w:sz w:val="18"/>
        </w:rPr>
        <w:t>Al combinar infraestructura de e-commerce y fintech bancaria/crédito, se desagregan los componentes: Comercio a 3.2x EV/Ventas ($61,920.3 M) y FinTech a 2.4x EV/Ventas ($37,996.6 M), resultando en un Equity Value de $94,733.9 M y un Valor Teórico SOTP de $1868.62 por título.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958"/>
        <w:gridCol w:w="1958"/>
        <w:gridCol w:w="1958"/>
        <w:gridCol w:w="1958"/>
        <w:gridCol w:w="1958"/>
      </w:tblGrid>
      <w:tr>
        <w:tc>
          <w:tcPr>
            <w:tcW w:type="dxa" w:w="1958"/>
            <w:shd w:fill="1B365D"/>
          </w:tcPr>
          <w:p>
            <w:r>
              <w:rPr>
                <w:b/>
                <w:color w:val="FFFFFF"/>
                <w:sz w:val="18"/>
              </w:rPr>
              <w:t>Segmento Operativo</w:t>
            </w:r>
          </w:p>
        </w:tc>
        <w:tc>
          <w:tcPr>
            <w:tcW w:type="dxa" w:w="1958"/>
            <w:shd w:fill="1B365D"/>
          </w:tcPr>
          <w:p>
            <w:r>
              <w:rPr>
                <w:b/>
                <w:color w:val="FFFFFF"/>
                <w:sz w:val="18"/>
              </w:rPr>
              <w:t>Ventas LTM</w:t>
            </w:r>
          </w:p>
        </w:tc>
        <w:tc>
          <w:tcPr>
            <w:tcW w:type="dxa" w:w="1958"/>
            <w:shd w:fill="1B365D"/>
          </w:tcPr>
          <w:p>
            <w:r>
              <w:rPr>
                <w:b/>
                <w:color w:val="FFFFFF"/>
                <w:sz w:val="18"/>
              </w:rPr>
              <w:t>Múltiplo EV/Sales</w:t>
            </w:r>
          </w:p>
        </w:tc>
        <w:tc>
          <w:tcPr>
            <w:tcW w:type="dxa" w:w="1958"/>
            <w:shd w:fill="1B365D"/>
          </w:tcPr>
          <w:p>
            <w:r>
              <w:rPr>
                <w:b/>
                <w:color w:val="FFFFFF"/>
                <w:sz w:val="18"/>
              </w:rPr>
              <w:t>Enterprise Value</w:t>
            </w:r>
          </w:p>
        </w:tc>
        <w:tc>
          <w:tcPr>
            <w:tcW w:type="dxa" w:w="1958"/>
            <w:shd w:fill="1B365D"/>
          </w:tcPr>
          <w:p>
            <w:r>
              <w:rPr>
                <w:b/>
                <w:color w:val="FFFFFF"/>
                <w:sz w:val="18"/>
              </w:rPr>
              <w:t>Ponderación EV</w:t>
            </w:r>
          </w:p>
        </w:tc>
      </w:tr>
      <w:tr>
        <w:tc>
          <w:tcPr>
            <w:tcW w:type="dxa" w:w="1958"/>
          </w:tcPr>
          <w:p>
            <w:r>
              <w:rPr>
                <w:b/>
                <w:sz w:val="17"/>
              </w:rPr>
              <w:t>Comercio Electrónico / Marketplace</w:t>
            </w:r>
          </w:p>
        </w:tc>
        <w:tc>
          <w:tcPr>
            <w:tcW w:type="dxa" w:w="1958"/>
          </w:tcPr>
          <w:p>
            <w:r>
              <w:rPr>
                <w:sz w:val="17"/>
              </w:rPr>
              <w:t>$19,350.1 M</w:t>
            </w:r>
          </w:p>
        </w:tc>
        <w:tc>
          <w:tcPr>
            <w:tcW w:type="dxa" w:w="1958"/>
          </w:tcPr>
          <w:p>
            <w:r>
              <w:rPr>
                <w:sz w:val="17"/>
              </w:rPr>
              <w:t>3.2x</w:t>
            </w:r>
          </w:p>
        </w:tc>
        <w:tc>
          <w:tcPr>
            <w:tcW w:type="dxa" w:w="1958"/>
          </w:tcPr>
          <w:p>
            <w:r>
              <w:rPr>
                <w:b/>
                <w:sz w:val="17"/>
              </w:rPr>
              <w:t>$61,920.3 M</w:t>
            </w:r>
          </w:p>
        </w:tc>
        <w:tc>
          <w:tcPr>
            <w:tcW w:type="dxa" w:w="1958"/>
          </w:tcPr>
          <w:p>
            <w:r>
              <w:rPr>
                <w:sz w:val="17"/>
              </w:rPr>
              <w:t>62.0%</w:t>
            </w:r>
          </w:p>
        </w:tc>
      </w:tr>
      <w:tr>
        <w:tc>
          <w:tcPr>
            <w:tcW w:type="dxa" w:w="1958"/>
            <w:shd w:fill="F7FAFC"/>
          </w:tcPr>
          <w:p>
            <w:r>
              <w:rPr>
                <w:b/>
                <w:sz w:val="17"/>
              </w:rPr>
              <w:t>FinTech y Crédito Digital</w:t>
            </w:r>
          </w:p>
        </w:tc>
        <w:tc>
          <w:tcPr>
            <w:tcW w:type="dxa" w:w="1958"/>
            <w:shd w:fill="F7FAFC"/>
          </w:tcPr>
          <w:p>
            <w:r>
              <w:rPr>
                <w:sz w:val="17"/>
              </w:rPr>
              <w:t>$15,831.9 M</w:t>
            </w:r>
          </w:p>
        </w:tc>
        <w:tc>
          <w:tcPr>
            <w:tcW w:type="dxa" w:w="1958"/>
            <w:shd w:fill="F7FAFC"/>
          </w:tcPr>
          <w:p>
            <w:r>
              <w:rPr>
                <w:sz w:val="17"/>
              </w:rPr>
              <w:t>2.4x</w:t>
            </w:r>
          </w:p>
        </w:tc>
        <w:tc>
          <w:tcPr>
            <w:tcW w:type="dxa" w:w="1958"/>
            <w:shd w:fill="F7FAFC"/>
          </w:tcPr>
          <w:p>
            <w:r>
              <w:rPr>
                <w:b/>
                <w:sz w:val="17"/>
              </w:rPr>
              <w:t>$37,996.6 M</w:t>
            </w:r>
          </w:p>
        </w:tc>
        <w:tc>
          <w:tcPr>
            <w:tcW w:type="dxa" w:w="1958"/>
            <w:shd w:fill="F7FAFC"/>
          </w:tcPr>
          <w:p>
            <w:r>
              <w:rPr>
                <w:sz w:val="17"/>
              </w:rPr>
              <w:t>38.0%</w:t>
            </w:r>
          </w:p>
        </w:tc>
      </w:tr>
      <w:tr>
        <w:tc>
          <w:tcPr>
            <w:tcW w:type="dxa" w:w="1958"/>
          </w:tcPr>
          <w:p>
            <w:r>
              <w:rPr>
                <w:b/>
                <w:sz w:val="17"/>
              </w:rPr>
              <w:t>Total Enterprise Value (EV)</w:t>
            </w:r>
          </w:p>
        </w:tc>
        <w:tc>
          <w:tcPr>
            <w:tcW w:type="dxa" w:w="1958"/>
          </w:tcPr>
          <w:p>
            <w:r>
              <w:rPr>
                <w:b/>
                <w:sz w:val="17"/>
              </w:rPr>
              <w:t>$35,182.0 M</w:t>
            </w:r>
          </w:p>
        </w:tc>
        <w:tc>
          <w:tcPr>
            <w:tcW w:type="dxa" w:w="1958"/>
          </w:tcPr>
          <w:p>
            <w:r>
              <w:rPr>
                <w:b/>
                <w:sz w:val="17"/>
              </w:rPr>
              <w:t>—</w:t>
            </w:r>
          </w:p>
        </w:tc>
        <w:tc>
          <w:tcPr>
            <w:tcW w:type="dxa" w:w="1958"/>
          </w:tcPr>
          <w:p>
            <w:r>
              <w:rPr>
                <w:b/>
                <w:sz w:val="17"/>
              </w:rPr>
              <w:t>$99,916.9 M</w:t>
            </w:r>
          </w:p>
        </w:tc>
        <w:tc>
          <w:tcPr>
            <w:tcW w:type="dxa" w:w="1958"/>
          </w:tcPr>
          <w:p>
            <w:r>
              <w:rPr>
                <w:b/>
                <w:sz w:val="17"/>
              </w:rPr>
              <w:t>100.0%</w:t>
            </w:r>
          </w:p>
        </w:tc>
      </w:tr>
      <w:tr>
        <w:tc>
          <w:tcPr>
            <w:tcW w:type="dxa" w:w="1958"/>
            <w:shd w:fill="F7FAFC"/>
          </w:tcPr>
          <w:p>
            <w:r>
              <w:rPr>
                <w:b/>
                <w:sz w:val="17"/>
              </w:rPr>
              <w:t>(-) Deuda Neta</w:t>
            </w:r>
          </w:p>
        </w:tc>
        <w:tc>
          <w:tcPr>
            <w:tcW w:type="dxa" w:w="1958"/>
            <w:shd w:fill="F7FAFC"/>
          </w:tcPr>
          <w:p>
            <w:r>
              <w:rPr>
                <w:sz w:val="17"/>
              </w:rPr>
              <w:t>—</w:t>
            </w:r>
          </w:p>
        </w:tc>
        <w:tc>
          <w:tcPr>
            <w:tcW w:type="dxa" w:w="1958"/>
            <w:shd w:fill="F7FAFC"/>
          </w:tcPr>
          <w:p>
            <w:r>
              <w:rPr>
                <w:sz w:val="17"/>
              </w:rPr>
              <w:t>—</w:t>
            </w:r>
          </w:p>
        </w:tc>
        <w:tc>
          <w:tcPr>
            <w:tcW w:type="dxa" w:w="1958"/>
            <w:shd w:fill="F7FAFC"/>
          </w:tcPr>
          <w:p>
            <w:r>
              <w:rPr>
                <w:b/>
                <w:sz w:val="17"/>
              </w:rPr>
              <w:t>$-5,183.0 M</w:t>
            </w:r>
          </w:p>
        </w:tc>
        <w:tc>
          <w:tcPr>
            <w:tcW w:type="dxa" w:w="1958"/>
            <w:shd w:fill="F7FAFC"/>
          </w:tcPr>
          <w:p>
            <w:r>
              <w:rPr>
                <w:sz w:val="17"/>
              </w:rPr>
              <w:t>—</w:t>
            </w:r>
          </w:p>
        </w:tc>
      </w:tr>
      <w:tr>
        <w:tc>
          <w:tcPr>
            <w:tcW w:type="dxa" w:w="1958"/>
          </w:tcPr>
          <w:p>
            <w:r>
              <w:rPr>
                <w:b/>
                <w:sz w:val="17"/>
              </w:rPr>
              <w:t>Equity Value Justificado SOTP</w:t>
            </w:r>
          </w:p>
        </w:tc>
        <w:tc>
          <w:tcPr>
            <w:tcW w:type="dxa" w:w="1958"/>
          </w:tcPr>
          <w:p>
            <w:r>
              <w:rPr>
                <w:b/>
                <w:sz w:val="17"/>
              </w:rPr>
              <w:t>—</w:t>
            </w:r>
          </w:p>
        </w:tc>
        <w:tc>
          <w:tcPr>
            <w:tcW w:type="dxa" w:w="1958"/>
          </w:tcPr>
          <w:p>
            <w:r>
              <w:rPr>
                <w:b/>
                <w:sz w:val="17"/>
              </w:rPr>
              <w:t>—</w:t>
            </w:r>
          </w:p>
        </w:tc>
        <w:tc>
          <w:tcPr>
            <w:tcW w:type="dxa" w:w="1958"/>
          </w:tcPr>
          <w:p>
            <w:r>
              <w:rPr>
                <w:b/>
                <w:sz w:val="17"/>
              </w:rPr>
              <w:t>$94,733.9 M</w:t>
            </w:r>
          </w:p>
        </w:tc>
        <w:tc>
          <w:tcPr>
            <w:tcW w:type="dxa" w:w="1958"/>
          </w:tcPr>
          <w:p>
            <w:r>
              <w:rPr>
                <w:b/>
                <w:sz w:val="17"/>
              </w:rPr>
              <w:t>$1868.62/sh (+2.6%)</w:t>
            </w:r>
          </w:p>
        </w:tc>
      </w:tr>
    </w:tbl>
    <w:p/>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14.0% - 1.5%</w:t>
            </w:r>
          </w:p>
        </w:tc>
        <w:tc>
          <w:tcPr>
            <w:tcW w:type="dxa" w:w="2448"/>
          </w:tcPr>
          <w:p>
            <w:r>
              <w:rPr>
                <w:b/>
                <w:sz w:val="17"/>
              </w:rPr>
              <w:t>VALORACIÓN EXIGENTE</w:t>
            </w:r>
          </w:p>
        </w:tc>
        <w:tc>
          <w:tcPr>
            <w:tcW w:type="dxa" w:w="2448"/>
          </w:tcPr>
          <w:p>
            <w:r>
              <w:rPr>
                <w:sz w:val="17"/>
              </w:rPr>
              <w:t>Exigencia asumible (+14.0% anual); alineada con el ritmo tendencial de la empresa y su sector.</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