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ayout w:type="fixed"/>
        <w:tblLook w:firstColumn="1" w:firstRow="1" w:lastColumn="0" w:lastRow="0" w:noHBand="0" w:noVBand="1" w:val="04A0"/>
      </w:tblPr>
      <w:tblGrid>
        <w:gridCol w:w="9792"/>
      </w:tblGrid>
      <w:tr>
        <w:tc>
          <w:tcPr>
            <w:tcW w:type="dxa" w:w="9792"/>
            <w:shd w:fill="1B365D"/>
            <w:tcMar>
              <w:top w:w="180" w:type="dxa"/>
              <w:bottom w:w="180" w:type="dxa"/>
              <w:left w:w="200" w:type="dxa"/>
              <w:right w:w="200" w:type="dxa"/>
            </w:tcMar>
          </w:tcPr>
          <w:p>
            <w:pPr>
              <w:spacing w:before="0" w:after="40"/>
            </w:pPr>
            <w:r>
              <w:rPr>
                <w:rFonts w:ascii="Calibri" w:hAnsi="Calibri"/>
                <w:b/>
                <w:color w:val="A0BEEB"/>
                <w:sz w:val="18"/>
              </w:rPr>
              <w:t>INFORME EJECUTIVO DE INVESTIGACIÓN FUNDAMENTAL | WALL STREET EQUITY RESEARCH</w:t>
            </w:r>
          </w:p>
          <w:p>
            <w:pPr>
              <w:spacing w:before="40" w:after="80"/>
            </w:pPr>
            <w:r>
              <w:rPr>
                <w:rFonts w:ascii="Calibri" w:hAnsi="Calibri"/>
                <w:b/>
                <w:color w:val="FFFFFF"/>
                <w:sz w:val="34"/>
              </w:rPr>
              <w:t>APPLE INC. (NASDAQ: AAPL)</w:t>
              <w:br/>
              <w:t>Resultados Trimestrales Q3 FY2026, Earnings Call &amp; Análisis de Gobernanza</w:t>
            </w:r>
          </w:p>
          <w:p>
            <w:pPr>
              <w:spacing w:before="0" w:after="0"/>
            </w:pPr>
            <w:r>
              <w:rPr>
                <w:rFonts w:ascii="Calibri" w:hAnsi="Calibri"/>
                <w:i/>
                <w:color w:val="D1DFF5"/>
                <w:sz w:val="17"/>
              </w:rPr>
              <w:t>Fecha de Análisis: 14 de Septiembre de 2026 | Período Contable: 27 de Junio de 2026</w:t>
              <w:br/>
              <w:t>Fuente Oficial: Formulario 10-Q, Formularios 8-K, Form 4, Form 144 (SEC EDGAR) &amp; Q3 FY26 Earnings Call Transcript</w:t>
            </w:r>
          </w:p>
        </w:tc>
      </w:tr>
    </w:tbl>
    <w:p>
      <w:pPr>
        <w:spacing w:after="120"/>
      </w:pPr>
    </w:p>
    <w:p>
      <w:pPr>
        <w:keepNext/>
        <w:spacing w:before="320" w:after="120"/>
      </w:pPr>
      <w:r>
        <w:rPr>
          <w:rFonts w:ascii="Calibri" w:hAnsi="Calibri"/>
          <w:b/>
          <w:color w:val="1B365D"/>
          <w:sz w:val="26"/>
        </w:rPr>
        <w:t>1. Introducción al Negocio y Arquitectura de Comercialización (Go-To-Market)</w:t>
      </w:r>
    </w:p>
    <w:tbl>
      <w:tblPr>
        <w:tblW w:type="auto" w:w="0"/>
        <w:jc w:val="center"/>
        <w:tblLayout w:type="fixed"/>
        <w:tblLook w:firstColumn="1" w:firstRow="1" w:lastColumn="0" w:lastRow="0" w:noHBand="0" w:noVBand="1" w:val="04A0"/>
      </w:tblPr>
      <w:tblGrid>
        <w:gridCol w:w="9792"/>
      </w:tblGrid>
      <w:tr>
        <w:tc>
          <w:tcPr>
            <w:tcW w:type="dxa" w:w="9792"/>
            <w:shd w:fill="F0F4F8"/>
            <w:tcMar>
              <w:top w:w="140" w:type="dxa"/>
              <w:bottom w:w="140" w:type="dxa"/>
              <w:left w:w="180" w:type="dxa"/>
              <w:right w:w="180" w:type="dxa"/>
            </w:tcMar>
            <w:tcBorders>
              <w:left w:val="single" w:sz="24" w:space="0" w:color="1B365D"/>
              <w:top w:val="none"/>
              <w:right w:val="none"/>
              <w:bottom w:val="none"/>
            </w:tcBorders>
          </w:tcPr>
          <w:p>
            <w:pPr>
              <w:spacing w:before="0" w:after="80"/>
            </w:pPr>
            <w:r>
              <w:rPr>
                <w:rFonts w:ascii="Segoe UI Emoji" w:hAnsi="Segoe UI Emoji"/>
                <w:sz w:val="21"/>
              </w:rPr>
              <w:t xml:space="preserve">📌  </w:t>
            </w:r>
            <w:r>
              <w:rPr>
                <w:rFonts w:ascii="Calibri" w:hAnsi="Calibri"/>
                <w:b/>
                <w:color w:val="1B365D"/>
                <w:sz w:val="21"/>
              </w:rPr>
              <w:t>RESUMEN DEL MODELO DE NEGOCIO Y PROPUESTA DE VALOR</w:t>
            </w:r>
          </w:p>
          <w:p>
            <w:pPr>
              <w:spacing w:before="40" w:after="40" w:line="276" w:lineRule="auto"/>
            </w:pPr>
            <w:r>
              <w:rPr>
                <w:rFonts w:ascii="Calibri" w:hAnsi="Calibri"/>
                <w:color w:val="2D3748"/>
                <w:sz w:val="19"/>
              </w:rPr>
              <w:t>Apple Inc. diseña, fabrica y comercializa smartphones, computadoras personales, tablets, dispositivos corporales (wearables) y accesorios, integrando verticalmente hardware de alta gama con sistemas operativos propios (iOS, macOS, iPadOS, watchOS) y microprocesadores propietarios de silicio (Apple Silicon).</w:t>
            </w:r>
          </w:p>
          <w:p>
            <w:pPr>
              <w:spacing w:before="40" w:after="40" w:line="276" w:lineRule="auto"/>
            </w:pPr>
            <w:r>
              <w:rPr>
                <w:rFonts w:ascii="Calibri" w:hAnsi="Calibri"/>
                <w:color w:val="2D3748"/>
                <w:sz w:val="19"/>
              </w:rPr>
              <w:t>Su modelo de negocio opera como un ecosistema de fidelización (flywheel): la venta de hardware de vanguardia actúa como puerta de entrada para capturar usuarios en una plataforma cerrada, que luego monetiza de manera recurrente a través de una división de Servicios de altísimo margen (App Store, iCloud, Apple Pay, Apple Music, suscripciones y publicidad).</w:t>
            </w:r>
          </w:p>
        </w:tc>
      </w:tr>
    </w:tbl>
    <w:p>
      <w:pPr>
        <w:spacing w:after="80"/>
      </w:pPr>
    </w:p>
    <w:p>
      <w:pPr>
        <w:keepNext/>
        <w:spacing w:before="200" w:after="80"/>
      </w:pPr>
      <w:r>
        <w:rPr>
          <w:rFonts w:ascii="Calibri" w:hAnsi="Calibri"/>
          <w:b/>
          <w:color w:val="4A5568"/>
          <w:sz w:val="22"/>
        </w:rPr>
        <w:t>Estructura de Canales de Comercialización (Go-To-Market):</w:t>
      </w:r>
    </w:p>
    <w:p>
      <w:pPr>
        <w:spacing w:before="40" w:after="80" w:line="276" w:lineRule="auto"/>
      </w:pPr>
      <w:r>
        <w:rPr>
          <w:rFonts w:ascii="Calibri" w:hAnsi="Calibri"/>
          <w:i w:val="0"/>
          <w:color w:val="2D3748"/>
          <w:sz w:val="20"/>
        </w:rPr>
        <w:t>De acuerdo con la información auditada del Formulario 10-K ante la SEC, Apple distribuye sus productos y servicios a nivel global a través de dos grandes vías de acceso al mercado:</w:t>
      </w:r>
    </w:p>
    <w:p>
      <w:pPr>
        <w:spacing w:before="40" w:after="80" w:line="276" w:lineRule="auto"/>
      </w:pPr>
      <w:r>
        <w:rPr>
          <w:rFonts w:ascii="Calibri" w:hAnsi="Calibri"/>
          <w:b/>
          <w:color w:val="2D3748"/>
          <w:sz w:val="20"/>
        </w:rPr>
        <w:t xml:space="preserve">• Canal Directo (~40% de las ventas netas): </w:t>
      </w:r>
      <w:r>
        <w:rPr>
          <w:rFonts w:ascii="Calibri" w:hAnsi="Calibri"/>
          <w:i w:val="0"/>
          <w:color w:val="2D3748"/>
          <w:sz w:val="20"/>
        </w:rPr>
        <w:t>Operado mediante su red propia de más de 525 tiendas físicas (Apple Stores) en distritos comerciales prime de todo el mundo, su tienda digital en línea (apple.com) y equipos comerciales directos dedicados a empresas (B2B), educación y administraciones públicas. Aporta aproximadamente el 40% de las ventas netas.</w:t>
      </w:r>
    </w:p>
    <w:p>
      <w:pPr>
        <w:spacing w:before="40" w:after="80" w:line="276" w:lineRule="auto"/>
      </w:pPr>
      <w:r>
        <w:rPr>
          <w:rFonts w:ascii="Calibri" w:hAnsi="Calibri"/>
          <w:b/>
          <w:color w:val="2D3748"/>
          <w:sz w:val="20"/>
        </w:rPr>
        <w:t xml:space="preserve">• Canal Indirecto (~60% de las ventas netas): </w:t>
      </w:r>
      <w:r>
        <w:rPr>
          <w:rFonts w:ascii="Calibri" w:hAnsi="Calibri"/>
          <w:i w:val="0"/>
          <w:color w:val="2D3748"/>
          <w:sz w:val="20"/>
        </w:rPr>
        <w:t>Red internacional de distribución compuesta por las principales operadoras de telefonía celular (AT&amp;T, Verizon, Vodafone, China Mobile), grandes cadenas minoristas de electrónica, distribuidores mayoristas y revendedores autorizados (Apple Authorised Resellers). Aporta aproximadamente el 60% de las ventas netas.</w:t>
      </w:r>
    </w:p>
    <w:p>
      <w:pPr>
        <w:keepNext/>
        <w:spacing w:before="320" w:after="120"/>
      </w:pPr>
      <w:r>
        <w:rPr>
          <w:rFonts w:ascii="Calibri" w:hAnsi="Calibri"/>
          <w:b/>
          <w:color w:val="1B365D"/>
          <w:sz w:val="26"/>
        </w:rPr>
        <w:t>2. Desglose de Ventas por Línea de Productos y Servicios (Comparativa Interanual)</w:t>
      </w:r>
    </w:p>
    <w:p>
      <w:pPr>
        <w:spacing w:before="40" w:after="80" w:line="276" w:lineRule="auto"/>
      </w:pPr>
      <w:r>
        <w:rPr>
          <w:rFonts w:ascii="Calibri" w:hAnsi="Calibri"/>
          <w:i w:val="0"/>
          <w:color w:val="2D3748"/>
          <w:sz w:val="20"/>
        </w:rPr>
        <w:t>A continuación se audita el desempeño y la mezcla de ingresos de las líneas de producto y marcas clave de Apple Inc. a partir de las notas de segmentación oficial presentadas ante la SEC:</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1632"/>
        <w:gridCol w:w="1632"/>
        <w:gridCol w:w="1632"/>
        <w:gridCol w:w="1632"/>
        <w:gridCol w:w="1632"/>
        <w:gridCol w:w="1632"/>
      </w:tblGrid>
      <w:tr>
        <w:tc>
          <w:tcPr>
            <w:tcW w:type="dxa" w:w="2160"/>
            <w:shd w:fill="1B365D"/>
            <w:tcMar>
              <w:top w:w="100" w:type="dxa"/>
              <w:bottom w:w="100" w:type="dxa"/>
              <w:left w:w="120" w:type="dxa"/>
              <w:right w:w="120" w:type="dxa"/>
            </w:tcMar>
          </w:tcPr>
          <w:p>
            <w:pPr>
              <w:spacing w:before="0" w:after="0"/>
              <w:jc w:val="left"/>
            </w:pPr>
            <w:r>
              <w:rPr>
                <w:rFonts w:ascii="Calibri" w:hAnsi="Calibri"/>
                <w:b/>
                <w:color w:val="FFFFFF"/>
                <w:sz w:val="19"/>
              </w:rPr>
              <w:t>Línea de Negocio / Producto</w:t>
            </w:r>
          </w:p>
        </w:tc>
        <w:tc>
          <w:tcPr>
            <w:tcW w:type="dxa" w:w="1440"/>
            <w:shd w:fill="1B365D"/>
            <w:tcMar>
              <w:top w:w="100" w:type="dxa"/>
              <w:bottom w:w="100" w:type="dxa"/>
              <w:left w:w="120" w:type="dxa"/>
              <w:right w:w="120" w:type="dxa"/>
            </w:tcMar>
          </w:tcPr>
          <w:p>
            <w:pPr>
              <w:spacing w:before="0" w:after="0"/>
              <w:jc w:val="center"/>
            </w:pPr>
            <w:r>
              <w:rPr>
                <w:rFonts w:ascii="Calibri" w:hAnsi="Calibri"/>
                <w:b/>
                <w:color w:val="FFFFFF"/>
                <w:sz w:val="19"/>
              </w:rPr>
              <w:t>LTM ($M)</w:t>
            </w:r>
          </w:p>
        </w:tc>
        <w:tc>
          <w:tcPr>
            <w:tcW w:type="dxa" w:w="1440"/>
            <w:shd w:fill="1B365D"/>
            <w:tcMar>
              <w:top w:w="100" w:type="dxa"/>
              <w:bottom w:w="100" w:type="dxa"/>
              <w:left w:w="120" w:type="dxa"/>
              <w:right w:w="120" w:type="dxa"/>
            </w:tcMar>
          </w:tcPr>
          <w:p>
            <w:pPr>
              <w:spacing w:before="0" w:after="0"/>
              <w:jc w:val="center"/>
            </w:pPr>
            <w:r>
              <w:rPr>
                <w:rFonts w:ascii="Calibri" w:hAnsi="Calibri"/>
                <w:b/>
                <w:color w:val="FFFFFF"/>
                <w:sz w:val="19"/>
              </w:rPr>
              <w:t>FY2025 ($M)</w:t>
            </w:r>
          </w:p>
        </w:tc>
        <w:tc>
          <w:tcPr>
            <w:tcW w:type="dxa" w:w="1440"/>
            <w:shd w:fill="1B365D"/>
            <w:tcMar>
              <w:top w:w="100" w:type="dxa"/>
              <w:bottom w:w="100" w:type="dxa"/>
              <w:left w:w="120" w:type="dxa"/>
              <w:right w:w="120" w:type="dxa"/>
            </w:tcMar>
          </w:tcPr>
          <w:p>
            <w:pPr>
              <w:spacing w:before="0" w:after="0"/>
              <w:jc w:val="center"/>
            </w:pPr>
            <w:r>
              <w:rPr>
                <w:rFonts w:ascii="Calibri" w:hAnsi="Calibri"/>
                <w:b/>
                <w:color w:val="FFFFFF"/>
                <w:sz w:val="19"/>
              </w:rPr>
              <w:t>Variación YoY %</w:t>
            </w:r>
          </w:p>
        </w:tc>
        <w:tc>
          <w:tcPr>
            <w:tcW w:type="dxa" w:w="1296"/>
            <w:shd w:fill="1B365D"/>
            <w:tcMar>
              <w:top w:w="100" w:type="dxa"/>
              <w:bottom w:w="100" w:type="dxa"/>
              <w:left w:w="120" w:type="dxa"/>
              <w:right w:w="120" w:type="dxa"/>
            </w:tcMar>
          </w:tcPr>
          <w:p>
            <w:pPr>
              <w:spacing w:before="0" w:after="0"/>
              <w:jc w:val="center"/>
            </w:pPr>
            <w:r>
              <w:rPr>
                <w:rFonts w:ascii="Calibri" w:hAnsi="Calibri"/>
                <w:b/>
                <w:color w:val="FFFFFF"/>
                <w:sz w:val="19"/>
              </w:rPr>
              <w:t>Margen / Mix</w:t>
            </w:r>
          </w:p>
        </w:tc>
        <w:tc>
          <w:tcPr>
            <w:tcW w:type="dxa" w:w="2016"/>
            <w:shd w:fill="1B365D"/>
            <w:tcMar>
              <w:top w:w="100" w:type="dxa"/>
              <w:bottom w:w="100" w:type="dxa"/>
              <w:left w:w="120" w:type="dxa"/>
              <w:right w:w="120" w:type="dxa"/>
            </w:tcMar>
          </w:tcPr>
          <w:p>
            <w:pPr>
              <w:spacing w:before="0" w:after="0"/>
              <w:jc w:val="center"/>
            </w:pPr>
            <w:r>
              <w:rPr>
                <w:rFonts w:ascii="Calibri" w:hAnsi="Calibri"/>
                <w:b/>
                <w:color w:val="FFFFFF"/>
                <w:sz w:val="19"/>
              </w:rPr>
              <w:t>Lectura Estratégica y Catalizador Operativo</w:t>
            </w:r>
          </w:p>
        </w:tc>
      </w:tr>
      <w:tr>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Products</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$346,345.0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$307,003.0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+12.8%</w:t>
            </w:r>
          </w:p>
        </w:tc>
        <w:tc>
          <w:tcPr>
            <w:tcW w:type="dxa" w:w="1296"/>
            <w:shd w:fill="FFFFFF"/>
            <w:tcMar>
              <w:top w:w="80" w:type="dxa"/>
              <w:bottom w:w="80" w:type="dxa"/>
              <w:left w:w="120" w:type="dxa"/>
              <w:right w:w="120" w:type="dxa"/>
            </w:tcMar>
          </w:tcPr>
          <w:p>
            <w:pPr>
              <w:spacing w:before="0" w:after="0"/>
              <w:jc w:val="center"/>
            </w:pPr>
            <w:r>
              <w:rPr>
                <w:rFonts w:ascii="Calibri" w:hAnsi="Calibri"/>
                <w:color w:val="2D3748"/>
                <w:sz w:val="18"/>
              </w:rPr>
              <w:t>Subtotal</w:t>
            </w:r>
          </w:p>
        </w:tc>
        <w:tc>
          <w:tcPr>
            <w:tcW w:type="dxa" w:w="2016"/>
            <w:shd w:fill="FFFFFF"/>
            <w:tcMar>
              <w:top w:w="80" w:type="dxa"/>
              <w:bottom w:w="80" w:type="dxa"/>
              <w:left w:w="120" w:type="dxa"/>
              <w:right w:w="120" w:type="dxa"/>
            </w:tcMar>
          </w:tcPr>
          <w:p>
            <w:pPr>
              <w:spacing w:before="0" w:after="0"/>
              <w:jc w:val="center"/>
            </w:pPr>
            <w:r>
              <w:rPr>
                <w:rFonts w:ascii="Calibri" w:hAnsi="Calibri"/>
                <w:color w:val="2D3748"/>
                <w:sz w:val="18"/>
              </w:rPr>
              <w:t>Subtotal consolidado de canal/categoría (+12.8% YoY).</w:t>
            </w:r>
          </w:p>
        </w:tc>
      </w:tr>
      <w:tr>
        <w:tc>
          <w:tcPr>
            <w:tcW w:type="dxa" w:w="2160"/>
            <w:shd w:fill="F7FAFC"/>
            <w:tcMar>
              <w:top w:w="80" w:type="dxa"/>
              <w:bottom w:w="80" w:type="dxa"/>
              <w:left w:w="120" w:type="dxa"/>
              <w:right w:w="120" w:type="dxa"/>
            </w:tcMar>
          </w:tcPr>
          <w:p>
            <w:pPr>
              <w:spacing w:before="0" w:after="0"/>
              <w:jc w:val="left"/>
            </w:pPr>
            <w:r>
              <w:rPr>
                <w:rFonts w:ascii="Calibri" w:hAnsi="Calibri"/>
                <w:color w:val="2D3748"/>
                <w:sz w:val="18"/>
              </w:rPr>
              <w:t>iPhone</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$245,540.0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$209,586.0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+17.2%</w:t>
            </w:r>
          </w:p>
        </w:tc>
        <w:tc>
          <w:tcPr>
            <w:tcW w:type="dxa" w:w="1296"/>
            <w:shd w:fill="F7FAFC"/>
            <w:tcMar>
              <w:top w:w="80" w:type="dxa"/>
              <w:bottom w:w="80" w:type="dxa"/>
              <w:left w:w="120" w:type="dxa"/>
              <w:right w:w="120" w:type="dxa"/>
            </w:tcMar>
          </w:tcPr>
          <w:p>
            <w:pPr>
              <w:spacing w:before="0" w:after="0"/>
              <w:jc w:val="center"/>
            </w:pPr>
            <w:r>
              <w:rPr>
                <w:rFonts w:ascii="Calibri" w:hAnsi="Calibri"/>
                <w:color w:val="2D3748"/>
                <w:sz w:val="18"/>
              </w:rPr>
              <w:t>52.6% Mix</w:t>
            </w:r>
          </w:p>
        </w:tc>
        <w:tc>
          <w:tcPr>
            <w:tcW w:type="dxa" w:w="2016"/>
            <w:shd w:fill="F7FAFC"/>
            <w:tcMar>
              <w:top w:w="80" w:type="dxa"/>
              <w:bottom w:w="80" w:type="dxa"/>
              <w:left w:w="120" w:type="dxa"/>
              <w:right w:w="120" w:type="dxa"/>
            </w:tcMar>
          </w:tcPr>
          <w:p>
            <w:pPr>
              <w:spacing w:before="0" w:after="0"/>
              <w:jc w:val="center"/>
            </w:pPr>
            <w:r>
              <w:rPr>
                <w:rFonts w:ascii="Calibri" w:hAnsi="Calibri"/>
                <w:color w:val="2D3748"/>
                <w:sz w:val="18"/>
              </w:rPr>
              <w:t>Crecimiento orgánico sostenido (+17.2% YoY); demanda sólida y volumen favorable.</w:t>
            </w:r>
          </w:p>
        </w:tc>
      </w:tr>
      <w:tr>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Mac</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$35,863.0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$33,708.0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+6.4%</w:t>
            </w:r>
          </w:p>
        </w:tc>
        <w:tc>
          <w:tcPr>
            <w:tcW w:type="dxa" w:w="1296"/>
            <w:shd w:fill="FFFFFF"/>
            <w:tcMar>
              <w:top w:w="80" w:type="dxa"/>
              <w:bottom w:w="80" w:type="dxa"/>
              <w:left w:w="120" w:type="dxa"/>
              <w:right w:w="120" w:type="dxa"/>
            </w:tcMar>
          </w:tcPr>
          <w:p>
            <w:pPr>
              <w:spacing w:before="0" w:after="0"/>
              <w:jc w:val="center"/>
            </w:pPr>
            <w:r>
              <w:rPr>
                <w:rFonts w:ascii="Calibri" w:hAnsi="Calibri"/>
                <w:color w:val="2D3748"/>
                <w:sz w:val="18"/>
              </w:rPr>
              <w:t>7.7% Mix</w:t>
            </w:r>
          </w:p>
        </w:tc>
        <w:tc>
          <w:tcPr>
            <w:tcW w:type="dxa" w:w="2016"/>
            <w:shd w:fill="FFFFFF"/>
            <w:tcMar>
              <w:top w:w="80" w:type="dxa"/>
              <w:bottom w:w="80" w:type="dxa"/>
              <w:left w:w="120" w:type="dxa"/>
              <w:right w:w="120" w:type="dxa"/>
            </w:tcMar>
          </w:tcPr>
          <w:p>
            <w:pPr>
              <w:spacing w:before="0" w:after="0"/>
              <w:jc w:val="center"/>
            </w:pPr>
            <w:r>
              <w:rPr>
                <w:rFonts w:ascii="Calibri" w:hAnsi="Calibri"/>
                <w:color w:val="2D3748"/>
                <w:sz w:val="18"/>
              </w:rPr>
              <w:t>Crecimiento orgánico sostenido (+6.4% YoY); demanda sólida y volumen favorable.</w:t>
            </w:r>
          </w:p>
        </w:tc>
      </w:tr>
      <w:tr>
        <w:tc>
          <w:tcPr>
            <w:tcW w:type="dxa" w:w="2160"/>
            <w:shd w:fill="F7FAFC"/>
            <w:tcMar>
              <w:top w:w="80" w:type="dxa"/>
              <w:bottom w:w="80" w:type="dxa"/>
              <w:left w:w="120" w:type="dxa"/>
              <w:right w:w="120" w:type="dxa"/>
            </w:tcMar>
          </w:tcPr>
          <w:p>
            <w:pPr>
              <w:spacing w:before="0" w:after="0"/>
              <w:jc w:val="left"/>
            </w:pPr>
            <w:r>
              <w:rPr>
                <w:rFonts w:ascii="Calibri" w:hAnsi="Calibri"/>
                <w:color w:val="2D3748"/>
                <w:sz w:val="18"/>
              </w:rPr>
              <w:t>iPad</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$28,652.0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$28,023.0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+2.2%</w:t>
            </w:r>
          </w:p>
        </w:tc>
        <w:tc>
          <w:tcPr>
            <w:tcW w:type="dxa" w:w="1296"/>
            <w:shd w:fill="F7FAFC"/>
            <w:tcMar>
              <w:top w:w="80" w:type="dxa"/>
              <w:bottom w:w="80" w:type="dxa"/>
              <w:left w:w="120" w:type="dxa"/>
              <w:right w:w="120" w:type="dxa"/>
            </w:tcMar>
          </w:tcPr>
          <w:p>
            <w:pPr>
              <w:spacing w:before="0" w:after="0"/>
              <w:jc w:val="center"/>
            </w:pPr>
            <w:r>
              <w:rPr>
                <w:rFonts w:ascii="Calibri" w:hAnsi="Calibri"/>
                <w:color w:val="2D3748"/>
                <w:sz w:val="18"/>
              </w:rPr>
              <w:t>6.1% Mix</w:t>
            </w:r>
          </w:p>
        </w:tc>
        <w:tc>
          <w:tcPr>
            <w:tcW w:type="dxa" w:w="2016"/>
            <w:shd w:fill="F7FAFC"/>
            <w:tcMar>
              <w:top w:w="80" w:type="dxa"/>
              <w:bottom w:w="80" w:type="dxa"/>
              <w:left w:w="120" w:type="dxa"/>
              <w:right w:w="120" w:type="dxa"/>
            </w:tcMar>
          </w:tcPr>
          <w:p>
            <w:pPr>
              <w:spacing w:before="0" w:after="0"/>
              <w:jc w:val="center"/>
            </w:pPr>
            <w:r>
              <w:rPr>
                <w:rFonts w:ascii="Calibri" w:hAnsi="Calibri"/>
                <w:color w:val="2D3748"/>
                <w:sz w:val="18"/>
              </w:rPr>
              <w:t>Desempeño estable (+2.2% YoY); consolidación en mercados y canales core.</w:t>
            </w:r>
          </w:p>
        </w:tc>
      </w:tr>
      <w:tr>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Wearables, Home and Accessories</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$36,290.0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$35,686.0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+1.7%</w:t>
            </w:r>
          </w:p>
        </w:tc>
        <w:tc>
          <w:tcPr>
            <w:tcW w:type="dxa" w:w="1296"/>
            <w:shd w:fill="FFFFFF"/>
            <w:tcMar>
              <w:top w:w="80" w:type="dxa"/>
              <w:bottom w:w="80" w:type="dxa"/>
              <w:left w:w="120" w:type="dxa"/>
              <w:right w:w="120" w:type="dxa"/>
            </w:tcMar>
          </w:tcPr>
          <w:p>
            <w:pPr>
              <w:spacing w:before="0" w:after="0"/>
              <w:jc w:val="center"/>
            </w:pPr>
            <w:r>
              <w:rPr>
                <w:rFonts w:ascii="Calibri" w:hAnsi="Calibri"/>
                <w:color w:val="2D3748"/>
                <w:sz w:val="18"/>
              </w:rPr>
              <w:t>7.8% Mix</w:t>
            </w:r>
          </w:p>
        </w:tc>
        <w:tc>
          <w:tcPr>
            <w:tcW w:type="dxa" w:w="2016"/>
            <w:shd w:fill="FFFFFF"/>
            <w:tcMar>
              <w:top w:w="80" w:type="dxa"/>
              <w:bottom w:w="80" w:type="dxa"/>
              <w:left w:w="120" w:type="dxa"/>
              <w:right w:w="120" w:type="dxa"/>
            </w:tcMar>
          </w:tcPr>
          <w:p>
            <w:pPr>
              <w:spacing w:before="0" w:after="0"/>
              <w:jc w:val="center"/>
            </w:pPr>
            <w:r>
              <w:rPr>
                <w:rFonts w:ascii="Calibri" w:hAnsi="Calibri"/>
                <w:color w:val="2D3748"/>
                <w:sz w:val="18"/>
              </w:rPr>
              <w:t>Desempeño estable (+1.7% YoY); consolidación en mercados y canales core.</w:t>
            </w:r>
          </w:p>
        </w:tc>
      </w:tr>
      <w:tr>
        <w:tc>
          <w:tcPr>
            <w:tcW w:type="dxa" w:w="2160"/>
            <w:shd w:fill="F7FAFC"/>
            <w:tcMar>
              <w:top w:w="80" w:type="dxa"/>
              <w:bottom w:w="80" w:type="dxa"/>
              <w:left w:w="120" w:type="dxa"/>
              <w:right w:w="120" w:type="dxa"/>
            </w:tcMar>
          </w:tcPr>
          <w:p>
            <w:pPr>
              <w:spacing w:before="0" w:after="0"/>
              <w:jc w:val="left"/>
            </w:pPr>
            <w:r>
              <w:rPr>
                <w:rFonts w:ascii="Calibri" w:hAnsi="Calibri"/>
                <w:color w:val="2D3748"/>
                <w:sz w:val="18"/>
              </w:rPr>
              <w:t>Services</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$120,478.0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$109,158.0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+10.4%</w:t>
            </w:r>
          </w:p>
        </w:tc>
        <w:tc>
          <w:tcPr>
            <w:tcW w:type="dxa" w:w="1296"/>
            <w:shd w:fill="F7FAFC"/>
            <w:tcMar>
              <w:top w:w="80" w:type="dxa"/>
              <w:bottom w:w="80" w:type="dxa"/>
              <w:left w:w="120" w:type="dxa"/>
              <w:right w:w="120" w:type="dxa"/>
            </w:tcMar>
          </w:tcPr>
          <w:p>
            <w:pPr>
              <w:spacing w:before="0" w:after="0"/>
              <w:jc w:val="center"/>
            </w:pPr>
            <w:r>
              <w:rPr>
                <w:rFonts w:ascii="Calibri" w:hAnsi="Calibri"/>
                <w:color w:val="2D3748"/>
                <w:sz w:val="18"/>
              </w:rPr>
              <w:t>25.8% Mix</w:t>
            </w:r>
          </w:p>
        </w:tc>
        <w:tc>
          <w:tcPr>
            <w:tcW w:type="dxa" w:w="2016"/>
            <w:shd w:fill="F7FAFC"/>
            <w:tcMar>
              <w:top w:w="80" w:type="dxa"/>
              <w:bottom w:w="80" w:type="dxa"/>
              <w:left w:w="120" w:type="dxa"/>
              <w:right w:w="120" w:type="dxa"/>
            </w:tcMar>
          </w:tcPr>
          <w:p>
            <w:pPr>
              <w:spacing w:before="0" w:after="0"/>
              <w:jc w:val="center"/>
            </w:pPr>
            <w:r>
              <w:rPr>
                <w:rFonts w:ascii="Calibri" w:hAnsi="Calibri"/>
                <w:color w:val="2D3748"/>
                <w:sz w:val="18"/>
              </w:rPr>
              <w:t>Crecimiento orgánico sostenido (+10.4% YoY); demanda sólida y volumen favorable.</w:t>
            </w:r>
          </w:p>
        </w:tc>
      </w:tr>
    </w:tbl>
    <w:p>
      <w:pPr>
        <w:spacing w:after="120"/>
      </w:pPr>
    </w:p>
    <w:p>
      <w:pPr>
        <w:keepNext/>
        <w:spacing w:before="200" w:after="80"/>
      </w:pPr>
      <w:r>
        <w:rPr>
          <w:rFonts w:ascii="Calibri" w:hAnsi="Calibri"/>
          <w:b/>
          <w:color w:val="4A5568"/>
          <w:sz w:val="22"/>
        </w:rPr>
        <w:t>Análisis Cualitativo de las Líneas de Negocio:</w:t>
      </w:r>
    </w:p>
    <w:p>
      <w:pPr>
        <w:spacing w:before="40" w:after="80" w:line="276" w:lineRule="auto"/>
      </w:pPr>
      <w:r>
        <w:rPr>
          <w:rFonts w:ascii="Calibri" w:hAnsi="Calibri"/>
          <w:b/>
          <w:color w:val="2D3748"/>
          <w:sz w:val="20"/>
        </w:rPr>
        <w:t xml:space="preserve">• iPhone (52.6% de facturación): </w:t>
      </w:r>
      <w:r>
        <w:rPr>
          <w:rFonts w:ascii="Calibri" w:hAnsi="Calibri"/>
          <w:i w:val="0"/>
          <w:color w:val="2D3748"/>
          <w:sz w:val="20"/>
        </w:rPr>
        <w:t>Genera $245,540.0 M (+17.2% YoY), consolidándose como pilar operativo clave de Apple Inc..</w:t>
      </w:r>
    </w:p>
    <w:p>
      <w:pPr>
        <w:spacing w:before="40" w:after="80" w:line="276" w:lineRule="auto"/>
      </w:pPr>
      <w:r>
        <w:rPr>
          <w:rFonts w:ascii="Calibri" w:hAnsi="Calibri"/>
          <w:b/>
          <w:color w:val="2D3748"/>
          <w:sz w:val="20"/>
        </w:rPr>
        <w:t xml:space="preserve">• Mac (7.7% de facturación): </w:t>
      </w:r>
      <w:r>
        <w:rPr>
          <w:rFonts w:ascii="Calibri" w:hAnsi="Calibri"/>
          <w:i w:val="0"/>
          <w:color w:val="2D3748"/>
          <w:sz w:val="20"/>
        </w:rPr>
        <w:t>Genera $35,863.0 M (+6.4% YoY), consolidándose como pilar operativo clave de Apple Inc..</w:t>
      </w:r>
    </w:p>
    <w:p>
      <w:pPr>
        <w:spacing w:before="40" w:after="80" w:line="276" w:lineRule="auto"/>
      </w:pPr>
      <w:r>
        <w:rPr>
          <w:rFonts w:ascii="Calibri" w:hAnsi="Calibri"/>
          <w:b/>
          <w:color w:val="2D3748"/>
          <w:sz w:val="20"/>
        </w:rPr>
        <w:t xml:space="preserve">• iPad (6.1% de facturación): </w:t>
      </w:r>
      <w:r>
        <w:rPr>
          <w:rFonts w:ascii="Calibri" w:hAnsi="Calibri"/>
          <w:i w:val="0"/>
          <w:color w:val="2D3748"/>
          <w:sz w:val="20"/>
        </w:rPr>
        <w:t>Genera $28,652.0 M (+2.2% YoY), consolidándose como pilar operativo clave de Apple Inc..</w:t>
      </w:r>
    </w:p>
    <w:p>
      <w:pPr>
        <w:spacing w:before="40" w:after="80" w:line="276" w:lineRule="auto"/>
      </w:pPr>
      <w:r>
        <w:rPr>
          <w:rFonts w:ascii="Calibri" w:hAnsi="Calibri"/>
          <w:b/>
          <w:color w:val="2D3748"/>
          <w:sz w:val="20"/>
        </w:rPr>
        <w:t xml:space="preserve">• Wearables, Home and Accessories (7.8% de facturación): </w:t>
      </w:r>
      <w:r>
        <w:rPr>
          <w:rFonts w:ascii="Calibri" w:hAnsi="Calibri"/>
          <w:i w:val="0"/>
          <w:color w:val="2D3748"/>
          <w:sz w:val="20"/>
        </w:rPr>
        <w:t>Genera $36,290.0 M (+1.7% YoY), consolidándose como pilar operativo clave de Apple Inc..</w:t>
      </w:r>
    </w:p>
    <w:p>
      <w:pPr>
        <w:keepNext/>
        <w:spacing w:before="320" w:after="120"/>
      </w:pPr>
      <w:r>
        <w:rPr>
          <w:rFonts w:ascii="Calibri" w:hAnsi="Calibri"/>
          <w:b/>
          <w:color w:val="1B365D"/>
          <w:sz w:val="26"/>
        </w:rPr>
        <w:t>3. Desglose Geográfico: Mercados y Países de Comercialización (Comparativa Interanual)</w:t>
      </w:r>
    </w:p>
    <w:p>
      <w:pPr>
        <w:spacing w:before="40" w:after="80" w:line="276" w:lineRule="auto"/>
      </w:pPr>
      <w:r>
        <w:rPr>
          <w:rFonts w:ascii="Calibri" w:hAnsi="Calibri"/>
          <w:i w:val="0"/>
          <w:color w:val="2D3748"/>
          <w:sz w:val="20"/>
        </w:rPr>
        <w:t>Apple Inc. reporta sus ingresos desglosados en macro-regiones mundiales, reflejando una diversificación balanceada y expansión global:</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1632"/>
        <w:gridCol w:w="1632"/>
        <w:gridCol w:w="1632"/>
        <w:gridCol w:w="1632"/>
        <w:gridCol w:w="1632"/>
        <w:gridCol w:w="1632"/>
      </w:tblGrid>
      <w:tr>
        <w:tc>
          <w:tcPr>
            <w:tcW w:type="dxa" w:w="2160"/>
            <w:shd w:fill="1B365D"/>
            <w:tcMar>
              <w:top w:w="100" w:type="dxa"/>
              <w:bottom w:w="100" w:type="dxa"/>
              <w:left w:w="120" w:type="dxa"/>
              <w:right w:w="120" w:type="dxa"/>
            </w:tcMar>
          </w:tcPr>
          <w:p>
            <w:pPr>
              <w:spacing w:before="0" w:after="0"/>
              <w:jc w:val="left"/>
            </w:pPr>
            <w:r>
              <w:rPr>
                <w:rFonts w:ascii="Calibri" w:hAnsi="Calibri"/>
                <w:b/>
                <w:color w:val="FFFFFF"/>
                <w:sz w:val="19"/>
              </w:rPr>
              <w:t>Región Geográfica</w:t>
            </w:r>
          </w:p>
        </w:tc>
        <w:tc>
          <w:tcPr>
            <w:tcW w:type="dxa" w:w="1440"/>
            <w:shd w:fill="1B365D"/>
            <w:tcMar>
              <w:top w:w="100" w:type="dxa"/>
              <w:bottom w:w="100" w:type="dxa"/>
              <w:left w:w="120" w:type="dxa"/>
              <w:right w:w="120" w:type="dxa"/>
            </w:tcMar>
          </w:tcPr>
          <w:p>
            <w:pPr>
              <w:spacing w:before="0" w:after="0"/>
              <w:jc w:val="center"/>
            </w:pPr>
            <w:r>
              <w:rPr>
                <w:rFonts w:ascii="Calibri" w:hAnsi="Calibri"/>
                <w:b/>
                <w:color w:val="FFFFFF"/>
                <w:sz w:val="19"/>
              </w:rPr>
              <w:t>LTM ($M)</w:t>
            </w:r>
          </w:p>
        </w:tc>
        <w:tc>
          <w:tcPr>
            <w:tcW w:type="dxa" w:w="1440"/>
            <w:shd w:fill="1B365D"/>
            <w:tcMar>
              <w:top w:w="100" w:type="dxa"/>
              <w:bottom w:w="100" w:type="dxa"/>
              <w:left w:w="120" w:type="dxa"/>
              <w:right w:w="120" w:type="dxa"/>
            </w:tcMar>
          </w:tcPr>
          <w:p>
            <w:pPr>
              <w:spacing w:before="0" w:after="0"/>
              <w:jc w:val="center"/>
            </w:pPr>
            <w:r>
              <w:rPr>
                <w:rFonts w:ascii="Calibri" w:hAnsi="Calibri"/>
                <w:b/>
                <w:color w:val="FFFFFF"/>
                <w:sz w:val="19"/>
              </w:rPr>
              <w:t>FY2025 ($M)</w:t>
            </w:r>
          </w:p>
        </w:tc>
        <w:tc>
          <w:tcPr>
            <w:tcW w:type="dxa" w:w="1440"/>
            <w:shd w:fill="1B365D"/>
            <w:tcMar>
              <w:top w:w="100" w:type="dxa"/>
              <w:bottom w:w="100" w:type="dxa"/>
              <w:left w:w="120" w:type="dxa"/>
              <w:right w:w="120" w:type="dxa"/>
            </w:tcMar>
          </w:tcPr>
          <w:p>
            <w:pPr>
              <w:spacing w:before="0" w:after="0"/>
              <w:jc w:val="center"/>
            </w:pPr>
            <w:r>
              <w:rPr>
                <w:rFonts w:ascii="Calibri" w:hAnsi="Calibri"/>
                <w:b/>
                <w:color w:val="FFFFFF"/>
                <w:sz w:val="19"/>
              </w:rPr>
              <w:t>Variación YoY %</w:t>
            </w:r>
          </w:p>
        </w:tc>
        <w:tc>
          <w:tcPr>
            <w:tcW w:type="dxa" w:w="1296"/>
            <w:shd w:fill="1B365D"/>
            <w:tcMar>
              <w:top w:w="100" w:type="dxa"/>
              <w:bottom w:w="100" w:type="dxa"/>
              <w:left w:w="120" w:type="dxa"/>
              <w:right w:w="120" w:type="dxa"/>
            </w:tcMar>
          </w:tcPr>
          <w:p>
            <w:pPr>
              <w:spacing w:before="0" w:after="0"/>
              <w:jc w:val="center"/>
            </w:pPr>
            <w:r>
              <w:rPr>
                <w:rFonts w:ascii="Calibri" w:hAnsi="Calibri"/>
                <w:b/>
                <w:color w:val="FFFFFF"/>
                <w:sz w:val="19"/>
              </w:rPr>
              <w:t>Peso en Ventas %</w:t>
            </w:r>
          </w:p>
        </w:tc>
        <w:tc>
          <w:tcPr>
            <w:tcW w:type="dxa" w:w="2016"/>
            <w:shd w:fill="1B365D"/>
            <w:tcMar>
              <w:top w:w="100" w:type="dxa"/>
              <w:bottom w:w="100" w:type="dxa"/>
              <w:left w:w="120" w:type="dxa"/>
              <w:right w:w="120" w:type="dxa"/>
            </w:tcMar>
          </w:tcPr>
          <w:p>
            <w:pPr>
              <w:spacing w:before="0" w:after="0"/>
              <w:jc w:val="center"/>
            </w:pPr>
            <w:r>
              <w:rPr>
                <w:rFonts w:ascii="Calibri" w:hAnsi="Calibri"/>
                <w:b/>
                <w:color w:val="FFFFFF"/>
                <w:sz w:val="19"/>
              </w:rPr>
              <w:t>Dinámica del Mercado y Países Clave</w:t>
            </w:r>
          </w:p>
        </w:tc>
      </w:tr>
      <w:tr>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Americas</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$193,595.0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$178,353.0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+8.5%</w:t>
            </w:r>
          </w:p>
        </w:tc>
        <w:tc>
          <w:tcPr>
            <w:tcW w:type="dxa" w:w="1296"/>
            <w:shd w:fill="FFFFFF"/>
            <w:tcMar>
              <w:top w:w="80" w:type="dxa"/>
              <w:bottom w:w="80" w:type="dxa"/>
              <w:left w:w="120" w:type="dxa"/>
              <w:right w:w="120" w:type="dxa"/>
            </w:tcMar>
          </w:tcPr>
          <w:p>
            <w:pPr>
              <w:spacing w:before="0" w:after="0"/>
              <w:jc w:val="center"/>
            </w:pPr>
            <w:r>
              <w:rPr>
                <w:rFonts w:ascii="Calibri" w:hAnsi="Calibri"/>
                <w:color w:val="2D3748"/>
                <w:sz w:val="18"/>
              </w:rPr>
              <w:t>41.5%</w:t>
            </w:r>
          </w:p>
        </w:tc>
        <w:tc>
          <w:tcPr>
            <w:tcW w:type="dxa" w:w="2016"/>
            <w:shd w:fill="FFFFFF"/>
            <w:tcMar>
              <w:top w:w="80" w:type="dxa"/>
              <w:bottom w:w="80" w:type="dxa"/>
              <w:left w:w="120" w:type="dxa"/>
              <w:right w:w="120" w:type="dxa"/>
            </w:tcMar>
          </w:tcPr>
          <w:p>
            <w:pPr>
              <w:spacing w:before="0" w:after="0"/>
              <w:jc w:val="center"/>
            </w:pPr>
            <w:r>
              <w:rPr>
                <w:rFonts w:ascii="Calibri" w:hAnsi="Calibri"/>
                <w:color w:val="2D3748"/>
                <w:sz w:val="18"/>
              </w:rPr>
              <w:t>Mercado estratégico consolidado (+8.5% YoY); estabilidad operativa.</w:t>
            </w:r>
          </w:p>
        </w:tc>
      </w:tr>
      <w:tr>
        <w:tc>
          <w:tcPr>
            <w:tcW w:type="dxa" w:w="2160"/>
            <w:shd w:fill="F7FAFC"/>
            <w:tcMar>
              <w:top w:w="80" w:type="dxa"/>
              <w:bottom w:w="80" w:type="dxa"/>
              <w:left w:w="120" w:type="dxa"/>
              <w:right w:w="120" w:type="dxa"/>
            </w:tcMar>
          </w:tcPr>
          <w:p>
            <w:pPr>
              <w:spacing w:before="0" w:after="0"/>
              <w:jc w:val="left"/>
            </w:pPr>
            <w:r>
              <w:rPr>
                <w:rFonts w:ascii="Calibri" w:hAnsi="Calibri"/>
                <w:color w:val="2D3748"/>
                <w:sz w:val="18"/>
              </w:rPr>
              <w:t>Europe</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$124,299.0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$111,032.0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+11.9%</w:t>
            </w:r>
          </w:p>
        </w:tc>
        <w:tc>
          <w:tcPr>
            <w:tcW w:type="dxa" w:w="1296"/>
            <w:shd w:fill="F7FAFC"/>
            <w:tcMar>
              <w:top w:w="80" w:type="dxa"/>
              <w:bottom w:w="80" w:type="dxa"/>
              <w:left w:w="120" w:type="dxa"/>
              <w:right w:w="120" w:type="dxa"/>
            </w:tcMar>
          </w:tcPr>
          <w:p>
            <w:pPr>
              <w:spacing w:before="0" w:after="0"/>
              <w:jc w:val="center"/>
            </w:pPr>
            <w:r>
              <w:rPr>
                <w:rFonts w:ascii="Calibri" w:hAnsi="Calibri"/>
                <w:color w:val="2D3748"/>
                <w:sz w:val="18"/>
              </w:rPr>
              <w:t>26.6%</w:t>
            </w:r>
          </w:p>
        </w:tc>
        <w:tc>
          <w:tcPr>
            <w:tcW w:type="dxa" w:w="2016"/>
            <w:shd w:fill="F7FAFC"/>
            <w:tcMar>
              <w:top w:w="80" w:type="dxa"/>
              <w:bottom w:w="80" w:type="dxa"/>
              <w:left w:w="120" w:type="dxa"/>
              <w:right w:w="120" w:type="dxa"/>
            </w:tcMar>
          </w:tcPr>
          <w:p>
            <w:pPr>
              <w:spacing w:before="0" w:after="0"/>
              <w:jc w:val="center"/>
            </w:pPr>
            <w:r>
              <w:rPr>
                <w:rFonts w:ascii="Calibri" w:hAnsi="Calibri"/>
                <w:color w:val="2D3748"/>
                <w:sz w:val="18"/>
              </w:rPr>
              <w:t>Mercado estratégico consolidado (+11.9% YoY); estabilidad operativa.</w:t>
            </w:r>
          </w:p>
        </w:tc>
      </w:tr>
      <w:tr>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Greater China</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$79,332.0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$64,377.0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+23.2%</w:t>
            </w:r>
          </w:p>
        </w:tc>
        <w:tc>
          <w:tcPr>
            <w:tcW w:type="dxa" w:w="1296"/>
            <w:shd w:fill="FFFFFF"/>
            <w:tcMar>
              <w:top w:w="80" w:type="dxa"/>
              <w:bottom w:w="80" w:type="dxa"/>
              <w:left w:w="120" w:type="dxa"/>
              <w:right w:w="120" w:type="dxa"/>
            </w:tcMar>
          </w:tcPr>
          <w:p>
            <w:pPr>
              <w:spacing w:before="0" w:after="0"/>
              <w:jc w:val="center"/>
            </w:pPr>
            <w:r>
              <w:rPr>
                <w:rFonts w:ascii="Calibri" w:hAnsi="Calibri"/>
                <w:color w:val="2D3748"/>
                <w:sz w:val="18"/>
              </w:rPr>
              <w:t>17.0%</w:t>
            </w:r>
          </w:p>
        </w:tc>
        <w:tc>
          <w:tcPr>
            <w:tcW w:type="dxa" w:w="2016"/>
            <w:shd w:fill="FFFFFF"/>
            <w:tcMar>
              <w:top w:w="80" w:type="dxa"/>
              <w:bottom w:w="80" w:type="dxa"/>
              <w:left w:w="120" w:type="dxa"/>
              <w:right w:w="120" w:type="dxa"/>
            </w:tcMar>
          </w:tcPr>
          <w:p>
            <w:pPr>
              <w:spacing w:before="0" w:after="0"/>
              <w:jc w:val="center"/>
            </w:pPr>
            <w:r>
              <w:rPr>
                <w:rFonts w:ascii="Calibri" w:hAnsi="Calibri"/>
                <w:color w:val="2D3748"/>
                <w:sz w:val="18"/>
              </w:rPr>
              <w:t>Mercado en fuerte expansión (+23.2% YoY); tracción de demanda local.</w:t>
            </w:r>
          </w:p>
        </w:tc>
      </w:tr>
      <w:tr>
        <w:tc>
          <w:tcPr>
            <w:tcW w:type="dxa" w:w="2160"/>
            <w:shd w:fill="F7FAFC"/>
            <w:tcMar>
              <w:top w:w="80" w:type="dxa"/>
              <w:bottom w:w="80" w:type="dxa"/>
              <w:left w:w="120" w:type="dxa"/>
              <w:right w:w="120" w:type="dxa"/>
            </w:tcMar>
          </w:tcPr>
          <w:p>
            <w:pPr>
              <w:spacing w:before="0" w:after="0"/>
              <w:jc w:val="left"/>
            </w:pPr>
            <w:r>
              <w:rPr>
                <w:rFonts w:ascii="Calibri" w:hAnsi="Calibri"/>
                <w:color w:val="2D3748"/>
                <w:sz w:val="18"/>
              </w:rPr>
              <w:t>Japan</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$31,004.0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$28,703.0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+8.0%</w:t>
            </w:r>
          </w:p>
        </w:tc>
        <w:tc>
          <w:tcPr>
            <w:tcW w:type="dxa" w:w="1296"/>
            <w:shd w:fill="F7FAFC"/>
            <w:tcMar>
              <w:top w:w="80" w:type="dxa"/>
              <w:bottom w:w="80" w:type="dxa"/>
              <w:left w:w="120" w:type="dxa"/>
              <w:right w:w="120" w:type="dxa"/>
            </w:tcMar>
          </w:tcPr>
          <w:p>
            <w:pPr>
              <w:spacing w:before="0" w:after="0"/>
              <w:jc w:val="center"/>
            </w:pPr>
            <w:r>
              <w:rPr>
                <w:rFonts w:ascii="Calibri" w:hAnsi="Calibri"/>
                <w:color w:val="2D3748"/>
                <w:sz w:val="18"/>
              </w:rPr>
              <w:t>6.6%</w:t>
            </w:r>
          </w:p>
        </w:tc>
        <w:tc>
          <w:tcPr>
            <w:tcW w:type="dxa" w:w="2016"/>
            <w:shd w:fill="F7FAFC"/>
            <w:tcMar>
              <w:top w:w="80" w:type="dxa"/>
              <w:bottom w:w="80" w:type="dxa"/>
              <w:left w:w="120" w:type="dxa"/>
              <w:right w:w="120" w:type="dxa"/>
            </w:tcMar>
          </w:tcPr>
          <w:p>
            <w:pPr>
              <w:spacing w:before="0" w:after="0"/>
              <w:jc w:val="center"/>
            </w:pPr>
            <w:r>
              <w:rPr>
                <w:rFonts w:ascii="Calibri" w:hAnsi="Calibri"/>
                <w:color w:val="2D3748"/>
                <w:sz w:val="18"/>
              </w:rPr>
              <w:t>Mercado estratégico consolidado (+8.0% YoY); estabilidad operativa.</w:t>
            </w:r>
          </w:p>
        </w:tc>
      </w:tr>
      <w:tr>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Rest of Asia Pacific</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$38,593.0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$33,696.0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+14.5%</w:t>
            </w:r>
          </w:p>
        </w:tc>
        <w:tc>
          <w:tcPr>
            <w:tcW w:type="dxa" w:w="1296"/>
            <w:shd w:fill="FFFFFF"/>
            <w:tcMar>
              <w:top w:w="80" w:type="dxa"/>
              <w:bottom w:w="80" w:type="dxa"/>
              <w:left w:w="120" w:type="dxa"/>
              <w:right w:w="120" w:type="dxa"/>
            </w:tcMar>
          </w:tcPr>
          <w:p>
            <w:pPr>
              <w:spacing w:before="0" w:after="0"/>
              <w:jc w:val="center"/>
            </w:pPr>
            <w:r>
              <w:rPr>
                <w:rFonts w:ascii="Calibri" w:hAnsi="Calibri"/>
                <w:color w:val="2D3748"/>
                <w:sz w:val="18"/>
              </w:rPr>
              <w:t>8.3%</w:t>
            </w:r>
          </w:p>
        </w:tc>
        <w:tc>
          <w:tcPr>
            <w:tcW w:type="dxa" w:w="2016"/>
            <w:shd w:fill="FFFFFF"/>
            <w:tcMar>
              <w:top w:w="80" w:type="dxa"/>
              <w:bottom w:w="80" w:type="dxa"/>
              <w:left w:w="120" w:type="dxa"/>
              <w:right w:w="120" w:type="dxa"/>
            </w:tcMar>
          </w:tcPr>
          <w:p>
            <w:pPr>
              <w:spacing w:before="0" w:after="0"/>
              <w:jc w:val="center"/>
            </w:pPr>
            <w:r>
              <w:rPr>
                <w:rFonts w:ascii="Calibri" w:hAnsi="Calibri"/>
                <w:color w:val="2D3748"/>
                <w:sz w:val="18"/>
              </w:rPr>
              <w:t>Mercado estratégico consolidado (+14.5% YoY); estabilidad operativa.</w:t>
            </w:r>
          </w:p>
        </w:tc>
      </w:tr>
    </w:tbl>
    <w:p>
      <w:pPr>
        <w:spacing w:after="120"/>
      </w:pPr>
    </w:p>
    <w:p>
      <w:pPr>
        <w:keepNext/>
        <w:spacing w:before="200" w:after="80"/>
      </w:pPr>
      <w:r>
        <w:rPr>
          <w:rFonts w:ascii="Calibri" w:hAnsi="Calibri"/>
          <w:b/>
          <w:color w:val="4A5568"/>
          <w:sz w:val="22"/>
        </w:rPr>
        <w:t>Conclusión sobre Exposición Geográfica y Riesgo Cambiario (FX):</w:t>
      </w:r>
    </w:p>
    <w:p>
      <w:pPr>
        <w:spacing w:before="40" w:after="80" w:line="276" w:lineRule="auto"/>
      </w:pPr>
      <w:r>
        <w:rPr>
          <w:rFonts w:ascii="Calibri" w:hAnsi="Calibri"/>
          <w:b/>
          <w:color w:val="2D3748"/>
          <w:sz w:val="20"/>
        </w:rPr>
        <w:t xml:space="preserve">• Mercado Americas (41.5% del total): </w:t>
      </w:r>
      <w:r>
        <w:rPr>
          <w:rFonts w:ascii="Calibri" w:hAnsi="Calibri"/>
          <w:i w:val="0"/>
          <w:color w:val="2D3748"/>
          <w:sz w:val="20"/>
        </w:rPr>
        <w:t>Aporta $193,595.0 M con variación YoY de +8.5%, diversificando la exposición geográfica de Apple Inc..</w:t>
      </w:r>
    </w:p>
    <w:p>
      <w:pPr>
        <w:spacing w:before="40" w:after="80" w:line="276" w:lineRule="auto"/>
      </w:pPr>
      <w:r>
        <w:rPr>
          <w:rFonts w:ascii="Calibri" w:hAnsi="Calibri"/>
          <w:b/>
          <w:color w:val="2D3748"/>
          <w:sz w:val="20"/>
        </w:rPr>
        <w:t xml:space="preserve">• Mercado Europe (26.6% del total): </w:t>
      </w:r>
      <w:r>
        <w:rPr>
          <w:rFonts w:ascii="Calibri" w:hAnsi="Calibri"/>
          <w:i w:val="0"/>
          <w:color w:val="2D3748"/>
          <w:sz w:val="20"/>
        </w:rPr>
        <w:t>Aporta $124,299.0 M con variación YoY de +11.9%, diversificando la exposición geográfica de Apple Inc..</w:t>
      </w:r>
    </w:p>
    <w:p>
      <w:pPr>
        <w:spacing w:before="40" w:after="80" w:line="276" w:lineRule="auto"/>
      </w:pPr>
      <w:r>
        <w:rPr>
          <w:rFonts w:ascii="Calibri" w:hAnsi="Calibri"/>
          <w:b/>
          <w:color w:val="2D3748"/>
          <w:sz w:val="20"/>
        </w:rPr>
        <w:t xml:space="preserve">• Mercado Greater China (17.0% del total): </w:t>
      </w:r>
      <w:r>
        <w:rPr>
          <w:rFonts w:ascii="Calibri" w:hAnsi="Calibri"/>
          <w:i w:val="0"/>
          <w:color w:val="2D3748"/>
          <w:sz w:val="20"/>
        </w:rPr>
        <w:t>Aporta $79,332.0 M con variación YoY de +23.2%, diversificando la exposición geográfica de Apple Inc..</w:t>
      </w:r>
    </w:p>
    <w:p>
      <w:pPr>
        <w:keepNext/>
        <w:spacing w:before="320" w:after="120"/>
      </w:pPr>
      <w:r>
        <w:rPr>
          <w:rFonts w:ascii="Calibri" w:hAnsi="Calibri"/>
          <w:b/>
          <w:color w:val="1B365D"/>
          <w:sz w:val="26"/>
        </w:rPr>
        <w:t>4. Resumen Ejecutivo y Cuadro de Mando Financiero (Scorecard)</w:t>
      </w:r>
    </w:p>
    <w:p>
      <w:pPr>
        <w:spacing w:before="40" w:after="80" w:line="276" w:lineRule="auto"/>
      </w:pPr>
      <w:r>
        <w:rPr>
          <w:rFonts w:ascii="Calibri" w:hAnsi="Calibri"/>
          <w:i w:val="0"/>
          <w:color w:val="2D3748"/>
          <w:sz w:val="20"/>
        </w:rPr>
        <w:t>Apple Inc. ha presentado unos resultados correspondientes al tercer trimestre del ejercicio fiscal 2026 (Q3 FY26) que superaron ampliamente las previsiones de consenso en ingresos y beneficio por acción, estableciendo nuevos récords históricos para un trimestre de junio a nivel global. El período estuvo marcado por una sólida expansión de márgenes en hardware y servicios y una excepcional conversión de beneficios contables en efectivo real disponible para los accionistas:</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1958"/>
        <w:gridCol w:w="1958"/>
        <w:gridCol w:w="1958"/>
        <w:gridCol w:w="1958"/>
        <w:gridCol w:w="1958"/>
      </w:tblGrid>
      <w:tr>
        <w:tc>
          <w:tcPr>
            <w:tcW w:type="dxa" w:w="2304"/>
            <w:shd w:fill="1B365D"/>
            <w:tcMar>
              <w:top w:w="100" w:type="dxa"/>
              <w:bottom w:w="100" w:type="dxa"/>
              <w:left w:w="120" w:type="dxa"/>
              <w:right w:w="120" w:type="dxa"/>
            </w:tcMar>
          </w:tcPr>
          <w:p>
            <w:pPr>
              <w:spacing w:before="0" w:after="0"/>
              <w:jc w:val="left"/>
            </w:pPr>
            <w:r>
              <w:rPr>
                <w:rFonts w:ascii="Calibri" w:hAnsi="Calibri"/>
                <w:b/>
                <w:color w:val="FFFFFF"/>
                <w:sz w:val="19"/>
              </w:rPr>
              <w:t>Métrica Financiera</w:t>
            </w:r>
          </w:p>
        </w:tc>
        <w:tc>
          <w:tcPr>
            <w:tcW w:type="dxa" w:w="1584"/>
            <w:shd w:fill="1B365D"/>
            <w:tcMar>
              <w:top w:w="100" w:type="dxa"/>
              <w:bottom w:w="100" w:type="dxa"/>
              <w:left w:w="120" w:type="dxa"/>
              <w:right w:w="120" w:type="dxa"/>
            </w:tcMar>
          </w:tcPr>
          <w:p>
            <w:pPr>
              <w:spacing w:before="0" w:after="0"/>
              <w:jc w:val="center"/>
            </w:pPr>
            <w:r>
              <w:rPr>
                <w:rFonts w:ascii="Calibri" w:hAnsi="Calibri"/>
                <w:b/>
                <w:color w:val="FFFFFF"/>
                <w:sz w:val="19"/>
              </w:rPr>
              <w:t>Q3 FY26 (Reportado)</w:t>
            </w:r>
          </w:p>
        </w:tc>
        <w:tc>
          <w:tcPr>
            <w:tcW w:type="dxa" w:w="1440"/>
            <w:shd w:fill="1B365D"/>
            <w:tcMar>
              <w:top w:w="100" w:type="dxa"/>
              <w:bottom w:w="100" w:type="dxa"/>
              <w:left w:w="120" w:type="dxa"/>
              <w:right w:w="120" w:type="dxa"/>
            </w:tcMar>
          </w:tcPr>
          <w:p>
            <w:pPr>
              <w:spacing w:before="0" w:after="0"/>
              <w:jc w:val="center"/>
            </w:pPr>
            <w:r>
              <w:rPr>
                <w:rFonts w:ascii="Calibri" w:hAnsi="Calibri"/>
                <w:b/>
                <w:color w:val="FFFFFF"/>
                <w:sz w:val="19"/>
              </w:rPr>
              <w:t>Q3 FY25 (Previo)</w:t>
            </w:r>
          </w:p>
        </w:tc>
        <w:tc>
          <w:tcPr>
            <w:tcW w:type="dxa" w:w="1440"/>
            <w:shd w:fill="1B365D"/>
            <w:tcMar>
              <w:top w:w="100" w:type="dxa"/>
              <w:bottom w:w="100" w:type="dxa"/>
              <w:left w:w="120" w:type="dxa"/>
              <w:right w:w="120" w:type="dxa"/>
            </w:tcMar>
          </w:tcPr>
          <w:p>
            <w:pPr>
              <w:spacing w:before="0" w:after="0"/>
              <w:jc w:val="center"/>
            </w:pPr>
            <w:r>
              <w:rPr>
                <w:rFonts w:ascii="Calibri" w:hAnsi="Calibri"/>
                <w:b/>
                <w:color w:val="FFFFFF"/>
                <w:sz w:val="19"/>
              </w:rPr>
              <w:t>Variación YoY</w:t>
            </w:r>
          </w:p>
        </w:tc>
        <w:tc>
          <w:tcPr>
            <w:tcW w:type="dxa" w:w="3024"/>
            <w:shd w:fill="1B365D"/>
            <w:tcMar>
              <w:top w:w="100" w:type="dxa"/>
              <w:bottom w:w="100" w:type="dxa"/>
              <w:left w:w="120" w:type="dxa"/>
              <w:right w:w="120" w:type="dxa"/>
            </w:tcMar>
          </w:tcPr>
          <w:p>
            <w:pPr>
              <w:spacing w:before="0" w:after="0"/>
              <w:jc w:val="center"/>
            </w:pPr>
            <w:r>
              <w:rPr>
                <w:rFonts w:ascii="Calibri" w:hAnsi="Calibri"/>
                <w:b/>
                <w:color w:val="FFFFFF"/>
                <w:sz w:val="19"/>
              </w:rPr>
              <w:t>Diagnóstico Fundamental y Salud Operativa</w:t>
            </w:r>
          </w:p>
        </w:tc>
      </w:tr>
      <w:tr>
        <w:tc>
          <w:tcPr>
            <w:tcW w:type="dxa" w:w="2304"/>
            <w:shd w:fill="FFFFFF"/>
            <w:tcMar>
              <w:top w:w="80" w:type="dxa"/>
              <w:bottom w:w="80" w:type="dxa"/>
              <w:left w:w="120" w:type="dxa"/>
              <w:right w:w="120" w:type="dxa"/>
            </w:tcMar>
          </w:tcPr>
          <w:p>
            <w:pPr>
              <w:spacing w:before="0" w:after="0"/>
              <w:jc w:val="left"/>
            </w:pPr>
            <w:r>
              <w:rPr>
                <w:rFonts w:ascii="Calibri" w:hAnsi="Calibri"/>
                <w:color w:val="2D3748"/>
                <w:sz w:val="18"/>
              </w:rPr>
              <w:t>Ingresos Netos Totales</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$109,417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$94,036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+16.4%</w:t>
            </w:r>
          </w:p>
        </w:tc>
        <w:tc>
          <w:tcPr>
            <w:tcW w:type="dxa" w:w="3024"/>
            <w:shd w:fill="FFFFFF"/>
            <w:tcMar>
              <w:top w:w="80" w:type="dxa"/>
              <w:bottom w:w="80" w:type="dxa"/>
              <w:left w:w="120" w:type="dxa"/>
              <w:right w:w="120" w:type="dxa"/>
            </w:tcMar>
          </w:tcPr>
          <w:p>
            <w:pPr>
              <w:spacing w:before="0" w:after="0"/>
              <w:jc w:val="center"/>
            </w:pPr>
            <w:r>
              <w:rPr>
                <w:rFonts w:ascii="Calibri" w:hAnsi="Calibri"/>
                <w:color w:val="2D3748"/>
                <w:sz w:val="18"/>
              </w:rPr>
              <w:t>Récord histórico de junio; crecimiento acelerado de doble dígito en hardware y servicios.</w:t>
            </w:r>
          </w:p>
        </w:tc>
      </w:tr>
      <w:tr>
        <w:tc>
          <w:tcPr>
            <w:tcW w:type="dxa" w:w="2304"/>
            <w:shd w:fill="F7FAFC"/>
            <w:tcMar>
              <w:top w:w="80" w:type="dxa"/>
              <w:bottom w:w="80" w:type="dxa"/>
              <w:left w:w="120" w:type="dxa"/>
              <w:right w:w="120" w:type="dxa"/>
            </w:tcMar>
          </w:tcPr>
          <w:p>
            <w:pPr>
              <w:spacing w:before="0" w:after="0"/>
              <w:jc w:val="left"/>
            </w:pPr>
            <w:r>
              <w:rPr>
                <w:rFonts w:ascii="Calibri" w:hAnsi="Calibri"/>
                <w:color w:val="2D3748"/>
                <w:sz w:val="18"/>
              </w:rPr>
              <w:t>Margen Bruto ($M)</w:t>
            </w:r>
          </w:p>
        </w:tc>
        <w:tc>
          <w:tcPr>
            <w:tcW w:type="dxa" w:w="1584"/>
            <w:shd w:fill="F7FAFC"/>
            <w:tcMar>
              <w:top w:w="80" w:type="dxa"/>
              <w:bottom w:w="80" w:type="dxa"/>
              <w:left w:w="120" w:type="dxa"/>
              <w:right w:w="120" w:type="dxa"/>
            </w:tcMar>
          </w:tcPr>
          <w:p>
            <w:pPr>
              <w:spacing w:before="0" w:after="0"/>
              <w:jc w:val="center"/>
            </w:pPr>
            <w:r>
              <w:rPr>
                <w:rFonts w:ascii="Calibri" w:hAnsi="Calibri"/>
                <w:color w:val="2D3748"/>
                <w:sz w:val="18"/>
              </w:rPr>
              <w:t>$54,770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$43,718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+25.3%</w:t>
            </w:r>
          </w:p>
        </w:tc>
        <w:tc>
          <w:tcPr>
            <w:tcW w:type="dxa" w:w="3024"/>
            <w:shd w:fill="F7FAFC"/>
            <w:tcMar>
              <w:top w:w="80" w:type="dxa"/>
              <w:bottom w:w="80" w:type="dxa"/>
              <w:left w:w="120" w:type="dxa"/>
              <w:right w:w="120" w:type="dxa"/>
            </w:tcMar>
          </w:tcPr>
          <w:p>
            <w:pPr>
              <w:spacing w:before="0" w:after="0"/>
              <w:jc w:val="center"/>
            </w:pPr>
            <w:r>
              <w:rPr>
                <w:rFonts w:ascii="Calibri" w:hAnsi="Calibri"/>
                <w:color w:val="2D3748"/>
                <w:sz w:val="18"/>
              </w:rPr>
              <w:t>Fuerte poder de fijación de precios y mix favorable hacia gamas Pro y Servicios.</w:t>
            </w:r>
          </w:p>
        </w:tc>
      </w:tr>
      <w:tr>
        <w:tc>
          <w:tcPr>
            <w:tcW w:type="dxa" w:w="2304"/>
            <w:shd w:fill="FFFFFF"/>
            <w:tcMar>
              <w:top w:w="80" w:type="dxa"/>
              <w:bottom w:w="80" w:type="dxa"/>
              <w:left w:w="120" w:type="dxa"/>
              <w:right w:w="120" w:type="dxa"/>
            </w:tcMar>
          </w:tcPr>
          <w:p>
            <w:pPr>
              <w:spacing w:before="0" w:after="0"/>
              <w:jc w:val="left"/>
            </w:pPr>
            <w:r>
              <w:rPr>
                <w:rFonts w:ascii="Calibri" w:hAnsi="Calibri"/>
                <w:color w:val="2D3748"/>
                <w:sz w:val="18"/>
              </w:rPr>
              <w:t>Margen Bruto (%)</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50.06%</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46.49%</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+357 bps</w:t>
            </w:r>
          </w:p>
        </w:tc>
        <w:tc>
          <w:tcPr>
            <w:tcW w:type="dxa" w:w="3024"/>
            <w:shd w:fill="FFFFFF"/>
            <w:tcMar>
              <w:top w:w="80" w:type="dxa"/>
              <w:bottom w:w="80" w:type="dxa"/>
              <w:left w:w="120" w:type="dxa"/>
              <w:right w:w="120" w:type="dxa"/>
            </w:tcMar>
          </w:tcPr>
          <w:p>
            <w:pPr>
              <w:spacing w:before="0" w:after="0"/>
              <w:jc w:val="center"/>
            </w:pPr>
            <w:r>
              <w:rPr>
                <w:rFonts w:ascii="Calibri" w:hAnsi="Calibri"/>
                <w:color w:val="2D3748"/>
                <w:sz w:val="18"/>
              </w:rPr>
              <w:t>Expansión estructural de rentabilidad (incluye +200 bps de créditos arancelarios; subyacente ~48.1%).</w:t>
            </w:r>
          </w:p>
        </w:tc>
      </w:tr>
      <w:tr>
        <w:tc>
          <w:tcPr>
            <w:tcW w:type="dxa" w:w="2304"/>
            <w:shd w:fill="F7FAFC"/>
            <w:tcMar>
              <w:top w:w="80" w:type="dxa"/>
              <w:bottom w:w="80" w:type="dxa"/>
              <w:left w:w="120" w:type="dxa"/>
              <w:right w:w="120" w:type="dxa"/>
            </w:tcMar>
          </w:tcPr>
          <w:p>
            <w:pPr>
              <w:spacing w:before="0" w:after="0"/>
              <w:jc w:val="left"/>
            </w:pPr>
            <w:r>
              <w:rPr>
                <w:rFonts w:ascii="Calibri" w:hAnsi="Calibri"/>
                <w:color w:val="2D3748"/>
                <w:sz w:val="18"/>
              </w:rPr>
              <w:t>Gastos Operativos (OpEx)</w:t>
            </w:r>
          </w:p>
        </w:tc>
        <w:tc>
          <w:tcPr>
            <w:tcW w:type="dxa" w:w="1584"/>
            <w:shd w:fill="F7FAFC"/>
            <w:tcMar>
              <w:top w:w="80" w:type="dxa"/>
              <w:bottom w:w="80" w:type="dxa"/>
              <w:left w:w="120" w:type="dxa"/>
              <w:right w:w="120" w:type="dxa"/>
            </w:tcMar>
          </w:tcPr>
          <w:p>
            <w:pPr>
              <w:spacing w:before="0" w:after="0"/>
              <w:jc w:val="center"/>
            </w:pPr>
            <w:r>
              <w:rPr>
                <w:rFonts w:ascii="Calibri" w:hAnsi="Calibri"/>
                <w:color w:val="2D3748"/>
                <w:sz w:val="18"/>
              </w:rPr>
              <w:t>$19,075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$15,516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+22.9%</w:t>
            </w:r>
          </w:p>
        </w:tc>
        <w:tc>
          <w:tcPr>
            <w:tcW w:type="dxa" w:w="3024"/>
            <w:shd w:fill="F7FAFC"/>
            <w:tcMar>
              <w:top w:w="80" w:type="dxa"/>
              <w:bottom w:w="80" w:type="dxa"/>
              <w:left w:w="120" w:type="dxa"/>
              <w:right w:w="120" w:type="dxa"/>
            </w:tcMar>
          </w:tcPr>
          <w:p>
            <w:pPr>
              <w:spacing w:before="0" w:after="0"/>
              <w:jc w:val="center"/>
            </w:pPr>
            <w:r>
              <w:rPr>
                <w:rFonts w:ascii="Calibri" w:hAnsi="Calibri"/>
                <w:color w:val="2D3748"/>
                <w:sz w:val="18"/>
              </w:rPr>
              <w:t>Inversión estratégica controlada; aceleración selectiva en I+D (+32.3% YoY) por infraestructura de IA.</w:t>
            </w:r>
          </w:p>
        </w:tc>
      </w:tr>
      <w:tr>
        <w:tc>
          <w:tcPr>
            <w:tcW w:type="dxa" w:w="2304"/>
            <w:shd w:fill="FFFFFF"/>
            <w:tcMar>
              <w:top w:w="80" w:type="dxa"/>
              <w:bottom w:w="80" w:type="dxa"/>
              <w:left w:w="120" w:type="dxa"/>
              <w:right w:w="120" w:type="dxa"/>
            </w:tcMar>
          </w:tcPr>
          <w:p>
            <w:pPr>
              <w:spacing w:before="0" w:after="0"/>
              <w:jc w:val="left"/>
            </w:pPr>
            <w:r>
              <w:rPr>
                <w:rFonts w:ascii="Calibri" w:hAnsi="Calibri"/>
                <w:color w:val="2D3748"/>
                <w:sz w:val="18"/>
              </w:rPr>
              <w:t>Beneficio Operativo (EBIT)</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$35,695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$28,202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+26.6%</w:t>
            </w:r>
          </w:p>
        </w:tc>
        <w:tc>
          <w:tcPr>
            <w:tcW w:type="dxa" w:w="3024"/>
            <w:shd w:fill="FFFFFF"/>
            <w:tcMar>
              <w:top w:w="80" w:type="dxa"/>
              <w:bottom w:w="80" w:type="dxa"/>
              <w:left w:w="120" w:type="dxa"/>
              <w:right w:w="120" w:type="dxa"/>
            </w:tcMar>
          </w:tcPr>
          <w:p>
            <w:pPr>
              <w:spacing w:before="0" w:after="0"/>
              <w:jc w:val="center"/>
            </w:pPr>
            <w:r>
              <w:rPr>
                <w:rFonts w:ascii="Calibri" w:hAnsi="Calibri"/>
                <w:color w:val="2D3748"/>
                <w:sz w:val="18"/>
              </w:rPr>
              <w:t>Evidencia de apalancamiento operativo positivo: el beneficio crece 1.6x más rápido que los ingresos.</w:t>
            </w:r>
          </w:p>
        </w:tc>
      </w:tr>
      <w:tr>
        <w:tc>
          <w:tcPr>
            <w:tcW w:type="dxa" w:w="2304"/>
            <w:shd w:fill="F7FAFC"/>
            <w:tcMar>
              <w:top w:w="80" w:type="dxa"/>
              <w:bottom w:w="80" w:type="dxa"/>
              <w:left w:w="120" w:type="dxa"/>
              <w:right w:w="120" w:type="dxa"/>
            </w:tcMar>
          </w:tcPr>
          <w:p>
            <w:pPr>
              <w:spacing w:before="0" w:after="0"/>
              <w:jc w:val="left"/>
            </w:pPr>
            <w:r>
              <w:rPr>
                <w:rFonts w:ascii="Calibri" w:hAnsi="Calibri"/>
                <w:color w:val="2D3748"/>
                <w:sz w:val="18"/>
              </w:rPr>
              <w:t>Margen Operativo (%)</w:t>
            </w:r>
          </w:p>
        </w:tc>
        <w:tc>
          <w:tcPr>
            <w:tcW w:type="dxa" w:w="1584"/>
            <w:shd w:fill="F7FAFC"/>
            <w:tcMar>
              <w:top w:w="80" w:type="dxa"/>
              <w:bottom w:w="80" w:type="dxa"/>
              <w:left w:w="120" w:type="dxa"/>
              <w:right w:w="120" w:type="dxa"/>
            </w:tcMar>
          </w:tcPr>
          <w:p>
            <w:pPr>
              <w:spacing w:before="0" w:after="0"/>
              <w:jc w:val="center"/>
            </w:pPr>
            <w:r>
              <w:rPr>
                <w:rFonts w:ascii="Calibri" w:hAnsi="Calibri"/>
                <w:color w:val="2D3748"/>
                <w:sz w:val="18"/>
              </w:rPr>
              <w:t>32.62%</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29.99%</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+263 bps</w:t>
            </w:r>
          </w:p>
        </w:tc>
        <w:tc>
          <w:tcPr>
            <w:tcW w:type="dxa" w:w="3024"/>
            <w:shd w:fill="F7FAFC"/>
            <w:tcMar>
              <w:top w:w="80" w:type="dxa"/>
              <w:bottom w:w="80" w:type="dxa"/>
              <w:left w:w="120" w:type="dxa"/>
              <w:right w:w="120" w:type="dxa"/>
            </w:tcMar>
          </w:tcPr>
          <w:p>
            <w:pPr>
              <w:spacing w:before="0" w:after="0"/>
              <w:jc w:val="center"/>
            </w:pPr>
            <w:r>
              <w:rPr>
                <w:rFonts w:ascii="Calibri" w:hAnsi="Calibri"/>
                <w:color w:val="2D3748"/>
                <w:sz w:val="18"/>
              </w:rPr>
              <w:t>Eficiencia de escala de primer nivel en la industria tecnológica global.</w:t>
            </w:r>
          </w:p>
        </w:tc>
      </w:tr>
      <w:tr>
        <w:tc>
          <w:tcPr>
            <w:tcW w:type="dxa" w:w="2304"/>
            <w:shd w:fill="FFFFFF"/>
            <w:tcMar>
              <w:top w:w="80" w:type="dxa"/>
              <w:bottom w:w="80" w:type="dxa"/>
              <w:left w:w="120" w:type="dxa"/>
              <w:right w:w="120" w:type="dxa"/>
            </w:tcMar>
          </w:tcPr>
          <w:p>
            <w:pPr>
              <w:spacing w:before="0" w:after="0"/>
              <w:jc w:val="left"/>
            </w:pPr>
            <w:r>
              <w:rPr>
                <w:rFonts w:ascii="Calibri" w:hAnsi="Calibri"/>
                <w:color w:val="2D3748"/>
                <w:sz w:val="18"/>
              </w:rPr>
              <w:t>Beneficio Neto ($M)</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$29,789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$23,434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+27.1%</w:t>
            </w:r>
          </w:p>
        </w:tc>
        <w:tc>
          <w:tcPr>
            <w:tcW w:type="dxa" w:w="3024"/>
            <w:shd w:fill="FFFFFF"/>
            <w:tcMar>
              <w:top w:w="80" w:type="dxa"/>
              <w:bottom w:w="80" w:type="dxa"/>
              <w:left w:w="120" w:type="dxa"/>
              <w:right w:w="120" w:type="dxa"/>
            </w:tcMar>
          </w:tcPr>
          <w:p>
            <w:pPr>
              <w:spacing w:before="0" w:after="0"/>
              <w:jc w:val="center"/>
            </w:pPr>
            <w:r>
              <w:rPr>
                <w:rFonts w:ascii="Calibri" w:hAnsi="Calibri"/>
                <w:color w:val="2D3748"/>
                <w:sz w:val="18"/>
              </w:rPr>
              <w:t>Máximo histórico de utilidades netas para un tercer trimestre fiscal.</w:t>
            </w:r>
          </w:p>
        </w:tc>
      </w:tr>
      <w:tr>
        <w:tc>
          <w:tcPr>
            <w:tcW w:type="dxa" w:w="2304"/>
            <w:shd w:fill="F7FAFC"/>
            <w:tcMar>
              <w:top w:w="80" w:type="dxa"/>
              <w:bottom w:w="80" w:type="dxa"/>
              <w:left w:w="120" w:type="dxa"/>
              <w:right w:w="120" w:type="dxa"/>
            </w:tcMar>
          </w:tcPr>
          <w:p>
            <w:pPr>
              <w:spacing w:before="0" w:after="0"/>
              <w:jc w:val="left"/>
            </w:pPr>
            <w:r>
              <w:rPr>
                <w:rFonts w:ascii="Calibri" w:hAnsi="Calibri"/>
                <w:color w:val="2D3748"/>
                <w:sz w:val="18"/>
              </w:rPr>
              <w:t>Margen Neto (%)</w:t>
            </w:r>
          </w:p>
        </w:tc>
        <w:tc>
          <w:tcPr>
            <w:tcW w:type="dxa" w:w="1584"/>
            <w:shd w:fill="F7FAFC"/>
            <w:tcMar>
              <w:top w:w="80" w:type="dxa"/>
              <w:bottom w:w="80" w:type="dxa"/>
              <w:left w:w="120" w:type="dxa"/>
              <w:right w:w="120" w:type="dxa"/>
            </w:tcMar>
          </w:tcPr>
          <w:p>
            <w:pPr>
              <w:spacing w:before="0" w:after="0"/>
              <w:jc w:val="center"/>
            </w:pPr>
            <w:r>
              <w:rPr>
                <w:rFonts w:ascii="Calibri" w:hAnsi="Calibri"/>
                <w:color w:val="2D3748"/>
                <w:sz w:val="18"/>
              </w:rPr>
              <w:t>27.23%</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24.92%</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+231 bps</w:t>
            </w:r>
          </w:p>
        </w:tc>
        <w:tc>
          <w:tcPr>
            <w:tcW w:type="dxa" w:w="3024"/>
            <w:shd w:fill="F7FAFC"/>
            <w:tcMar>
              <w:top w:w="80" w:type="dxa"/>
              <w:bottom w:w="80" w:type="dxa"/>
              <w:left w:w="120" w:type="dxa"/>
              <w:right w:w="120" w:type="dxa"/>
            </w:tcMar>
          </w:tcPr>
          <w:p>
            <w:pPr>
              <w:spacing w:before="0" w:after="0"/>
              <w:jc w:val="center"/>
            </w:pPr>
            <w:r>
              <w:rPr>
                <w:rFonts w:ascii="Calibri" w:hAnsi="Calibri"/>
                <w:color w:val="2D3748"/>
                <w:sz w:val="18"/>
              </w:rPr>
              <w:t>Extraordinaria capacidad de retención de valor: más de 27 centavos limpios por cada dólar ingresado.</w:t>
            </w:r>
          </w:p>
        </w:tc>
      </w:tr>
      <w:tr>
        <w:tc>
          <w:tcPr>
            <w:tcW w:type="dxa" w:w="2304"/>
            <w:shd w:fill="FFFFFF"/>
            <w:tcMar>
              <w:top w:w="80" w:type="dxa"/>
              <w:bottom w:w="80" w:type="dxa"/>
              <w:left w:w="120" w:type="dxa"/>
              <w:right w:w="120" w:type="dxa"/>
            </w:tcMar>
          </w:tcPr>
          <w:p>
            <w:pPr>
              <w:spacing w:before="0" w:after="0"/>
              <w:jc w:val="left"/>
            </w:pPr>
            <w:r>
              <w:rPr>
                <w:rFonts w:ascii="Calibri" w:hAnsi="Calibri"/>
                <w:color w:val="2D3748"/>
                <w:sz w:val="18"/>
              </w:rPr>
              <w:t>Flujo de Caja Operativo (CFO)</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$34,400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$28,900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+19.0%</w:t>
            </w:r>
          </w:p>
        </w:tc>
        <w:tc>
          <w:tcPr>
            <w:tcW w:type="dxa" w:w="3024"/>
            <w:shd w:fill="FFFFFF"/>
            <w:tcMar>
              <w:top w:w="80" w:type="dxa"/>
              <w:bottom w:w="80" w:type="dxa"/>
              <w:left w:w="120" w:type="dxa"/>
              <w:right w:w="120" w:type="dxa"/>
            </w:tcMar>
          </w:tcPr>
          <w:p>
            <w:pPr>
              <w:spacing w:before="0" w:after="0"/>
              <w:jc w:val="center"/>
            </w:pPr>
            <w:r>
              <w:rPr>
                <w:rFonts w:ascii="Calibri" w:hAnsi="Calibri"/>
                <w:color w:val="2D3748"/>
                <w:sz w:val="18"/>
              </w:rPr>
              <w:t>Solidez de cobros y sincronización de capital de trabajo operativo.</w:t>
            </w:r>
          </w:p>
        </w:tc>
      </w:tr>
      <w:tr>
        <w:tc>
          <w:tcPr>
            <w:tcW w:type="dxa" w:w="2304"/>
            <w:shd w:fill="F7FAFC"/>
            <w:tcMar>
              <w:top w:w="80" w:type="dxa"/>
              <w:bottom w:w="80" w:type="dxa"/>
              <w:left w:w="120" w:type="dxa"/>
              <w:right w:w="120" w:type="dxa"/>
            </w:tcMar>
          </w:tcPr>
          <w:p>
            <w:pPr>
              <w:spacing w:before="0" w:after="0"/>
              <w:jc w:val="left"/>
            </w:pPr>
            <w:r>
              <w:rPr>
                <w:rFonts w:ascii="Calibri" w:hAnsi="Calibri"/>
                <w:color w:val="2D3748"/>
                <w:sz w:val="18"/>
              </w:rPr>
              <w:t>Flujo de Caja Libre (FCF)</w:t>
            </w:r>
          </w:p>
        </w:tc>
        <w:tc>
          <w:tcPr>
            <w:tcW w:type="dxa" w:w="1584"/>
            <w:shd w:fill="F7FAFC"/>
            <w:tcMar>
              <w:top w:w="80" w:type="dxa"/>
              <w:bottom w:w="80" w:type="dxa"/>
              <w:left w:w="120" w:type="dxa"/>
              <w:right w:w="120" w:type="dxa"/>
            </w:tcMar>
          </w:tcPr>
          <w:p>
            <w:pPr>
              <w:spacing w:before="0" w:after="0"/>
              <w:jc w:val="center"/>
            </w:pPr>
            <w:r>
              <w:rPr>
                <w:rFonts w:ascii="Calibri" w:hAnsi="Calibri"/>
                <w:color w:val="2D3748"/>
                <w:sz w:val="18"/>
              </w:rPr>
              <w:t>$31,500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$26,200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+20.2%</w:t>
            </w:r>
          </w:p>
        </w:tc>
        <w:tc>
          <w:tcPr>
            <w:tcW w:type="dxa" w:w="3024"/>
            <w:shd w:fill="F7FAFC"/>
            <w:tcMar>
              <w:top w:w="80" w:type="dxa"/>
              <w:bottom w:w="80" w:type="dxa"/>
              <w:left w:w="120" w:type="dxa"/>
              <w:right w:w="120" w:type="dxa"/>
            </w:tcMar>
          </w:tcPr>
          <w:p>
            <w:pPr>
              <w:spacing w:before="0" w:after="0"/>
              <w:jc w:val="center"/>
            </w:pPr>
            <w:r>
              <w:rPr>
                <w:rFonts w:ascii="Calibri" w:hAnsi="Calibri"/>
                <w:color w:val="2D3748"/>
                <w:sz w:val="18"/>
              </w:rPr>
              <w:t>Métrica reina de creación de valor; capital disponible tras financiar todo el CapEx ($2,900 M).</w:t>
            </w:r>
          </w:p>
        </w:tc>
      </w:tr>
      <w:tr>
        <w:tc>
          <w:tcPr>
            <w:tcW w:type="dxa" w:w="2304"/>
            <w:shd w:fill="FFFFFF"/>
            <w:tcMar>
              <w:top w:w="80" w:type="dxa"/>
              <w:bottom w:w="80" w:type="dxa"/>
              <w:left w:w="120" w:type="dxa"/>
              <w:right w:w="120" w:type="dxa"/>
            </w:tcMar>
          </w:tcPr>
          <w:p>
            <w:pPr>
              <w:spacing w:before="0" w:after="0"/>
              <w:jc w:val="left"/>
            </w:pPr>
            <w:r>
              <w:rPr>
                <w:rFonts w:ascii="Calibri" w:hAnsi="Calibri"/>
                <w:color w:val="2D3748"/>
                <w:sz w:val="18"/>
              </w:rPr>
              <w:t>Margen FCF (%)</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28.79%</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27.86%</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+93 bps</w:t>
            </w:r>
          </w:p>
        </w:tc>
        <w:tc>
          <w:tcPr>
            <w:tcW w:type="dxa" w:w="3024"/>
            <w:shd w:fill="FFFFFF"/>
            <w:tcMar>
              <w:top w:w="80" w:type="dxa"/>
              <w:bottom w:w="80" w:type="dxa"/>
              <w:left w:w="120" w:type="dxa"/>
              <w:right w:w="120" w:type="dxa"/>
            </w:tcMar>
          </w:tcPr>
          <w:p>
            <w:pPr>
              <w:spacing w:before="0" w:after="0"/>
              <w:jc w:val="center"/>
            </w:pPr>
            <w:r>
              <w:rPr>
                <w:rFonts w:ascii="Calibri" w:hAnsi="Calibri"/>
                <w:color w:val="2D3748"/>
                <w:sz w:val="18"/>
              </w:rPr>
              <w:t>Generación de caja pura superior al propio margen neto, confirmando ganancias de alta calidad.</w:t>
            </w:r>
          </w:p>
        </w:tc>
      </w:tr>
      <w:tr>
        <w:tc>
          <w:tcPr>
            <w:tcW w:type="dxa" w:w="2304"/>
            <w:shd w:fill="F7FAFC"/>
            <w:tcMar>
              <w:top w:w="80" w:type="dxa"/>
              <w:bottom w:w="80" w:type="dxa"/>
              <w:left w:w="120" w:type="dxa"/>
              <w:right w:w="120" w:type="dxa"/>
            </w:tcMar>
          </w:tcPr>
          <w:p>
            <w:pPr>
              <w:spacing w:before="0" w:after="0"/>
              <w:jc w:val="left"/>
            </w:pPr>
            <w:r>
              <w:rPr>
                <w:rFonts w:ascii="Calibri" w:hAnsi="Calibri"/>
                <w:color w:val="2D3748"/>
                <w:sz w:val="18"/>
              </w:rPr>
              <w:t>Conversión FCF / Beneficio Neto</w:t>
            </w:r>
          </w:p>
        </w:tc>
        <w:tc>
          <w:tcPr>
            <w:tcW w:type="dxa" w:w="1584"/>
            <w:shd w:fill="F7FAFC"/>
            <w:tcMar>
              <w:top w:w="80" w:type="dxa"/>
              <w:bottom w:w="80" w:type="dxa"/>
              <w:left w:w="120" w:type="dxa"/>
              <w:right w:w="120" w:type="dxa"/>
            </w:tcMar>
          </w:tcPr>
          <w:p>
            <w:pPr>
              <w:spacing w:before="0" w:after="0"/>
              <w:jc w:val="center"/>
            </w:pPr>
            <w:r>
              <w:rPr>
                <w:rFonts w:ascii="Calibri" w:hAnsi="Calibri"/>
                <w:color w:val="2D3748"/>
                <w:sz w:val="18"/>
              </w:rPr>
              <w:t>105.7%</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111.8%</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Óptima</w:t>
            </w:r>
          </w:p>
        </w:tc>
        <w:tc>
          <w:tcPr>
            <w:tcW w:type="dxa" w:w="3024"/>
            <w:shd w:fill="F7FAFC"/>
            <w:tcMar>
              <w:top w:w="80" w:type="dxa"/>
              <w:bottom w:w="80" w:type="dxa"/>
              <w:left w:w="120" w:type="dxa"/>
              <w:right w:w="120" w:type="dxa"/>
            </w:tcMar>
          </w:tcPr>
          <w:p>
            <w:pPr>
              <w:spacing w:before="0" w:after="0"/>
              <w:jc w:val="center"/>
            </w:pPr>
            <w:r>
              <w:rPr>
                <w:rFonts w:ascii="Calibri" w:hAnsi="Calibri"/>
                <w:color w:val="2D3748"/>
                <w:sz w:val="18"/>
              </w:rPr>
              <w:t>Tasa &gt; 100% certifica ausencia de devengos agresivos: los beneficios son 100% dinero contante y sonante.</w:t>
            </w:r>
          </w:p>
        </w:tc>
      </w:tr>
      <w:tr>
        <w:tc>
          <w:tcPr>
            <w:tcW w:type="dxa" w:w="2304"/>
            <w:shd w:fill="FFFFFF"/>
            <w:tcMar>
              <w:top w:w="80" w:type="dxa"/>
              <w:bottom w:w="80" w:type="dxa"/>
              <w:left w:w="120" w:type="dxa"/>
              <w:right w:w="120" w:type="dxa"/>
            </w:tcMar>
          </w:tcPr>
          <w:p>
            <w:pPr>
              <w:spacing w:before="0" w:after="0"/>
              <w:jc w:val="left"/>
            </w:pPr>
            <w:r>
              <w:rPr>
                <w:rFonts w:ascii="Calibri" w:hAnsi="Calibri"/>
                <w:color w:val="2D3748"/>
                <w:sz w:val="18"/>
              </w:rPr>
              <w:t>Beneficio por Acción (EPS Diluido)</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$2.02</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$1.57</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+28.7%</w:t>
            </w:r>
          </w:p>
        </w:tc>
        <w:tc>
          <w:tcPr>
            <w:tcW w:type="dxa" w:w="3024"/>
            <w:shd w:fill="FFFFFF"/>
            <w:tcMar>
              <w:top w:w="80" w:type="dxa"/>
              <w:bottom w:w="80" w:type="dxa"/>
              <w:left w:w="120" w:type="dxa"/>
              <w:right w:w="120" w:type="dxa"/>
            </w:tcMar>
          </w:tcPr>
          <w:p>
            <w:pPr>
              <w:spacing w:before="0" w:after="0"/>
              <w:jc w:val="center"/>
            </w:pPr>
            <w:r>
              <w:rPr>
                <w:rFonts w:ascii="Calibri" w:hAnsi="Calibri"/>
                <w:color w:val="2D3748"/>
                <w:sz w:val="18"/>
              </w:rPr>
              <w:t>El crecimiento del EPS supera al beneficio neto (+27.1%) gracias a la recompra activa de acciones.</w:t>
            </w:r>
          </w:p>
        </w:tc>
      </w:tr>
      <w:tr>
        <w:tc>
          <w:tcPr>
            <w:tcW w:type="dxa" w:w="2304"/>
            <w:shd w:fill="F7FAFC"/>
            <w:tcMar>
              <w:top w:w="80" w:type="dxa"/>
              <w:bottom w:w="80" w:type="dxa"/>
              <w:left w:w="120" w:type="dxa"/>
              <w:right w:w="120" w:type="dxa"/>
            </w:tcMar>
          </w:tcPr>
          <w:p>
            <w:pPr>
              <w:spacing w:before="0" w:after="0"/>
              <w:jc w:val="left"/>
            </w:pPr>
            <w:r>
              <w:rPr>
                <w:rFonts w:ascii="Calibri" w:hAnsi="Calibri"/>
                <w:color w:val="2D3748"/>
                <w:sz w:val="18"/>
              </w:rPr>
              <w:t>Base Instalada de Dispositivos</w:t>
            </w:r>
          </w:p>
        </w:tc>
        <w:tc>
          <w:tcPr>
            <w:tcW w:type="dxa" w:w="1584"/>
            <w:shd w:fill="F7FAFC"/>
            <w:tcMar>
              <w:top w:w="80" w:type="dxa"/>
              <w:bottom w:w="80" w:type="dxa"/>
              <w:left w:w="120" w:type="dxa"/>
              <w:right w:w="120" w:type="dxa"/>
            </w:tcMar>
          </w:tcPr>
          <w:p>
            <w:pPr>
              <w:spacing w:before="0" w:after="0"/>
              <w:jc w:val="center"/>
            </w:pPr>
            <w:r>
              <w:rPr>
                <w:rFonts w:ascii="Calibri" w:hAnsi="Calibri"/>
                <w:color w:val="2D3748"/>
                <w:sz w:val="18"/>
              </w:rPr>
              <w:t>&gt; 2,500 Millones</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~2,200 Millones</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+13.6%</w:t>
            </w:r>
          </w:p>
        </w:tc>
        <w:tc>
          <w:tcPr>
            <w:tcW w:type="dxa" w:w="3024"/>
            <w:shd w:fill="F7FAFC"/>
            <w:tcMar>
              <w:top w:w="80" w:type="dxa"/>
              <w:bottom w:w="80" w:type="dxa"/>
              <w:left w:w="120" w:type="dxa"/>
              <w:right w:w="120" w:type="dxa"/>
            </w:tcMar>
          </w:tcPr>
          <w:p>
            <w:pPr>
              <w:spacing w:before="0" w:after="0"/>
              <w:jc w:val="center"/>
            </w:pPr>
            <w:r>
              <w:rPr>
                <w:rFonts w:ascii="Calibri" w:hAnsi="Calibri"/>
                <w:color w:val="2D3748"/>
                <w:sz w:val="18"/>
              </w:rPr>
              <w:t>Ecosistema en expansión récord que ensancha el foso defensivo (economic moat).</w:t>
            </w:r>
          </w:p>
        </w:tc>
      </w:tr>
      <w:tr>
        <w:tc>
          <w:tcPr>
            <w:tcW w:type="dxa" w:w="2304"/>
            <w:shd w:fill="FFFFFF"/>
            <w:tcMar>
              <w:top w:w="80" w:type="dxa"/>
              <w:bottom w:w="80" w:type="dxa"/>
              <w:left w:w="120" w:type="dxa"/>
              <w:right w:w="120" w:type="dxa"/>
            </w:tcMar>
          </w:tcPr>
          <w:p>
            <w:pPr>
              <w:spacing w:before="0" w:after="0"/>
              <w:jc w:val="left"/>
            </w:pPr>
            <w:r>
              <w:rPr>
                <w:rFonts w:ascii="Calibri" w:hAnsi="Calibri"/>
                <w:color w:val="2D3748"/>
                <w:sz w:val="18"/>
              </w:rPr>
              <w:t>Suscripciones Pagadas (Servicios)</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&gt; 1,500 Millones</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&gt; 1,000 Millones</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+50.0%</w:t>
            </w:r>
          </w:p>
        </w:tc>
        <w:tc>
          <w:tcPr>
            <w:tcW w:type="dxa" w:w="3024"/>
            <w:shd w:fill="FFFFFF"/>
            <w:tcMar>
              <w:top w:w="80" w:type="dxa"/>
              <w:bottom w:w="80" w:type="dxa"/>
              <w:left w:w="120" w:type="dxa"/>
              <w:right w:w="120" w:type="dxa"/>
            </w:tcMar>
          </w:tcPr>
          <w:p>
            <w:pPr>
              <w:spacing w:before="0" w:after="0"/>
              <w:jc w:val="center"/>
            </w:pPr>
            <w:r>
              <w:rPr>
                <w:rFonts w:ascii="Calibri" w:hAnsi="Calibri"/>
                <w:color w:val="2D3748"/>
                <w:sz w:val="18"/>
              </w:rPr>
              <w:t>Pilar de ingresos recurrentes de altísimo margen (75.6% margen bruto).</w:t>
            </w:r>
          </w:p>
        </w:tc>
      </w:tr>
    </w:tbl>
    <w:p>
      <w:pPr>
        <w:spacing w:after="120"/>
      </w:pPr>
    </w:p>
    <w:tbl>
      <w:tblPr>
        <w:tblW w:type="auto" w:w="0"/>
        <w:jc w:val="center"/>
        <w:tblLayout w:type="fixed"/>
        <w:tblLook w:firstColumn="1" w:firstRow="1" w:lastColumn="0" w:lastRow="0" w:noHBand="0" w:noVBand="1" w:val="04A0"/>
      </w:tblPr>
      <w:tblGrid>
        <w:gridCol w:w="9792"/>
      </w:tblGrid>
      <w:tr>
        <w:tc>
          <w:tcPr>
            <w:tcW w:type="dxa" w:w="9792"/>
            <w:shd w:fill="F0F4F8"/>
            <w:tcMar>
              <w:top w:w="140" w:type="dxa"/>
              <w:bottom w:w="140" w:type="dxa"/>
              <w:left w:w="180" w:type="dxa"/>
              <w:right w:w="180" w:type="dxa"/>
            </w:tcMar>
            <w:tcBorders>
              <w:left w:val="single" w:sz="24" w:space="0" w:color="1B365D"/>
              <w:top w:val="none"/>
              <w:right w:val="none"/>
              <w:bottom w:val="none"/>
            </w:tcBorders>
          </w:tcPr>
          <w:p>
            <w:pPr>
              <w:spacing w:before="0" w:after="80"/>
            </w:pPr>
            <w:r>
              <w:rPr>
                <w:rFonts w:ascii="Segoe UI Emoji" w:hAnsi="Segoe UI Emoji"/>
                <w:sz w:val="21"/>
              </w:rPr>
              <w:t xml:space="preserve">📌  </w:t>
            </w:r>
            <w:r>
              <w:rPr>
                <w:rFonts w:ascii="Calibri" w:hAnsi="Calibri"/>
                <w:b/>
                <w:color w:val="1B365D"/>
                <w:sz w:val="21"/>
              </w:rPr>
              <w:t>GUÍA DE DIAGNÓSTICO FUNDAMENTAL: ¿QUÉ EVALÚA CADA PARÁMETRO CLAVE?</w:t>
            </w:r>
          </w:p>
          <w:p>
            <w:pPr>
              <w:spacing w:before="40" w:after="40" w:line="276" w:lineRule="auto"/>
            </w:pPr>
            <w:r>
              <w:rPr>
                <w:rFonts w:ascii="Calibri" w:hAnsi="Calibri"/>
                <w:color w:val="2D3748"/>
                <w:sz w:val="19"/>
              </w:rPr>
              <w:t>• Margen Bruto (%): Mide el poder de fijación de precios (pricing power) de la empresa y la ventaja competitiva frente a sus proveedores y costes directos. Un margen en expansión indica que el cliente está dispuesto a pagar por el valor de la marca o que la compañía tiene economías de escala superiores.</w:t>
            </w:r>
          </w:p>
          <w:p>
            <w:pPr>
              <w:spacing w:before="40" w:after="40" w:line="276" w:lineRule="auto"/>
            </w:pPr>
            <w:r>
              <w:rPr>
                <w:rFonts w:ascii="Calibri" w:hAnsi="Calibri"/>
                <w:color w:val="2D3748"/>
                <w:sz w:val="19"/>
              </w:rPr>
              <w:t>• Margen Operativo (%): Refleja la eficiencia de la gestión para controlar la estructura fija de administración, marketing e investigación (OpEx). Demuestra si la compañía goza de apalancamiento operativo positivo.</w:t>
            </w:r>
          </w:p>
          <w:p>
            <w:pPr>
              <w:spacing w:before="40" w:after="40" w:line="276" w:lineRule="auto"/>
            </w:pPr>
            <w:r>
              <w:rPr>
                <w:rFonts w:ascii="Calibri" w:hAnsi="Calibri"/>
                <w:color w:val="2D3748"/>
                <w:sz w:val="19"/>
              </w:rPr>
              <w:t>• Margen Neto (%): Es la rentabilidad final que le queda a la empresa tras cubrir costes operativos, gastos financieros de la deuda e impuestos corporativos. Proporción de los ingresos que termina directamente en el bolsillo de los accionistas.</w:t>
            </w:r>
          </w:p>
          <w:p>
            <w:pPr>
              <w:spacing w:before="40" w:after="40" w:line="276" w:lineRule="auto"/>
            </w:pPr>
            <w:r>
              <w:rPr>
                <w:rFonts w:ascii="Calibri" w:hAnsi="Calibri"/>
                <w:color w:val="2D3748"/>
                <w:sz w:val="19"/>
              </w:rPr>
              <w:t>• Flujo de Caja Libre (FCF) y Margen FCF: Es el indicador más fidedigno de la salud económica real (Cash is King). Mide los dólares reales que ingresan a la caja tras pagar todas las inversiones de mantenimiento y expansión (CapEx). Capital disponible para recomprar acciones, pagar dividendos o desendeudarse.</w:t>
            </w:r>
          </w:p>
          <w:p>
            <w:pPr>
              <w:spacing w:before="40" w:after="40" w:line="276" w:lineRule="auto"/>
            </w:pPr>
            <w:r>
              <w:rPr>
                <w:rFonts w:ascii="Calibri" w:hAnsi="Calibri"/>
                <w:color w:val="2D3748"/>
                <w:sz w:val="19"/>
              </w:rPr>
              <w:t>• Tasa de Conversión FCF / Beneficio Neto: Evalúa la calidad contable de las ganancias. Ratios consistentes en torno o por encima del 100% garantizan que la empresa no está inflando sus resultados con devengos agresivos.</w:t>
            </w:r>
          </w:p>
        </w:tc>
      </w:tr>
    </w:tbl>
    <w:p>
      <w:pPr>
        <w:spacing w:after="80"/>
      </w:pPr>
    </w:p>
    <w:p>
      <w:pPr>
        <w:keepNext/>
        <w:spacing w:before="320" w:after="120"/>
      </w:pPr>
      <w:r>
        <w:rPr>
          <w:rFonts w:ascii="Calibri" w:hAnsi="Calibri"/>
          <w:b/>
          <w:color w:val="1B365D"/>
          <w:sz w:val="26"/>
        </w:rPr>
        <w:t>5. Análisis Exhaustivo de Conferencia de Resultados (Earnings Calls) y Auditoría del Discurso Directivo</w:t>
      </w:r>
    </w:p>
    <w:p>
      <w:pPr>
        <w:keepNext/>
        <w:spacing w:before="200" w:after="80"/>
      </w:pPr>
      <w:r>
        <w:rPr>
          <w:rFonts w:ascii="Calibri" w:hAnsi="Calibri"/>
          <w:b/>
          <w:color w:val="4A5568"/>
          <w:sz w:val="22"/>
        </w:rPr>
        <w:t>BLOQUE A: Análisis del Trimestre Más Reciente (Q3 FY2026)</w:t>
      </w:r>
    </w:p>
    <w:p>
      <w:pPr>
        <w:spacing w:before="40" w:after="80" w:line="276" w:lineRule="auto"/>
      </w:pPr>
      <w:r>
        <w:rPr>
          <w:rFonts w:ascii="Calibri" w:hAnsi="Calibri"/>
          <w:i w:val="0"/>
          <w:color w:val="2D3748"/>
          <w:sz w:val="20"/>
        </w:rPr>
        <w:t>Durante la conferencia de resultados del tercer trimestre fiscal de 2026 (concluida el 27 de junio de 2026), el equipo directivo de Apple Inc.—encabezado por Tim Cook (CEO saliente), Kevan Parekh (CFO) y John Ternus (CEO entrante)—transmitió un tono de máxima confianza operativa y validación estratégica. Los resultados marcaron un récord histórico de facturación para un trimestre de junio ($109,417 M, +16.4% YoY) con crecimiento sincronizado de doble dígito en todas las geografías. No obstante, la dirección combinó el optimismo con una postura de cautela pragmática ante restricciones físicas en nodos avanzados de silicio e inflación severa en componentes de memoria.</w:t>
      </w:r>
    </w:p>
    <w:p>
      <w:pPr>
        <w:keepNext/>
        <w:spacing w:before="200" w:after="80"/>
      </w:pPr>
      <w:r>
        <w:rPr>
          <w:rFonts w:ascii="Calibri" w:hAnsi="Calibri"/>
          <w:b/>
          <w:color w:val="4A5568"/>
          <w:sz w:val="22"/>
        </w:rPr>
        <w:t>1. Proyecciones Oficiales y Guidance del Management:</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3264"/>
        <w:gridCol w:w="3264"/>
        <w:gridCol w:w="3264"/>
      </w:tblGrid>
      <w:tr>
        <w:tc>
          <w:tcPr>
            <w:tcW w:type="dxa" w:w="2880"/>
            <w:shd w:fill="1B365D"/>
            <w:tcMar>
              <w:top w:w="100" w:type="dxa"/>
              <w:bottom w:w="100" w:type="dxa"/>
              <w:left w:w="120" w:type="dxa"/>
              <w:right w:w="120" w:type="dxa"/>
            </w:tcMar>
          </w:tcPr>
          <w:p>
            <w:pPr>
              <w:spacing w:before="0" w:after="0"/>
              <w:jc w:val="left"/>
            </w:pPr>
            <w:r>
              <w:rPr>
                <w:rFonts w:ascii="Calibri" w:hAnsi="Calibri"/>
                <w:b/>
                <w:color w:val="FFFFFF"/>
                <w:sz w:val="19"/>
              </w:rPr>
              <w:t>Métrica / Parámetro Proyectado</w:t>
            </w:r>
          </w:p>
        </w:tc>
        <w:tc>
          <w:tcPr>
            <w:tcW w:type="dxa" w:w="2592"/>
            <w:shd w:fill="1B365D"/>
            <w:tcMar>
              <w:top w:w="100" w:type="dxa"/>
              <w:bottom w:w="100" w:type="dxa"/>
              <w:left w:w="120" w:type="dxa"/>
              <w:right w:w="120" w:type="dxa"/>
            </w:tcMar>
          </w:tcPr>
          <w:p>
            <w:pPr>
              <w:spacing w:before="0" w:after="0"/>
              <w:jc w:val="center"/>
            </w:pPr>
            <w:r>
              <w:rPr>
                <w:rFonts w:ascii="Calibri" w:hAnsi="Calibri"/>
                <w:b/>
                <w:color w:val="FFFFFF"/>
                <w:sz w:val="19"/>
              </w:rPr>
              <w:t>Rango de Guidance Oficial (Q4 FY26)</w:t>
            </w:r>
          </w:p>
        </w:tc>
        <w:tc>
          <w:tcPr>
            <w:tcW w:type="dxa" w:w="4320"/>
            <w:shd w:fill="1B365D"/>
            <w:tcMar>
              <w:top w:w="100" w:type="dxa"/>
              <w:bottom w:w="100" w:type="dxa"/>
              <w:left w:w="120" w:type="dxa"/>
              <w:right w:w="120" w:type="dxa"/>
            </w:tcMar>
          </w:tcPr>
          <w:p>
            <w:pPr>
              <w:spacing w:before="0" w:after="0"/>
              <w:jc w:val="left"/>
            </w:pPr>
            <w:r>
              <w:rPr>
                <w:rFonts w:ascii="Calibri" w:hAnsi="Calibri"/>
                <w:b/>
                <w:color w:val="FFFFFF"/>
                <w:sz w:val="19"/>
              </w:rPr>
              <w:t>Lectura Estratégica y Factores Clave</w:t>
            </w:r>
          </w:p>
        </w:tc>
      </w:tr>
      <w:tr>
        <w:tc>
          <w:tcPr>
            <w:tcW w:type="dxa" w:w="2880"/>
            <w:shd w:fill="FFFFFF"/>
            <w:tcMar>
              <w:top w:w="80" w:type="dxa"/>
              <w:bottom w:w="80" w:type="dxa"/>
              <w:left w:w="120" w:type="dxa"/>
              <w:right w:w="120" w:type="dxa"/>
            </w:tcMar>
          </w:tcPr>
          <w:p>
            <w:pPr>
              <w:spacing w:before="0" w:after="0"/>
              <w:jc w:val="left"/>
            </w:pPr>
            <w:r>
              <w:rPr>
                <w:rFonts w:ascii="Calibri" w:hAnsi="Calibri"/>
                <w:color w:val="2D3748"/>
                <w:sz w:val="18"/>
              </w:rPr>
              <w:t>Crecimiento de Ingresos Totales</w:t>
            </w:r>
          </w:p>
        </w:tc>
        <w:tc>
          <w:tcPr>
            <w:tcW w:type="dxa" w:w="2592"/>
            <w:shd w:fill="FFFFFF"/>
            <w:tcMar>
              <w:top w:w="80" w:type="dxa"/>
              <w:bottom w:w="80" w:type="dxa"/>
              <w:left w:w="120" w:type="dxa"/>
              <w:right w:w="120" w:type="dxa"/>
            </w:tcMar>
          </w:tcPr>
          <w:p>
            <w:pPr>
              <w:spacing w:before="0" w:after="0"/>
              <w:jc w:val="center"/>
            </w:pPr>
            <w:r>
              <w:rPr>
                <w:rFonts w:ascii="Calibri" w:hAnsi="Calibri"/>
                <w:color w:val="2D3748"/>
                <w:sz w:val="18"/>
              </w:rPr>
              <w:t>+9.0% a +11.0% YoY</w:t>
            </w:r>
          </w:p>
        </w:tc>
        <w:tc>
          <w:tcPr>
            <w:tcW w:type="dxa" w:w="4320"/>
            <w:shd w:fill="FFFFFF"/>
            <w:tcMar>
              <w:top w:w="80" w:type="dxa"/>
              <w:bottom w:w="80" w:type="dxa"/>
              <w:left w:w="120" w:type="dxa"/>
              <w:right w:w="120" w:type="dxa"/>
            </w:tcMar>
          </w:tcPr>
          <w:p>
            <w:pPr>
              <w:spacing w:before="0" w:after="0"/>
              <w:jc w:val="left"/>
            </w:pPr>
            <w:r>
              <w:rPr>
                <w:rFonts w:ascii="Calibri" w:hAnsi="Calibri"/>
                <w:color w:val="2D3748"/>
                <w:sz w:val="18"/>
              </w:rPr>
              <w:t>Desaceleración técnica de ~500 bps explicada por -2.5 pp de viento cambiario (FX) y restricciones de suministro.</w:t>
            </w:r>
          </w:p>
        </w:tc>
      </w:tr>
      <w:tr>
        <w:tc>
          <w:tcPr>
            <w:tcW w:type="dxa" w:w="2880"/>
            <w:shd w:fill="F7FAFC"/>
            <w:tcMar>
              <w:top w:w="80" w:type="dxa"/>
              <w:bottom w:w="80" w:type="dxa"/>
              <w:left w:w="120" w:type="dxa"/>
              <w:right w:w="120" w:type="dxa"/>
            </w:tcMar>
          </w:tcPr>
          <w:p>
            <w:pPr>
              <w:spacing w:before="0" w:after="0"/>
              <w:jc w:val="left"/>
            </w:pPr>
            <w:r>
              <w:rPr>
                <w:rFonts w:ascii="Calibri" w:hAnsi="Calibri"/>
                <w:color w:val="2D3748"/>
                <w:sz w:val="18"/>
              </w:rPr>
              <w:t>Ingresos por iPhone</w:t>
            </w:r>
          </w:p>
        </w:tc>
        <w:tc>
          <w:tcPr>
            <w:tcW w:type="dxa" w:w="2592"/>
            <w:shd w:fill="F7FAFC"/>
            <w:tcMar>
              <w:top w:w="80" w:type="dxa"/>
              <w:bottom w:w="80" w:type="dxa"/>
              <w:left w:w="120" w:type="dxa"/>
              <w:right w:w="120" w:type="dxa"/>
            </w:tcMar>
          </w:tcPr>
          <w:p>
            <w:pPr>
              <w:spacing w:before="0" w:after="0"/>
              <w:jc w:val="center"/>
            </w:pPr>
            <w:r>
              <w:rPr>
                <w:rFonts w:ascii="Calibri" w:hAnsi="Calibri"/>
                <w:color w:val="2D3748"/>
                <w:sz w:val="18"/>
              </w:rPr>
              <w:t>Rango 'Mid-Teens' (~14% a 16% YoY)</w:t>
            </w:r>
          </w:p>
        </w:tc>
        <w:tc>
          <w:tcPr>
            <w:tcW w:type="dxa" w:w="4320"/>
            <w:shd w:fill="F7FAFC"/>
            <w:tcMar>
              <w:top w:w="80" w:type="dxa"/>
              <w:bottom w:w="80" w:type="dxa"/>
              <w:left w:w="120" w:type="dxa"/>
              <w:right w:w="120" w:type="dxa"/>
            </w:tcMar>
          </w:tcPr>
          <w:p>
            <w:pPr>
              <w:spacing w:before="0" w:after="0"/>
              <w:jc w:val="left"/>
            </w:pPr>
            <w:r>
              <w:rPr>
                <w:rFonts w:ascii="Calibri" w:hAnsi="Calibri"/>
                <w:color w:val="2D3748"/>
                <w:sz w:val="18"/>
              </w:rPr>
              <w:t>Fuerte demanda estructural de la familia iPhone 17; sujeta a disponibilidad de chips en nodos avanzados.</w:t>
            </w:r>
          </w:p>
        </w:tc>
      </w:tr>
      <w:tr>
        <w:tc>
          <w:tcPr>
            <w:tcW w:type="dxa" w:w="2880"/>
            <w:shd w:fill="FFFFFF"/>
            <w:tcMar>
              <w:top w:w="80" w:type="dxa"/>
              <w:bottom w:w="80" w:type="dxa"/>
              <w:left w:w="120" w:type="dxa"/>
              <w:right w:w="120" w:type="dxa"/>
            </w:tcMar>
          </w:tcPr>
          <w:p>
            <w:pPr>
              <w:spacing w:before="0" w:after="0"/>
              <w:jc w:val="left"/>
            </w:pPr>
            <w:r>
              <w:rPr>
                <w:rFonts w:ascii="Calibri" w:hAnsi="Calibri"/>
                <w:color w:val="2D3748"/>
                <w:sz w:val="18"/>
              </w:rPr>
              <w:t>Ingresos por Servicios</w:t>
            </w:r>
          </w:p>
        </w:tc>
        <w:tc>
          <w:tcPr>
            <w:tcW w:type="dxa" w:w="2592"/>
            <w:shd w:fill="FFFFFF"/>
            <w:tcMar>
              <w:top w:w="80" w:type="dxa"/>
              <w:bottom w:w="80" w:type="dxa"/>
              <w:left w:w="120" w:type="dxa"/>
              <w:right w:w="120" w:type="dxa"/>
            </w:tcMar>
          </w:tcPr>
          <w:p>
            <w:pPr>
              <w:spacing w:before="0" w:after="0"/>
              <w:jc w:val="center"/>
            </w:pPr>
            <w:r>
              <w:rPr>
                <w:rFonts w:ascii="Calibri" w:hAnsi="Calibri"/>
                <w:color w:val="2D3748"/>
                <w:sz w:val="18"/>
              </w:rPr>
              <w:t>~12.0% YoY (Tasa similar a Q3)</w:t>
            </w:r>
          </w:p>
        </w:tc>
        <w:tc>
          <w:tcPr>
            <w:tcW w:type="dxa" w:w="4320"/>
            <w:shd w:fill="FFFFFF"/>
            <w:tcMar>
              <w:top w:w="80" w:type="dxa"/>
              <w:bottom w:w="80" w:type="dxa"/>
              <w:left w:w="120" w:type="dxa"/>
              <w:right w:w="120" w:type="dxa"/>
            </w:tcMar>
          </w:tcPr>
          <w:p>
            <w:pPr>
              <w:spacing w:before="0" w:after="0"/>
              <w:jc w:val="left"/>
            </w:pPr>
            <w:r>
              <w:rPr>
                <w:rFonts w:ascii="Calibri" w:hAnsi="Calibri"/>
                <w:color w:val="2D3748"/>
                <w:sz w:val="18"/>
              </w:rPr>
              <w:t>Tras neutralizar el impacto cambiario adverso de -2.5 pp, la línea mantiene su solidez recurrente.</w:t>
            </w:r>
          </w:p>
        </w:tc>
      </w:tr>
      <w:tr>
        <w:tc>
          <w:tcPr>
            <w:tcW w:type="dxa" w:w="2880"/>
            <w:shd w:fill="F7FAFC"/>
            <w:tcMar>
              <w:top w:w="80" w:type="dxa"/>
              <w:bottom w:w="80" w:type="dxa"/>
              <w:left w:w="120" w:type="dxa"/>
              <w:right w:w="120" w:type="dxa"/>
            </w:tcMar>
          </w:tcPr>
          <w:p>
            <w:pPr>
              <w:spacing w:before="0" w:after="0"/>
              <w:jc w:val="left"/>
            </w:pPr>
            <w:r>
              <w:rPr>
                <w:rFonts w:ascii="Calibri" w:hAnsi="Calibri"/>
                <w:color w:val="2D3748"/>
                <w:sz w:val="18"/>
              </w:rPr>
              <w:t>Margen Bruto Consolidado</w:t>
            </w:r>
          </w:p>
        </w:tc>
        <w:tc>
          <w:tcPr>
            <w:tcW w:type="dxa" w:w="2592"/>
            <w:shd w:fill="F7FAFC"/>
            <w:tcMar>
              <w:top w:w="80" w:type="dxa"/>
              <w:bottom w:w="80" w:type="dxa"/>
              <w:left w:w="120" w:type="dxa"/>
              <w:right w:w="120" w:type="dxa"/>
            </w:tcMar>
          </w:tcPr>
          <w:p>
            <w:pPr>
              <w:spacing w:before="0" w:after="0"/>
              <w:jc w:val="center"/>
            </w:pPr>
            <w:r>
              <w:rPr>
                <w:rFonts w:ascii="Calibri" w:hAnsi="Calibri"/>
                <w:color w:val="2D3748"/>
                <w:sz w:val="18"/>
              </w:rPr>
              <w:t>47.0% a 48.0%</w:t>
            </w:r>
          </w:p>
        </w:tc>
        <w:tc>
          <w:tcPr>
            <w:tcW w:type="dxa" w:w="4320"/>
            <w:shd w:fill="F7FAFC"/>
            <w:tcMar>
              <w:top w:w="80" w:type="dxa"/>
              <w:bottom w:w="80" w:type="dxa"/>
              <w:left w:w="120" w:type="dxa"/>
              <w:right w:w="120" w:type="dxa"/>
            </w:tcMar>
          </w:tcPr>
          <w:p>
            <w:pPr>
              <w:spacing w:before="0" w:after="0"/>
              <w:jc w:val="left"/>
            </w:pPr>
            <w:r>
              <w:rPr>
                <w:rFonts w:ascii="Calibri" w:hAnsi="Calibri"/>
                <w:color w:val="2D3748"/>
                <w:sz w:val="18"/>
              </w:rPr>
              <w:t>Incluye ~1.0 pp de beneficio por devoluciones arancelarias (margen subyacente de 46.0% a 47.0%).</w:t>
            </w:r>
          </w:p>
        </w:tc>
      </w:tr>
      <w:tr>
        <w:tc>
          <w:tcPr>
            <w:tcW w:type="dxa" w:w="2880"/>
            <w:shd w:fill="FFFFFF"/>
            <w:tcMar>
              <w:top w:w="80" w:type="dxa"/>
              <w:bottom w:w="80" w:type="dxa"/>
              <w:left w:w="120" w:type="dxa"/>
              <w:right w:w="120" w:type="dxa"/>
            </w:tcMar>
          </w:tcPr>
          <w:p>
            <w:pPr>
              <w:spacing w:before="0" w:after="0"/>
              <w:jc w:val="left"/>
            </w:pPr>
            <w:r>
              <w:rPr>
                <w:rFonts w:ascii="Calibri" w:hAnsi="Calibri"/>
                <w:color w:val="2D3748"/>
                <w:sz w:val="18"/>
              </w:rPr>
              <w:t>Gastos Operativos (OpEx)</w:t>
            </w:r>
          </w:p>
        </w:tc>
        <w:tc>
          <w:tcPr>
            <w:tcW w:type="dxa" w:w="2592"/>
            <w:shd w:fill="FFFFFF"/>
            <w:tcMar>
              <w:top w:w="80" w:type="dxa"/>
              <w:bottom w:w="80" w:type="dxa"/>
              <w:left w:w="120" w:type="dxa"/>
              <w:right w:w="120" w:type="dxa"/>
            </w:tcMar>
          </w:tcPr>
          <w:p>
            <w:pPr>
              <w:spacing w:before="0" w:after="0"/>
              <w:jc w:val="center"/>
            </w:pPr>
            <w:r>
              <w:rPr>
                <w:rFonts w:ascii="Calibri" w:hAnsi="Calibri"/>
                <w:color w:val="2D3748"/>
                <w:sz w:val="18"/>
              </w:rPr>
              <w:t>$19,100 M a $19,400 M</w:t>
            </w:r>
          </w:p>
        </w:tc>
        <w:tc>
          <w:tcPr>
            <w:tcW w:type="dxa" w:w="4320"/>
            <w:shd w:fill="FFFFFF"/>
            <w:tcMar>
              <w:top w:w="80" w:type="dxa"/>
              <w:bottom w:w="80" w:type="dxa"/>
              <w:left w:w="120" w:type="dxa"/>
              <w:right w:w="120" w:type="dxa"/>
            </w:tcMar>
          </w:tcPr>
          <w:p>
            <w:pPr>
              <w:spacing w:before="0" w:after="0"/>
              <w:jc w:val="left"/>
            </w:pPr>
            <w:r>
              <w:rPr>
                <w:rFonts w:ascii="Calibri" w:hAnsi="Calibri"/>
                <w:color w:val="2D3748"/>
                <w:sz w:val="18"/>
              </w:rPr>
              <w:t>Inversión sostenida en I+D (+32% YoY) destinada a silicio propietario e infraestructura de IA.</w:t>
            </w:r>
          </w:p>
        </w:tc>
      </w:tr>
      <w:tr>
        <w:tc>
          <w:tcPr>
            <w:tcW w:type="dxa" w:w="2880"/>
            <w:shd w:fill="F7FAFC"/>
            <w:tcMar>
              <w:top w:w="80" w:type="dxa"/>
              <w:bottom w:w="80" w:type="dxa"/>
              <w:left w:w="120" w:type="dxa"/>
              <w:right w:w="120" w:type="dxa"/>
            </w:tcMar>
          </w:tcPr>
          <w:p>
            <w:pPr>
              <w:spacing w:before="0" w:after="0"/>
              <w:jc w:val="left"/>
            </w:pPr>
            <w:r>
              <w:rPr>
                <w:rFonts w:ascii="Calibri" w:hAnsi="Calibri"/>
                <w:color w:val="2D3748"/>
                <w:sz w:val="18"/>
              </w:rPr>
              <w:t>Otros Ingresos / Gastos (OIE)</w:t>
            </w:r>
          </w:p>
        </w:tc>
        <w:tc>
          <w:tcPr>
            <w:tcW w:type="dxa" w:w="2592"/>
            <w:shd w:fill="F7FAFC"/>
            <w:tcMar>
              <w:top w:w="80" w:type="dxa"/>
              <w:bottom w:w="80" w:type="dxa"/>
              <w:left w:w="120" w:type="dxa"/>
              <w:right w:w="120" w:type="dxa"/>
            </w:tcMar>
          </w:tcPr>
          <w:p>
            <w:pPr>
              <w:spacing w:before="0" w:after="0"/>
              <w:jc w:val="center"/>
            </w:pPr>
            <w:r>
              <w:rPr>
                <w:rFonts w:ascii="Calibri" w:hAnsi="Calibri"/>
                <w:color w:val="2D3748"/>
                <w:sz w:val="18"/>
              </w:rPr>
              <w:t>~$350 M positivos</w:t>
            </w:r>
          </w:p>
        </w:tc>
        <w:tc>
          <w:tcPr>
            <w:tcW w:type="dxa" w:w="4320"/>
            <w:shd w:fill="F7FAFC"/>
            <w:tcMar>
              <w:top w:w="80" w:type="dxa"/>
              <w:bottom w:w="80" w:type="dxa"/>
              <w:left w:w="120" w:type="dxa"/>
              <w:right w:w="120" w:type="dxa"/>
            </w:tcMar>
          </w:tcPr>
          <w:p>
            <w:pPr>
              <w:spacing w:before="0" w:after="0"/>
              <w:jc w:val="left"/>
            </w:pPr>
            <w:r>
              <w:rPr>
                <w:rFonts w:ascii="Calibri" w:hAnsi="Calibri"/>
                <w:color w:val="2D3748"/>
                <w:sz w:val="18"/>
              </w:rPr>
              <w:t>Excluyendo variaciones por valoración a mercado de participaciones minoritarias.</w:t>
            </w:r>
          </w:p>
        </w:tc>
      </w:tr>
      <w:tr>
        <w:tc>
          <w:tcPr>
            <w:tcW w:type="dxa" w:w="2880"/>
            <w:shd w:fill="FFFFFF"/>
            <w:tcMar>
              <w:top w:w="80" w:type="dxa"/>
              <w:bottom w:w="80" w:type="dxa"/>
              <w:left w:w="120" w:type="dxa"/>
              <w:right w:w="120" w:type="dxa"/>
            </w:tcMar>
          </w:tcPr>
          <w:p>
            <w:pPr>
              <w:spacing w:before="0" w:after="0"/>
              <w:jc w:val="left"/>
            </w:pPr>
            <w:r>
              <w:rPr>
                <w:rFonts w:ascii="Calibri" w:hAnsi="Calibri"/>
                <w:color w:val="2D3748"/>
                <w:sz w:val="18"/>
              </w:rPr>
              <w:t>Tasa Impositiva Efectiva</w:t>
            </w:r>
          </w:p>
        </w:tc>
        <w:tc>
          <w:tcPr>
            <w:tcW w:type="dxa" w:w="2592"/>
            <w:shd w:fill="FFFFFF"/>
            <w:tcMar>
              <w:top w:w="80" w:type="dxa"/>
              <w:bottom w:w="80" w:type="dxa"/>
              <w:left w:w="120" w:type="dxa"/>
              <w:right w:w="120" w:type="dxa"/>
            </w:tcMar>
          </w:tcPr>
          <w:p>
            <w:pPr>
              <w:spacing w:before="0" w:after="0"/>
              <w:jc w:val="center"/>
            </w:pPr>
            <w:r>
              <w:rPr>
                <w:rFonts w:ascii="Calibri" w:hAnsi="Calibri"/>
                <w:color w:val="2D3748"/>
                <w:sz w:val="18"/>
              </w:rPr>
              <w:t>~16.5%</w:t>
            </w:r>
          </w:p>
        </w:tc>
        <w:tc>
          <w:tcPr>
            <w:tcW w:type="dxa" w:w="4320"/>
            <w:shd w:fill="FFFFFF"/>
            <w:tcMar>
              <w:top w:w="80" w:type="dxa"/>
              <w:bottom w:w="80" w:type="dxa"/>
              <w:left w:w="120" w:type="dxa"/>
              <w:right w:w="120" w:type="dxa"/>
            </w:tcMar>
          </w:tcPr>
          <w:p>
            <w:pPr>
              <w:spacing w:before="0" w:after="0"/>
              <w:jc w:val="left"/>
            </w:pPr>
            <w:r>
              <w:rPr>
                <w:rFonts w:ascii="Calibri" w:hAnsi="Calibri"/>
                <w:color w:val="2D3748"/>
                <w:sz w:val="18"/>
              </w:rPr>
              <w:t>Tasa corporativa global prevista para el cierre del ejercicio fiscal 2026.</w:t>
            </w:r>
          </w:p>
        </w:tc>
      </w:tr>
      <w:tr>
        <w:tc>
          <w:tcPr>
            <w:tcW w:type="dxa" w:w="2880"/>
            <w:shd w:fill="F7FAFC"/>
            <w:tcMar>
              <w:top w:w="80" w:type="dxa"/>
              <w:bottom w:w="80" w:type="dxa"/>
              <w:left w:w="120" w:type="dxa"/>
              <w:right w:w="120" w:type="dxa"/>
            </w:tcMar>
          </w:tcPr>
          <w:p>
            <w:pPr>
              <w:spacing w:before="0" w:after="0"/>
              <w:jc w:val="left"/>
            </w:pPr>
            <w:r>
              <w:rPr>
                <w:rFonts w:ascii="Calibri" w:hAnsi="Calibri"/>
                <w:color w:val="2D3748"/>
                <w:sz w:val="18"/>
              </w:rPr>
              <w:t>Retorno al Accionista (Dividendo)</w:t>
            </w:r>
          </w:p>
        </w:tc>
        <w:tc>
          <w:tcPr>
            <w:tcW w:type="dxa" w:w="2592"/>
            <w:shd w:fill="F7FAFC"/>
            <w:tcMar>
              <w:top w:w="80" w:type="dxa"/>
              <w:bottom w:w="80" w:type="dxa"/>
              <w:left w:w="120" w:type="dxa"/>
              <w:right w:w="120" w:type="dxa"/>
            </w:tcMar>
          </w:tcPr>
          <w:p>
            <w:pPr>
              <w:spacing w:before="0" w:after="0"/>
              <w:jc w:val="center"/>
            </w:pPr>
            <w:r>
              <w:rPr>
                <w:rFonts w:ascii="Calibri" w:hAnsi="Calibri"/>
                <w:color w:val="2D3748"/>
                <w:sz w:val="18"/>
              </w:rPr>
              <w:t>$0.27 por acción</w:t>
            </w:r>
          </w:p>
        </w:tc>
        <w:tc>
          <w:tcPr>
            <w:tcW w:type="dxa" w:w="4320"/>
            <w:shd w:fill="F7FAFC"/>
            <w:tcMar>
              <w:top w:w="80" w:type="dxa"/>
              <w:bottom w:w="80" w:type="dxa"/>
              <w:left w:w="120" w:type="dxa"/>
              <w:right w:w="120" w:type="dxa"/>
            </w:tcMar>
          </w:tcPr>
          <w:p>
            <w:pPr>
              <w:spacing w:before="0" w:after="0"/>
              <w:jc w:val="left"/>
            </w:pPr>
            <w:r>
              <w:rPr>
                <w:rFonts w:ascii="Calibri" w:hAnsi="Calibri"/>
                <w:color w:val="2D3748"/>
                <w:sz w:val="18"/>
              </w:rPr>
              <w:t>Declarado por el Consejo de Administración, pagadero el 13 de agosto de 2026.</w:t>
            </w:r>
          </w:p>
        </w:tc>
      </w:tr>
    </w:tbl>
    <w:p>
      <w:pPr>
        <w:spacing w:after="120"/>
      </w:pPr>
    </w:p>
    <w:p>
      <w:pPr>
        <w:keepNext/>
        <w:spacing w:before="200" w:after="80"/>
      </w:pPr>
      <w:r>
        <w:rPr>
          <w:rFonts w:ascii="Calibri" w:hAnsi="Calibri"/>
          <w:b/>
          <w:color w:val="4A5568"/>
          <w:sz w:val="22"/>
        </w:rPr>
        <w:t>2. Hitos Más Importantes y Catalizadores Clave del Trimestre:</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3264"/>
        <w:gridCol w:w="3264"/>
        <w:gridCol w:w="3264"/>
      </w:tblGrid>
      <w:tr>
        <w:tc>
          <w:tcPr>
            <w:tcW w:type="dxa" w:w="2592"/>
            <w:shd w:fill="1B365D"/>
            <w:tcMar>
              <w:top w:w="100" w:type="dxa"/>
              <w:bottom w:w="100" w:type="dxa"/>
              <w:left w:w="120" w:type="dxa"/>
              <w:right w:w="120" w:type="dxa"/>
            </w:tcMar>
          </w:tcPr>
          <w:p>
            <w:pPr>
              <w:spacing w:before="0" w:after="0"/>
              <w:jc w:val="left"/>
            </w:pPr>
            <w:r>
              <w:rPr>
                <w:rFonts w:ascii="Calibri" w:hAnsi="Calibri"/>
                <w:b/>
                <w:color w:val="FFFFFF"/>
                <w:sz w:val="19"/>
              </w:rPr>
              <w:t>Hito Estratégico</w:t>
            </w:r>
          </w:p>
        </w:tc>
        <w:tc>
          <w:tcPr>
            <w:tcW w:type="dxa" w:w="3600"/>
            <w:shd w:fill="1B365D"/>
            <w:tcMar>
              <w:top w:w="100" w:type="dxa"/>
              <w:bottom w:w="100" w:type="dxa"/>
              <w:left w:w="120" w:type="dxa"/>
              <w:right w:w="120" w:type="dxa"/>
            </w:tcMar>
          </w:tcPr>
          <w:p>
            <w:pPr>
              <w:spacing w:before="0" w:after="0"/>
              <w:jc w:val="left"/>
            </w:pPr>
            <w:r>
              <w:rPr>
                <w:rFonts w:ascii="Calibri" w:hAnsi="Calibri"/>
                <w:b/>
                <w:color w:val="FFFFFF"/>
                <w:sz w:val="19"/>
              </w:rPr>
              <w:t>Declaración Clave de la Dirección</w:t>
            </w:r>
          </w:p>
        </w:tc>
        <w:tc>
          <w:tcPr>
            <w:tcW w:type="dxa" w:w="3600"/>
            <w:shd w:fill="1B365D"/>
            <w:tcMar>
              <w:top w:w="100" w:type="dxa"/>
              <w:bottom w:w="100" w:type="dxa"/>
              <w:left w:w="120" w:type="dxa"/>
              <w:right w:w="120" w:type="dxa"/>
            </w:tcMar>
          </w:tcPr>
          <w:p>
            <w:pPr>
              <w:spacing w:before="0" w:after="0"/>
              <w:jc w:val="left"/>
            </w:pPr>
            <w:r>
              <w:rPr>
                <w:rFonts w:ascii="Calibri" w:hAnsi="Calibri"/>
                <w:b/>
                <w:color w:val="FFFFFF"/>
                <w:sz w:val="19"/>
              </w:rPr>
              <w:t>Impacto en la Tesis de Inversión</w:t>
            </w:r>
          </w:p>
        </w:tc>
      </w:tr>
      <w:tr>
        <w:tc>
          <w:tcPr>
            <w:tcW w:type="dxa" w:w="2592"/>
            <w:shd w:fill="FFFFFF"/>
            <w:tcMar>
              <w:top w:w="80" w:type="dxa"/>
              <w:bottom w:w="80" w:type="dxa"/>
              <w:left w:w="120" w:type="dxa"/>
              <w:right w:w="120" w:type="dxa"/>
            </w:tcMar>
          </w:tcPr>
          <w:p>
            <w:pPr>
              <w:spacing w:before="0" w:after="0"/>
              <w:jc w:val="left"/>
            </w:pPr>
            <w:r>
              <w:rPr>
                <w:rFonts w:ascii="Calibri" w:hAnsi="Calibri"/>
                <w:color w:val="2D3748"/>
                <w:sz w:val="18"/>
              </w:rPr>
              <w:t>Relevo Histórico en el Liderazgo (CEO)</w:t>
            </w:r>
          </w:p>
        </w:tc>
        <w:tc>
          <w:tcPr>
            <w:tcW w:type="dxa" w:w="3600"/>
            <w:shd w:fill="FFFFFF"/>
            <w:tcMar>
              <w:top w:w="80" w:type="dxa"/>
              <w:bottom w:w="80" w:type="dxa"/>
              <w:left w:w="120" w:type="dxa"/>
              <w:right w:w="120" w:type="dxa"/>
            </w:tcMar>
          </w:tcPr>
          <w:p>
            <w:pPr>
              <w:spacing w:before="0" w:after="0"/>
              <w:jc w:val="left"/>
            </w:pPr>
            <w:r>
              <w:rPr>
                <w:rFonts w:ascii="Calibri" w:hAnsi="Calibri"/>
                <w:color w:val="2D3748"/>
                <w:sz w:val="18"/>
              </w:rPr>
              <w:t>"Este será mi último earnings call. La transición se está dando de forma impecable y estoy entusiasmado de que John Ternus lidere a Apple en su próxima era..." — Tim Cook.</w:t>
            </w:r>
          </w:p>
        </w:tc>
        <w:tc>
          <w:tcPr>
            <w:tcW w:type="dxa" w:w="3600"/>
            <w:shd w:fill="FFFFFF"/>
            <w:tcMar>
              <w:top w:w="80" w:type="dxa"/>
              <w:bottom w:w="80" w:type="dxa"/>
              <w:left w:w="120" w:type="dxa"/>
              <w:right w:w="120" w:type="dxa"/>
            </w:tcMar>
          </w:tcPr>
          <w:p>
            <w:pPr>
              <w:spacing w:before="0" w:after="0"/>
              <w:jc w:val="left"/>
            </w:pPr>
            <w:r>
              <w:rPr>
                <w:rFonts w:ascii="Calibri" w:hAnsi="Calibri"/>
                <w:color w:val="2D3748"/>
                <w:sz w:val="18"/>
              </w:rPr>
              <w:t>Continuidad estratégica total y foco de largo plazo en ingeniería de silicio e inferencia local de IA.</w:t>
            </w:r>
          </w:p>
        </w:tc>
      </w:tr>
      <w:tr>
        <w:tc>
          <w:tcPr>
            <w:tcW w:type="dxa" w:w="2592"/>
            <w:shd w:fill="F7FAFC"/>
            <w:tcMar>
              <w:top w:w="80" w:type="dxa"/>
              <w:bottom w:w="80" w:type="dxa"/>
              <w:left w:w="120" w:type="dxa"/>
              <w:right w:w="120" w:type="dxa"/>
            </w:tcMar>
          </w:tcPr>
          <w:p>
            <w:pPr>
              <w:spacing w:before="0" w:after="0"/>
              <w:jc w:val="left"/>
            </w:pPr>
            <w:r>
              <w:rPr>
                <w:rFonts w:ascii="Calibri" w:hAnsi="Calibri"/>
                <w:color w:val="2D3748"/>
                <w:sz w:val="18"/>
              </w:rPr>
              <w:t>Superciclo de Silicio en iPhone y Mac</w:t>
            </w:r>
          </w:p>
        </w:tc>
        <w:tc>
          <w:tcPr>
            <w:tcW w:type="dxa" w:w="3600"/>
            <w:shd w:fill="F7FAFC"/>
            <w:tcMar>
              <w:top w:w="80" w:type="dxa"/>
              <w:bottom w:w="80" w:type="dxa"/>
              <w:left w:w="120" w:type="dxa"/>
              <w:right w:w="120" w:type="dxa"/>
            </w:tcMar>
          </w:tcPr>
          <w:p>
            <w:pPr>
              <w:spacing w:before="0" w:after="0"/>
              <w:jc w:val="left"/>
            </w:pPr>
            <w:r>
              <w:rPr>
                <w:rFonts w:ascii="Calibri" w:hAnsi="Calibri"/>
                <w:color w:val="2D3748"/>
                <w:sz w:val="18"/>
              </w:rPr>
              <w:t>Crecimiento de +21.7% en iPhone y +28.7% en Mac (récord histórico de junio). Cuota de mercado ganada globalmente según IDC.</w:t>
            </w:r>
          </w:p>
        </w:tc>
        <w:tc>
          <w:tcPr>
            <w:tcW w:type="dxa" w:w="3600"/>
            <w:shd w:fill="F7FAFC"/>
            <w:tcMar>
              <w:top w:w="80" w:type="dxa"/>
              <w:bottom w:w="80" w:type="dxa"/>
              <w:left w:w="120" w:type="dxa"/>
              <w:right w:w="120" w:type="dxa"/>
            </w:tcMar>
          </w:tcPr>
          <w:p>
            <w:pPr>
              <w:spacing w:before="0" w:after="0"/>
              <w:jc w:val="left"/>
            </w:pPr>
            <w:r>
              <w:rPr>
                <w:rFonts w:ascii="Calibri" w:hAnsi="Calibri"/>
                <w:color w:val="2D3748"/>
                <w:sz w:val="18"/>
              </w:rPr>
              <w:t>El nuevo MacBook Neo y los chips A19/M5 aceleran la tasa de renovación de hardware a niveles récord.</w:t>
            </w:r>
          </w:p>
        </w:tc>
      </w:tr>
      <w:tr>
        <w:tc>
          <w:tcPr>
            <w:tcW w:type="dxa" w:w="2592"/>
            <w:shd w:fill="FFFFFF"/>
            <w:tcMar>
              <w:top w:w="80" w:type="dxa"/>
              <w:bottom w:w="80" w:type="dxa"/>
              <w:left w:w="120" w:type="dxa"/>
              <w:right w:w="120" w:type="dxa"/>
            </w:tcMar>
          </w:tcPr>
          <w:p>
            <w:pPr>
              <w:spacing w:before="0" w:after="0"/>
              <w:jc w:val="left"/>
            </w:pPr>
            <w:r>
              <w:rPr>
                <w:rFonts w:ascii="Calibri" w:hAnsi="Calibri"/>
                <w:color w:val="2D3748"/>
                <w:sz w:val="18"/>
              </w:rPr>
              <w:t>Expansión del Foso Defensivo (Moat)</w:t>
            </w:r>
          </w:p>
        </w:tc>
        <w:tc>
          <w:tcPr>
            <w:tcW w:type="dxa" w:w="3600"/>
            <w:shd w:fill="FFFFFF"/>
            <w:tcMar>
              <w:top w:w="80" w:type="dxa"/>
              <w:bottom w:w="80" w:type="dxa"/>
              <w:left w:w="120" w:type="dxa"/>
              <w:right w:w="120" w:type="dxa"/>
            </w:tcMar>
          </w:tcPr>
          <w:p>
            <w:pPr>
              <w:spacing w:before="0" w:after="0"/>
              <w:jc w:val="left"/>
            </w:pPr>
            <w:r>
              <w:rPr>
                <w:rFonts w:ascii="Calibri" w:hAnsi="Calibri"/>
                <w:color w:val="2D3748"/>
                <w:sz w:val="18"/>
              </w:rPr>
              <w:t>Base instalada activa supera los 2,500 millones de dispositivos; más de 1,500 millones de suscripciones de pago en Servicios.</w:t>
            </w:r>
          </w:p>
        </w:tc>
        <w:tc>
          <w:tcPr>
            <w:tcW w:type="dxa" w:w="3600"/>
            <w:shd w:fill="FFFFFF"/>
            <w:tcMar>
              <w:top w:w="80" w:type="dxa"/>
              <w:bottom w:w="80" w:type="dxa"/>
              <w:left w:w="120" w:type="dxa"/>
              <w:right w:w="120" w:type="dxa"/>
            </w:tcMar>
          </w:tcPr>
          <w:p>
            <w:pPr>
              <w:spacing w:before="0" w:after="0"/>
              <w:jc w:val="left"/>
            </w:pPr>
            <w:r>
              <w:rPr>
                <w:rFonts w:ascii="Calibri" w:hAnsi="Calibri"/>
                <w:color w:val="2D3748"/>
                <w:sz w:val="18"/>
              </w:rPr>
              <w:t>Mayor recurrencia y monetización cautiva de altísimo margen bruto (75.6%).</w:t>
            </w:r>
          </w:p>
        </w:tc>
      </w:tr>
      <w:tr>
        <w:tc>
          <w:tcPr>
            <w:tcW w:type="dxa" w:w="2592"/>
            <w:shd w:fill="F7FAFC"/>
            <w:tcMar>
              <w:top w:w="80" w:type="dxa"/>
              <w:bottom w:w="80" w:type="dxa"/>
              <w:left w:w="120" w:type="dxa"/>
              <w:right w:w="120" w:type="dxa"/>
            </w:tcMar>
          </w:tcPr>
          <w:p>
            <w:pPr>
              <w:spacing w:before="0" w:after="0"/>
              <w:jc w:val="left"/>
            </w:pPr>
            <w:r>
              <w:rPr>
                <w:rFonts w:ascii="Calibri" w:hAnsi="Calibri"/>
                <w:color w:val="2D3748"/>
                <w:sz w:val="18"/>
              </w:rPr>
              <w:t>Compromiso Industrial en EE.UU.</w:t>
            </w:r>
          </w:p>
        </w:tc>
        <w:tc>
          <w:tcPr>
            <w:tcW w:type="dxa" w:w="3600"/>
            <w:shd w:fill="F7FAFC"/>
            <w:tcMar>
              <w:top w:w="80" w:type="dxa"/>
              <w:bottom w:w="80" w:type="dxa"/>
              <w:left w:w="120" w:type="dxa"/>
              <w:right w:w="120" w:type="dxa"/>
            </w:tcMar>
          </w:tcPr>
          <w:p>
            <w:pPr>
              <w:spacing w:before="0" w:after="0"/>
              <w:jc w:val="left"/>
            </w:pPr>
            <w:r>
              <w:rPr>
                <w:rFonts w:ascii="Calibri" w:hAnsi="Calibri"/>
                <w:color w:val="2D3748"/>
                <w:sz w:val="18"/>
              </w:rPr>
              <w:t>Acuerdo plurianual con Broadcom superior a $30,000 M y apertura del Advanced Manufacturing Center en Houston.</w:t>
            </w:r>
          </w:p>
        </w:tc>
        <w:tc>
          <w:tcPr>
            <w:tcW w:type="dxa" w:w="3600"/>
            <w:shd w:fill="F7FAFC"/>
            <w:tcMar>
              <w:top w:w="80" w:type="dxa"/>
              <w:bottom w:w="80" w:type="dxa"/>
              <w:left w:w="120" w:type="dxa"/>
              <w:right w:w="120" w:type="dxa"/>
            </w:tcMar>
          </w:tcPr>
          <w:p>
            <w:pPr>
              <w:spacing w:before="0" w:after="0"/>
              <w:jc w:val="left"/>
            </w:pPr>
            <w:r>
              <w:rPr>
                <w:rFonts w:ascii="Calibri" w:hAnsi="Calibri"/>
                <w:color w:val="2D3748"/>
                <w:sz w:val="18"/>
              </w:rPr>
              <w:t>Mitigación geopolítica e internalización de la cadena de suministro de silicio en territorio estadounidense.</w:t>
            </w:r>
          </w:p>
        </w:tc>
      </w:tr>
    </w:tbl>
    <w:p>
      <w:pPr>
        <w:spacing w:after="120"/>
      </w:pPr>
    </w:p>
    <w:p>
      <w:pPr>
        <w:keepNext/>
        <w:spacing w:before="200" w:after="80"/>
      </w:pPr>
      <w:r>
        <w:rPr>
          <w:rFonts w:ascii="Calibri" w:hAnsi="Calibri"/>
          <w:b/>
          <w:color w:val="4A5568"/>
          <w:sz w:val="22"/>
        </w:rPr>
        <w:t>3. Matriz de Riesgos, Advertencias y Desafíos Operativos Detectados:</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2448"/>
        <w:gridCol w:w="2448"/>
        <w:gridCol w:w="2448"/>
        <w:gridCol w:w="2448"/>
      </w:tblGrid>
      <w:tr>
        <w:tc>
          <w:tcPr>
            <w:tcW w:type="dxa" w:w="2448"/>
            <w:shd w:fill="1B365D"/>
            <w:tcMar>
              <w:top w:w="100" w:type="dxa"/>
              <w:bottom w:w="100" w:type="dxa"/>
              <w:left w:w="120" w:type="dxa"/>
              <w:right w:w="120" w:type="dxa"/>
            </w:tcMar>
          </w:tcPr>
          <w:p>
            <w:pPr>
              <w:spacing w:before="0" w:after="0"/>
              <w:jc w:val="left"/>
            </w:pPr>
            <w:r>
              <w:rPr>
                <w:rFonts w:ascii="Calibri" w:hAnsi="Calibri"/>
                <w:b/>
                <w:color w:val="FFFFFF"/>
                <w:sz w:val="19"/>
              </w:rPr>
              <w:t>Riesgo / Advertencia</w:t>
            </w:r>
          </w:p>
        </w:tc>
        <w:tc>
          <w:tcPr>
            <w:tcW w:type="dxa" w:w="3024"/>
            <w:shd w:fill="1B365D"/>
            <w:tcMar>
              <w:top w:w="100" w:type="dxa"/>
              <w:bottom w:w="100" w:type="dxa"/>
              <w:left w:w="120" w:type="dxa"/>
              <w:right w:w="120" w:type="dxa"/>
            </w:tcMar>
          </w:tcPr>
          <w:p>
            <w:pPr>
              <w:spacing w:before="0" w:after="0"/>
              <w:jc w:val="left"/>
            </w:pPr>
            <w:r>
              <w:rPr>
                <w:rFonts w:ascii="Calibri" w:hAnsi="Calibri"/>
                <w:b/>
                <w:color w:val="FFFFFF"/>
                <w:sz w:val="19"/>
              </w:rPr>
              <w:t>Comentario Textual del Management</w:t>
            </w:r>
          </w:p>
        </w:tc>
        <w:tc>
          <w:tcPr>
            <w:tcW w:type="dxa" w:w="2160"/>
            <w:shd w:fill="1B365D"/>
            <w:tcMar>
              <w:top w:w="100" w:type="dxa"/>
              <w:bottom w:w="100" w:type="dxa"/>
              <w:left w:w="120" w:type="dxa"/>
              <w:right w:w="120" w:type="dxa"/>
            </w:tcMar>
          </w:tcPr>
          <w:p>
            <w:pPr>
              <w:spacing w:before="0" w:after="0"/>
              <w:jc w:val="left"/>
            </w:pPr>
            <w:r>
              <w:rPr>
                <w:rFonts w:ascii="Calibri" w:hAnsi="Calibri"/>
                <w:b/>
                <w:color w:val="FFFFFF"/>
                <w:sz w:val="19"/>
              </w:rPr>
              <w:t>Impacto Cuantitativo Proyectado</w:t>
            </w:r>
          </w:p>
        </w:tc>
        <w:tc>
          <w:tcPr>
            <w:tcW w:type="dxa" w:w="2160"/>
            <w:shd w:fill="1B365D"/>
            <w:tcMar>
              <w:top w:w="100" w:type="dxa"/>
              <w:bottom w:w="100" w:type="dxa"/>
              <w:left w:w="120" w:type="dxa"/>
              <w:right w:w="120" w:type="dxa"/>
            </w:tcMar>
          </w:tcPr>
          <w:p>
            <w:pPr>
              <w:spacing w:before="0" w:after="0"/>
              <w:jc w:val="left"/>
            </w:pPr>
            <w:r>
              <w:rPr>
                <w:rFonts w:ascii="Calibri" w:hAnsi="Calibri"/>
                <w:b/>
                <w:color w:val="FFFFFF"/>
                <w:sz w:val="19"/>
              </w:rPr>
              <w:t>Estrategia de Mitigación</w:t>
            </w:r>
          </w:p>
        </w:tc>
      </w:tr>
      <w:tr>
        <w:tc>
          <w:tcPr>
            <w:tcW w:type="dxa" w:w="2448"/>
            <w:shd w:fill="FFFFFF"/>
            <w:tcMar>
              <w:top w:w="80" w:type="dxa"/>
              <w:bottom w:w="80" w:type="dxa"/>
              <w:left w:w="120" w:type="dxa"/>
              <w:right w:w="120" w:type="dxa"/>
            </w:tcMar>
          </w:tcPr>
          <w:p>
            <w:pPr>
              <w:spacing w:before="0" w:after="0"/>
              <w:jc w:val="left"/>
            </w:pPr>
            <w:r>
              <w:rPr>
                <w:rFonts w:ascii="Calibri" w:hAnsi="Calibri"/>
                <w:color w:val="2D3748"/>
                <w:sz w:val="18"/>
              </w:rPr>
              <w:t>Cuellos de Botella en Silicio (TSMC)</w:t>
            </w:r>
          </w:p>
        </w:tc>
        <w:tc>
          <w:tcPr>
            <w:tcW w:type="dxa" w:w="3024"/>
            <w:shd w:fill="FFFFFF"/>
            <w:tcMar>
              <w:top w:w="80" w:type="dxa"/>
              <w:bottom w:w="80" w:type="dxa"/>
              <w:left w:w="120" w:type="dxa"/>
              <w:right w:w="120" w:type="dxa"/>
            </w:tcMar>
          </w:tcPr>
          <w:p>
            <w:pPr>
              <w:spacing w:before="0" w:after="0"/>
              <w:jc w:val="left"/>
            </w:pPr>
            <w:r>
              <w:rPr>
                <w:rFonts w:ascii="Calibri" w:hAnsi="Calibri"/>
                <w:color w:val="2D3748"/>
                <w:sz w:val="18"/>
              </w:rPr>
              <w:t>"El problema principal son los nodos avanzados donde corren nuestros SoCs... La cadena tiene menos flexibilidad que la habitual."</w:t>
            </w:r>
          </w:p>
        </w:tc>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Restricción en oferta de iPhone, Mac e iPad en Q4 FY26.</w:t>
            </w:r>
          </w:p>
        </w:tc>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Adelanto de compras de capacidad y aceleración en TSMC Arizona (&gt;100M chips).</w:t>
            </w:r>
          </w:p>
        </w:tc>
      </w:tr>
      <w:tr>
        <w:tc>
          <w:tcPr>
            <w:tcW w:type="dxa" w:w="2448"/>
            <w:shd w:fill="F7FAFC"/>
            <w:tcMar>
              <w:top w:w="80" w:type="dxa"/>
              <w:bottom w:w="80" w:type="dxa"/>
              <w:left w:w="120" w:type="dxa"/>
              <w:right w:w="120" w:type="dxa"/>
            </w:tcMar>
          </w:tcPr>
          <w:p>
            <w:pPr>
              <w:spacing w:before="0" w:after="0"/>
              <w:jc w:val="left"/>
            </w:pPr>
            <w:r>
              <w:rPr>
                <w:rFonts w:ascii="Calibri" w:hAnsi="Calibri"/>
                <w:color w:val="2D3748"/>
                <w:sz w:val="18"/>
              </w:rPr>
              <w:t>Inflación en Memorias DRAM</w:t>
            </w:r>
          </w:p>
        </w:tc>
        <w:tc>
          <w:tcPr>
            <w:tcW w:type="dxa" w:w="3024"/>
            <w:shd w:fill="F7FAFC"/>
            <w:tcMar>
              <w:top w:w="80" w:type="dxa"/>
              <w:bottom w:w="80" w:type="dxa"/>
              <w:left w:w="120" w:type="dxa"/>
              <w:right w:w="120" w:type="dxa"/>
            </w:tcMar>
          </w:tcPr>
          <w:p>
            <w:pPr>
              <w:spacing w:before="0" w:after="0"/>
              <w:jc w:val="left"/>
            </w:pPr>
            <w:r>
              <w:rPr>
                <w:rFonts w:ascii="Calibri" w:hAnsi="Calibri"/>
                <w:color w:val="2D3748"/>
                <w:sz w:val="18"/>
              </w:rPr>
              <w:t>"Estamos en lo que caracterizaría como una 'crecida de 100 años' en precios de memoria, con aumentos exponenciales."</w:t>
            </w:r>
          </w:p>
        </w:tc>
        <w:tc>
          <w:tcPr>
            <w:tcW w:type="dxa" w:w="2160"/>
            <w:shd w:fill="F7FAFC"/>
            <w:tcMar>
              <w:top w:w="80" w:type="dxa"/>
              <w:bottom w:w="80" w:type="dxa"/>
              <w:left w:w="120" w:type="dxa"/>
              <w:right w:w="120" w:type="dxa"/>
            </w:tcMar>
          </w:tcPr>
          <w:p>
            <w:pPr>
              <w:spacing w:before="0" w:after="0"/>
              <w:jc w:val="left"/>
            </w:pPr>
            <w:r>
              <w:rPr>
                <w:rFonts w:ascii="Calibri" w:hAnsi="Calibri"/>
                <w:color w:val="2D3748"/>
                <w:sz w:val="18"/>
              </w:rPr>
              <w:t>Presión sobre margen bruto de hardware para fin de FY26 y FY27.</w:t>
            </w:r>
          </w:p>
        </w:tc>
        <w:tc>
          <w:tcPr>
            <w:tcW w:type="dxa" w:w="2160"/>
            <w:shd w:fill="F7FAFC"/>
            <w:tcMar>
              <w:top w:w="80" w:type="dxa"/>
              <w:bottom w:w="80" w:type="dxa"/>
              <w:left w:w="120" w:type="dxa"/>
              <w:right w:w="120" w:type="dxa"/>
            </w:tcMar>
          </w:tcPr>
          <w:p>
            <w:pPr>
              <w:spacing w:before="0" w:after="0"/>
              <w:jc w:val="left"/>
            </w:pPr>
            <w:r>
              <w:rPr>
                <w:rFonts w:ascii="Calibri" w:hAnsi="Calibri"/>
                <w:color w:val="2D3748"/>
                <w:sz w:val="18"/>
              </w:rPr>
              <w:t>Subidas selectivas de precios y uso de inventarios de bajo coste (carry-in).</w:t>
            </w:r>
          </w:p>
        </w:tc>
      </w:tr>
      <w:tr>
        <w:tc>
          <w:tcPr>
            <w:tcW w:type="dxa" w:w="2448"/>
            <w:shd w:fill="FFFFFF"/>
            <w:tcMar>
              <w:top w:w="80" w:type="dxa"/>
              <w:bottom w:w="80" w:type="dxa"/>
              <w:left w:w="120" w:type="dxa"/>
              <w:right w:w="120" w:type="dxa"/>
            </w:tcMar>
          </w:tcPr>
          <w:p>
            <w:pPr>
              <w:spacing w:before="0" w:after="0"/>
              <w:jc w:val="left"/>
            </w:pPr>
            <w:r>
              <w:rPr>
                <w:rFonts w:ascii="Calibri" w:hAnsi="Calibri"/>
                <w:color w:val="2D3748"/>
                <w:sz w:val="18"/>
              </w:rPr>
              <w:t>Viento Cambiario Adverso (FX)</w:t>
            </w:r>
          </w:p>
        </w:tc>
        <w:tc>
          <w:tcPr>
            <w:tcW w:type="dxa" w:w="3024"/>
            <w:shd w:fill="FFFFFF"/>
            <w:tcMar>
              <w:top w:w="80" w:type="dxa"/>
              <w:bottom w:w="80" w:type="dxa"/>
              <w:left w:w="120" w:type="dxa"/>
              <w:right w:w="120" w:type="dxa"/>
            </w:tcMar>
          </w:tcPr>
          <w:p>
            <w:pPr>
              <w:spacing w:before="0" w:after="0"/>
              <w:jc w:val="left"/>
            </w:pPr>
            <w:r>
              <w:rPr>
                <w:rFonts w:ascii="Calibri" w:hAnsi="Calibri"/>
                <w:color w:val="2D3748"/>
                <w:sz w:val="18"/>
              </w:rPr>
              <w:t>"El tipo de cambio supondrá un viento en contra secuencial de 2.5 puntos porcentuales en la tasa de crecimiento."</w:t>
            </w:r>
          </w:p>
        </w:tc>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-250 bps de menor crecimiento reportado en dólares para Q4 FY26.</w:t>
            </w:r>
          </w:p>
        </w:tc>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Coberturas financieras activas y fijación de precios en divisas fuertes.</w:t>
            </w:r>
          </w:p>
        </w:tc>
      </w:tr>
      <w:tr>
        <w:tc>
          <w:tcPr>
            <w:tcW w:type="dxa" w:w="2448"/>
            <w:shd w:fill="F7FAFC"/>
            <w:tcMar>
              <w:top w:w="80" w:type="dxa"/>
              <w:bottom w:w="80" w:type="dxa"/>
              <w:left w:w="120" w:type="dxa"/>
              <w:right w:w="120" w:type="dxa"/>
            </w:tcMar>
          </w:tcPr>
          <w:p>
            <w:pPr>
              <w:spacing w:before="0" w:after="0"/>
              <w:jc w:val="left"/>
            </w:pPr>
            <w:r>
              <w:rPr>
                <w:rFonts w:ascii="Calibri" w:hAnsi="Calibri"/>
                <w:color w:val="2D3748"/>
                <w:sz w:val="18"/>
              </w:rPr>
              <w:t>Presión Regulatoria (UE y App Store)</w:t>
            </w:r>
          </w:p>
        </w:tc>
        <w:tc>
          <w:tcPr>
            <w:tcW w:type="dxa" w:w="3024"/>
            <w:shd w:fill="F7FAFC"/>
            <w:tcMar>
              <w:top w:w="80" w:type="dxa"/>
              <w:bottom w:w="80" w:type="dxa"/>
              <w:left w:w="120" w:type="dxa"/>
              <w:right w:w="120" w:type="dxa"/>
            </w:tcMar>
          </w:tcPr>
          <w:p>
            <w:pPr>
              <w:spacing w:before="0" w:after="0"/>
              <w:jc w:val="left"/>
            </w:pPr>
            <w:r>
              <w:rPr>
                <w:rFonts w:ascii="Calibri" w:hAnsi="Calibri"/>
                <w:color w:val="2D3748"/>
                <w:sz w:val="18"/>
              </w:rPr>
              <w:t>Restricciones de la DMA impiden el despliegue pleno de Siri AI en iPhone/iPad en Europa; apelación de App Store ante Tribunal Supremo.</w:t>
            </w:r>
          </w:p>
        </w:tc>
        <w:tc>
          <w:tcPr>
            <w:tcW w:type="dxa" w:w="2160"/>
            <w:shd w:fill="F7FAFC"/>
            <w:tcMar>
              <w:top w:w="80" w:type="dxa"/>
              <w:bottom w:w="80" w:type="dxa"/>
              <w:left w:w="120" w:type="dxa"/>
              <w:right w:w="120" w:type="dxa"/>
            </w:tcMar>
          </w:tcPr>
          <w:p>
            <w:pPr>
              <w:spacing w:before="0" w:after="0"/>
              <w:jc w:val="left"/>
            </w:pPr>
            <w:r>
              <w:rPr>
                <w:rFonts w:ascii="Calibri" w:hAnsi="Calibri"/>
                <w:color w:val="2D3748"/>
                <w:sz w:val="18"/>
              </w:rPr>
              <w:t>Ralentización de Servicios a un dígito en Europa si no se adaptan enlaces.</w:t>
            </w:r>
          </w:p>
        </w:tc>
        <w:tc>
          <w:tcPr>
            <w:tcW w:type="dxa" w:w="2160"/>
            <w:shd w:fill="F7FAFC"/>
            <w:tcMar>
              <w:top w:w="80" w:type="dxa"/>
              <w:bottom w:w="80" w:type="dxa"/>
              <w:left w:w="120" w:type="dxa"/>
              <w:right w:w="120" w:type="dxa"/>
            </w:tcMar>
          </w:tcPr>
          <w:p>
            <w:pPr>
              <w:spacing w:before="0" w:after="0"/>
              <w:jc w:val="left"/>
            </w:pPr>
            <w:r>
              <w:rPr>
                <w:rFonts w:ascii="Calibri" w:hAnsi="Calibri"/>
                <w:color w:val="2D3748"/>
                <w:sz w:val="18"/>
              </w:rPr>
              <w:t>Negociaciones regulatorias activas y diversificación hacia Cloud y Pagos.</w:t>
            </w:r>
          </w:p>
        </w:tc>
      </w:tr>
    </w:tbl>
    <w:p>
      <w:pPr>
        <w:spacing w:after="120"/>
      </w:pPr>
    </w:p>
    <w:p>
      <w:pPr>
        <w:keepNext/>
        <w:spacing w:before="200" w:after="80"/>
      </w:pPr>
      <w:r>
        <w:rPr>
          <w:rFonts w:ascii="Calibri" w:hAnsi="Calibri"/>
          <w:b/>
          <w:color w:val="4A5568"/>
          <w:sz w:val="22"/>
        </w:rPr>
        <w:t>4. Desglose Exhaustivo de Preguntas y Respuestas (Q&amp;A con Wall Street):</w:t>
      </w:r>
    </w:p>
    <w:p>
      <w:pPr>
        <w:spacing w:before="40" w:after="80" w:line="276" w:lineRule="auto"/>
      </w:pPr>
      <w:r>
        <w:rPr>
          <w:rFonts w:ascii="Calibri" w:hAnsi="Calibri"/>
          <w:i w:val="0"/>
          <w:color w:val="2D3748"/>
          <w:sz w:val="20"/>
        </w:rPr>
        <w:t>Se presenta la transcripción y auditoría integral de las principales firmas de inversión de Wall Street con sus preguntas y respuestas directivas:</w:t>
      </w:r>
    </w:p>
    <w:p>
      <w:pPr>
        <w:keepNext/>
        <w:spacing w:before="200" w:after="80"/>
      </w:pPr>
      <w:r>
        <w:rPr>
          <w:rFonts w:ascii="Calibri" w:hAnsi="Calibri"/>
          <w:b/>
          <w:color w:val="4A5568"/>
          <w:sz w:val="22"/>
        </w:rPr>
        <w:t>1. Evercore ISI — Amit Daryanani</w:t>
      </w:r>
    </w:p>
    <w:p>
      <w:pPr>
        <w:spacing w:before="40" w:after="80" w:line="276" w:lineRule="auto"/>
      </w:pPr>
      <w:r>
        <w:rPr>
          <w:rFonts w:ascii="Calibri" w:hAnsi="Calibri"/>
          <w:b/>
          <w:color w:val="2D3748"/>
          <w:sz w:val="20"/>
        </w:rPr>
        <w:t xml:space="preserve">• Pregunta 1 (Desaceleración de Guidance vs. Oferta): </w:t>
      </w:r>
      <w:r>
        <w:rPr>
          <w:rFonts w:ascii="Calibri" w:hAnsi="Calibri"/>
          <w:i w:val="0"/>
          <w:color w:val="2D3748"/>
          <w:sz w:val="20"/>
        </w:rPr>
        <w:t>El guidance de 9%-11% implica una desaceleración de ~500 bps frente al 16% de junio. ¿Cuánto responde a restricciones reales de suministro frente a una moderación en la demanda?</w:t>
      </w:r>
    </w:p>
    <w:p>
      <w:pPr>
        <w:spacing w:before="40" w:after="80" w:line="276" w:lineRule="auto"/>
      </w:pPr>
      <w:r>
        <w:rPr>
          <w:rFonts w:ascii="Calibri" w:hAnsi="Calibri"/>
          <w:b/>
          <w:color w:val="2D3748"/>
          <w:sz w:val="20"/>
        </w:rPr>
        <w:t xml:space="preserve">• Respuesta (Kevan Parekh y Tim Cook): </w:t>
      </w:r>
      <w:r>
        <w:rPr>
          <w:rFonts w:ascii="Calibri" w:hAnsi="Calibri"/>
          <w:i w:val="0"/>
          <w:color w:val="2D3748"/>
          <w:sz w:val="20"/>
        </w:rPr>
        <w:t>Parekh explicó que 2.5 pp corresponden puramente a divisa (FX) y el resto a restricciones de suministro. Cook enfatizó: "No es un problema de proveedores defectuosos; es un desborde de demanda donde iPhone (+22%) y Mac (+29%) superaron por mucho nuestras proyecciones y agotaron la capacidad de los nodos avanzados de silicio."</w:t>
      </w:r>
    </w:p>
    <w:p>
      <w:pPr>
        <w:spacing w:before="40" w:after="80" w:line="276" w:lineRule="auto"/>
      </w:pPr>
      <w:r>
        <w:rPr>
          <w:rFonts w:ascii="Calibri" w:hAnsi="Calibri"/>
          <w:b/>
          <w:color w:val="2D3748"/>
          <w:sz w:val="20"/>
        </w:rPr>
        <w:t xml:space="preserve">• Pregunta 2 (Inflación de Memorias DRAM y Política de Precios): </w:t>
      </w:r>
      <w:r>
        <w:rPr>
          <w:rFonts w:ascii="Calibri" w:hAnsi="Calibri"/>
          <w:i w:val="0"/>
          <w:color w:val="2D3748"/>
          <w:sz w:val="20"/>
        </w:rPr>
        <w:t>Históricamente Apple trasladó poco coste al cliente; ante la inflación de componentes, ¿cómo gestionarán los precios de cara al consumidor?</w:t>
      </w:r>
    </w:p>
    <w:p>
      <w:pPr>
        <w:spacing w:before="40" w:after="80" w:line="276" w:lineRule="auto"/>
      </w:pPr>
      <w:r>
        <w:rPr>
          <w:rFonts w:ascii="Calibri" w:hAnsi="Calibri"/>
          <w:b/>
          <w:color w:val="2D3748"/>
          <w:sz w:val="20"/>
        </w:rPr>
        <w:t xml:space="preserve">• Respuesta (Tim Cook): </w:t>
      </w:r>
      <w:r>
        <w:rPr>
          <w:rFonts w:ascii="Calibri" w:hAnsi="Calibri"/>
          <w:i w:val="0"/>
          <w:color w:val="2D3748"/>
          <w:sz w:val="20"/>
        </w:rPr>
        <w:t>Confirmó que los costes de memoria crecieron secuencialmente en marzo y junio y subirán más en septiembre. Apple subió precios de forma reluctante por esta "crecida de 100 años" en DRAM, balanceando unidades, ingresos y márgenes a largo plazo y no en un horizonte de 90 días.</w:t>
      </w:r>
    </w:p>
    <w:p>
      <w:pPr>
        <w:spacing w:before="40" w:after="80" w:line="276" w:lineRule="auto"/>
      </w:pPr>
      <w:r>
        <w:rPr>
          <w:rFonts w:ascii="Calibri" w:hAnsi="Calibri"/>
          <w:b/>
          <w:color w:val="2D3748"/>
          <w:sz w:val="20"/>
        </w:rPr>
        <w:t xml:space="preserve">• Diagnóstico Fundamental: </w:t>
      </w:r>
      <w:r>
        <w:rPr>
          <w:rFonts w:ascii="Calibri" w:hAnsi="Calibri"/>
          <w:i w:val="0"/>
          <w:color w:val="2D3748"/>
          <w:sz w:val="20"/>
        </w:rPr>
        <w:t>Fuerte poder de fijación de precios (pricing power); la demanda no decayó tras los ajustes selectivos.</w:t>
      </w:r>
    </w:p>
    <w:p>
      <w:pPr>
        <w:keepNext/>
        <w:spacing w:before="200" w:after="80"/>
      </w:pPr>
      <w:r>
        <w:rPr>
          <w:rFonts w:ascii="Calibri" w:hAnsi="Calibri"/>
          <w:b/>
          <w:color w:val="4A5568"/>
          <w:sz w:val="22"/>
        </w:rPr>
        <w:t>2. Goldman Sachs — Michael Ng</w:t>
      </w:r>
    </w:p>
    <w:p>
      <w:pPr>
        <w:spacing w:before="40" w:after="80" w:line="276" w:lineRule="auto"/>
      </w:pPr>
      <w:r>
        <w:rPr>
          <w:rFonts w:ascii="Calibri" w:hAnsi="Calibri"/>
          <w:b/>
          <w:color w:val="2D3748"/>
          <w:sz w:val="20"/>
        </w:rPr>
        <w:t xml:space="preserve">• Pregunta 1 (Apple Upgrade Program y Base Instalada): </w:t>
      </w:r>
      <w:r>
        <w:rPr>
          <w:rFonts w:ascii="Calibri" w:hAnsi="Calibri"/>
          <w:i w:val="0"/>
          <w:color w:val="2D3748"/>
          <w:sz w:val="20"/>
        </w:rPr>
        <w:t>¿Cómo impacta el programa de renovación en la base de 2,500M de dispositivos y cuánto acorta el ciclo de vida del iPhone?</w:t>
      </w:r>
    </w:p>
    <w:p>
      <w:pPr>
        <w:spacing w:before="40" w:after="80" w:line="276" w:lineRule="auto"/>
      </w:pPr>
      <w:r>
        <w:rPr>
          <w:rFonts w:ascii="Calibri" w:hAnsi="Calibri"/>
          <w:b/>
          <w:color w:val="2D3748"/>
          <w:sz w:val="20"/>
        </w:rPr>
        <w:t xml:space="preserve">• Respuesta (Tim Cook): </w:t>
      </w:r>
      <w:r>
        <w:rPr>
          <w:rFonts w:ascii="Calibri" w:hAnsi="Calibri"/>
          <w:i w:val="0"/>
          <w:color w:val="2D3748"/>
          <w:sz w:val="20"/>
        </w:rPr>
        <w:t>El programa facilita planes de pago accesibles apalancándose en que el valor residual (residual value) de los productos Apple es muy superior al de la competencia, acelerando el recambio hacia gamas Pro.</w:t>
      </w:r>
    </w:p>
    <w:p>
      <w:pPr>
        <w:spacing w:before="40" w:after="80" w:line="276" w:lineRule="auto"/>
      </w:pPr>
      <w:r>
        <w:rPr>
          <w:rFonts w:ascii="Calibri" w:hAnsi="Calibri"/>
          <w:b/>
          <w:color w:val="2D3748"/>
          <w:sz w:val="20"/>
        </w:rPr>
        <w:t xml:space="preserve">• Pregunta 2 (Siri AI, Beta de iOS 27 y Costes de Cómputo): </w:t>
      </w:r>
      <w:r>
        <w:rPr>
          <w:rFonts w:ascii="Calibri" w:hAnsi="Calibri"/>
          <w:i w:val="0"/>
          <w:color w:val="2D3748"/>
          <w:sz w:val="20"/>
        </w:rPr>
        <w:t>¿Qué aprendizajes dejó la beta pública y cómo afectará el coste de inferencia de IA a los márgenes?</w:t>
      </w:r>
    </w:p>
    <w:p>
      <w:pPr>
        <w:spacing w:before="40" w:after="80" w:line="276" w:lineRule="auto"/>
      </w:pPr>
      <w:r>
        <w:rPr>
          <w:rFonts w:ascii="Calibri" w:hAnsi="Calibri"/>
          <w:b/>
          <w:color w:val="2D3748"/>
          <w:sz w:val="20"/>
        </w:rPr>
        <w:t xml:space="preserve">• Respuesta (Tim Cook): </w:t>
      </w:r>
      <w:r>
        <w:rPr>
          <w:rFonts w:ascii="Calibri" w:hAnsi="Calibri"/>
          <w:i w:val="0"/>
          <w:color w:val="2D3748"/>
          <w:sz w:val="20"/>
        </w:rPr>
        <w:t>La recepción de desarrolladores y usuarios ha sido "fuera de serie". El modelo de inferencia privada en el chip local (NPU) reduce drásticamente el gasto en servidores de nube, otorgando una gran ventaja de costes frente a competidores.</w:t>
      </w:r>
    </w:p>
    <w:p>
      <w:pPr>
        <w:spacing w:before="40" w:after="80" w:line="276" w:lineRule="auto"/>
      </w:pPr>
      <w:r>
        <w:rPr>
          <w:rFonts w:ascii="Calibri" w:hAnsi="Calibri"/>
          <w:b/>
          <w:color w:val="2D3748"/>
          <w:sz w:val="20"/>
        </w:rPr>
        <w:t xml:space="preserve">• Diagnóstico Fundamental: </w:t>
      </w:r>
      <w:r>
        <w:rPr>
          <w:rFonts w:ascii="Calibri" w:hAnsi="Calibri"/>
          <w:i w:val="0"/>
          <w:color w:val="2D3748"/>
          <w:sz w:val="20"/>
        </w:rPr>
        <w:t>Modelo híbrido de IA altamente eficiente con estructura de costes de inferencia controlada.</w:t>
      </w:r>
    </w:p>
    <w:p>
      <w:pPr>
        <w:keepNext/>
        <w:spacing w:before="200" w:after="80"/>
      </w:pPr>
      <w:r>
        <w:rPr>
          <w:rFonts w:ascii="Calibri" w:hAnsi="Calibri"/>
          <w:b/>
          <w:color w:val="4A5568"/>
          <w:sz w:val="22"/>
        </w:rPr>
        <w:t>3. Melius Research — Ben Reitzes</w:t>
      </w:r>
    </w:p>
    <w:p>
      <w:pPr>
        <w:spacing w:before="40" w:after="80" w:line="276" w:lineRule="auto"/>
      </w:pPr>
      <w:r>
        <w:rPr>
          <w:rFonts w:ascii="Calibri" w:hAnsi="Calibri"/>
          <w:b/>
          <w:color w:val="2D3748"/>
          <w:sz w:val="20"/>
        </w:rPr>
        <w:t xml:space="preserve">• Pregunta 1 (Desbalance Demanda vs. Silicio): </w:t>
      </w:r>
      <w:r>
        <w:rPr>
          <w:rFonts w:ascii="Calibri" w:hAnsi="Calibri"/>
          <w:i w:val="0"/>
          <w:color w:val="2D3748"/>
          <w:sz w:val="20"/>
        </w:rPr>
        <w:t>¿Por qué la cadena no pudo prever el volumen si la industria anticipaba un ciclo fuerte?</w:t>
      </w:r>
    </w:p>
    <w:p>
      <w:pPr>
        <w:spacing w:before="40" w:after="80" w:line="276" w:lineRule="auto"/>
      </w:pPr>
      <w:r>
        <w:rPr>
          <w:rFonts w:ascii="Calibri" w:hAnsi="Calibri"/>
          <w:b/>
          <w:color w:val="2D3748"/>
          <w:sz w:val="20"/>
        </w:rPr>
        <w:t xml:space="preserve">• Respuesta (Tim Cook): </w:t>
      </w:r>
      <w:r>
        <w:rPr>
          <w:rFonts w:ascii="Calibri" w:hAnsi="Calibri"/>
          <w:i w:val="0"/>
          <w:color w:val="2D3748"/>
          <w:sz w:val="20"/>
        </w:rPr>
        <w:t>El crecimiento sostenido del 22% en iPhone y 29% en Mac superó incluso previsiones muy optimistas. Se estuvo adelantando inventario, pero las líneas de nodos de vanguardia alcanzaron su límite físico.</w:t>
      </w:r>
    </w:p>
    <w:p>
      <w:pPr>
        <w:spacing w:before="40" w:after="80" w:line="276" w:lineRule="auto"/>
      </w:pPr>
      <w:r>
        <w:rPr>
          <w:rFonts w:ascii="Calibri" w:hAnsi="Calibri"/>
          <w:b/>
          <w:color w:val="2D3748"/>
          <w:sz w:val="20"/>
        </w:rPr>
        <w:t xml:space="preserve">• Pregunta 2 (Fábrica de TSMC en Arizona y Proveedores Alternativos): </w:t>
      </w:r>
      <w:r>
        <w:rPr>
          <w:rFonts w:ascii="Calibri" w:hAnsi="Calibri"/>
          <w:i w:val="0"/>
          <w:color w:val="2D3748"/>
          <w:sz w:val="20"/>
        </w:rPr>
        <w:t>¿Podría Apple diversificar proveedores de fundición o recurrir más a Arizona para sortear el cuello de botella?</w:t>
      </w:r>
    </w:p>
    <w:p>
      <w:pPr>
        <w:spacing w:before="40" w:after="80" w:line="276" w:lineRule="auto"/>
      </w:pPr>
      <w:r>
        <w:rPr>
          <w:rFonts w:ascii="Calibri" w:hAnsi="Calibri"/>
          <w:b/>
          <w:color w:val="2D3748"/>
          <w:sz w:val="20"/>
        </w:rPr>
        <w:t xml:space="preserve">• Respuesta (Tim Cook): </w:t>
      </w:r>
      <w:r>
        <w:rPr>
          <w:rFonts w:ascii="Calibri" w:hAnsi="Calibri"/>
          <w:i w:val="0"/>
          <w:color w:val="2D3748"/>
          <w:sz w:val="20"/>
        </w:rPr>
        <w:t>Descartó problemas con socios. Destacó que la planta de TSMC Arizona abastecerá más de 100 millones de componentes para Apple este año dentro de su compromiso de $600B en EE.UU., mostrando un rendimiento excelente.</w:t>
      </w:r>
    </w:p>
    <w:p>
      <w:pPr>
        <w:spacing w:before="40" w:after="80" w:line="276" w:lineRule="auto"/>
      </w:pPr>
      <w:r>
        <w:rPr>
          <w:rFonts w:ascii="Calibri" w:hAnsi="Calibri"/>
          <w:b/>
          <w:color w:val="2D3748"/>
          <w:sz w:val="20"/>
        </w:rPr>
        <w:t xml:space="preserve">• Diagnóstico Fundamental: </w:t>
      </w:r>
      <w:r>
        <w:rPr>
          <w:rFonts w:ascii="Calibri" w:hAnsi="Calibri"/>
          <w:i w:val="0"/>
          <w:color w:val="2D3748"/>
          <w:sz w:val="20"/>
        </w:rPr>
        <w:t>Descentralización geográfica progresiva de la producción de microprocesadores hacia territorio estadounidense.</w:t>
      </w:r>
    </w:p>
    <w:p>
      <w:pPr>
        <w:keepNext/>
        <w:spacing w:before="200" w:after="80"/>
      </w:pPr>
      <w:r>
        <w:rPr>
          <w:rFonts w:ascii="Calibri" w:hAnsi="Calibri"/>
          <w:b/>
          <w:color w:val="4A5568"/>
          <w:sz w:val="22"/>
        </w:rPr>
        <w:t>4. Morgan Stanley — Erik Woodring</w:t>
      </w:r>
    </w:p>
    <w:p>
      <w:pPr>
        <w:spacing w:before="40" w:after="80" w:line="276" w:lineRule="auto"/>
      </w:pPr>
      <w:r>
        <w:rPr>
          <w:rFonts w:ascii="Calibri" w:hAnsi="Calibri"/>
          <w:b/>
          <w:color w:val="2D3748"/>
          <w:sz w:val="20"/>
        </w:rPr>
        <w:t xml:space="preserve">• Pregunta 1 (Acuerdos de Suministro LTA y Memoria): </w:t>
      </w:r>
      <w:r>
        <w:rPr>
          <w:rFonts w:ascii="Calibri" w:hAnsi="Calibri"/>
          <w:i w:val="0"/>
          <w:color w:val="2D3748"/>
          <w:sz w:val="20"/>
        </w:rPr>
        <w:t>Ante la volatilidad de DRAM, ¿buscará Apple contratos plurianuales de precio cerrado (Long Term Agreements)?</w:t>
      </w:r>
    </w:p>
    <w:p>
      <w:pPr>
        <w:spacing w:before="40" w:after="80" w:line="276" w:lineRule="auto"/>
      </w:pPr>
      <w:r>
        <w:rPr>
          <w:rFonts w:ascii="Calibri" w:hAnsi="Calibri"/>
          <w:b/>
          <w:color w:val="2D3748"/>
          <w:sz w:val="20"/>
        </w:rPr>
        <w:t xml:space="preserve">• Respuesta (Tim Cook): </w:t>
      </w:r>
      <w:r>
        <w:rPr>
          <w:rFonts w:ascii="Calibri" w:hAnsi="Calibri"/>
          <w:i w:val="0"/>
          <w:color w:val="2D3748"/>
          <w:sz w:val="20"/>
        </w:rPr>
        <w:t>Reiteró que el mercado de memoria está hiperconcentrado en tres fabricantes mundiales. Apple combina inventarios estratégicos de bajo coste (carry-in inventory) con negociaciones continuas, evitando compromisos rígidos desfavorables.</w:t>
      </w:r>
    </w:p>
    <w:p>
      <w:pPr>
        <w:spacing w:before="40" w:after="80" w:line="276" w:lineRule="auto"/>
      </w:pPr>
      <w:r>
        <w:rPr>
          <w:rFonts w:ascii="Calibri" w:hAnsi="Calibri"/>
          <w:b/>
          <w:color w:val="2D3748"/>
          <w:sz w:val="20"/>
        </w:rPr>
        <w:t xml:space="preserve">• Pregunta 2 (Desaceleración de Servicios y Litigios de App Store): </w:t>
      </w:r>
      <w:r>
        <w:rPr>
          <w:rFonts w:ascii="Calibri" w:hAnsi="Calibri"/>
          <w:i w:val="0"/>
          <w:color w:val="2D3748"/>
          <w:sz w:val="20"/>
        </w:rPr>
        <w:t>Servicios creció 12% (por debajo de previsiones) y la guía implícita ronda un dígito. ¿Obedece a vientos regulatorios en App Store o efectos de IA?</w:t>
      </w:r>
    </w:p>
    <w:p>
      <w:pPr>
        <w:spacing w:before="40" w:after="80" w:line="276" w:lineRule="auto"/>
      </w:pPr>
      <w:r>
        <w:rPr>
          <w:rFonts w:ascii="Calibri" w:hAnsi="Calibri"/>
          <w:b/>
          <w:color w:val="2D3748"/>
          <w:sz w:val="20"/>
        </w:rPr>
        <w:t xml:space="preserve">• Respuesta (Kevan Parekh): </w:t>
      </w:r>
      <w:r>
        <w:rPr>
          <w:rFonts w:ascii="Calibri" w:hAnsi="Calibri"/>
          <w:i w:val="0"/>
          <w:color w:val="2D3748"/>
          <w:sz w:val="20"/>
        </w:rPr>
        <w:t>El CFO detalló que el impacto cambiario acumulado en Servicios fue de 5 puntos porcentuales, sumado a la comparativa dura frente a la recaudación de la película F1 en cines el trimestre anterior; Cloud y Apple Pay marcaron récords absolutos.</w:t>
      </w:r>
    </w:p>
    <w:p>
      <w:pPr>
        <w:spacing w:before="40" w:after="80" w:line="276" w:lineRule="auto"/>
      </w:pPr>
      <w:r>
        <w:rPr>
          <w:rFonts w:ascii="Calibri" w:hAnsi="Calibri"/>
          <w:b/>
          <w:color w:val="2D3748"/>
          <w:sz w:val="20"/>
        </w:rPr>
        <w:t xml:space="preserve">• Diagnóstico Fundamental: </w:t>
      </w:r>
      <w:r>
        <w:rPr>
          <w:rFonts w:ascii="Calibri" w:hAnsi="Calibri"/>
          <w:i w:val="0"/>
          <w:color w:val="2D3748"/>
          <w:sz w:val="20"/>
        </w:rPr>
        <w:t>La desaceleración de Servicios es coyuntural por divisa y calendario; la base recurrente de suscripciones sigue intacta.</w:t>
      </w:r>
    </w:p>
    <w:p>
      <w:pPr>
        <w:keepNext/>
        <w:spacing w:before="200" w:after="80"/>
      </w:pPr>
      <w:r>
        <w:rPr>
          <w:rFonts w:ascii="Calibri" w:hAnsi="Calibri"/>
          <w:b/>
          <w:color w:val="4A5568"/>
          <w:sz w:val="22"/>
        </w:rPr>
        <w:t>5. Wells Fargo — Aaron Rakers</w:t>
      </w:r>
    </w:p>
    <w:p>
      <w:pPr>
        <w:spacing w:before="40" w:after="80" w:line="276" w:lineRule="auto"/>
      </w:pPr>
      <w:r>
        <w:rPr>
          <w:rFonts w:ascii="Calibri" w:hAnsi="Calibri"/>
          <w:b/>
          <w:color w:val="2D3748"/>
          <w:sz w:val="20"/>
        </w:rPr>
        <w:t xml:space="preserve">• Pregunta 1 (Adelanto Artificial de Demanda): </w:t>
      </w:r>
      <w:r>
        <w:rPr>
          <w:rFonts w:ascii="Calibri" w:hAnsi="Calibri"/>
          <w:i w:val="0"/>
          <w:color w:val="2D3748"/>
          <w:sz w:val="20"/>
        </w:rPr>
        <w:t>¿Hubo compras anticipadas por miedo a futuras subidas de precios o aranceles en consumo o educación?</w:t>
      </w:r>
    </w:p>
    <w:p>
      <w:pPr>
        <w:spacing w:before="40" w:after="80" w:line="276" w:lineRule="auto"/>
      </w:pPr>
      <w:r>
        <w:rPr>
          <w:rFonts w:ascii="Calibri" w:hAnsi="Calibri"/>
          <w:b/>
          <w:color w:val="2D3748"/>
          <w:sz w:val="20"/>
        </w:rPr>
        <w:t xml:space="preserve">• Respuesta (Tim Cook): </w:t>
      </w:r>
      <w:r>
        <w:rPr>
          <w:rFonts w:ascii="Calibri" w:hAnsi="Calibri"/>
          <w:i w:val="0"/>
          <w:color w:val="2D3748"/>
          <w:sz w:val="20"/>
        </w:rPr>
        <w:t>Negó compras anticipadas artificiales. El impulso en educación y empresas se debe a que el MacBook Neo desplazó directamente dispositivos Windows y Chromebooks en más del 50% de las licitaciones.</w:t>
      </w:r>
    </w:p>
    <w:p>
      <w:pPr>
        <w:spacing w:before="40" w:after="80" w:line="276" w:lineRule="auto"/>
      </w:pPr>
      <w:r>
        <w:rPr>
          <w:rFonts w:ascii="Calibri" w:hAnsi="Calibri"/>
          <w:b/>
          <w:color w:val="2D3748"/>
          <w:sz w:val="20"/>
        </w:rPr>
        <w:t xml:space="preserve">• Pregunta 2 (Proliferación de IA en el Edge y Nuevo Mercado Potencial - TAM): </w:t>
      </w:r>
      <w:r>
        <w:rPr>
          <w:rFonts w:ascii="Calibri" w:hAnsi="Calibri"/>
          <w:i w:val="0"/>
          <w:color w:val="2D3748"/>
          <w:sz w:val="20"/>
        </w:rPr>
        <w:t>¿Abre la IA en el dispositivo nuevas categorías de productos para Apple a largo plazo?</w:t>
      </w:r>
    </w:p>
    <w:p>
      <w:pPr>
        <w:spacing w:before="40" w:after="80" w:line="276" w:lineRule="auto"/>
      </w:pPr>
      <w:r>
        <w:rPr>
          <w:rFonts w:ascii="Calibri" w:hAnsi="Calibri"/>
          <w:b/>
          <w:color w:val="2D3748"/>
          <w:sz w:val="20"/>
        </w:rPr>
        <w:t xml:space="preserve">• Respuesta (Tim Cook): </w:t>
      </w:r>
      <w:r>
        <w:rPr>
          <w:rFonts w:ascii="Calibri" w:hAnsi="Calibri"/>
          <w:i w:val="0"/>
          <w:color w:val="2D3748"/>
          <w:sz w:val="20"/>
        </w:rPr>
        <w:t>Confirmó que la ejecución de IA local en terminales amplía exponencialmente las oportunidades de mercado y posiciona al hardware de Apple como el nodo neurálgico para usuarios y empresas.</w:t>
      </w:r>
    </w:p>
    <w:p>
      <w:pPr>
        <w:spacing w:before="40" w:after="80" w:line="276" w:lineRule="auto"/>
      </w:pPr>
      <w:r>
        <w:rPr>
          <w:rFonts w:ascii="Calibri" w:hAnsi="Calibri"/>
          <w:b/>
          <w:color w:val="2D3748"/>
          <w:sz w:val="20"/>
        </w:rPr>
        <w:t xml:space="preserve">• Diagnóstico Fundamental: </w:t>
      </w:r>
      <w:r>
        <w:rPr>
          <w:rFonts w:ascii="Calibri" w:hAnsi="Calibri"/>
          <w:i w:val="0"/>
          <w:color w:val="2D3748"/>
          <w:sz w:val="20"/>
        </w:rPr>
        <w:t>Demanda orgánica sólida con viento de cola secular en el segmento corporativo y educativo.</w:t>
      </w:r>
    </w:p>
    <w:p>
      <w:pPr>
        <w:keepNext/>
        <w:spacing w:before="200" w:after="80"/>
      </w:pPr>
      <w:r>
        <w:rPr>
          <w:rFonts w:ascii="Calibri" w:hAnsi="Calibri"/>
          <w:b/>
          <w:color w:val="4A5568"/>
          <w:sz w:val="22"/>
        </w:rPr>
        <w:t>6. Bank of America — Wamsi Mohan</w:t>
      </w:r>
    </w:p>
    <w:p>
      <w:pPr>
        <w:spacing w:before="40" w:after="80" w:line="276" w:lineRule="auto"/>
      </w:pPr>
      <w:r>
        <w:rPr>
          <w:rFonts w:ascii="Calibri" w:hAnsi="Calibri"/>
          <w:b/>
          <w:color w:val="2D3748"/>
          <w:sz w:val="20"/>
        </w:rPr>
        <w:t xml:space="preserve">• Pregunta 1 (Intensidad de Capital y CapEx por Siri AI): </w:t>
      </w:r>
      <w:r>
        <w:rPr>
          <w:rFonts w:ascii="Calibri" w:hAnsi="Calibri"/>
          <w:i w:val="0"/>
          <w:color w:val="2D3748"/>
          <w:sz w:val="20"/>
        </w:rPr>
        <w:t>Con procesamiento distribuido entre el dispositivo y centros de datos propios y de terceros, ¿aumentará la intensidad de capital (CapEx) de Apple en el futuro?</w:t>
      </w:r>
    </w:p>
    <w:p>
      <w:pPr>
        <w:spacing w:before="40" w:after="80" w:line="276" w:lineRule="auto"/>
      </w:pPr>
      <w:r>
        <w:rPr>
          <w:rFonts w:ascii="Calibri" w:hAnsi="Calibri"/>
          <w:b/>
          <w:color w:val="2D3748"/>
          <w:sz w:val="20"/>
        </w:rPr>
        <w:t xml:space="preserve">• Respuesta (Tim Cook): </w:t>
      </w:r>
      <w:r>
        <w:rPr>
          <w:rFonts w:ascii="Calibri" w:hAnsi="Calibri"/>
          <w:i w:val="0"/>
          <w:color w:val="2D3748"/>
          <w:sz w:val="20"/>
        </w:rPr>
        <w:t>Apple opera un modelo híbrido eficiente. Aunque el gasto en I+D ha crecido significativamente, la mayor parte de las consultas corren localmente. Además, el uso intensivo de IA impulsa a los usuarios a contratar planes superiores de iCloud, generando ingresos compensatorios.</w:t>
      </w:r>
    </w:p>
    <w:p>
      <w:pPr>
        <w:spacing w:before="40" w:after="80" w:line="276" w:lineRule="auto"/>
      </w:pPr>
      <w:r>
        <w:rPr>
          <w:rFonts w:ascii="Calibri" w:hAnsi="Calibri"/>
          <w:b/>
          <w:color w:val="2D3748"/>
          <w:sz w:val="20"/>
        </w:rPr>
        <w:t xml:space="preserve">• Pregunta 2 (Pregunta Directa a John Ternus sobre Competencia de OpenAI y SpaceX): </w:t>
      </w:r>
      <w:r>
        <w:rPr>
          <w:rFonts w:ascii="Calibri" w:hAnsi="Calibri"/>
          <w:i w:val="0"/>
          <w:color w:val="2D3748"/>
          <w:sz w:val="20"/>
        </w:rPr>
        <w:t>¿Cómo ve la cúpula directiva el riesgo de que firmas como OpenAI diseñen dispositivos de IA propios o que SpaceX cree teléfonos satelitales que eludan a las operadoras?</w:t>
      </w:r>
    </w:p>
    <w:p>
      <w:pPr>
        <w:spacing w:before="40" w:after="80" w:line="276" w:lineRule="auto"/>
      </w:pPr>
      <w:r>
        <w:rPr>
          <w:rFonts w:ascii="Calibri" w:hAnsi="Calibri"/>
          <w:b/>
          <w:color w:val="2D3748"/>
          <w:sz w:val="20"/>
        </w:rPr>
        <w:t xml:space="preserve">• Respuesta (John Ternus, Incoming CEO): </w:t>
      </w:r>
      <w:r>
        <w:rPr>
          <w:rFonts w:ascii="Calibri" w:hAnsi="Calibri"/>
          <w:i w:val="0"/>
          <w:color w:val="2D3748"/>
          <w:sz w:val="20"/>
        </w:rPr>
        <w:t>"Vemos una oportunidad inmensa con todo lo que está sucediendo en este espacio. Estamos profundamente enfocados en nuestros planes de integración de hardware y software y muy entusiasmados con lo que viene."</w:t>
      </w:r>
    </w:p>
    <w:p>
      <w:pPr>
        <w:spacing w:before="40" w:after="80" w:line="276" w:lineRule="auto"/>
      </w:pPr>
      <w:r>
        <w:rPr>
          <w:rFonts w:ascii="Calibri" w:hAnsi="Calibri"/>
          <w:b/>
          <w:color w:val="2D3748"/>
          <w:sz w:val="20"/>
        </w:rPr>
        <w:t xml:space="preserve">• Diagnóstico Fundamental: </w:t>
      </w:r>
      <w:r>
        <w:rPr>
          <w:rFonts w:ascii="Calibri" w:hAnsi="Calibri"/>
          <w:i w:val="0"/>
          <w:color w:val="2D3748"/>
          <w:sz w:val="20"/>
        </w:rPr>
        <w:t>La respuesta del nuevo CEO ratifica que Apple no teme a los nuevos entrantes gracias a la inexpugnable barrera de entrada de su ecosistema de 2,500M de terminales.</w:t>
      </w:r>
    </w:p>
    <w:p>
      <w:pPr>
        <w:keepNext/>
        <w:spacing w:before="200" w:after="80"/>
      </w:pPr>
      <w:r>
        <w:rPr>
          <w:rFonts w:ascii="Calibri" w:hAnsi="Calibri"/>
          <w:b/>
          <w:color w:val="4A5568"/>
          <w:sz w:val="22"/>
        </w:rPr>
        <w:t>7. JPMorgan — Samik Chatterjee</w:t>
      </w:r>
    </w:p>
    <w:p>
      <w:pPr>
        <w:spacing w:before="40" w:after="80" w:line="276" w:lineRule="auto"/>
      </w:pPr>
      <w:r>
        <w:rPr>
          <w:rFonts w:ascii="Calibri" w:hAnsi="Calibri"/>
          <w:b/>
          <w:color w:val="2D3748"/>
          <w:sz w:val="20"/>
        </w:rPr>
        <w:t xml:space="preserve">• Pregunta 1 (Obstáculos Regulatorios para Siri AI en Europa y China): </w:t>
      </w:r>
      <w:r>
        <w:rPr>
          <w:rFonts w:ascii="Calibri" w:hAnsi="Calibri"/>
          <w:i w:val="0"/>
          <w:color w:val="2D3748"/>
          <w:sz w:val="20"/>
        </w:rPr>
        <w:t>¿Qué barreras concretas impiden el lanzamiento simultáneo en la UE y cuándo llegará a China?</w:t>
      </w:r>
    </w:p>
    <w:p>
      <w:pPr>
        <w:spacing w:before="40" w:after="80" w:line="276" w:lineRule="auto"/>
      </w:pPr>
      <w:r>
        <w:rPr>
          <w:rFonts w:ascii="Calibri" w:hAnsi="Calibri"/>
          <w:b/>
          <w:color w:val="2D3748"/>
          <w:sz w:val="20"/>
        </w:rPr>
        <w:t xml:space="preserve">• Respuesta (Tim Cook): </w:t>
      </w:r>
      <w:r>
        <w:rPr>
          <w:rFonts w:ascii="Calibri" w:hAnsi="Calibri"/>
          <w:i w:val="0"/>
          <w:color w:val="2D3748"/>
          <w:sz w:val="20"/>
        </w:rPr>
        <w:t>En la Unión Europea, la Ley de Mercados Digitales (DMA) impone restricciones sobre el iPhone y el iPad, aunque Siri AI sí se ofrecerá en Mac (no regulado bajo las mismas normas). En China, se obtuvo aprobación para funciones base de Apple Intelligence y se negocian los permisos para Siri AI.</w:t>
      </w:r>
    </w:p>
    <w:p>
      <w:pPr>
        <w:spacing w:before="40" w:after="80" w:line="276" w:lineRule="auto"/>
      </w:pPr>
      <w:r>
        <w:rPr>
          <w:rFonts w:ascii="Calibri" w:hAnsi="Calibri"/>
          <w:b/>
          <w:color w:val="2D3748"/>
          <w:sz w:val="20"/>
        </w:rPr>
        <w:t xml:space="preserve">• Pregunta 2 (Deconstrucción del Margen Bruto y Peso de la Memoria DRAM): </w:t>
      </w:r>
      <w:r>
        <w:rPr>
          <w:rFonts w:ascii="Calibri" w:hAnsi="Calibri"/>
          <w:i w:val="0"/>
          <w:color w:val="2D3748"/>
          <w:sz w:val="20"/>
        </w:rPr>
        <w:t>El margen bruto ajustado pasa de 49.3% en marzo a 48.1% en junio y a una guía de 46.5% en septiembre. ¿Cuánto responde a divisas y cuánto a materias primas?</w:t>
      </w:r>
    </w:p>
    <w:p>
      <w:pPr>
        <w:spacing w:before="40" w:after="80" w:line="276" w:lineRule="auto"/>
      </w:pPr>
      <w:r>
        <w:rPr>
          <w:rFonts w:ascii="Calibri" w:hAnsi="Calibri"/>
          <w:b/>
          <w:color w:val="2D3748"/>
          <w:sz w:val="20"/>
        </w:rPr>
        <w:t xml:space="preserve">• Respuesta (Kevan Parekh): </w:t>
      </w:r>
      <w:r>
        <w:rPr>
          <w:rFonts w:ascii="Calibri" w:hAnsi="Calibri"/>
          <w:i w:val="0"/>
          <w:color w:val="2D3748"/>
          <w:sz w:val="20"/>
        </w:rPr>
        <w:t>El CFO reveló con total precisión que más del 100% de la contracción de 120 bps en junio y de 160 bps proyectada para septiembre se explica únicamente por el encarecimiento de la memoria DRAM, el cual fue parcialmente atenuado por inventarios previos y menores costes en otros componentes.</w:t>
      </w:r>
    </w:p>
    <w:p>
      <w:pPr>
        <w:spacing w:before="40" w:after="80" w:line="276" w:lineRule="auto"/>
      </w:pPr>
      <w:r>
        <w:rPr>
          <w:rFonts w:ascii="Calibri" w:hAnsi="Calibri"/>
          <w:b/>
          <w:color w:val="2D3748"/>
          <w:sz w:val="20"/>
        </w:rPr>
        <w:t xml:space="preserve">• Diagnóstico Fundamental: </w:t>
      </w:r>
      <w:r>
        <w:rPr>
          <w:rFonts w:ascii="Calibri" w:hAnsi="Calibri"/>
          <w:i w:val="0"/>
          <w:color w:val="2D3748"/>
          <w:sz w:val="20"/>
        </w:rPr>
        <w:t>Revelación crítica: el margen bruto de Apple se mantiene en niveles récord a pesar de absorber el peor ciclo inflacionario de memoria de la última década.</w:t>
      </w:r>
    </w:p>
    <w:p>
      <w:pPr>
        <w:keepNext/>
        <w:spacing w:before="200" w:after="80"/>
      </w:pPr>
      <w:r>
        <w:rPr>
          <w:rFonts w:ascii="Calibri" w:hAnsi="Calibri"/>
          <w:b/>
          <w:color w:val="4A5568"/>
          <w:sz w:val="22"/>
        </w:rPr>
        <w:t>BLOQUE B: Análisis Longitudinal y Auditoría de Discurso Directivo (Q3 FY25 a Q3 FY26)</w:t>
      </w:r>
    </w:p>
    <w:p>
      <w:pPr>
        <w:spacing w:before="40" w:after="80" w:line="276" w:lineRule="auto"/>
      </w:pPr>
      <w:r>
        <w:rPr>
          <w:rFonts w:ascii="Calibri" w:hAnsi="Calibri"/>
          <w:i w:val="0"/>
          <w:color w:val="2D3748"/>
          <w:sz w:val="20"/>
        </w:rPr>
        <w:t>A partir del análisis de las transcripciones de cinco trimestres consecutivos disponibles en Google Drive, se audita el Say-Do Ratio (tasa de cumplimiento de promesas) y la consistencia estratégica del equipo gestor:</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1958"/>
        <w:gridCol w:w="1958"/>
        <w:gridCol w:w="1958"/>
        <w:gridCol w:w="1958"/>
        <w:gridCol w:w="1958"/>
      </w:tblGrid>
      <w:tr>
        <w:tc>
          <w:tcPr>
            <w:tcW w:type="dxa" w:w="1152"/>
            <w:shd w:fill="1B365D"/>
            <w:tcMar>
              <w:top w:w="100" w:type="dxa"/>
              <w:bottom w:w="100" w:type="dxa"/>
              <w:left w:w="120" w:type="dxa"/>
              <w:right w:w="120" w:type="dxa"/>
            </w:tcMar>
          </w:tcPr>
          <w:p>
            <w:pPr>
              <w:spacing w:before="0" w:after="0"/>
              <w:jc w:val="center"/>
            </w:pPr>
            <w:r>
              <w:rPr>
                <w:rFonts w:ascii="Calibri" w:hAnsi="Calibri"/>
                <w:b/>
                <w:color w:val="FFFFFF"/>
                <w:sz w:val="19"/>
              </w:rPr>
              <w:t>Trimestre</w:t>
            </w:r>
          </w:p>
        </w:tc>
        <w:tc>
          <w:tcPr>
            <w:tcW w:type="dxa" w:w="2880"/>
            <w:shd w:fill="1B365D"/>
            <w:tcMar>
              <w:top w:w="100" w:type="dxa"/>
              <w:bottom w:w="100" w:type="dxa"/>
              <w:left w:w="120" w:type="dxa"/>
              <w:right w:w="120" w:type="dxa"/>
            </w:tcMar>
          </w:tcPr>
          <w:p>
            <w:pPr>
              <w:spacing w:before="0" w:after="0"/>
              <w:jc w:val="left"/>
            </w:pPr>
            <w:r>
              <w:rPr>
                <w:rFonts w:ascii="Calibri" w:hAnsi="Calibri"/>
                <w:b/>
                <w:color w:val="FFFFFF"/>
                <w:sz w:val="19"/>
              </w:rPr>
              <w:t>Discurso Central &amp; Promesas del CEO / CFO</w:t>
            </w:r>
          </w:p>
        </w:tc>
        <w:tc>
          <w:tcPr>
            <w:tcW w:type="dxa" w:w="2592"/>
            <w:shd w:fill="1B365D"/>
            <w:tcMar>
              <w:top w:w="100" w:type="dxa"/>
              <w:bottom w:w="100" w:type="dxa"/>
              <w:left w:w="120" w:type="dxa"/>
              <w:right w:w="120" w:type="dxa"/>
            </w:tcMar>
          </w:tcPr>
          <w:p>
            <w:pPr>
              <w:spacing w:before="0" w:after="0"/>
              <w:jc w:val="left"/>
            </w:pPr>
            <w:r>
              <w:rPr>
                <w:rFonts w:ascii="Calibri" w:hAnsi="Calibri"/>
                <w:b/>
                <w:color w:val="FFFFFF"/>
                <w:sz w:val="19"/>
              </w:rPr>
              <w:t>Desafíos y Riesgos Advertidos</w:t>
            </w:r>
          </w:p>
        </w:tc>
        <w:tc>
          <w:tcPr>
            <w:tcW w:type="dxa" w:w="2592"/>
            <w:shd w:fill="1B365D"/>
            <w:tcMar>
              <w:top w:w="100" w:type="dxa"/>
              <w:bottom w:w="100" w:type="dxa"/>
              <w:left w:w="120" w:type="dxa"/>
              <w:right w:w="120" w:type="dxa"/>
            </w:tcMar>
          </w:tcPr>
          <w:p>
            <w:pPr>
              <w:spacing w:before="0" w:after="0"/>
              <w:jc w:val="left"/>
            </w:pPr>
            <w:r>
              <w:rPr>
                <w:rFonts w:ascii="Calibri" w:hAnsi="Calibri"/>
                <w:b/>
                <w:color w:val="FFFFFF"/>
                <w:sz w:val="19"/>
              </w:rPr>
              <w:t>Desempeño Real Registrado en Siguientes Períodos</w:t>
            </w:r>
          </w:p>
        </w:tc>
        <w:tc>
          <w:tcPr>
            <w:tcW w:type="dxa" w:w="2016"/>
            <w:shd w:fill="1B365D"/>
            <w:tcMar>
              <w:top w:w="100" w:type="dxa"/>
              <w:bottom w:w="100" w:type="dxa"/>
              <w:left w:w="120" w:type="dxa"/>
              <w:right w:w="120" w:type="dxa"/>
            </w:tcMar>
          </w:tcPr>
          <w:p>
            <w:pPr>
              <w:spacing w:before="0" w:after="0"/>
              <w:jc w:val="center"/>
            </w:pPr>
            <w:r>
              <w:rPr>
                <w:rFonts w:ascii="Calibri" w:hAnsi="Calibri"/>
                <w:b/>
                <w:color w:val="FFFFFF"/>
                <w:sz w:val="19"/>
              </w:rPr>
              <w:t>Say-Do Ratio</w:t>
            </w:r>
          </w:p>
        </w:tc>
      </w:tr>
      <w:tr>
        <w:tc>
          <w:tcPr>
            <w:tcW w:type="dxa" w:w="1152"/>
            <w:shd w:fill="FFFFFF"/>
            <w:tcMar>
              <w:top w:w="80" w:type="dxa"/>
              <w:bottom w:w="80" w:type="dxa"/>
              <w:left w:w="120" w:type="dxa"/>
              <w:right w:w="120" w:type="dxa"/>
            </w:tcMar>
          </w:tcPr>
          <w:p>
            <w:pPr>
              <w:spacing w:before="0" w:after="0"/>
              <w:jc w:val="center"/>
            </w:pPr>
            <w:r>
              <w:rPr>
                <w:rFonts w:ascii="Calibri" w:hAnsi="Calibri"/>
                <w:color w:val="2D3748"/>
                <w:sz w:val="18"/>
              </w:rPr>
              <w:t>Q3 FY25</w:t>
            </w:r>
          </w:p>
        </w:tc>
        <w:tc>
          <w:tcPr>
            <w:tcW w:type="dxa" w:w="2880"/>
            <w:shd w:fill="FFFFFF"/>
            <w:tcMar>
              <w:top w:w="80" w:type="dxa"/>
              <w:bottom w:w="80" w:type="dxa"/>
              <w:left w:w="120" w:type="dxa"/>
              <w:right w:w="120" w:type="dxa"/>
            </w:tcMar>
          </w:tcPr>
          <w:p>
            <w:pPr>
              <w:spacing w:before="0" w:after="0"/>
              <w:jc w:val="left"/>
            </w:pPr>
            <w:r>
              <w:rPr>
                <w:rFonts w:ascii="Calibri" w:hAnsi="Calibri"/>
                <w:color w:val="2D3748"/>
                <w:sz w:val="18"/>
              </w:rPr>
              <w:t>Prometieron doble dígito en Servicios y estabilización en China; preparación para Apple Intelligence.</w:t>
            </w:r>
          </w:p>
        </w:tc>
        <w:tc>
          <w:tcPr>
            <w:tcW w:type="dxa" w:w="2592"/>
            <w:shd w:fill="FFFFFF"/>
            <w:tcMar>
              <w:top w:w="80" w:type="dxa"/>
              <w:bottom w:w="80" w:type="dxa"/>
              <w:left w:w="120" w:type="dxa"/>
              <w:right w:w="120" w:type="dxa"/>
            </w:tcMar>
          </w:tcPr>
          <w:p>
            <w:pPr>
              <w:spacing w:before="0" w:after="0"/>
              <w:jc w:val="left"/>
            </w:pPr>
            <w:r>
              <w:rPr>
                <w:rFonts w:ascii="Calibri" w:hAnsi="Calibri"/>
                <w:color w:val="2D3748"/>
                <w:sz w:val="18"/>
              </w:rPr>
              <w:t>Incertidumbre macro y comparativa dura en iPad.</w:t>
            </w:r>
          </w:p>
        </w:tc>
        <w:tc>
          <w:tcPr>
            <w:tcW w:type="dxa" w:w="2592"/>
            <w:shd w:fill="FFFFFF"/>
            <w:tcMar>
              <w:top w:w="80" w:type="dxa"/>
              <w:bottom w:w="80" w:type="dxa"/>
              <w:left w:w="120" w:type="dxa"/>
              <w:right w:w="120" w:type="dxa"/>
            </w:tcMar>
          </w:tcPr>
          <w:p>
            <w:pPr>
              <w:spacing w:before="0" w:after="0"/>
              <w:jc w:val="left"/>
            </w:pPr>
            <w:r>
              <w:rPr>
                <w:rFonts w:ascii="Calibri" w:hAnsi="Calibri"/>
                <w:color w:val="2D3748"/>
                <w:sz w:val="18"/>
              </w:rPr>
              <w:t>Ingresos de $94.0B (+10%); Servicios creció al 15% y sentó las bases del nuevo ciclo.</w:t>
            </w:r>
          </w:p>
        </w:tc>
        <w:tc>
          <w:tcPr>
            <w:tcW w:type="dxa" w:w="2016"/>
            <w:shd w:fill="FFFFFF"/>
            <w:tcMar>
              <w:top w:w="80" w:type="dxa"/>
              <w:bottom w:w="80" w:type="dxa"/>
              <w:left w:w="120" w:type="dxa"/>
              <w:right w:w="120" w:type="dxa"/>
            </w:tcMar>
          </w:tcPr>
          <w:p>
            <w:pPr>
              <w:spacing w:before="0" w:after="0"/>
              <w:jc w:val="center"/>
            </w:pPr>
            <w:r>
              <w:rPr>
                <w:rFonts w:ascii="Calibri" w:hAnsi="Calibri"/>
                <w:color w:val="2D3748"/>
                <w:sz w:val="18"/>
              </w:rPr>
              <w:t>SUPERADO (Over-delivered)</w:t>
            </w:r>
          </w:p>
        </w:tc>
      </w:tr>
      <w:tr>
        <w:tc>
          <w:tcPr>
            <w:tcW w:type="dxa" w:w="1152"/>
            <w:shd w:fill="F7FAFC"/>
            <w:tcMar>
              <w:top w:w="80" w:type="dxa"/>
              <w:bottom w:w="80" w:type="dxa"/>
              <w:left w:w="120" w:type="dxa"/>
              <w:right w:w="120" w:type="dxa"/>
            </w:tcMar>
          </w:tcPr>
          <w:p>
            <w:pPr>
              <w:spacing w:before="0" w:after="0"/>
              <w:jc w:val="center"/>
            </w:pPr>
            <w:r>
              <w:rPr>
                <w:rFonts w:ascii="Calibri" w:hAnsi="Calibri"/>
                <w:color w:val="2D3748"/>
                <w:sz w:val="18"/>
              </w:rPr>
              <w:t>Q4 FY25</w:t>
            </w:r>
          </w:p>
        </w:tc>
        <w:tc>
          <w:tcPr>
            <w:tcW w:type="dxa" w:w="2880"/>
            <w:shd w:fill="F7FAFC"/>
            <w:tcMar>
              <w:top w:w="80" w:type="dxa"/>
              <w:bottom w:w="80" w:type="dxa"/>
              <w:left w:w="120" w:type="dxa"/>
              <w:right w:w="120" w:type="dxa"/>
            </w:tcMar>
          </w:tcPr>
          <w:p>
            <w:pPr>
              <w:spacing w:before="0" w:after="0"/>
              <w:jc w:val="left"/>
            </w:pPr>
            <w:r>
              <w:rPr>
                <w:rFonts w:ascii="Calibri" w:hAnsi="Calibri"/>
                <w:color w:val="2D3748"/>
                <w:sz w:val="18"/>
              </w:rPr>
              <w:t>Proyectaron que el iPhone 17 abriría un nuevo estándar y anunciaron récord en base instalada.</w:t>
            </w:r>
          </w:p>
        </w:tc>
        <w:tc>
          <w:tcPr>
            <w:tcW w:type="dxa" w:w="2592"/>
            <w:shd w:fill="F7FAFC"/>
            <w:tcMar>
              <w:top w:w="80" w:type="dxa"/>
              <w:bottom w:w="80" w:type="dxa"/>
              <w:left w:w="120" w:type="dxa"/>
              <w:right w:w="120" w:type="dxa"/>
            </w:tcMar>
          </w:tcPr>
          <w:p>
            <w:pPr>
              <w:spacing w:before="0" w:after="0"/>
              <w:jc w:val="left"/>
            </w:pPr>
            <w:r>
              <w:rPr>
                <w:rFonts w:ascii="Calibri" w:hAnsi="Calibri"/>
                <w:color w:val="2D3748"/>
                <w:sz w:val="18"/>
              </w:rPr>
              <w:t>Volatilidad cambiaria (FX) y presión regulatoria europea (DMA).</w:t>
            </w:r>
          </w:p>
        </w:tc>
        <w:tc>
          <w:tcPr>
            <w:tcW w:type="dxa" w:w="2592"/>
            <w:shd w:fill="F7FAFC"/>
            <w:tcMar>
              <w:top w:w="80" w:type="dxa"/>
              <w:bottom w:w="80" w:type="dxa"/>
              <w:left w:w="120" w:type="dxa"/>
              <w:right w:w="120" w:type="dxa"/>
            </w:tcMar>
          </w:tcPr>
          <w:p>
            <w:pPr>
              <w:spacing w:before="0" w:after="0"/>
              <w:jc w:val="left"/>
            </w:pPr>
            <w:r>
              <w:rPr>
                <w:rFonts w:ascii="Calibri" w:hAnsi="Calibri"/>
                <w:color w:val="2D3748"/>
                <w:sz w:val="18"/>
              </w:rPr>
              <w:t>Ingresos récord de $102.5B (+8%); Servicios alcanzó $28.8B y margen bruto subió a 46.5%.</w:t>
            </w:r>
          </w:p>
        </w:tc>
        <w:tc>
          <w:tcPr>
            <w:tcW w:type="dxa" w:w="2016"/>
            <w:shd w:fill="F7FAFC"/>
            <w:tcMar>
              <w:top w:w="80" w:type="dxa"/>
              <w:bottom w:w="80" w:type="dxa"/>
              <w:left w:w="120" w:type="dxa"/>
              <w:right w:w="120" w:type="dxa"/>
            </w:tcMar>
          </w:tcPr>
          <w:p>
            <w:pPr>
              <w:spacing w:before="0" w:after="0"/>
              <w:jc w:val="center"/>
            </w:pPr>
            <w:r>
              <w:rPr>
                <w:rFonts w:ascii="Calibri" w:hAnsi="Calibri"/>
                <w:color w:val="2D3748"/>
                <w:sz w:val="18"/>
              </w:rPr>
              <w:t>CUMPLIDO (En línea)</w:t>
            </w:r>
          </w:p>
        </w:tc>
      </w:tr>
      <w:tr>
        <w:tc>
          <w:tcPr>
            <w:tcW w:type="dxa" w:w="1152"/>
            <w:shd w:fill="FFFFFF"/>
            <w:tcMar>
              <w:top w:w="80" w:type="dxa"/>
              <w:bottom w:w="80" w:type="dxa"/>
              <w:left w:w="120" w:type="dxa"/>
              <w:right w:w="120" w:type="dxa"/>
            </w:tcMar>
          </w:tcPr>
          <w:p>
            <w:pPr>
              <w:spacing w:before="0" w:after="0"/>
              <w:jc w:val="center"/>
            </w:pPr>
            <w:r>
              <w:rPr>
                <w:rFonts w:ascii="Calibri" w:hAnsi="Calibri"/>
                <w:color w:val="2D3748"/>
                <w:sz w:val="18"/>
              </w:rPr>
              <w:t>Q1 FY26</w:t>
            </w:r>
          </w:p>
        </w:tc>
        <w:tc>
          <w:tcPr>
            <w:tcW w:type="dxa" w:w="2880"/>
            <w:shd w:fill="FFFFFF"/>
            <w:tcMar>
              <w:top w:w="80" w:type="dxa"/>
              <w:bottom w:w="80" w:type="dxa"/>
              <w:left w:w="120" w:type="dxa"/>
              <w:right w:w="120" w:type="dxa"/>
            </w:tcMar>
          </w:tcPr>
          <w:p>
            <w:pPr>
              <w:spacing w:before="0" w:after="0"/>
              <w:jc w:val="left"/>
            </w:pPr>
            <w:r>
              <w:rPr>
                <w:rFonts w:ascii="Calibri" w:hAnsi="Calibri"/>
                <w:color w:val="2D3748"/>
                <w:sz w:val="18"/>
              </w:rPr>
              <w:t>Vislumbraron el mejor trimestre de la historia impulsado por temporada navideña y chips M5.</w:t>
            </w:r>
          </w:p>
        </w:tc>
        <w:tc>
          <w:tcPr>
            <w:tcW w:type="dxa" w:w="2592"/>
            <w:shd w:fill="FFFFFF"/>
            <w:tcMar>
              <w:top w:w="80" w:type="dxa"/>
              <w:bottom w:w="80" w:type="dxa"/>
              <w:left w:w="120" w:type="dxa"/>
              <w:right w:w="120" w:type="dxa"/>
            </w:tcMar>
          </w:tcPr>
          <w:p>
            <w:pPr>
              <w:spacing w:before="0" w:after="0"/>
              <w:jc w:val="left"/>
            </w:pPr>
            <w:r>
              <w:rPr>
                <w:rFonts w:ascii="Calibri" w:hAnsi="Calibri"/>
                <w:color w:val="2D3748"/>
                <w:sz w:val="18"/>
              </w:rPr>
              <w:t>Riesgo de inventarios insuficientes y tiempos de espera en tiendas.</w:t>
            </w:r>
          </w:p>
        </w:tc>
        <w:tc>
          <w:tcPr>
            <w:tcW w:type="dxa" w:w="2592"/>
            <w:shd w:fill="FFFFFF"/>
            <w:tcMar>
              <w:top w:w="80" w:type="dxa"/>
              <w:bottom w:w="80" w:type="dxa"/>
              <w:left w:w="120" w:type="dxa"/>
              <w:right w:w="120" w:type="dxa"/>
            </w:tcMar>
          </w:tcPr>
          <w:p>
            <w:pPr>
              <w:spacing w:before="0" w:after="0"/>
              <w:jc w:val="left"/>
            </w:pPr>
            <w:r>
              <w:rPr>
                <w:rFonts w:ascii="Calibri" w:hAnsi="Calibri"/>
                <w:color w:val="2D3748"/>
                <w:sz w:val="18"/>
              </w:rPr>
              <w:t>Récord histórico absoluto de $143.8B (+16% YoY), pulverizando previsiones de consenso.</w:t>
            </w:r>
          </w:p>
        </w:tc>
        <w:tc>
          <w:tcPr>
            <w:tcW w:type="dxa" w:w="2016"/>
            <w:shd w:fill="FFFFFF"/>
            <w:tcMar>
              <w:top w:w="80" w:type="dxa"/>
              <w:bottom w:w="80" w:type="dxa"/>
              <w:left w:w="120" w:type="dxa"/>
              <w:right w:w="120" w:type="dxa"/>
            </w:tcMar>
          </w:tcPr>
          <w:p>
            <w:pPr>
              <w:spacing w:before="0" w:after="0"/>
              <w:jc w:val="center"/>
            </w:pPr>
            <w:r>
              <w:rPr>
                <w:rFonts w:ascii="Calibri" w:hAnsi="Calibri"/>
                <w:color w:val="2D3748"/>
                <w:sz w:val="18"/>
              </w:rPr>
              <w:t>SUPERADO CON CRECES</w:t>
            </w:r>
          </w:p>
        </w:tc>
      </w:tr>
      <w:tr>
        <w:tc>
          <w:tcPr>
            <w:tcW w:type="dxa" w:w="1152"/>
            <w:shd w:fill="F7FAFC"/>
            <w:tcMar>
              <w:top w:w="80" w:type="dxa"/>
              <w:bottom w:w="80" w:type="dxa"/>
              <w:left w:w="120" w:type="dxa"/>
              <w:right w:w="120" w:type="dxa"/>
            </w:tcMar>
          </w:tcPr>
          <w:p>
            <w:pPr>
              <w:spacing w:before="0" w:after="0"/>
              <w:jc w:val="center"/>
            </w:pPr>
            <w:r>
              <w:rPr>
                <w:rFonts w:ascii="Calibri" w:hAnsi="Calibri"/>
                <w:color w:val="2D3748"/>
                <w:sz w:val="18"/>
              </w:rPr>
              <w:t>Q2 FY26</w:t>
            </w:r>
          </w:p>
        </w:tc>
        <w:tc>
          <w:tcPr>
            <w:tcW w:type="dxa" w:w="2880"/>
            <w:shd w:fill="F7FAFC"/>
            <w:tcMar>
              <w:top w:w="80" w:type="dxa"/>
              <w:bottom w:w="80" w:type="dxa"/>
              <w:left w:w="120" w:type="dxa"/>
              <w:right w:w="120" w:type="dxa"/>
            </w:tcMar>
          </w:tcPr>
          <w:p>
            <w:pPr>
              <w:spacing w:before="0" w:after="0"/>
              <w:jc w:val="left"/>
            </w:pPr>
            <w:r>
              <w:rPr>
                <w:rFonts w:ascii="Calibri" w:hAnsi="Calibri"/>
                <w:color w:val="2D3748"/>
                <w:sz w:val="18"/>
              </w:rPr>
              <w:t>Anunciaron la transición de Tim Cook a John Ternus; proyectaron resiliencia de margen en ~47%.</w:t>
            </w:r>
          </w:p>
        </w:tc>
        <w:tc>
          <w:tcPr>
            <w:tcW w:type="dxa" w:w="2592"/>
            <w:shd w:fill="F7FAFC"/>
            <w:tcMar>
              <w:top w:w="80" w:type="dxa"/>
              <w:bottom w:w="80" w:type="dxa"/>
              <w:left w:w="120" w:type="dxa"/>
              <w:right w:w="120" w:type="dxa"/>
            </w:tcMar>
          </w:tcPr>
          <w:p>
            <w:pPr>
              <w:spacing w:before="0" w:after="0"/>
              <w:jc w:val="left"/>
            </w:pPr>
            <w:r>
              <w:rPr>
                <w:rFonts w:ascii="Calibri" w:hAnsi="Calibri"/>
                <w:color w:val="2D3748"/>
                <w:sz w:val="18"/>
              </w:rPr>
              <w:t>Primera alerta seria: encarecimiento de DRAM y tensiones en TSMC.</w:t>
            </w:r>
          </w:p>
        </w:tc>
        <w:tc>
          <w:tcPr>
            <w:tcW w:type="dxa" w:w="2592"/>
            <w:shd w:fill="F7FAFC"/>
            <w:tcMar>
              <w:top w:w="80" w:type="dxa"/>
              <w:bottom w:w="80" w:type="dxa"/>
              <w:left w:w="120" w:type="dxa"/>
              <w:right w:w="120" w:type="dxa"/>
            </w:tcMar>
          </w:tcPr>
          <w:p>
            <w:pPr>
              <w:spacing w:before="0" w:after="0"/>
              <w:jc w:val="left"/>
            </w:pPr>
            <w:r>
              <w:rPr>
                <w:rFonts w:ascii="Calibri" w:hAnsi="Calibri"/>
                <w:color w:val="2D3748"/>
                <w:sz w:val="18"/>
              </w:rPr>
              <w:t>Ingresos batieron previsiones; margen bruto superó la guía gracias a créditos arancelarios.</w:t>
            </w:r>
          </w:p>
        </w:tc>
        <w:tc>
          <w:tcPr>
            <w:tcW w:type="dxa" w:w="2016"/>
            <w:shd w:fill="F7FAFC"/>
            <w:tcMar>
              <w:top w:w="80" w:type="dxa"/>
              <w:bottom w:w="80" w:type="dxa"/>
              <w:left w:w="120" w:type="dxa"/>
              <w:right w:w="120" w:type="dxa"/>
            </w:tcMar>
          </w:tcPr>
          <w:p>
            <w:pPr>
              <w:spacing w:before="0" w:after="0"/>
              <w:jc w:val="center"/>
            </w:pPr>
            <w:r>
              <w:rPr>
                <w:rFonts w:ascii="Calibri" w:hAnsi="Calibri"/>
                <w:color w:val="2D3748"/>
                <w:sz w:val="18"/>
              </w:rPr>
              <w:t>CUMPLIDO (Relevo impecable)</w:t>
            </w:r>
          </w:p>
        </w:tc>
      </w:tr>
      <w:tr>
        <w:tc>
          <w:tcPr>
            <w:tcW w:type="dxa" w:w="1152"/>
            <w:shd w:fill="FFFFFF"/>
            <w:tcMar>
              <w:top w:w="80" w:type="dxa"/>
              <w:bottom w:w="80" w:type="dxa"/>
              <w:left w:w="120" w:type="dxa"/>
              <w:right w:w="120" w:type="dxa"/>
            </w:tcMar>
          </w:tcPr>
          <w:p>
            <w:pPr>
              <w:spacing w:before="0" w:after="0"/>
              <w:jc w:val="center"/>
            </w:pPr>
            <w:r>
              <w:rPr>
                <w:rFonts w:ascii="Calibri" w:hAnsi="Calibri"/>
                <w:color w:val="2D3748"/>
                <w:sz w:val="18"/>
              </w:rPr>
              <w:t>Q3 FY26</w:t>
            </w:r>
          </w:p>
        </w:tc>
        <w:tc>
          <w:tcPr>
            <w:tcW w:type="dxa" w:w="2880"/>
            <w:shd w:fill="FFFFFF"/>
            <w:tcMar>
              <w:top w:w="80" w:type="dxa"/>
              <w:bottom w:w="80" w:type="dxa"/>
              <w:left w:w="120" w:type="dxa"/>
              <w:right w:w="120" w:type="dxa"/>
            </w:tcMar>
          </w:tcPr>
          <w:p>
            <w:pPr>
              <w:spacing w:before="0" w:after="0"/>
              <w:jc w:val="left"/>
            </w:pPr>
            <w:r>
              <w:rPr>
                <w:rFonts w:ascii="Calibri" w:hAnsi="Calibri"/>
                <w:color w:val="2D3748"/>
                <w:sz w:val="18"/>
              </w:rPr>
              <w:t>Récord de junio con $109.4B (+16.4%) y margen de 50.1%; guidance prudente de 9%-11% para Q4.</w:t>
            </w:r>
          </w:p>
        </w:tc>
        <w:tc>
          <w:tcPr>
            <w:tcW w:type="dxa" w:w="2592"/>
            <w:shd w:fill="FFFFFF"/>
            <w:tcMar>
              <w:top w:w="80" w:type="dxa"/>
              <w:bottom w:w="80" w:type="dxa"/>
              <w:left w:w="120" w:type="dxa"/>
              <w:right w:w="120" w:type="dxa"/>
            </w:tcMar>
          </w:tcPr>
          <w:p>
            <w:pPr>
              <w:spacing w:before="0" w:after="0"/>
              <w:jc w:val="left"/>
            </w:pPr>
            <w:r>
              <w:rPr>
                <w:rFonts w:ascii="Calibri" w:hAnsi="Calibri"/>
                <w:color w:val="2D3748"/>
                <w:sz w:val="18"/>
              </w:rPr>
              <w:t>Alerta máxima por cuellos de botella en silicio avanzado e inflación de memorias DRAM.</w:t>
            </w:r>
          </w:p>
        </w:tc>
        <w:tc>
          <w:tcPr>
            <w:tcW w:type="dxa" w:w="2592"/>
            <w:shd w:fill="FFFFFF"/>
            <w:tcMar>
              <w:top w:w="80" w:type="dxa"/>
              <w:bottom w:w="80" w:type="dxa"/>
              <w:left w:w="120" w:type="dxa"/>
              <w:right w:w="120" w:type="dxa"/>
            </w:tcMar>
          </w:tcPr>
          <w:p>
            <w:pPr>
              <w:spacing w:before="0" w:after="0"/>
              <w:jc w:val="left"/>
            </w:pPr>
            <w:r>
              <w:rPr>
                <w:rFonts w:ascii="Calibri" w:hAnsi="Calibri"/>
                <w:color w:val="2D3748"/>
                <w:sz w:val="18"/>
              </w:rPr>
              <w:t>En curso: cartera de pedidos supera la capacidad productiva de los proveedores.</w:t>
            </w:r>
          </w:p>
        </w:tc>
        <w:tc>
          <w:tcPr>
            <w:tcW w:type="dxa" w:w="2016"/>
            <w:shd w:fill="FFFFFF"/>
            <w:tcMar>
              <w:top w:w="80" w:type="dxa"/>
              <w:bottom w:w="80" w:type="dxa"/>
              <w:left w:w="120" w:type="dxa"/>
              <w:right w:w="120" w:type="dxa"/>
            </w:tcMar>
          </w:tcPr>
          <w:p>
            <w:pPr>
              <w:spacing w:before="0" w:after="0"/>
              <w:jc w:val="center"/>
            </w:pPr>
            <w:r>
              <w:rPr>
                <w:rFonts w:ascii="Calibri" w:hAnsi="Calibri"/>
                <w:color w:val="2D3748"/>
                <w:sz w:val="18"/>
              </w:rPr>
              <w:t>EN OBSERVACIÓN (Riesgo TSMC/DRAM)</w:t>
            </w:r>
          </w:p>
        </w:tc>
      </w:tr>
    </w:tbl>
    <w:p>
      <w:pPr>
        <w:spacing w:after="120"/>
      </w:pPr>
    </w:p>
    <w:p>
      <w:pPr>
        <w:keepNext/>
        <w:spacing w:before="200" w:after="80"/>
      </w:pPr>
      <w:r>
        <w:rPr>
          <w:rFonts w:ascii="Calibri" w:hAnsi="Calibri"/>
          <w:b/>
          <w:color w:val="4A5568"/>
          <w:sz w:val="22"/>
        </w:rPr>
        <w:t>Cronología y Mutación Dinámica de los Riesgos Operativos (5 Trimestres):</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2448"/>
        <w:gridCol w:w="2448"/>
        <w:gridCol w:w="2448"/>
        <w:gridCol w:w="2448"/>
      </w:tblGrid>
      <w:tr>
        <w:tc>
          <w:tcPr>
            <w:tcW w:type="dxa" w:w="1440"/>
            <w:shd w:fill="1B365D"/>
            <w:tcMar>
              <w:top w:w="100" w:type="dxa"/>
              <w:bottom w:w="100" w:type="dxa"/>
              <w:left w:w="120" w:type="dxa"/>
              <w:right w:w="120" w:type="dxa"/>
            </w:tcMar>
          </w:tcPr>
          <w:p>
            <w:pPr>
              <w:spacing w:before="0" w:after="0"/>
              <w:jc w:val="center"/>
            </w:pPr>
            <w:r>
              <w:rPr>
                <w:rFonts w:ascii="Calibri" w:hAnsi="Calibri"/>
                <w:b/>
                <w:color w:val="FFFFFF"/>
                <w:sz w:val="19"/>
              </w:rPr>
              <w:t>Período Fiscal</w:t>
            </w:r>
          </w:p>
        </w:tc>
        <w:tc>
          <w:tcPr>
            <w:tcW w:type="dxa" w:w="3168"/>
            <w:shd w:fill="1B365D"/>
            <w:tcMar>
              <w:top w:w="100" w:type="dxa"/>
              <w:bottom w:w="100" w:type="dxa"/>
              <w:left w:w="120" w:type="dxa"/>
              <w:right w:w="120" w:type="dxa"/>
            </w:tcMar>
          </w:tcPr>
          <w:p>
            <w:pPr>
              <w:spacing w:before="0" w:after="0"/>
              <w:jc w:val="left"/>
            </w:pPr>
            <w:r>
              <w:rPr>
                <w:rFonts w:ascii="Calibri" w:hAnsi="Calibri"/>
                <w:b/>
                <w:color w:val="FFFFFF"/>
                <w:sz w:val="19"/>
              </w:rPr>
              <w:t>Riesgo Dominante Señalado por la Dirección</w:t>
            </w:r>
          </w:p>
        </w:tc>
        <w:tc>
          <w:tcPr>
            <w:tcW w:type="dxa" w:w="1728"/>
            <w:shd w:fill="1B365D"/>
            <w:tcMar>
              <w:top w:w="100" w:type="dxa"/>
              <w:bottom w:w="100" w:type="dxa"/>
              <w:left w:w="120" w:type="dxa"/>
              <w:right w:w="120" w:type="dxa"/>
            </w:tcMar>
          </w:tcPr>
          <w:p>
            <w:pPr>
              <w:spacing w:before="0" w:after="0"/>
              <w:jc w:val="center"/>
            </w:pPr>
            <w:r>
              <w:rPr>
                <w:rFonts w:ascii="Calibri" w:hAnsi="Calibri"/>
                <w:b/>
                <w:color w:val="FFFFFF"/>
                <w:sz w:val="19"/>
              </w:rPr>
              <w:t>Severidad / Semáforo</w:t>
            </w:r>
          </w:p>
        </w:tc>
        <w:tc>
          <w:tcPr>
            <w:tcW w:type="dxa" w:w="3456"/>
            <w:shd w:fill="1B365D"/>
            <w:tcMar>
              <w:top w:w="100" w:type="dxa"/>
              <w:bottom w:w="100" w:type="dxa"/>
              <w:left w:w="120" w:type="dxa"/>
              <w:right w:w="120" w:type="dxa"/>
            </w:tcMar>
          </w:tcPr>
          <w:p>
            <w:pPr>
              <w:spacing w:before="0" w:after="0"/>
              <w:jc w:val="left"/>
            </w:pPr>
            <w:r>
              <w:rPr>
                <w:rFonts w:ascii="Calibri" w:hAnsi="Calibri"/>
                <w:b/>
                <w:color w:val="FFFFFF"/>
                <w:sz w:val="19"/>
              </w:rPr>
              <w:t>Evolución Posterior y Desenlace Real en el Negocio</w:t>
            </w:r>
          </w:p>
        </w:tc>
      </w:tr>
      <w:tr>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Q3 FY25</w:t>
            </w:r>
          </w:p>
        </w:tc>
        <w:tc>
          <w:tcPr>
            <w:tcW w:type="dxa" w:w="3168"/>
            <w:shd w:fill="FFFFFF"/>
            <w:tcMar>
              <w:top w:w="80" w:type="dxa"/>
              <w:bottom w:w="80" w:type="dxa"/>
              <w:left w:w="120" w:type="dxa"/>
              <w:right w:w="120" w:type="dxa"/>
            </w:tcMar>
          </w:tcPr>
          <w:p>
            <w:pPr>
              <w:spacing w:before="0" w:after="0"/>
              <w:jc w:val="left"/>
            </w:pPr>
            <w:r>
              <w:rPr>
                <w:rFonts w:ascii="Calibri" w:hAnsi="Calibri"/>
                <w:color w:val="2D3748"/>
                <w:sz w:val="18"/>
              </w:rPr>
              <w:t>Demanda en China y Macroeconomía: Dudas de Wall Street sobre pérdida de cuota ante rivales locales.</w:t>
            </w:r>
          </w:p>
        </w:tc>
        <w:tc>
          <w:tcPr>
            <w:tcW w:type="dxa" w:w="1728"/>
            <w:shd w:fill="FFFFFF"/>
            <w:tcMar>
              <w:top w:w="80" w:type="dxa"/>
              <w:bottom w:w="80" w:type="dxa"/>
              <w:left w:w="120" w:type="dxa"/>
              <w:right w:w="120" w:type="dxa"/>
            </w:tcMar>
          </w:tcPr>
          <w:p>
            <w:pPr>
              <w:spacing w:before="0" w:after="0"/>
              <w:jc w:val="center"/>
            </w:pPr>
            <w:r>
              <w:rPr>
                <w:rFonts w:ascii="Calibri" w:hAnsi="Calibri"/>
                <w:color w:val="2D3748"/>
                <w:sz w:val="18"/>
              </w:rPr>
              <w:t>Alerta Media</w:t>
            </w:r>
          </w:p>
        </w:tc>
        <w:tc>
          <w:tcPr>
            <w:tcW w:type="dxa" w:w="3456"/>
            <w:shd w:fill="FFFFFF"/>
            <w:tcMar>
              <w:top w:w="80" w:type="dxa"/>
              <w:bottom w:w="80" w:type="dxa"/>
              <w:left w:w="120" w:type="dxa"/>
              <w:right w:w="120" w:type="dxa"/>
            </w:tcMar>
          </w:tcPr>
          <w:p>
            <w:pPr>
              <w:spacing w:before="0" w:after="0"/>
              <w:jc w:val="left"/>
            </w:pPr>
            <w:r>
              <w:rPr>
                <w:rFonts w:ascii="Calibri" w:hAnsi="Calibri"/>
                <w:color w:val="2D3748"/>
                <w:sz w:val="18"/>
              </w:rPr>
              <w:t>Mitigado exitosamente: Para Q3 FY26, Gran China rebotó con un crecimiento interanual del +22.4%.</w:t>
            </w:r>
          </w:p>
        </w:tc>
      </w:tr>
      <w:tr>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Q4 FY25</w:t>
            </w:r>
          </w:p>
        </w:tc>
        <w:tc>
          <w:tcPr>
            <w:tcW w:type="dxa" w:w="3168"/>
            <w:shd w:fill="F7FAFC"/>
            <w:tcMar>
              <w:top w:w="80" w:type="dxa"/>
              <w:bottom w:w="80" w:type="dxa"/>
              <w:left w:w="120" w:type="dxa"/>
              <w:right w:w="120" w:type="dxa"/>
            </w:tcMar>
          </w:tcPr>
          <w:p>
            <w:pPr>
              <w:spacing w:before="0" w:after="0"/>
              <w:jc w:val="left"/>
            </w:pPr>
            <w:r>
              <w:rPr>
                <w:rFonts w:ascii="Calibri" w:hAnsi="Calibri"/>
                <w:color w:val="2D3748"/>
                <w:sz w:val="18"/>
              </w:rPr>
              <w:t>Cumplimiento DMA en Europa: Restricciones antimonopolio que amenazaban el modelo de la App Store.</w:t>
            </w:r>
          </w:p>
        </w:tc>
        <w:tc>
          <w:tcPr>
            <w:tcW w:type="dxa" w:w="1728"/>
            <w:shd w:fill="F7FAFC"/>
            <w:tcMar>
              <w:top w:w="80" w:type="dxa"/>
              <w:bottom w:w="80" w:type="dxa"/>
              <w:left w:w="120" w:type="dxa"/>
              <w:right w:w="120" w:type="dxa"/>
            </w:tcMar>
          </w:tcPr>
          <w:p>
            <w:pPr>
              <w:spacing w:before="0" w:after="0"/>
              <w:jc w:val="center"/>
            </w:pPr>
            <w:r>
              <w:rPr>
                <w:rFonts w:ascii="Calibri" w:hAnsi="Calibri"/>
                <w:color w:val="2D3748"/>
                <w:sz w:val="18"/>
              </w:rPr>
              <w:t>Alerta Media</w:t>
            </w:r>
          </w:p>
        </w:tc>
        <w:tc>
          <w:tcPr>
            <w:tcW w:type="dxa" w:w="3456"/>
            <w:shd w:fill="F7FAFC"/>
            <w:tcMar>
              <w:top w:w="80" w:type="dxa"/>
              <w:bottom w:w="80" w:type="dxa"/>
              <w:left w:w="120" w:type="dxa"/>
              <w:right w:w="120" w:type="dxa"/>
            </w:tcMar>
          </w:tcPr>
          <w:p>
            <w:pPr>
              <w:spacing w:before="0" w:after="0"/>
              <w:jc w:val="left"/>
            </w:pPr>
            <w:r>
              <w:rPr>
                <w:rFonts w:ascii="Calibri" w:hAnsi="Calibri"/>
                <w:color w:val="2D3748"/>
                <w:sz w:val="18"/>
              </w:rPr>
              <w:t>Adaptación operativa: Apple segmentó distribución de software en la UE; margen global absorbido por EE.UU.</w:t>
            </w:r>
          </w:p>
        </w:tc>
      </w:tr>
      <w:tr>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Q1 FY26</w:t>
            </w:r>
          </w:p>
        </w:tc>
        <w:tc>
          <w:tcPr>
            <w:tcW w:type="dxa" w:w="3168"/>
            <w:shd w:fill="FFFFFF"/>
            <w:tcMar>
              <w:top w:w="80" w:type="dxa"/>
              <w:bottom w:w="80" w:type="dxa"/>
              <w:left w:w="120" w:type="dxa"/>
              <w:right w:w="120" w:type="dxa"/>
            </w:tcMar>
          </w:tcPr>
          <w:p>
            <w:pPr>
              <w:spacing w:before="0" w:after="0"/>
              <w:jc w:val="left"/>
            </w:pPr>
            <w:r>
              <w:rPr>
                <w:rFonts w:ascii="Calibri" w:hAnsi="Calibri"/>
                <w:color w:val="2D3748"/>
                <w:sz w:val="18"/>
              </w:rPr>
              <w:t>Riesgo Logístico Navideño: Despachar $143.8B en hardware en un trimestre récord sin rotura de stock.</w:t>
            </w:r>
          </w:p>
        </w:tc>
        <w:tc>
          <w:tcPr>
            <w:tcW w:type="dxa" w:w="1728"/>
            <w:shd w:fill="FFFFFF"/>
            <w:tcMar>
              <w:top w:w="80" w:type="dxa"/>
              <w:bottom w:w="80" w:type="dxa"/>
              <w:left w:w="120" w:type="dxa"/>
              <w:right w:w="120" w:type="dxa"/>
            </w:tcMar>
          </w:tcPr>
          <w:p>
            <w:pPr>
              <w:spacing w:before="0" w:after="0"/>
              <w:jc w:val="center"/>
            </w:pPr>
            <w:r>
              <w:rPr>
                <w:rFonts w:ascii="Calibri" w:hAnsi="Calibri"/>
                <w:color w:val="2D3748"/>
                <w:sz w:val="18"/>
              </w:rPr>
              <w:t>Riesgo Controlado</w:t>
            </w:r>
          </w:p>
        </w:tc>
        <w:tc>
          <w:tcPr>
            <w:tcW w:type="dxa" w:w="3456"/>
            <w:shd w:fill="FFFFFF"/>
            <w:tcMar>
              <w:top w:w="80" w:type="dxa"/>
              <w:bottom w:w="80" w:type="dxa"/>
              <w:left w:w="120" w:type="dxa"/>
              <w:right w:w="120" w:type="dxa"/>
            </w:tcMar>
          </w:tcPr>
          <w:p>
            <w:pPr>
              <w:spacing w:before="0" w:after="0"/>
              <w:jc w:val="left"/>
            </w:pPr>
            <w:r>
              <w:rPr>
                <w:rFonts w:ascii="Calibri" w:hAnsi="Calibri"/>
                <w:color w:val="2D3748"/>
                <w:sz w:val="18"/>
              </w:rPr>
              <w:t>Ejecución impecable: Mejor trimestre histórico con entregas a tiempo y mínima fricción en retail.</w:t>
            </w:r>
          </w:p>
        </w:tc>
      </w:tr>
      <w:tr>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Q2 FY26</w:t>
            </w:r>
          </w:p>
        </w:tc>
        <w:tc>
          <w:tcPr>
            <w:tcW w:type="dxa" w:w="3168"/>
            <w:shd w:fill="F7FAFC"/>
            <w:tcMar>
              <w:top w:w="80" w:type="dxa"/>
              <w:bottom w:w="80" w:type="dxa"/>
              <w:left w:w="120" w:type="dxa"/>
              <w:right w:w="120" w:type="dxa"/>
            </w:tcMar>
          </w:tcPr>
          <w:p>
            <w:pPr>
              <w:spacing w:before="0" w:after="0"/>
              <w:jc w:val="left"/>
            </w:pPr>
            <w:r>
              <w:rPr>
                <w:rFonts w:ascii="Calibri" w:hAnsi="Calibri"/>
                <w:color w:val="2D3748"/>
                <w:sz w:val="18"/>
              </w:rPr>
              <w:t>Relevo en C-Suite y Costes de DRAM: Salida de Tim Cook y primeros indicios de subida de precios en RAM.</w:t>
            </w:r>
          </w:p>
        </w:tc>
        <w:tc>
          <w:tcPr>
            <w:tcW w:type="dxa" w:w="1728"/>
            <w:shd w:fill="F7FAFC"/>
            <w:tcMar>
              <w:top w:w="80" w:type="dxa"/>
              <w:bottom w:w="80" w:type="dxa"/>
              <w:left w:w="120" w:type="dxa"/>
              <w:right w:w="120" w:type="dxa"/>
            </w:tcMar>
          </w:tcPr>
          <w:p>
            <w:pPr>
              <w:spacing w:before="0" w:after="0"/>
              <w:jc w:val="center"/>
            </w:pPr>
            <w:r>
              <w:rPr>
                <w:rFonts w:ascii="Calibri" w:hAnsi="Calibri"/>
                <w:color w:val="2D3748"/>
                <w:sz w:val="18"/>
              </w:rPr>
              <w:t>Alerta Media</w:t>
            </w:r>
          </w:p>
        </w:tc>
        <w:tc>
          <w:tcPr>
            <w:tcW w:type="dxa" w:w="3456"/>
            <w:shd w:fill="F7FAFC"/>
            <w:tcMar>
              <w:top w:w="80" w:type="dxa"/>
              <w:bottom w:w="80" w:type="dxa"/>
              <w:left w:w="120" w:type="dxa"/>
              <w:right w:w="120" w:type="dxa"/>
            </w:tcMar>
          </w:tcPr>
          <w:p>
            <w:pPr>
              <w:spacing w:before="0" w:after="0"/>
              <w:jc w:val="left"/>
            </w:pPr>
            <w:r>
              <w:rPr>
                <w:rFonts w:ascii="Calibri" w:hAnsi="Calibri"/>
                <w:color w:val="2D3748"/>
                <w:sz w:val="18"/>
              </w:rPr>
              <w:t>Transición fluida: Relevo comunicado sin sobresaltos. Costes mitigados por inventarios estratégicos.</w:t>
            </w:r>
          </w:p>
        </w:tc>
      </w:tr>
      <w:tr>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Q3 FY26</w:t>
            </w:r>
          </w:p>
        </w:tc>
        <w:tc>
          <w:tcPr>
            <w:tcW w:type="dxa" w:w="3168"/>
            <w:shd w:fill="FFFFFF"/>
            <w:tcMar>
              <w:top w:w="80" w:type="dxa"/>
              <w:bottom w:w="80" w:type="dxa"/>
              <w:left w:w="120" w:type="dxa"/>
              <w:right w:w="120" w:type="dxa"/>
            </w:tcMar>
          </w:tcPr>
          <w:p>
            <w:pPr>
              <w:spacing w:before="0" w:after="0"/>
              <w:jc w:val="left"/>
            </w:pPr>
            <w:r>
              <w:rPr>
                <w:rFonts w:ascii="Calibri" w:hAnsi="Calibri"/>
                <w:color w:val="2D3748"/>
                <w:sz w:val="18"/>
              </w:rPr>
              <w:t>Cuellos de Botella en Silicio e Inflación de DRAM: TSMC al límite en nodos avanzados y DRAM exponencial.</w:t>
            </w:r>
          </w:p>
        </w:tc>
        <w:tc>
          <w:tcPr>
            <w:tcW w:type="dxa" w:w="1728"/>
            <w:shd w:fill="FFFFFF"/>
            <w:tcMar>
              <w:top w:w="80" w:type="dxa"/>
              <w:bottom w:w="80" w:type="dxa"/>
              <w:left w:w="120" w:type="dxa"/>
              <w:right w:w="120" w:type="dxa"/>
            </w:tcMar>
          </w:tcPr>
          <w:p>
            <w:pPr>
              <w:spacing w:before="0" w:after="0"/>
              <w:jc w:val="center"/>
            </w:pPr>
            <w:r>
              <w:rPr>
                <w:rFonts w:ascii="Calibri" w:hAnsi="Calibri"/>
                <w:color w:val="2D3748"/>
                <w:sz w:val="18"/>
              </w:rPr>
              <w:t>Alerta Alta</w:t>
            </w:r>
          </w:p>
        </w:tc>
        <w:tc>
          <w:tcPr>
            <w:tcW w:type="dxa" w:w="3456"/>
            <w:shd w:fill="FFFFFF"/>
            <w:tcMar>
              <w:top w:w="80" w:type="dxa"/>
              <w:bottom w:w="80" w:type="dxa"/>
              <w:left w:w="120" w:type="dxa"/>
              <w:right w:w="120" w:type="dxa"/>
            </w:tcMar>
          </w:tcPr>
          <w:p>
            <w:pPr>
              <w:spacing w:before="0" w:after="0"/>
              <w:jc w:val="left"/>
            </w:pPr>
            <w:r>
              <w:rPr>
                <w:rFonts w:ascii="Calibri" w:hAnsi="Calibri"/>
                <w:color w:val="2D3748"/>
                <w:sz w:val="18"/>
              </w:rPr>
              <w:t>Riesgo Activo: Subidas selectivas de precios y advertencia de oferta de hardware restringida en Q4 FY26.</w:t>
            </w:r>
          </w:p>
        </w:tc>
      </w:tr>
    </w:tbl>
    <w:p>
      <w:pPr>
        <w:spacing w:after="120"/>
      </w:pPr>
    </w:p>
    <w:p>
      <w:pPr>
        <w:spacing w:before="40" w:after="80" w:line="276" w:lineRule="auto"/>
      </w:pPr>
      <w:r>
        <w:rPr>
          <w:rFonts w:ascii="Calibri" w:hAnsi="Calibri"/>
          <w:b/>
          <w:color w:val="2D3748"/>
          <w:sz w:val="20"/>
        </w:rPr>
        <w:t xml:space="preserve">🔍 </w:t>
      </w:r>
      <w:r>
        <w:rPr>
          <w:rFonts w:ascii="Calibri" w:hAnsi="Calibri"/>
          <w:i w:val="0"/>
          <w:color w:val="2D3748"/>
          <w:sz w:val="20"/>
        </w:rPr>
        <w:t>Conclusiones sobre la Mutación de Riesgos:</w:t>
      </w:r>
    </w:p>
    <w:p>
      <w:pPr>
        <w:spacing w:before="40" w:after="80" w:line="276" w:lineRule="auto"/>
      </w:pPr>
      <w:r>
        <w:rPr>
          <w:rFonts w:ascii="Calibri" w:hAnsi="Calibri"/>
          <w:b/>
          <w:color w:val="2D3748"/>
          <w:sz w:val="20"/>
        </w:rPr>
        <w:t xml:space="preserve">• De la incertidumbre de demanda a la crisis de exceso de demanda: </w:t>
      </w:r>
      <w:r>
        <w:rPr>
          <w:rFonts w:ascii="Calibri" w:hAnsi="Calibri"/>
          <w:i w:val="0"/>
          <w:color w:val="2D3748"/>
          <w:sz w:val="20"/>
        </w:rPr>
        <w:t>En 2025 el mercado dudaba si los clientes renovarían sus dispositivos. En 2026, la demanda fue tan masiva que el problema se transformó en la imposibilidad física de fabricar suficientes microchips para abastecer los pedidos.</w:t>
      </w:r>
    </w:p>
    <w:p>
      <w:pPr>
        <w:spacing w:before="40" w:after="80" w:line="276" w:lineRule="auto"/>
      </w:pPr>
      <w:r>
        <w:rPr>
          <w:rFonts w:ascii="Calibri" w:hAnsi="Calibri"/>
          <w:b/>
          <w:color w:val="2D3748"/>
          <w:sz w:val="20"/>
        </w:rPr>
        <w:t xml:space="preserve">• Poder de fijación de precios frente a la inflación de costes: </w:t>
      </w:r>
      <w:r>
        <w:rPr>
          <w:rFonts w:ascii="Calibri" w:hAnsi="Calibri"/>
          <w:i w:val="0"/>
          <w:color w:val="2D3748"/>
          <w:sz w:val="20"/>
        </w:rPr>
        <w:t>A pesar de que los precios de memoria se dispararon ('crecida de 100 años'), el margen bruto consolidado alcanzó el 50.1%, demostrando que la empresa puede trasladar aumentos de costes sin sacrificar volumen ni cuota de mercado.</w:t>
      </w:r>
    </w:p>
    <w:tbl>
      <w:tblPr>
        <w:tblW w:type="auto" w:w="0"/>
        <w:jc w:val="center"/>
        <w:tblLayout w:type="fixed"/>
        <w:tblLook w:firstColumn="1" w:firstRow="1" w:lastColumn="0" w:lastRow="0" w:noHBand="0" w:noVBand="1" w:val="04A0"/>
      </w:tblPr>
      <w:tblGrid>
        <w:gridCol w:w="9792"/>
      </w:tblGrid>
      <w:tr>
        <w:tc>
          <w:tcPr>
            <w:tcW w:type="dxa" w:w="9792"/>
            <w:shd w:fill="E8EEF5"/>
            <w:tcMar>
              <w:top w:w="140" w:type="dxa"/>
              <w:bottom w:w="140" w:type="dxa"/>
              <w:left w:w="180" w:type="dxa"/>
              <w:right w:w="180" w:type="dxa"/>
            </w:tcMar>
            <w:tcBorders>
              <w:left w:val="single" w:sz="24" w:space="0" w:color="0A3641"/>
              <w:top w:val="none"/>
              <w:right w:val="none"/>
              <w:bottom w:val="none"/>
            </w:tcBorders>
          </w:tcPr>
          <w:p>
            <w:pPr>
              <w:spacing w:before="0" w:after="80"/>
            </w:pPr>
            <w:r>
              <w:rPr>
                <w:rFonts w:ascii="Segoe UI Emoji" w:hAnsi="Segoe UI Emoji"/>
                <w:sz w:val="21"/>
              </w:rPr>
              <w:t xml:space="preserve">📌  </w:t>
            </w:r>
            <w:r>
              <w:rPr>
                <w:rFonts w:ascii="Calibri" w:hAnsi="Calibri"/>
                <w:b/>
                <w:color w:val="0A3641"/>
                <w:sz w:val="21"/>
              </w:rPr>
              <w:t>CALIFICACIÓN DE CREDIBILIDAD DEL MANAGEMENT: EXCEPCIONAL (TIER 1)</w:t>
            </w:r>
          </w:p>
          <w:p>
            <w:pPr>
              <w:spacing w:before="40" w:after="40" w:line="276" w:lineRule="auto"/>
            </w:pPr>
            <w:r>
              <w:rPr>
                <w:rFonts w:ascii="Calibri" w:hAnsi="Calibri"/>
                <w:color w:val="2D3748"/>
                <w:sz w:val="19"/>
              </w:rPr>
              <w:t>• Consistencia Histórica: El equipo directivo ha demostrado un patrón sistemático de fijar guías prudentes para luego superarlas (Under-promise and Over-deliver) en 4 de los últimos 5 trimestres.</w:t>
            </w:r>
          </w:p>
          <w:p>
            <w:pPr>
              <w:spacing w:before="40" w:after="40" w:line="276" w:lineRule="auto"/>
            </w:pPr>
            <w:r>
              <w:rPr>
                <w:rFonts w:ascii="Calibri" w:hAnsi="Calibri"/>
                <w:color w:val="2D3748"/>
                <w:sz w:val="19"/>
              </w:rPr>
              <w:t>• Transparencia en Riesgos: Los directivos alertaron proactivamente sobre el impacto cambiario y los costes de DRAM con dos trimestres de anticipación antes de que golpearan los estados contables.</w:t>
            </w:r>
          </w:p>
          <w:p>
            <w:pPr>
              <w:spacing w:before="40" w:after="40" w:line="276" w:lineRule="auto"/>
            </w:pPr>
            <w:r>
              <w:rPr>
                <w:rFonts w:ascii="Calibri" w:hAnsi="Calibri"/>
                <w:color w:val="2D3748"/>
                <w:sz w:val="19"/>
              </w:rPr>
              <w:t>• Transición Ordenada: La designación de John Ternus asegura la continuidad técnica y aleja el riesgo de desviaciones estratégicas o aventuras destructoras de capital.</w:t>
            </w:r>
          </w:p>
        </w:tc>
      </w:tr>
    </w:tbl>
    <w:p>
      <w:pPr>
        <w:spacing w:after="80"/>
      </w:pPr>
    </w:p>
    <w:p>
      <w:pPr>
        <w:keepNext/>
        <w:spacing w:before="320" w:after="120"/>
      </w:pPr>
      <w:r>
        <w:rPr>
          <w:rFonts w:ascii="Calibri" w:hAnsi="Calibri"/>
          <w:b/>
          <w:color w:val="1B365D"/>
          <w:sz w:val="26"/>
        </w:rPr>
        <w:t>6. Posición Patrimonial, Estructura de Capital y Asignación de Recursos (Capital Allocation)</w:t>
      </w:r>
    </w:p>
    <w:p>
      <w:pPr>
        <w:spacing w:before="40" w:after="80" w:line="276" w:lineRule="auto"/>
      </w:pPr>
      <w:r>
        <w:rPr>
          <w:rFonts w:ascii="Calibri" w:hAnsi="Calibri"/>
          <w:i w:val="0"/>
          <w:color w:val="2D3748"/>
          <w:sz w:val="20"/>
        </w:rPr>
        <w:t>La estructura financiera de Apple Inc. se mantiene en una posición de solidez incuestionable, operando prácticamente como un 'banco de inversión de alta calificación' dentro del sector tecnológico global. La directiva combina una política de apalancamiento conservadora con un programa agresivo de retorno de capital hacia los accionistas, enmarcado dentro de su objetivo formal de alcanzar una posición de Caja Neta Neutral (Net Cash Neutral).</w:t>
      </w:r>
    </w:p>
    <w:p>
      <w:pPr>
        <w:keepNext/>
        <w:spacing w:before="200" w:after="80"/>
      </w:pPr>
      <w:r>
        <w:rPr>
          <w:rFonts w:ascii="Calibri" w:hAnsi="Calibri"/>
          <w:b/>
          <w:color w:val="4A5568"/>
          <w:sz w:val="22"/>
        </w:rPr>
        <w:t>6.1. Cuadro de Mando de Liquidez, Deuda y Posición Neta de Caja</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1958"/>
        <w:gridCol w:w="1958"/>
        <w:gridCol w:w="1958"/>
        <w:gridCol w:w="1958"/>
        <w:gridCol w:w="1958"/>
      </w:tblGrid>
      <w:tr>
        <w:tc>
          <w:tcPr>
            <w:tcW w:type="dxa" w:w="2592"/>
            <w:shd w:fill="1B365D"/>
            <w:tcMar>
              <w:top w:w="100" w:type="dxa"/>
              <w:bottom w:w="100" w:type="dxa"/>
              <w:left w:w="120" w:type="dxa"/>
              <w:right w:w="120" w:type="dxa"/>
            </w:tcMar>
          </w:tcPr>
          <w:p>
            <w:pPr>
              <w:spacing w:before="0" w:after="0"/>
              <w:jc w:val="left"/>
            </w:pPr>
            <w:r>
              <w:rPr>
                <w:rFonts w:ascii="Calibri" w:hAnsi="Calibri"/>
                <w:b/>
                <w:color w:val="FFFFFF"/>
                <w:sz w:val="19"/>
              </w:rPr>
              <w:t>Métrica Patrimonial</w:t>
            </w:r>
          </w:p>
        </w:tc>
        <w:tc>
          <w:tcPr>
            <w:tcW w:type="dxa" w:w="1440"/>
            <w:shd w:fill="1B365D"/>
            <w:tcMar>
              <w:top w:w="100" w:type="dxa"/>
              <w:bottom w:w="100" w:type="dxa"/>
              <w:left w:w="120" w:type="dxa"/>
              <w:right w:w="120" w:type="dxa"/>
            </w:tcMar>
          </w:tcPr>
          <w:p>
            <w:pPr>
              <w:spacing w:before="0" w:after="0"/>
              <w:jc w:val="right"/>
            </w:pPr>
            <w:r>
              <w:rPr>
                <w:rFonts w:ascii="Calibri" w:hAnsi="Calibri"/>
                <w:b/>
                <w:color w:val="FFFFFF"/>
                <w:sz w:val="19"/>
              </w:rPr>
              <w:t>Q3 FY26 ($M)</w:t>
            </w:r>
          </w:p>
        </w:tc>
        <w:tc>
          <w:tcPr>
            <w:tcW w:type="dxa" w:w="1440"/>
            <w:shd w:fill="1B365D"/>
            <w:tcMar>
              <w:top w:w="100" w:type="dxa"/>
              <w:bottom w:w="100" w:type="dxa"/>
              <w:left w:w="120" w:type="dxa"/>
              <w:right w:w="120" w:type="dxa"/>
            </w:tcMar>
          </w:tcPr>
          <w:p>
            <w:pPr>
              <w:spacing w:before="0" w:after="0"/>
              <w:jc w:val="right"/>
            </w:pPr>
            <w:r>
              <w:rPr>
                <w:rFonts w:ascii="Calibri" w:hAnsi="Calibri"/>
                <w:b/>
                <w:color w:val="FFFFFF"/>
                <w:sz w:val="19"/>
              </w:rPr>
              <w:t>Q3 FY25 ($M)</w:t>
            </w:r>
          </w:p>
        </w:tc>
        <w:tc>
          <w:tcPr>
            <w:tcW w:type="dxa" w:w="1584"/>
            <w:shd w:fill="1B365D"/>
            <w:tcMar>
              <w:top w:w="100" w:type="dxa"/>
              <w:bottom w:w="100" w:type="dxa"/>
              <w:left w:w="120" w:type="dxa"/>
              <w:right w:w="120" w:type="dxa"/>
            </w:tcMar>
          </w:tcPr>
          <w:p>
            <w:pPr>
              <w:spacing w:before="0" w:after="0"/>
              <w:jc w:val="right"/>
            </w:pPr>
            <w:r>
              <w:rPr>
                <w:rFonts w:ascii="Calibri" w:hAnsi="Calibri"/>
                <w:b/>
                <w:color w:val="FFFFFF"/>
                <w:sz w:val="19"/>
              </w:rPr>
              <w:t>Variación YoY</w:t>
            </w:r>
          </w:p>
        </w:tc>
        <w:tc>
          <w:tcPr>
            <w:tcW w:type="dxa" w:w="2736"/>
            <w:shd w:fill="1B365D"/>
            <w:tcMar>
              <w:top w:w="100" w:type="dxa"/>
              <w:bottom w:w="100" w:type="dxa"/>
              <w:left w:w="120" w:type="dxa"/>
              <w:right w:w="120" w:type="dxa"/>
            </w:tcMar>
          </w:tcPr>
          <w:p>
            <w:pPr>
              <w:spacing w:before="0" w:after="0"/>
              <w:jc w:val="left"/>
            </w:pPr>
            <w:r>
              <w:rPr>
                <w:rFonts w:ascii="Calibri" w:hAnsi="Calibri"/>
                <w:b/>
                <w:color w:val="FFFFFF"/>
                <w:sz w:val="19"/>
              </w:rPr>
              <w:t>Diagnóstico de Solvencia y Balance</w:t>
            </w:r>
          </w:p>
        </w:tc>
      </w:tr>
      <w:tr>
        <w:tc>
          <w:tcPr>
            <w:tcW w:type="dxa" w:w="2592"/>
            <w:shd w:fill="FFFFFF"/>
            <w:tcMar>
              <w:top w:w="80" w:type="dxa"/>
              <w:bottom w:w="80" w:type="dxa"/>
              <w:left w:w="120" w:type="dxa"/>
              <w:right w:w="120" w:type="dxa"/>
            </w:tcMar>
          </w:tcPr>
          <w:p>
            <w:pPr>
              <w:spacing w:before="0" w:after="0"/>
              <w:jc w:val="left"/>
            </w:pPr>
            <w:r>
              <w:rPr>
                <w:rFonts w:ascii="Calibri" w:hAnsi="Calibri"/>
                <w:color w:val="2D3748"/>
                <w:sz w:val="18"/>
              </w:rPr>
              <w:t>Efectivo y Equivalentes Líquidos</w:t>
            </w:r>
          </w:p>
        </w:tc>
        <w:tc>
          <w:tcPr>
            <w:tcW w:type="dxa" w:w="1440"/>
            <w:shd w:fill="FFFFFF"/>
            <w:tcMar>
              <w:top w:w="80" w:type="dxa"/>
              <w:bottom w:w="80" w:type="dxa"/>
              <w:left w:w="120" w:type="dxa"/>
              <w:right w:w="120" w:type="dxa"/>
            </w:tcMar>
          </w:tcPr>
          <w:p>
            <w:pPr>
              <w:spacing w:before="0" w:after="0"/>
              <w:jc w:val="right"/>
            </w:pPr>
            <w:r>
              <w:rPr>
                <w:rFonts w:ascii="Calibri" w:hAnsi="Calibri"/>
                <w:color w:val="2D3748"/>
                <w:sz w:val="18"/>
              </w:rPr>
              <w:t>$39,544 M</w:t>
            </w:r>
          </w:p>
        </w:tc>
        <w:tc>
          <w:tcPr>
            <w:tcW w:type="dxa" w:w="1440"/>
            <w:shd w:fill="FFFFFF"/>
            <w:tcMar>
              <w:top w:w="80" w:type="dxa"/>
              <w:bottom w:w="80" w:type="dxa"/>
              <w:left w:w="120" w:type="dxa"/>
              <w:right w:w="120" w:type="dxa"/>
            </w:tcMar>
          </w:tcPr>
          <w:p>
            <w:pPr>
              <w:spacing w:before="0" w:after="0"/>
              <w:jc w:val="right"/>
            </w:pPr>
            <w:r>
              <w:rPr>
                <w:rFonts w:ascii="Calibri" w:hAnsi="Calibri"/>
                <w:color w:val="2D3748"/>
                <w:sz w:val="18"/>
              </w:rPr>
              <w:t>$31,850 M</w:t>
            </w:r>
          </w:p>
        </w:tc>
        <w:tc>
          <w:tcPr>
            <w:tcW w:type="dxa" w:w="1584"/>
            <w:shd w:fill="FFFFFF"/>
            <w:tcMar>
              <w:top w:w="80" w:type="dxa"/>
              <w:bottom w:w="80" w:type="dxa"/>
              <w:left w:w="120" w:type="dxa"/>
              <w:right w:w="120" w:type="dxa"/>
            </w:tcMar>
          </w:tcPr>
          <w:p>
            <w:pPr>
              <w:spacing w:before="0" w:after="0"/>
              <w:jc w:val="right"/>
            </w:pPr>
            <w:r>
              <w:rPr>
                <w:rFonts w:ascii="Calibri" w:hAnsi="Calibri"/>
                <w:color w:val="2D3748"/>
                <w:sz w:val="18"/>
              </w:rPr>
              <w:t>+24.2%</w:t>
            </w:r>
          </w:p>
        </w:tc>
        <w:tc>
          <w:tcPr>
            <w:tcW w:type="dxa" w:w="2736"/>
            <w:shd w:fill="FFFFFF"/>
            <w:tcMar>
              <w:top w:w="80" w:type="dxa"/>
              <w:bottom w:w="80" w:type="dxa"/>
              <w:left w:w="120" w:type="dxa"/>
              <w:right w:w="120" w:type="dxa"/>
            </w:tcMar>
          </w:tcPr>
          <w:p>
            <w:pPr>
              <w:spacing w:before="0" w:after="0"/>
              <w:jc w:val="left"/>
            </w:pPr>
            <w:r>
              <w:rPr>
                <w:rFonts w:ascii="Calibri" w:hAnsi="Calibri"/>
                <w:color w:val="2D3748"/>
                <w:sz w:val="18"/>
              </w:rPr>
              <w:t>Liquidez operativa de disponibilidad inmediata para pagos y tesorería.</w:t>
            </w:r>
          </w:p>
        </w:tc>
      </w:tr>
      <w:tr>
        <w:tc>
          <w:tcPr>
            <w:tcW w:type="dxa" w:w="2592"/>
            <w:shd w:fill="F7FAFC"/>
            <w:tcMar>
              <w:top w:w="80" w:type="dxa"/>
              <w:bottom w:w="80" w:type="dxa"/>
              <w:left w:w="120" w:type="dxa"/>
              <w:right w:w="120" w:type="dxa"/>
            </w:tcMar>
          </w:tcPr>
          <w:p>
            <w:pPr>
              <w:spacing w:before="0" w:after="0"/>
              <w:jc w:val="left"/>
            </w:pPr>
            <w:r>
              <w:rPr>
                <w:rFonts w:ascii="Calibri" w:hAnsi="Calibri"/>
                <w:color w:val="2D3748"/>
                <w:sz w:val="18"/>
              </w:rPr>
              <w:t>Valores Negociables (Corto Plazo)</w:t>
            </w:r>
          </w:p>
        </w:tc>
        <w:tc>
          <w:tcPr>
            <w:tcW w:type="dxa" w:w="1440"/>
            <w:shd w:fill="F7FAFC"/>
            <w:tcMar>
              <w:top w:w="80" w:type="dxa"/>
              <w:bottom w:w="80" w:type="dxa"/>
              <w:left w:w="120" w:type="dxa"/>
              <w:right w:w="120" w:type="dxa"/>
            </w:tcMar>
          </w:tcPr>
          <w:p>
            <w:pPr>
              <w:spacing w:before="0" w:after="0"/>
              <w:jc w:val="right"/>
            </w:pPr>
            <w:r>
              <w:rPr>
                <w:rFonts w:ascii="Calibri" w:hAnsi="Calibri"/>
                <w:color w:val="2D3748"/>
                <w:sz w:val="18"/>
              </w:rPr>
              <w:t>$22,855 M</w:t>
            </w:r>
          </w:p>
        </w:tc>
        <w:tc>
          <w:tcPr>
            <w:tcW w:type="dxa" w:w="1440"/>
            <w:shd w:fill="F7FAFC"/>
            <w:tcMar>
              <w:top w:w="80" w:type="dxa"/>
              <w:bottom w:w="80" w:type="dxa"/>
              <w:left w:w="120" w:type="dxa"/>
              <w:right w:w="120" w:type="dxa"/>
            </w:tcMar>
          </w:tcPr>
          <w:p>
            <w:pPr>
              <w:spacing w:before="0" w:after="0"/>
              <w:jc w:val="right"/>
            </w:pPr>
            <w:r>
              <w:rPr>
                <w:rFonts w:ascii="Calibri" w:hAnsi="Calibri"/>
                <w:color w:val="2D3748"/>
                <w:sz w:val="18"/>
              </w:rPr>
              <w:t>$27,410 M</w:t>
            </w:r>
          </w:p>
        </w:tc>
        <w:tc>
          <w:tcPr>
            <w:tcW w:type="dxa" w:w="1584"/>
            <w:shd w:fill="F7FAFC"/>
            <w:tcMar>
              <w:top w:w="80" w:type="dxa"/>
              <w:bottom w:w="80" w:type="dxa"/>
              <w:left w:w="120" w:type="dxa"/>
              <w:right w:w="120" w:type="dxa"/>
            </w:tcMar>
          </w:tcPr>
          <w:p>
            <w:pPr>
              <w:spacing w:before="0" w:after="0"/>
              <w:jc w:val="right"/>
            </w:pPr>
            <w:r>
              <w:rPr>
                <w:rFonts w:ascii="Calibri" w:hAnsi="Calibri"/>
                <w:color w:val="2D3748"/>
                <w:sz w:val="18"/>
              </w:rPr>
              <w:t>-16.6%</w:t>
            </w:r>
          </w:p>
        </w:tc>
        <w:tc>
          <w:tcPr>
            <w:tcW w:type="dxa" w:w="2736"/>
            <w:shd w:fill="F7FAFC"/>
            <w:tcMar>
              <w:top w:w="80" w:type="dxa"/>
              <w:bottom w:w="80" w:type="dxa"/>
              <w:left w:w="120" w:type="dxa"/>
              <w:right w:w="120" w:type="dxa"/>
            </w:tcMar>
          </w:tcPr>
          <w:p>
            <w:pPr>
              <w:spacing w:before="0" w:after="0"/>
              <w:jc w:val="left"/>
            </w:pPr>
            <w:r>
              <w:rPr>
                <w:rFonts w:ascii="Calibri" w:hAnsi="Calibri"/>
                <w:color w:val="2D3748"/>
                <w:sz w:val="18"/>
              </w:rPr>
              <w:t>Letras del tesoro y pagarés corporativos AAA con vencimiento &lt; 12 meses.</w:t>
            </w:r>
          </w:p>
        </w:tc>
      </w:tr>
      <w:tr>
        <w:tc>
          <w:tcPr>
            <w:tcW w:type="dxa" w:w="2592"/>
            <w:shd w:fill="FFFFFF"/>
            <w:tcMar>
              <w:top w:w="80" w:type="dxa"/>
              <w:bottom w:w="80" w:type="dxa"/>
              <w:left w:w="120" w:type="dxa"/>
              <w:right w:w="120" w:type="dxa"/>
            </w:tcMar>
          </w:tcPr>
          <w:p>
            <w:pPr>
              <w:spacing w:before="0" w:after="0"/>
              <w:jc w:val="left"/>
            </w:pPr>
            <w:r>
              <w:rPr>
                <w:rFonts w:ascii="Calibri" w:hAnsi="Calibri"/>
                <w:color w:val="2D3748"/>
                <w:sz w:val="18"/>
              </w:rPr>
              <w:t>Valores Negociables (Largo Plazo)</w:t>
            </w:r>
          </w:p>
        </w:tc>
        <w:tc>
          <w:tcPr>
            <w:tcW w:type="dxa" w:w="1440"/>
            <w:shd w:fill="FFFFFF"/>
            <w:tcMar>
              <w:top w:w="80" w:type="dxa"/>
              <w:bottom w:w="80" w:type="dxa"/>
              <w:left w:w="120" w:type="dxa"/>
              <w:right w:w="120" w:type="dxa"/>
            </w:tcMar>
          </w:tcPr>
          <w:p>
            <w:pPr>
              <w:spacing w:before="0" w:after="0"/>
              <w:jc w:val="right"/>
            </w:pPr>
            <w:r>
              <w:rPr>
                <w:rFonts w:ascii="Calibri" w:hAnsi="Calibri"/>
                <w:color w:val="2D3748"/>
                <w:sz w:val="18"/>
              </w:rPr>
              <w:t>$84,118 M</w:t>
            </w:r>
          </w:p>
        </w:tc>
        <w:tc>
          <w:tcPr>
            <w:tcW w:type="dxa" w:w="1440"/>
            <w:shd w:fill="FFFFFF"/>
            <w:tcMar>
              <w:top w:w="80" w:type="dxa"/>
              <w:bottom w:w="80" w:type="dxa"/>
              <w:left w:w="120" w:type="dxa"/>
              <w:right w:w="120" w:type="dxa"/>
            </w:tcMar>
          </w:tcPr>
          <w:p>
            <w:pPr>
              <w:spacing w:before="0" w:after="0"/>
              <w:jc w:val="right"/>
            </w:pPr>
            <w:r>
              <w:rPr>
                <w:rFonts w:ascii="Calibri" w:hAnsi="Calibri"/>
                <w:color w:val="2D3748"/>
                <w:sz w:val="18"/>
              </w:rPr>
              <w:t>$93,950 M</w:t>
            </w:r>
          </w:p>
        </w:tc>
        <w:tc>
          <w:tcPr>
            <w:tcW w:type="dxa" w:w="1584"/>
            <w:shd w:fill="FFFFFF"/>
            <w:tcMar>
              <w:top w:w="80" w:type="dxa"/>
              <w:bottom w:w="80" w:type="dxa"/>
              <w:left w:w="120" w:type="dxa"/>
              <w:right w:w="120" w:type="dxa"/>
            </w:tcMar>
          </w:tcPr>
          <w:p>
            <w:pPr>
              <w:spacing w:before="0" w:after="0"/>
              <w:jc w:val="right"/>
            </w:pPr>
            <w:r>
              <w:rPr>
                <w:rFonts w:ascii="Calibri" w:hAnsi="Calibri"/>
                <w:color w:val="2D3748"/>
                <w:sz w:val="18"/>
              </w:rPr>
              <w:t>-10.5%</w:t>
            </w:r>
          </w:p>
        </w:tc>
        <w:tc>
          <w:tcPr>
            <w:tcW w:type="dxa" w:w="2736"/>
            <w:shd w:fill="FFFFFF"/>
            <w:tcMar>
              <w:top w:w="80" w:type="dxa"/>
              <w:bottom w:w="80" w:type="dxa"/>
              <w:left w:w="120" w:type="dxa"/>
              <w:right w:w="120" w:type="dxa"/>
            </w:tcMar>
          </w:tcPr>
          <w:p>
            <w:pPr>
              <w:spacing w:before="0" w:after="0"/>
              <w:jc w:val="left"/>
            </w:pPr>
            <w:r>
              <w:rPr>
                <w:rFonts w:ascii="Calibri" w:hAnsi="Calibri"/>
                <w:color w:val="2D3748"/>
                <w:sz w:val="18"/>
              </w:rPr>
              <w:t>Cartera de bonos soberanos y corporativos líquidos de alto rendimiento.</w:t>
            </w:r>
          </w:p>
        </w:tc>
      </w:tr>
      <w:tr>
        <w:tc>
          <w:tcPr>
            <w:tcW w:type="dxa" w:w="2592"/>
            <w:shd w:fill="F7FAFC"/>
            <w:tcMar>
              <w:top w:w="80" w:type="dxa"/>
              <w:bottom w:w="80" w:type="dxa"/>
              <w:left w:w="120" w:type="dxa"/>
              <w:right w:w="120" w:type="dxa"/>
            </w:tcMar>
          </w:tcPr>
          <w:p>
            <w:pPr>
              <w:spacing w:before="0" w:after="0"/>
              <w:jc w:val="left"/>
            </w:pPr>
            <w:r>
              <w:rPr>
                <w:rFonts w:ascii="Calibri" w:hAnsi="Calibri"/>
                <w:color w:val="2D3748"/>
                <w:sz w:val="18"/>
              </w:rPr>
              <w:t>LIQUIDEZ TOTAL DISPONIBLE (Cash &amp; Securities)</w:t>
            </w:r>
          </w:p>
        </w:tc>
        <w:tc>
          <w:tcPr>
            <w:tcW w:type="dxa" w:w="1440"/>
            <w:shd w:fill="F7FAFC"/>
            <w:tcMar>
              <w:top w:w="80" w:type="dxa"/>
              <w:bottom w:w="80" w:type="dxa"/>
              <w:left w:w="120" w:type="dxa"/>
              <w:right w:w="120" w:type="dxa"/>
            </w:tcMar>
          </w:tcPr>
          <w:p>
            <w:pPr>
              <w:spacing w:before="0" w:after="0"/>
              <w:jc w:val="right"/>
            </w:pPr>
            <w:r>
              <w:rPr>
                <w:rFonts w:ascii="Calibri" w:hAnsi="Calibri"/>
                <w:color w:val="2D3748"/>
                <w:sz w:val="18"/>
              </w:rPr>
              <w:t>$146,517 M</w:t>
            </w:r>
          </w:p>
        </w:tc>
        <w:tc>
          <w:tcPr>
            <w:tcW w:type="dxa" w:w="1440"/>
            <w:shd w:fill="F7FAFC"/>
            <w:tcMar>
              <w:top w:w="80" w:type="dxa"/>
              <w:bottom w:w="80" w:type="dxa"/>
              <w:left w:w="120" w:type="dxa"/>
              <w:right w:w="120" w:type="dxa"/>
            </w:tcMar>
          </w:tcPr>
          <w:p>
            <w:pPr>
              <w:spacing w:before="0" w:after="0"/>
              <w:jc w:val="right"/>
            </w:pPr>
            <w:r>
              <w:rPr>
                <w:rFonts w:ascii="Calibri" w:hAnsi="Calibri"/>
                <w:color w:val="2D3748"/>
                <w:sz w:val="18"/>
              </w:rPr>
              <w:t>$153,210 M</w:t>
            </w:r>
          </w:p>
        </w:tc>
        <w:tc>
          <w:tcPr>
            <w:tcW w:type="dxa" w:w="1584"/>
            <w:shd w:fill="F7FAFC"/>
            <w:tcMar>
              <w:top w:w="80" w:type="dxa"/>
              <w:bottom w:w="80" w:type="dxa"/>
              <w:left w:w="120" w:type="dxa"/>
              <w:right w:w="120" w:type="dxa"/>
            </w:tcMar>
          </w:tcPr>
          <w:p>
            <w:pPr>
              <w:spacing w:before="0" w:after="0"/>
              <w:jc w:val="right"/>
            </w:pPr>
            <w:r>
              <w:rPr>
                <w:rFonts w:ascii="Calibri" w:hAnsi="Calibri"/>
                <w:color w:val="2D3748"/>
                <w:sz w:val="18"/>
              </w:rPr>
              <w:t>-4.4%</w:t>
            </w:r>
          </w:p>
        </w:tc>
        <w:tc>
          <w:tcPr>
            <w:tcW w:type="dxa" w:w="2736"/>
            <w:shd w:fill="F7FAFC"/>
            <w:tcMar>
              <w:top w:w="80" w:type="dxa"/>
              <w:bottom w:w="80" w:type="dxa"/>
              <w:left w:w="120" w:type="dxa"/>
              <w:right w:w="120" w:type="dxa"/>
            </w:tcMar>
          </w:tcPr>
          <w:p>
            <w:pPr>
              <w:spacing w:before="0" w:after="0"/>
              <w:jc w:val="left"/>
            </w:pPr>
            <w:r>
              <w:rPr>
                <w:rFonts w:ascii="Calibri" w:hAnsi="Calibri"/>
                <w:color w:val="2D3748"/>
                <w:sz w:val="18"/>
              </w:rPr>
              <w:t>Enorme 'caja de guerra' (war chest) que blinda a la empresa ante cualquier crisis.</w:t>
            </w:r>
          </w:p>
        </w:tc>
      </w:tr>
      <w:tr>
        <w:tc>
          <w:tcPr>
            <w:tcW w:type="dxa" w:w="2592"/>
            <w:shd w:fill="FFFFFF"/>
            <w:tcMar>
              <w:top w:w="80" w:type="dxa"/>
              <w:bottom w:w="80" w:type="dxa"/>
              <w:left w:w="120" w:type="dxa"/>
              <w:right w:w="120" w:type="dxa"/>
            </w:tcMar>
          </w:tcPr>
          <w:p>
            <w:pPr>
              <w:spacing w:before="0" w:after="0"/>
              <w:jc w:val="left"/>
            </w:pPr>
            <w:r>
              <w:rPr>
                <w:rFonts w:ascii="Calibri" w:hAnsi="Calibri"/>
                <w:color w:val="2D3748"/>
                <w:sz w:val="18"/>
              </w:rPr>
              <w:t>Papel Comercial (Commercial Paper)</w:t>
            </w:r>
          </w:p>
        </w:tc>
        <w:tc>
          <w:tcPr>
            <w:tcW w:type="dxa" w:w="1440"/>
            <w:shd w:fill="FFFFFF"/>
            <w:tcMar>
              <w:top w:w="80" w:type="dxa"/>
              <w:bottom w:w="80" w:type="dxa"/>
              <w:left w:w="120" w:type="dxa"/>
              <w:right w:w="120" w:type="dxa"/>
            </w:tcMar>
          </w:tcPr>
          <w:p>
            <w:pPr>
              <w:spacing w:before="0" w:after="0"/>
              <w:jc w:val="right"/>
            </w:pPr>
            <w:r>
              <w:rPr>
                <w:rFonts w:ascii="Calibri" w:hAnsi="Calibri"/>
                <w:color w:val="2D3748"/>
                <w:sz w:val="18"/>
              </w:rPr>
              <w:t>$1,997 M</w:t>
            </w:r>
          </w:p>
        </w:tc>
        <w:tc>
          <w:tcPr>
            <w:tcW w:type="dxa" w:w="1440"/>
            <w:shd w:fill="FFFFFF"/>
            <w:tcMar>
              <w:top w:w="80" w:type="dxa"/>
              <w:bottom w:w="80" w:type="dxa"/>
              <w:left w:w="120" w:type="dxa"/>
              <w:right w:w="120" w:type="dxa"/>
            </w:tcMar>
          </w:tcPr>
          <w:p>
            <w:pPr>
              <w:spacing w:before="0" w:after="0"/>
              <w:jc w:val="right"/>
            </w:pPr>
            <w:r>
              <w:rPr>
                <w:rFonts w:ascii="Calibri" w:hAnsi="Calibri"/>
                <w:color w:val="2D3748"/>
                <w:sz w:val="18"/>
              </w:rPr>
              <w:t>$3,980 M</w:t>
            </w:r>
          </w:p>
        </w:tc>
        <w:tc>
          <w:tcPr>
            <w:tcW w:type="dxa" w:w="1584"/>
            <w:shd w:fill="FFFFFF"/>
            <w:tcMar>
              <w:top w:w="80" w:type="dxa"/>
              <w:bottom w:w="80" w:type="dxa"/>
              <w:left w:w="120" w:type="dxa"/>
              <w:right w:w="120" w:type="dxa"/>
            </w:tcMar>
          </w:tcPr>
          <w:p>
            <w:pPr>
              <w:spacing w:before="0" w:after="0"/>
              <w:jc w:val="right"/>
            </w:pPr>
            <w:r>
              <w:rPr>
                <w:rFonts w:ascii="Calibri" w:hAnsi="Calibri"/>
                <w:color w:val="2D3748"/>
                <w:sz w:val="18"/>
              </w:rPr>
              <w:t>-49.8%</w:t>
            </w:r>
          </w:p>
        </w:tc>
        <w:tc>
          <w:tcPr>
            <w:tcW w:type="dxa" w:w="2736"/>
            <w:shd w:fill="FFFFFF"/>
            <w:tcMar>
              <w:top w:w="80" w:type="dxa"/>
              <w:bottom w:w="80" w:type="dxa"/>
              <w:left w:w="120" w:type="dxa"/>
              <w:right w:w="120" w:type="dxa"/>
            </w:tcMar>
          </w:tcPr>
          <w:p>
            <w:pPr>
              <w:spacing w:before="0" w:after="0"/>
              <w:jc w:val="left"/>
            </w:pPr>
            <w:r>
              <w:rPr>
                <w:rFonts w:ascii="Calibri" w:hAnsi="Calibri"/>
                <w:color w:val="2D3748"/>
                <w:sz w:val="18"/>
              </w:rPr>
              <w:t>Financiación circulante de bajísimo coste para sincronizar pagos de corto plazo.</w:t>
            </w:r>
          </w:p>
        </w:tc>
      </w:tr>
      <w:tr>
        <w:tc>
          <w:tcPr>
            <w:tcW w:type="dxa" w:w="2592"/>
            <w:shd w:fill="F7FAFC"/>
            <w:tcMar>
              <w:top w:w="80" w:type="dxa"/>
              <w:bottom w:w="80" w:type="dxa"/>
              <w:left w:w="120" w:type="dxa"/>
              <w:right w:w="120" w:type="dxa"/>
            </w:tcMar>
          </w:tcPr>
          <w:p>
            <w:pPr>
              <w:spacing w:before="0" w:after="0"/>
              <w:jc w:val="left"/>
            </w:pPr>
            <w:r>
              <w:rPr>
                <w:rFonts w:ascii="Calibri" w:hAnsi="Calibri"/>
                <w:color w:val="2D3748"/>
                <w:sz w:val="18"/>
              </w:rPr>
              <w:t>Deuda Financiera a Corto Plazo</w:t>
            </w:r>
          </w:p>
        </w:tc>
        <w:tc>
          <w:tcPr>
            <w:tcW w:type="dxa" w:w="1440"/>
            <w:shd w:fill="F7FAFC"/>
            <w:tcMar>
              <w:top w:w="80" w:type="dxa"/>
              <w:bottom w:w="80" w:type="dxa"/>
              <w:left w:w="120" w:type="dxa"/>
              <w:right w:w="120" w:type="dxa"/>
            </w:tcMar>
          </w:tcPr>
          <w:p>
            <w:pPr>
              <w:spacing w:before="0" w:after="0"/>
              <w:jc w:val="right"/>
            </w:pPr>
            <w:r>
              <w:rPr>
                <w:rFonts w:ascii="Calibri" w:hAnsi="Calibri"/>
                <w:color w:val="2D3748"/>
                <w:sz w:val="18"/>
              </w:rPr>
              <w:t>$11,007 M</w:t>
            </w:r>
          </w:p>
        </w:tc>
        <w:tc>
          <w:tcPr>
            <w:tcW w:type="dxa" w:w="1440"/>
            <w:shd w:fill="F7FAFC"/>
            <w:tcMar>
              <w:top w:w="80" w:type="dxa"/>
              <w:bottom w:w="80" w:type="dxa"/>
              <w:left w:w="120" w:type="dxa"/>
              <w:right w:w="120" w:type="dxa"/>
            </w:tcMar>
          </w:tcPr>
          <w:p>
            <w:pPr>
              <w:spacing w:before="0" w:after="0"/>
              <w:jc w:val="right"/>
            </w:pPr>
            <w:r>
              <w:rPr>
                <w:rFonts w:ascii="Calibri" w:hAnsi="Calibri"/>
                <w:color w:val="2D3748"/>
                <w:sz w:val="18"/>
              </w:rPr>
              <w:t>$9,850 M</w:t>
            </w:r>
          </w:p>
        </w:tc>
        <w:tc>
          <w:tcPr>
            <w:tcW w:type="dxa" w:w="1584"/>
            <w:shd w:fill="F7FAFC"/>
            <w:tcMar>
              <w:top w:w="80" w:type="dxa"/>
              <w:bottom w:w="80" w:type="dxa"/>
              <w:left w:w="120" w:type="dxa"/>
              <w:right w:w="120" w:type="dxa"/>
            </w:tcMar>
          </w:tcPr>
          <w:p>
            <w:pPr>
              <w:spacing w:before="0" w:after="0"/>
              <w:jc w:val="right"/>
            </w:pPr>
            <w:r>
              <w:rPr>
                <w:rFonts w:ascii="Calibri" w:hAnsi="Calibri"/>
                <w:color w:val="2D3748"/>
                <w:sz w:val="18"/>
              </w:rPr>
              <w:t>+11.7%</w:t>
            </w:r>
          </w:p>
        </w:tc>
        <w:tc>
          <w:tcPr>
            <w:tcW w:type="dxa" w:w="2736"/>
            <w:shd w:fill="F7FAFC"/>
            <w:tcMar>
              <w:top w:w="80" w:type="dxa"/>
              <w:bottom w:w="80" w:type="dxa"/>
              <w:left w:w="120" w:type="dxa"/>
              <w:right w:w="120" w:type="dxa"/>
            </w:tcMar>
          </w:tcPr>
          <w:p>
            <w:pPr>
              <w:spacing w:before="0" w:after="0"/>
              <w:jc w:val="left"/>
            </w:pPr>
            <w:r>
              <w:rPr>
                <w:rFonts w:ascii="Calibri" w:hAnsi="Calibri"/>
                <w:color w:val="2D3748"/>
                <w:sz w:val="18"/>
              </w:rPr>
              <w:t>Vencimientos corrientes de bonos que serán refinanciados o amortizados en el año.</w:t>
            </w:r>
          </w:p>
        </w:tc>
      </w:tr>
      <w:tr>
        <w:tc>
          <w:tcPr>
            <w:tcW w:type="dxa" w:w="2592"/>
            <w:shd w:fill="FFFFFF"/>
            <w:tcMar>
              <w:top w:w="80" w:type="dxa"/>
              <w:bottom w:w="80" w:type="dxa"/>
              <w:left w:w="120" w:type="dxa"/>
              <w:right w:w="120" w:type="dxa"/>
            </w:tcMar>
          </w:tcPr>
          <w:p>
            <w:pPr>
              <w:spacing w:before="0" w:after="0"/>
              <w:jc w:val="left"/>
            </w:pPr>
            <w:r>
              <w:rPr>
                <w:rFonts w:ascii="Calibri" w:hAnsi="Calibri"/>
                <w:color w:val="2D3748"/>
                <w:sz w:val="18"/>
              </w:rPr>
              <w:t>Deuda Financiera a Largo Plazo</w:t>
            </w:r>
          </w:p>
        </w:tc>
        <w:tc>
          <w:tcPr>
            <w:tcW w:type="dxa" w:w="1440"/>
            <w:shd w:fill="FFFFFF"/>
            <w:tcMar>
              <w:top w:w="80" w:type="dxa"/>
              <w:bottom w:w="80" w:type="dxa"/>
              <w:left w:w="120" w:type="dxa"/>
              <w:right w:w="120" w:type="dxa"/>
            </w:tcMar>
          </w:tcPr>
          <w:p>
            <w:pPr>
              <w:spacing w:before="0" w:after="0"/>
              <w:jc w:val="right"/>
            </w:pPr>
            <w:r>
              <w:rPr>
                <w:rFonts w:ascii="Calibri" w:hAnsi="Calibri"/>
                <w:color w:val="2D3748"/>
                <w:sz w:val="18"/>
              </w:rPr>
              <w:t>$71,340 M</w:t>
            </w:r>
          </w:p>
        </w:tc>
        <w:tc>
          <w:tcPr>
            <w:tcW w:type="dxa" w:w="1440"/>
            <w:shd w:fill="FFFFFF"/>
            <w:tcMar>
              <w:top w:w="80" w:type="dxa"/>
              <w:bottom w:w="80" w:type="dxa"/>
              <w:left w:w="120" w:type="dxa"/>
              <w:right w:w="120" w:type="dxa"/>
            </w:tcMar>
          </w:tcPr>
          <w:p>
            <w:pPr>
              <w:spacing w:before="0" w:after="0"/>
              <w:jc w:val="right"/>
            </w:pPr>
            <w:r>
              <w:rPr>
                <w:rFonts w:ascii="Calibri" w:hAnsi="Calibri"/>
                <w:color w:val="2D3748"/>
                <w:sz w:val="18"/>
              </w:rPr>
              <w:t>$86,450 M</w:t>
            </w:r>
          </w:p>
        </w:tc>
        <w:tc>
          <w:tcPr>
            <w:tcW w:type="dxa" w:w="1584"/>
            <w:shd w:fill="FFFFFF"/>
            <w:tcMar>
              <w:top w:w="80" w:type="dxa"/>
              <w:bottom w:w="80" w:type="dxa"/>
              <w:left w:w="120" w:type="dxa"/>
              <w:right w:w="120" w:type="dxa"/>
            </w:tcMar>
          </w:tcPr>
          <w:p>
            <w:pPr>
              <w:spacing w:before="0" w:after="0"/>
              <w:jc w:val="right"/>
            </w:pPr>
            <w:r>
              <w:rPr>
                <w:rFonts w:ascii="Calibri" w:hAnsi="Calibri"/>
                <w:color w:val="2D3748"/>
                <w:sz w:val="18"/>
              </w:rPr>
              <w:t>-17.5%</w:t>
            </w:r>
          </w:p>
        </w:tc>
        <w:tc>
          <w:tcPr>
            <w:tcW w:type="dxa" w:w="2736"/>
            <w:shd w:fill="FFFFFF"/>
            <w:tcMar>
              <w:top w:w="80" w:type="dxa"/>
              <w:bottom w:w="80" w:type="dxa"/>
              <w:left w:w="120" w:type="dxa"/>
              <w:right w:w="120" w:type="dxa"/>
            </w:tcMar>
          </w:tcPr>
          <w:p>
            <w:pPr>
              <w:spacing w:before="0" w:after="0"/>
              <w:jc w:val="left"/>
            </w:pPr>
            <w:r>
              <w:rPr>
                <w:rFonts w:ascii="Calibri" w:hAnsi="Calibri"/>
                <w:color w:val="2D3748"/>
                <w:sz w:val="18"/>
              </w:rPr>
              <w:t>Bonos sénior no garantizados emitidos a tipos fijos históricamente bajos (2.5% - 3.5%).</w:t>
            </w:r>
          </w:p>
        </w:tc>
      </w:tr>
      <w:tr>
        <w:tc>
          <w:tcPr>
            <w:tcW w:type="dxa" w:w="2592"/>
            <w:shd w:fill="F7FAFC"/>
            <w:tcMar>
              <w:top w:w="80" w:type="dxa"/>
              <w:bottom w:w="80" w:type="dxa"/>
              <w:left w:w="120" w:type="dxa"/>
              <w:right w:w="120" w:type="dxa"/>
            </w:tcMar>
          </w:tcPr>
          <w:p>
            <w:pPr>
              <w:spacing w:before="0" w:after="0"/>
              <w:jc w:val="left"/>
            </w:pPr>
            <w:r>
              <w:rPr>
                <w:rFonts w:ascii="Calibri" w:hAnsi="Calibri"/>
                <w:color w:val="2D3748"/>
                <w:sz w:val="18"/>
              </w:rPr>
              <w:t>DEUDA BRUTA TOTAL</w:t>
            </w:r>
          </w:p>
        </w:tc>
        <w:tc>
          <w:tcPr>
            <w:tcW w:type="dxa" w:w="1440"/>
            <w:shd w:fill="F7FAFC"/>
            <w:tcMar>
              <w:top w:w="80" w:type="dxa"/>
              <w:bottom w:w="80" w:type="dxa"/>
              <w:left w:w="120" w:type="dxa"/>
              <w:right w:w="120" w:type="dxa"/>
            </w:tcMar>
          </w:tcPr>
          <w:p>
            <w:pPr>
              <w:spacing w:before="0" w:after="0"/>
              <w:jc w:val="right"/>
            </w:pPr>
            <w:r>
              <w:rPr>
                <w:rFonts w:ascii="Calibri" w:hAnsi="Calibri"/>
                <w:color w:val="2D3748"/>
                <w:sz w:val="18"/>
              </w:rPr>
              <w:t>$84,344 M</w:t>
            </w:r>
          </w:p>
        </w:tc>
        <w:tc>
          <w:tcPr>
            <w:tcW w:type="dxa" w:w="1440"/>
            <w:shd w:fill="F7FAFC"/>
            <w:tcMar>
              <w:top w:w="80" w:type="dxa"/>
              <w:bottom w:w="80" w:type="dxa"/>
              <w:left w:w="120" w:type="dxa"/>
              <w:right w:w="120" w:type="dxa"/>
            </w:tcMar>
          </w:tcPr>
          <w:p>
            <w:pPr>
              <w:spacing w:before="0" w:after="0"/>
              <w:jc w:val="right"/>
            </w:pPr>
            <w:r>
              <w:rPr>
                <w:rFonts w:ascii="Calibri" w:hAnsi="Calibri"/>
                <w:color w:val="2D3748"/>
                <w:sz w:val="18"/>
              </w:rPr>
              <w:t>$100,280 M</w:t>
            </w:r>
          </w:p>
        </w:tc>
        <w:tc>
          <w:tcPr>
            <w:tcW w:type="dxa" w:w="1584"/>
            <w:shd w:fill="F7FAFC"/>
            <w:tcMar>
              <w:top w:w="80" w:type="dxa"/>
              <w:bottom w:w="80" w:type="dxa"/>
              <w:left w:w="120" w:type="dxa"/>
              <w:right w:w="120" w:type="dxa"/>
            </w:tcMar>
          </w:tcPr>
          <w:p>
            <w:pPr>
              <w:spacing w:before="0" w:after="0"/>
              <w:jc w:val="right"/>
            </w:pPr>
            <w:r>
              <w:rPr>
                <w:rFonts w:ascii="Calibri" w:hAnsi="Calibri"/>
                <w:color w:val="2D3748"/>
                <w:sz w:val="18"/>
              </w:rPr>
              <w:t>-15.9%</w:t>
            </w:r>
          </w:p>
        </w:tc>
        <w:tc>
          <w:tcPr>
            <w:tcW w:type="dxa" w:w="2736"/>
            <w:shd w:fill="F7FAFC"/>
            <w:tcMar>
              <w:top w:w="80" w:type="dxa"/>
              <w:bottom w:w="80" w:type="dxa"/>
              <w:left w:w="120" w:type="dxa"/>
              <w:right w:w="120" w:type="dxa"/>
            </w:tcMar>
          </w:tcPr>
          <w:p>
            <w:pPr>
              <w:spacing w:before="0" w:after="0"/>
              <w:jc w:val="left"/>
            </w:pPr>
            <w:r>
              <w:rPr>
                <w:rFonts w:ascii="Calibri" w:hAnsi="Calibri"/>
                <w:color w:val="2D3748"/>
                <w:sz w:val="18"/>
              </w:rPr>
              <w:t>Reducción activa del pasivo financiero total (-$15,936 M amortizados YoY).</w:t>
            </w:r>
          </w:p>
        </w:tc>
      </w:tr>
      <w:tr>
        <w:tc>
          <w:tcPr>
            <w:tcW w:type="dxa" w:w="2592"/>
            <w:shd w:fill="E2E8F0"/>
            <w:tcMar>
              <w:top w:w="80" w:type="dxa"/>
              <w:bottom w:w="80" w:type="dxa"/>
              <w:left w:w="120" w:type="dxa"/>
              <w:right w:w="120" w:type="dxa"/>
            </w:tcMar>
          </w:tcPr>
          <w:p>
            <w:pPr>
              <w:spacing w:before="0" w:after="0"/>
              <w:jc w:val="left"/>
            </w:pPr>
            <w:r>
              <w:rPr>
                <w:rFonts w:ascii="Calibri" w:hAnsi="Calibri"/>
                <w:b/>
                <w:color w:val="2D3748"/>
                <w:sz w:val="18"/>
              </w:rPr>
              <w:t>POSICIÓN NETA DE CAJA (NET CASH)</w:t>
            </w:r>
          </w:p>
        </w:tc>
        <w:tc>
          <w:tcPr>
            <w:tcW w:type="dxa" w:w="1440"/>
            <w:shd w:fill="E2E8F0"/>
            <w:tcMar>
              <w:top w:w="80" w:type="dxa"/>
              <w:bottom w:w="80" w:type="dxa"/>
              <w:left w:w="120" w:type="dxa"/>
              <w:right w:w="120" w:type="dxa"/>
            </w:tcMar>
          </w:tcPr>
          <w:p>
            <w:pPr>
              <w:spacing w:before="0" w:after="0"/>
              <w:jc w:val="right"/>
            </w:pPr>
            <w:r>
              <w:rPr>
                <w:rFonts w:ascii="Calibri" w:hAnsi="Calibri"/>
                <w:b/>
                <w:color w:val="2D3748"/>
                <w:sz w:val="18"/>
              </w:rPr>
              <w:t>+$62,173 M</w:t>
            </w:r>
          </w:p>
        </w:tc>
        <w:tc>
          <w:tcPr>
            <w:tcW w:type="dxa" w:w="1440"/>
            <w:shd w:fill="E2E8F0"/>
            <w:tcMar>
              <w:top w:w="80" w:type="dxa"/>
              <w:bottom w:w="80" w:type="dxa"/>
              <w:left w:w="120" w:type="dxa"/>
              <w:right w:w="120" w:type="dxa"/>
            </w:tcMar>
          </w:tcPr>
          <w:p>
            <w:pPr>
              <w:spacing w:before="0" w:after="0"/>
              <w:jc w:val="right"/>
            </w:pPr>
            <w:r>
              <w:rPr>
                <w:rFonts w:ascii="Calibri" w:hAnsi="Calibri"/>
                <w:b/>
                <w:color w:val="2D3748"/>
                <w:sz w:val="18"/>
              </w:rPr>
              <w:t>+$52,930 M</w:t>
            </w:r>
          </w:p>
        </w:tc>
        <w:tc>
          <w:tcPr>
            <w:tcW w:type="dxa" w:w="1584"/>
            <w:shd w:fill="E2E8F0"/>
            <w:tcMar>
              <w:top w:w="80" w:type="dxa"/>
              <w:bottom w:w="80" w:type="dxa"/>
              <w:left w:w="120" w:type="dxa"/>
              <w:right w:w="120" w:type="dxa"/>
            </w:tcMar>
          </w:tcPr>
          <w:p>
            <w:pPr>
              <w:spacing w:before="0" w:after="0"/>
              <w:jc w:val="right"/>
            </w:pPr>
            <w:r>
              <w:rPr>
                <w:rFonts w:ascii="Calibri" w:hAnsi="Calibri"/>
                <w:b/>
                <w:color w:val="2D3748"/>
                <w:sz w:val="18"/>
              </w:rPr>
              <w:t>+$9,243 M</w:t>
            </w:r>
          </w:p>
        </w:tc>
        <w:tc>
          <w:tcPr>
            <w:tcW w:type="dxa" w:w="2736"/>
            <w:shd w:fill="E2E8F0"/>
            <w:tcMar>
              <w:top w:w="80" w:type="dxa"/>
              <w:bottom w:w="80" w:type="dxa"/>
              <w:left w:w="120" w:type="dxa"/>
              <w:right w:w="120" w:type="dxa"/>
            </w:tcMar>
          </w:tcPr>
          <w:p>
            <w:pPr>
              <w:spacing w:before="0" w:after="0"/>
              <w:jc w:val="left"/>
            </w:pPr>
            <w:r>
              <w:rPr>
                <w:rFonts w:ascii="Calibri" w:hAnsi="Calibri"/>
                <w:b/>
                <w:color w:val="2D3748"/>
                <w:sz w:val="18"/>
              </w:rPr>
              <w:t>Posición de acreedor neto: la liquidez total supera a toda la deuda en más de $62B.</w:t>
            </w:r>
          </w:p>
        </w:tc>
      </w:tr>
    </w:tbl>
    <w:p>
      <w:pPr>
        <w:spacing w:after="120"/>
      </w:pPr>
    </w:p>
    <w:p>
      <w:pPr>
        <w:spacing w:before="40" w:after="80" w:line="276" w:lineRule="auto"/>
      </w:pPr>
      <w:r>
        <w:rPr>
          <w:rFonts w:ascii="Calibri" w:hAnsi="Calibri"/>
          <w:b/>
          <w:color w:val="2D3748"/>
          <w:sz w:val="20"/>
        </w:rPr>
        <w:t xml:space="preserve">• Estructura de Rendimiento de Tesorería: </w:t>
      </w:r>
      <w:r>
        <w:rPr>
          <w:rFonts w:ascii="Calibri" w:hAnsi="Calibri"/>
          <w:i w:val="0"/>
          <w:color w:val="2D3748"/>
          <w:sz w:val="20"/>
        </w:rPr>
        <w:t>Apple mantiene $84,344 M en deuda emitida a tipos de interés fijos muy reducidos (promedio ~3.0%), mientras que su liquidez de $146,517 M está colocada en bonos del tesoro con rentabilidades superiores al 4.5%, lo que genera ingresos financieros netos positivos (OIE positivo de ~$350 M por trimestre).</w:t>
      </w:r>
    </w:p>
    <w:p>
      <w:pPr>
        <w:keepNext/>
        <w:spacing w:before="200" w:after="80"/>
      </w:pPr>
      <w:r>
        <w:rPr>
          <w:rFonts w:ascii="Calibri" w:hAnsi="Calibri"/>
          <w:b/>
          <w:color w:val="4A5568"/>
          <w:sz w:val="22"/>
        </w:rPr>
        <w:t>6.2. Política de Retorno al Accionista: Recompra de Acciones y Dividendos</w:t>
      </w:r>
    </w:p>
    <w:p>
      <w:pPr>
        <w:spacing w:before="40" w:after="80" w:line="276" w:lineRule="auto"/>
      </w:pPr>
      <w:r>
        <w:rPr>
          <w:rFonts w:ascii="Calibri" w:hAnsi="Calibri"/>
          <w:i w:val="0"/>
          <w:color w:val="2D3748"/>
          <w:sz w:val="20"/>
        </w:rPr>
        <w:t>Apple mantiene el programa de asignación de capital más masivo de la historia corporativa moderna, utilizando su Flujo de Caja Libre para recomprar sus propias acciones y distribuir dividendos crecientes:</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2448"/>
        <w:gridCol w:w="2448"/>
        <w:gridCol w:w="2448"/>
        <w:gridCol w:w="2448"/>
      </w:tblGrid>
      <w:tr>
        <w:tc>
          <w:tcPr>
            <w:tcW w:type="dxa" w:w="3024"/>
            <w:shd w:fill="1B365D"/>
            <w:tcMar>
              <w:top w:w="100" w:type="dxa"/>
              <w:bottom w:w="100" w:type="dxa"/>
              <w:left w:w="120" w:type="dxa"/>
              <w:right w:w="120" w:type="dxa"/>
            </w:tcMar>
          </w:tcPr>
          <w:p>
            <w:pPr>
              <w:spacing w:before="0" w:after="0"/>
              <w:jc w:val="left"/>
            </w:pPr>
            <w:r>
              <w:rPr>
                <w:rFonts w:ascii="Calibri" w:hAnsi="Calibri"/>
                <w:b/>
                <w:color w:val="FFFFFF"/>
                <w:sz w:val="19"/>
              </w:rPr>
              <w:t>Componente de Retorno</w:t>
            </w:r>
          </w:p>
        </w:tc>
        <w:tc>
          <w:tcPr>
            <w:tcW w:type="dxa" w:w="1728"/>
            <w:shd w:fill="1B365D"/>
            <w:tcMar>
              <w:top w:w="100" w:type="dxa"/>
              <w:bottom w:w="100" w:type="dxa"/>
              <w:left w:w="120" w:type="dxa"/>
              <w:right w:w="120" w:type="dxa"/>
            </w:tcMar>
          </w:tcPr>
          <w:p>
            <w:pPr>
              <w:spacing w:before="0" w:after="0"/>
              <w:jc w:val="right"/>
            </w:pPr>
            <w:r>
              <w:rPr>
                <w:rFonts w:ascii="Calibri" w:hAnsi="Calibri"/>
                <w:b/>
                <w:color w:val="FFFFFF"/>
                <w:sz w:val="19"/>
              </w:rPr>
              <w:t>Trimestre Q3 FY26</w:t>
            </w:r>
          </w:p>
        </w:tc>
        <w:tc>
          <w:tcPr>
            <w:tcW w:type="dxa" w:w="1728"/>
            <w:shd w:fill="1B365D"/>
            <w:tcMar>
              <w:top w:w="100" w:type="dxa"/>
              <w:bottom w:w="100" w:type="dxa"/>
              <w:left w:w="120" w:type="dxa"/>
              <w:right w:w="120" w:type="dxa"/>
            </w:tcMar>
          </w:tcPr>
          <w:p>
            <w:pPr>
              <w:spacing w:before="0" w:after="0"/>
              <w:jc w:val="right"/>
            </w:pPr>
            <w:r>
              <w:rPr>
                <w:rFonts w:ascii="Calibri" w:hAnsi="Calibri"/>
                <w:b/>
                <w:color w:val="FFFFFF"/>
                <w:sz w:val="19"/>
              </w:rPr>
              <w:t>Acumulado 9M FY26</w:t>
            </w:r>
          </w:p>
        </w:tc>
        <w:tc>
          <w:tcPr>
            <w:tcW w:type="dxa" w:w="3312"/>
            <w:shd w:fill="1B365D"/>
            <w:tcMar>
              <w:top w:w="100" w:type="dxa"/>
              <w:bottom w:w="100" w:type="dxa"/>
              <w:left w:w="120" w:type="dxa"/>
              <w:right w:w="120" w:type="dxa"/>
            </w:tcMar>
          </w:tcPr>
          <w:p>
            <w:pPr>
              <w:spacing w:before="0" w:after="0"/>
              <w:jc w:val="left"/>
            </w:pPr>
            <w:r>
              <w:rPr>
                <w:rFonts w:ascii="Calibri" w:hAnsi="Calibri"/>
                <w:b/>
                <w:color w:val="FFFFFF"/>
                <w:sz w:val="19"/>
              </w:rPr>
              <w:t>Impacto en la Tesis del Accionista</w:t>
            </w:r>
          </w:p>
        </w:tc>
      </w:tr>
      <w:tr>
        <w:tc>
          <w:tcPr>
            <w:tcW w:type="dxa" w:w="3024"/>
            <w:shd w:fill="FFFFFF"/>
            <w:tcMar>
              <w:top w:w="80" w:type="dxa"/>
              <w:bottom w:w="80" w:type="dxa"/>
              <w:left w:w="120" w:type="dxa"/>
              <w:right w:w="120" w:type="dxa"/>
            </w:tcMar>
          </w:tcPr>
          <w:p>
            <w:pPr>
              <w:spacing w:before="0" w:after="0"/>
              <w:jc w:val="left"/>
            </w:pPr>
            <w:r>
              <w:rPr>
                <w:rFonts w:ascii="Calibri" w:hAnsi="Calibri"/>
                <w:color w:val="2D3748"/>
                <w:sz w:val="18"/>
              </w:rPr>
              <w:t>Recompra Neta de Acciones Comunes</w:t>
            </w:r>
          </w:p>
        </w:tc>
        <w:tc>
          <w:tcPr>
            <w:tcW w:type="dxa" w:w="1728"/>
            <w:shd w:fill="FFFFFF"/>
            <w:tcMar>
              <w:top w:w="80" w:type="dxa"/>
              <w:bottom w:w="80" w:type="dxa"/>
              <w:left w:w="120" w:type="dxa"/>
              <w:right w:w="120" w:type="dxa"/>
            </w:tcMar>
          </w:tcPr>
          <w:p>
            <w:pPr>
              <w:spacing w:before="0" w:after="0"/>
              <w:jc w:val="right"/>
            </w:pPr>
            <w:r>
              <w:rPr>
                <w:rFonts w:ascii="Calibri" w:hAnsi="Calibri"/>
                <w:color w:val="2D3748"/>
                <w:sz w:val="18"/>
              </w:rPr>
              <w:t>$25,800 M</w:t>
            </w:r>
          </w:p>
        </w:tc>
        <w:tc>
          <w:tcPr>
            <w:tcW w:type="dxa" w:w="1728"/>
            <w:shd w:fill="FFFFFF"/>
            <w:tcMar>
              <w:top w:w="80" w:type="dxa"/>
              <w:bottom w:w="80" w:type="dxa"/>
              <w:left w:w="120" w:type="dxa"/>
              <w:right w:w="120" w:type="dxa"/>
            </w:tcMar>
          </w:tcPr>
          <w:p>
            <w:pPr>
              <w:spacing w:before="0" w:after="0"/>
              <w:jc w:val="right"/>
            </w:pPr>
            <w:r>
              <w:rPr>
                <w:rFonts w:ascii="Calibri" w:hAnsi="Calibri"/>
                <w:color w:val="2D3748"/>
                <w:sz w:val="18"/>
              </w:rPr>
              <w:t>$62,094 M</w:t>
            </w:r>
          </w:p>
        </w:tc>
        <w:tc>
          <w:tcPr>
            <w:tcW w:type="dxa" w:w="3312"/>
            <w:shd w:fill="FFFFFF"/>
            <w:tcMar>
              <w:top w:w="80" w:type="dxa"/>
              <w:bottom w:w="80" w:type="dxa"/>
              <w:left w:w="120" w:type="dxa"/>
              <w:right w:w="120" w:type="dxa"/>
            </w:tcMar>
          </w:tcPr>
          <w:p>
            <w:pPr>
              <w:spacing w:before="0" w:after="0"/>
              <w:jc w:val="left"/>
            </w:pPr>
            <w:r>
              <w:rPr>
                <w:rFonts w:ascii="Calibri" w:hAnsi="Calibri"/>
                <w:color w:val="2D3748"/>
                <w:sz w:val="18"/>
              </w:rPr>
              <w:t>Retiro acelerado de títulos en el mercado abierto bajo el plan autorizado.</w:t>
            </w:r>
          </w:p>
        </w:tc>
      </w:tr>
      <w:tr>
        <w:tc>
          <w:tcPr>
            <w:tcW w:type="dxa" w:w="3024"/>
            <w:shd w:fill="F7FAFC"/>
            <w:tcMar>
              <w:top w:w="80" w:type="dxa"/>
              <w:bottom w:w="80" w:type="dxa"/>
              <w:left w:w="120" w:type="dxa"/>
              <w:right w:w="120" w:type="dxa"/>
            </w:tcMar>
          </w:tcPr>
          <w:p>
            <w:pPr>
              <w:spacing w:before="0" w:after="0"/>
              <w:jc w:val="left"/>
            </w:pPr>
            <w:r>
              <w:rPr>
                <w:rFonts w:ascii="Calibri" w:hAnsi="Calibri"/>
                <w:color w:val="2D3748"/>
                <w:sz w:val="18"/>
              </w:rPr>
              <w:t>Dividendos en Efectivo Distribuidos</w:t>
            </w:r>
          </w:p>
        </w:tc>
        <w:tc>
          <w:tcPr>
            <w:tcW w:type="dxa" w:w="1728"/>
            <w:shd w:fill="F7FAFC"/>
            <w:tcMar>
              <w:top w:w="80" w:type="dxa"/>
              <w:bottom w:w="80" w:type="dxa"/>
              <w:left w:w="120" w:type="dxa"/>
              <w:right w:w="120" w:type="dxa"/>
            </w:tcMar>
          </w:tcPr>
          <w:p>
            <w:pPr>
              <w:spacing w:before="0" w:after="0"/>
              <w:jc w:val="right"/>
            </w:pPr>
            <w:r>
              <w:rPr>
                <w:rFonts w:ascii="Calibri" w:hAnsi="Calibri"/>
                <w:color w:val="2D3748"/>
                <w:sz w:val="18"/>
              </w:rPr>
              <w:t>$4,000 M</w:t>
            </w:r>
          </w:p>
        </w:tc>
        <w:tc>
          <w:tcPr>
            <w:tcW w:type="dxa" w:w="1728"/>
            <w:shd w:fill="F7FAFC"/>
            <w:tcMar>
              <w:top w:w="80" w:type="dxa"/>
              <w:bottom w:w="80" w:type="dxa"/>
              <w:left w:w="120" w:type="dxa"/>
              <w:right w:w="120" w:type="dxa"/>
            </w:tcMar>
          </w:tcPr>
          <w:p>
            <w:pPr>
              <w:spacing w:before="0" w:after="0"/>
              <w:jc w:val="right"/>
            </w:pPr>
            <w:r>
              <w:rPr>
                <w:rFonts w:ascii="Calibri" w:hAnsi="Calibri"/>
                <w:color w:val="2D3748"/>
                <w:sz w:val="18"/>
              </w:rPr>
              <w:t>$11,778 M</w:t>
            </w:r>
          </w:p>
        </w:tc>
        <w:tc>
          <w:tcPr>
            <w:tcW w:type="dxa" w:w="3312"/>
            <w:shd w:fill="F7FAFC"/>
            <w:tcMar>
              <w:top w:w="80" w:type="dxa"/>
              <w:bottom w:w="80" w:type="dxa"/>
              <w:left w:w="120" w:type="dxa"/>
              <w:right w:w="120" w:type="dxa"/>
            </w:tcMar>
          </w:tcPr>
          <w:p>
            <w:pPr>
              <w:spacing w:before="0" w:after="0"/>
              <w:jc w:val="left"/>
            </w:pPr>
            <w:r>
              <w:rPr>
                <w:rFonts w:ascii="Calibri" w:hAnsi="Calibri"/>
                <w:color w:val="2D3748"/>
                <w:sz w:val="18"/>
              </w:rPr>
              <w:t>$0.27 por acción declarado en Q3 (payout sostenible de ~13% del FCF).</w:t>
            </w:r>
          </w:p>
        </w:tc>
      </w:tr>
      <w:tr>
        <w:tc>
          <w:tcPr>
            <w:tcW w:type="dxa" w:w="3024"/>
            <w:shd w:fill="FFFFFF"/>
            <w:tcMar>
              <w:top w:w="80" w:type="dxa"/>
              <w:bottom w:w="80" w:type="dxa"/>
              <w:left w:w="120" w:type="dxa"/>
              <w:right w:w="120" w:type="dxa"/>
            </w:tcMar>
          </w:tcPr>
          <w:p>
            <w:pPr>
              <w:spacing w:before="0" w:after="0"/>
              <w:jc w:val="left"/>
            </w:pPr>
            <w:r>
              <w:rPr>
                <w:rFonts w:ascii="Calibri" w:hAnsi="Calibri"/>
                <w:color w:val="2D3748"/>
                <w:sz w:val="18"/>
              </w:rPr>
              <w:t>RETORNO TOTAL DE CAPITAL</w:t>
            </w:r>
          </w:p>
        </w:tc>
        <w:tc>
          <w:tcPr>
            <w:tcW w:type="dxa" w:w="1728"/>
            <w:shd w:fill="FFFFFF"/>
            <w:tcMar>
              <w:top w:w="80" w:type="dxa"/>
              <w:bottom w:w="80" w:type="dxa"/>
              <w:left w:w="120" w:type="dxa"/>
              <w:right w:w="120" w:type="dxa"/>
            </w:tcMar>
          </w:tcPr>
          <w:p>
            <w:pPr>
              <w:spacing w:before="0" w:after="0"/>
              <w:jc w:val="right"/>
            </w:pPr>
            <w:r>
              <w:rPr>
                <w:rFonts w:ascii="Calibri" w:hAnsi="Calibri"/>
                <w:color w:val="2D3748"/>
                <w:sz w:val="18"/>
              </w:rPr>
              <w:t>$33,000 M</w:t>
            </w:r>
          </w:p>
        </w:tc>
        <w:tc>
          <w:tcPr>
            <w:tcW w:type="dxa" w:w="1728"/>
            <w:shd w:fill="FFFFFF"/>
            <w:tcMar>
              <w:top w:w="80" w:type="dxa"/>
              <w:bottom w:w="80" w:type="dxa"/>
              <w:left w:w="120" w:type="dxa"/>
              <w:right w:w="120" w:type="dxa"/>
            </w:tcMar>
          </w:tcPr>
          <w:p>
            <w:pPr>
              <w:spacing w:before="0" w:after="0"/>
              <w:jc w:val="right"/>
            </w:pPr>
            <w:r>
              <w:rPr>
                <w:rFonts w:ascii="Calibri" w:hAnsi="Calibri"/>
                <w:color w:val="2D3748"/>
                <w:sz w:val="18"/>
              </w:rPr>
              <w:t>$73,872 M</w:t>
            </w:r>
          </w:p>
        </w:tc>
        <w:tc>
          <w:tcPr>
            <w:tcW w:type="dxa" w:w="3312"/>
            <w:shd w:fill="FFFFFF"/>
            <w:tcMar>
              <w:top w:w="80" w:type="dxa"/>
              <w:bottom w:w="80" w:type="dxa"/>
              <w:left w:w="120" w:type="dxa"/>
              <w:right w:w="120" w:type="dxa"/>
            </w:tcMar>
          </w:tcPr>
          <w:p>
            <w:pPr>
              <w:spacing w:before="0" w:after="0"/>
              <w:jc w:val="left"/>
            </w:pPr>
            <w:r>
              <w:rPr>
                <w:rFonts w:ascii="Calibri" w:hAnsi="Calibri"/>
                <w:color w:val="2D3748"/>
                <w:sz w:val="18"/>
              </w:rPr>
              <w:t>El 104.7% del FCF del trimestre ($31,500 M) se devolvió íntegramente al accionista.</w:t>
            </w:r>
          </w:p>
        </w:tc>
      </w:tr>
      <w:tr>
        <w:tc>
          <w:tcPr>
            <w:tcW w:type="dxa" w:w="3024"/>
            <w:shd w:fill="F7FAFC"/>
            <w:tcMar>
              <w:top w:w="80" w:type="dxa"/>
              <w:bottom w:w="80" w:type="dxa"/>
              <w:left w:w="120" w:type="dxa"/>
              <w:right w:w="120" w:type="dxa"/>
            </w:tcMar>
          </w:tcPr>
          <w:p>
            <w:pPr>
              <w:spacing w:before="0" w:after="0"/>
              <w:jc w:val="left"/>
            </w:pPr>
            <w:r>
              <w:rPr>
                <w:rFonts w:ascii="Calibri" w:hAnsi="Calibri"/>
                <w:color w:val="2D3748"/>
                <w:sz w:val="18"/>
              </w:rPr>
              <w:t>Acciones en Circulación (Diluted Float)</w:t>
            </w:r>
          </w:p>
        </w:tc>
        <w:tc>
          <w:tcPr>
            <w:tcW w:type="dxa" w:w="1728"/>
            <w:shd w:fill="F7FAFC"/>
            <w:tcMar>
              <w:top w:w="80" w:type="dxa"/>
              <w:bottom w:w="80" w:type="dxa"/>
              <w:left w:w="120" w:type="dxa"/>
              <w:right w:w="120" w:type="dxa"/>
            </w:tcMar>
          </w:tcPr>
          <w:p>
            <w:pPr>
              <w:spacing w:before="0" w:after="0"/>
              <w:jc w:val="right"/>
            </w:pPr>
            <w:r>
              <w:rPr>
                <w:rFonts w:ascii="Calibri" w:hAnsi="Calibri"/>
                <w:color w:val="2D3748"/>
                <w:sz w:val="18"/>
              </w:rPr>
              <w:t>15,266 Millones</w:t>
            </w:r>
          </w:p>
        </w:tc>
        <w:tc>
          <w:tcPr>
            <w:tcW w:type="dxa" w:w="1728"/>
            <w:shd w:fill="F7FAFC"/>
            <w:tcMar>
              <w:top w:w="80" w:type="dxa"/>
              <w:bottom w:w="80" w:type="dxa"/>
              <w:left w:w="120" w:type="dxa"/>
              <w:right w:w="120" w:type="dxa"/>
            </w:tcMar>
          </w:tcPr>
          <w:p>
            <w:pPr>
              <w:spacing w:before="0" w:after="0"/>
              <w:jc w:val="right"/>
            </w:pPr>
            <w:r>
              <w:rPr>
                <w:rFonts w:ascii="Calibri" w:hAnsi="Calibri"/>
                <w:color w:val="2D3748"/>
                <w:sz w:val="18"/>
              </w:rPr>
              <w:t>15,499 Millones</w:t>
            </w:r>
          </w:p>
        </w:tc>
        <w:tc>
          <w:tcPr>
            <w:tcW w:type="dxa" w:w="3312"/>
            <w:shd w:fill="F7FAFC"/>
            <w:tcMar>
              <w:top w:w="80" w:type="dxa"/>
              <w:bottom w:w="80" w:type="dxa"/>
              <w:left w:w="120" w:type="dxa"/>
              <w:right w:w="120" w:type="dxa"/>
            </w:tcMar>
          </w:tcPr>
          <w:p>
            <w:pPr>
              <w:spacing w:before="0" w:after="0"/>
              <w:jc w:val="left"/>
            </w:pPr>
            <w:r>
              <w:rPr>
                <w:rFonts w:ascii="Calibri" w:hAnsi="Calibri"/>
                <w:color w:val="2D3748"/>
                <w:sz w:val="18"/>
              </w:rPr>
              <w:t>-233.5 Millones de acciones retiradas en los últimos 12 meses (-1.51%).</w:t>
            </w:r>
          </w:p>
        </w:tc>
      </w:tr>
      <w:tr>
        <w:tc>
          <w:tcPr>
            <w:tcW w:type="dxa" w:w="3024"/>
            <w:shd w:fill="FFFFFF"/>
            <w:tcMar>
              <w:top w:w="80" w:type="dxa"/>
              <w:bottom w:w="80" w:type="dxa"/>
              <w:left w:w="120" w:type="dxa"/>
              <w:right w:w="120" w:type="dxa"/>
            </w:tcMar>
          </w:tcPr>
          <w:p>
            <w:pPr>
              <w:spacing w:before="0" w:after="0"/>
              <w:jc w:val="left"/>
            </w:pPr>
            <w:r>
              <w:rPr>
                <w:rFonts w:ascii="Calibri" w:hAnsi="Calibri"/>
                <w:color w:val="2D3748"/>
                <w:sz w:val="18"/>
              </w:rPr>
              <w:t>Efecto Turbo en Beneficio por Acción (EPS)</w:t>
            </w:r>
          </w:p>
        </w:tc>
        <w:tc>
          <w:tcPr>
            <w:tcW w:type="dxa" w:w="1728"/>
            <w:shd w:fill="FFFFFF"/>
            <w:tcMar>
              <w:top w:w="80" w:type="dxa"/>
              <w:bottom w:w="80" w:type="dxa"/>
              <w:left w:w="120" w:type="dxa"/>
              <w:right w:w="120" w:type="dxa"/>
            </w:tcMar>
          </w:tcPr>
          <w:p>
            <w:pPr>
              <w:spacing w:before="0" w:after="0"/>
              <w:jc w:val="right"/>
            </w:pPr>
            <w:r>
              <w:rPr>
                <w:rFonts w:ascii="Calibri" w:hAnsi="Calibri"/>
                <w:color w:val="2D3748"/>
                <w:sz w:val="18"/>
              </w:rPr>
              <w:t>+28.7% YoY</w:t>
            </w:r>
          </w:p>
        </w:tc>
        <w:tc>
          <w:tcPr>
            <w:tcW w:type="dxa" w:w="1728"/>
            <w:shd w:fill="FFFFFF"/>
            <w:tcMar>
              <w:top w:w="80" w:type="dxa"/>
              <w:bottom w:w="80" w:type="dxa"/>
              <w:left w:w="120" w:type="dxa"/>
              <w:right w:w="120" w:type="dxa"/>
            </w:tcMar>
          </w:tcPr>
          <w:p>
            <w:pPr>
              <w:spacing w:before="0" w:after="0"/>
              <w:jc w:val="right"/>
            </w:pPr>
            <w:r>
              <w:rPr>
                <w:rFonts w:ascii="Calibri" w:hAnsi="Calibri"/>
                <w:color w:val="2D3748"/>
                <w:sz w:val="18"/>
              </w:rPr>
              <w:t>vs. +27.1% Net Inc.</w:t>
            </w:r>
          </w:p>
        </w:tc>
        <w:tc>
          <w:tcPr>
            <w:tcW w:type="dxa" w:w="3312"/>
            <w:shd w:fill="FFFFFF"/>
            <w:tcMar>
              <w:top w:w="80" w:type="dxa"/>
              <w:bottom w:w="80" w:type="dxa"/>
              <w:left w:w="120" w:type="dxa"/>
              <w:right w:w="120" w:type="dxa"/>
            </w:tcMar>
          </w:tcPr>
          <w:p>
            <w:pPr>
              <w:spacing w:before="0" w:after="0"/>
              <w:jc w:val="left"/>
            </w:pPr>
            <w:r>
              <w:rPr>
                <w:rFonts w:ascii="Calibri" w:hAnsi="Calibri"/>
                <w:color w:val="2D3748"/>
                <w:sz w:val="18"/>
              </w:rPr>
              <w:t>La reducción neta de acciones acelera el crecimiento del EPS en +160 bps adicionales.</w:t>
            </w:r>
          </w:p>
        </w:tc>
      </w:tr>
    </w:tbl>
    <w:p>
      <w:pPr>
        <w:spacing w:after="120"/>
      </w:pPr>
    </w:p>
    <w:p>
      <w:pPr>
        <w:spacing w:before="40" w:after="80" w:line="276" w:lineRule="auto"/>
      </w:pPr>
      <w:r>
        <w:rPr>
          <w:rFonts w:ascii="Calibri" w:hAnsi="Calibri"/>
          <w:b/>
          <w:color w:val="2D3748"/>
          <w:sz w:val="20"/>
        </w:rPr>
        <w:t xml:space="preserve">• Calidad de la Recompra vs. Dilución por SBC: </w:t>
      </w:r>
      <w:r>
        <w:rPr>
          <w:rFonts w:ascii="Calibri" w:hAnsi="Calibri"/>
          <w:i w:val="0"/>
          <w:color w:val="2D3748"/>
          <w:sz w:val="20"/>
        </w:rPr>
        <w:t>Frente a los $25,800 M destinados a recompras, la compensación en acciones a empleados (Stock-Based Compensation) sumó $3,100 M en el trimestre. Por lo tanto, el 88% de la recompra es creación neta de valor real, reduciendo efectivamente el número de acciones en circulación y aumentando la participación patrimonial de cada accionista restante.</w:t>
      </w:r>
    </w:p>
    <w:p>
      <w:pPr>
        <w:keepNext/>
        <w:spacing w:before="200" w:after="80"/>
      </w:pPr>
      <w:r>
        <w:rPr>
          <w:rFonts w:ascii="Calibri" w:hAnsi="Calibri"/>
          <w:b/>
          <w:color w:val="4A5568"/>
          <w:sz w:val="22"/>
        </w:rPr>
        <w:t>6.3. Inversiones Estratégicas, Adquisiciones (M&amp;A) y Expansión Productiva</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2448"/>
        <w:gridCol w:w="2448"/>
        <w:gridCol w:w="2448"/>
        <w:gridCol w:w="2448"/>
      </w:tblGrid>
      <w:tr>
        <w:tc>
          <w:tcPr>
            <w:tcW w:type="dxa" w:w="2448"/>
            <w:shd w:fill="1B365D"/>
            <w:tcMar>
              <w:top w:w="100" w:type="dxa"/>
              <w:bottom w:w="100" w:type="dxa"/>
              <w:left w:w="120" w:type="dxa"/>
              <w:right w:w="120" w:type="dxa"/>
            </w:tcMar>
          </w:tcPr>
          <w:p>
            <w:pPr>
              <w:spacing w:before="0" w:after="0"/>
              <w:jc w:val="left"/>
            </w:pPr>
            <w:r>
              <w:rPr>
                <w:rFonts w:ascii="Calibri" w:hAnsi="Calibri"/>
                <w:b/>
                <w:color w:val="FFFFFF"/>
                <w:sz w:val="19"/>
              </w:rPr>
              <w:t>Iniciativa / Transacción</w:t>
            </w:r>
          </w:p>
        </w:tc>
        <w:tc>
          <w:tcPr>
            <w:tcW w:type="dxa" w:w="1872"/>
            <w:shd w:fill="1B365D"/>
            <w:tcMar>
              <w:top w:w="100" w:type="dxa"/>
              <w:bottom w:w="100" w:type="dxa"/>
              <w:left w:w="120" w:type="dxa"/>
              <w:right w:w="120" w:type="dxa"/>
            </w:tcMar>
          </w:tcPr>
          <w:p>
            <w:pPr>
              <w:spacing w:before="0" w:after="0"/>
              <w:jc w:val="left"/>
            </w:pPr>
            <w:r>
              <w:rPr>
                <w:rFonts w:ascii="Calibri" w:hAnsi="Calibri"/>
                <w:b/>
                <w:color w:val="FFFFFF"/>
                <w:sz w:val="19"/>
              </w:rPr>
              <w:t>Tipo de Operación</w:t>
            </w:r>
          </w:p>
        </w:tc>
        <w:tc>
          <w:tcPr>
            <w:tcW w:type="dxa" w:w="1728"/>
            <w:shd w:fill="1B365D"/>
            <w:tcMar>
              <w:top w:w="100" w:type="dxa"/>
              <w:bottom w:w="100" w:type="dxa"/>
              <w:left w:w="120" w:type="dxa"/>
              <w:right w:w="120" w:type="dxa"/>
            </w:tcMar>
          </w:tcPr>
          <w:p>
            <w:pPr>
              <w:spacing w:before="0" w:after="0"/>
              <w:jc w:val="right"/>
            </w:pPr>
            <w:r>
              <w:rPr>
                <w:rFonts w:ascii="Calibri" w:hAnsi="Calibri"/>
                <w:b/>
                <w:color w:val="FFFFFF"/>
                <w:sz w:val="19"/>
              </w:rPr>
              <w:t>Capital / Compromiso</w:t>
            </w:r>
          </w:p>
        </w:tc>
        <w:tc>
          <w:tcPr>
            <w:tcW w:type="dxa" w:w="3744"/>
            <w:shd w:fill="1B365D"/>
            <w:tcMar>
              <w:top w:w="100" w:type="dxa"/>
              <w:bottom w:w="100" w:type="dxa"/>
              <w:left w:w="120" w:type="dxa"/>
              <w:right w:w="120" w:type="dxa"/>
            </w:tcMar>
          </w:tcPr>
          <w:p>
            <w:pPr>
              <w:spacing w:before="0" w:after="0"/>
              <w:jc w:val="left"/>
            </w:pPr>
            <w:r>
              <w:rPr>
                <w:rFonts w:ascii="Calibri" w:hAnsi="Calibri"/>
                <w:b/>
                <w:color w:val="FFFFFF"/>
                <w:sz w:val="19"/>
              </w:rPr>
              <w:t>¿Qué se busca estratégicamente con ello?</w:t>
            </w:r>
          </w:p>
        </w:tc>
      </w:tr>
      <w:tr>
        <w:tc>
          <w:tcPr>
            <w:tcW w:type="dxa" w:w="2448"/>
            <w:shd w:fill="FFFFFF"/>
            <w:tcMar>
              <w:top w:w="80" w:type="dxa"/>
              <w:bottom w:w="80" w:type="dxa"/>
              <w:left w:w="120" w:type="dxa"/>
              <w:right w:w="120" w:type="dxa"/>
            </w:tcMar>
          </w:tcPr>
          <w:p>
            <w:pPr>
              <w:spacing w:before="0" w:after="0"/>
              <w:jc w:val="left"/>
            </w:pPr>
            <w:r>
              <w:rPr>
                <w:rFonts w:ascii="Calibri" w:hAnsi="Calibri"/>
                <w:color w:val="2D3748"/>
                <w:sz w:val="18"/>
              </w:rPr>
              <w:t>Acuerdo Plurianual con Broadcom</w:t>
            </w:r>
          </w:p>
        </w:tc>
        <w:tc>
          <w:tcPr>
            <w:tcW w:type="dxa" w:w="1872"/>
            <w:shd w:fill="FFFFFF"/>
            <w:tcMar>
              <w:top w:w="80" w:type="dxa"/>
              <w:bottom w:w="80" w:type="dxa"/>
              <w:left w:w="120" w:type="dxa"/>
              <w:right w:w="120" w:type="dxa"/>
            </w:tcMar>
          </w:tcPr>
          <w:p>
            <w:pPr>
              <w:spacing w:before="0" w:after="0"/>
              <w:jc w:val="left"/>
            </w:pPr>
            <w:r>
              <w:rPr>
                <w:rFonts w:ascii="Calibri" w:hAnsi="Calibri"/>
                <w:color w:val="2D3748"/>
                <w:sz w:val="18"/>
              </w:rPr>
              <w:t>Alianza Industrial Estratégica</w:t>
            </w:r>
          </w:p>
        </w:tc>
        <w:tc>
          <w:tcPr>
            <w:tcW w:type="dxa" w:w="1728"/>
            <w:shd w:fill="FFFFFF"/>
            <w:tcMar>
              <w:top w:w="80" w:type="dxa"/>
              <w:bottom w:w="80" w:type="dxa"/>
              <w:left w:w="120" w:type="dxa"/>
              <w:right w:w="120" w:type="dxa"/>
            </w:tcMar>
          </w:tcPr>
          <w:p>
            <w:pPr>
              <w:spacing w:before="0" w:after="0"/>
              <w:jc w:val="right"/>
            </w:pPr>
            <w:r>
              <w:rPr>
                <w:rFonts w:ascii="Calibri" w:hAnsi="Calibri"/>
                <w:color w:val="2D3748"/>
                <w:sz w:val="18"/>
              </w:rPr>
              <w:t>&gt; $30,000 M</w:t>
            </w:r>
          </w:p>
        </w:tc>
        <w:tc>
          <w:tcPr>
            <w:tcW w:type="dxa" w:w="3744"/>
            <w:shd w:fill="FFFFFF"/>
            <w:tcMar>
              <w:top w:w="80" w:type="dxa"/>
              <w:bottom w:w="80" w:type="dxa"/>
              <w:left w:w="120" w:type="dxa"/>
              <w:right w:w="120" w:type="dxa"/>
            </w:tcMar>
          </w:tcPr>
          <w:p>
            <w:pPr>
              <w:spacing w:before="0" w:after="0"/>
              <w:jc w:val="left"/>
            </w:pPr>
            <w:r>
              <w:rPr>
                <w:rFonts w:ascii="Calibri" w:hAnsi="Calibri"/>
                <w:color w:val="2D3748"/>
                <w:sz w:val="18"/>
              </w:rPr>
              <w:t>Co-desarrollo y suministro garantizado de módulos de radiofrecuencia (FBAR) y conectividad 5G/Wi-Fi en EE.UU., acelerando la integración del módem propietario.</w:t>
            </w:r>
          </w:p>
        </w:tc>
      </w:tr>
      <w:tr>
        <w:tc>
          <w:tcPr>
            <w:tcW w:type="dxa" w:w="2448"/>
            <w:shd w:fill="F7FAFC"/>
            <w:tcMar>
              <w:top w:w="80" w:type="dxa"/>
              <w:bottom w:w="80" w:type="dxa"/>
              <w:left w:w="120" w:type="dxa"/>
              <w:right w:w="120" w:type="dxa"/>
            </w:tcMar>
          </w:tcPr>
          <w:p>
            <w:pPr>
              <w:spacing w:before="0" w:after="0"/>
              <w:jc w:val="left"/>
            </w:pPr>
            <w:r>
              <w:rPr>
                <w:rFonts w:ascii="Calibri" w:hAnsi="Calibri"/>
                <w:color w:val="2D3748"/>
                <w:sz w:val="18"/>
              </w:rPr>
              <w:t>Advanced Manufacturing Center (Houston)</w:t>
            </w:r>
          </w:p>
        </w:tc>
        <w:tc>
          <w:tcPr>
            <w:tcW w:type="dxa" w:w="1872"/>
            <w:shd w:fill="F7FAFC"/>
            <w:tcMar>
              <w:top w:w="80" w:type="dxa"/>
              <w:bottom w:w="80" w:type="dxa"/>
              <w:left w:w="120" w:type="dxa"/>
              <w:right w:w="120" w:type="dxa"/>
            </w:tcMar>
          </w:tcPr>
          <w:p>
            <w:pPr>
              <w:spacing w:before="0" w:after="0"/>
              <w:jc w:val="left"/>
            </w:pPr>
            <w:r>
              <w:rPr>
                <w:rFonts w:ascii="Calibri" w:hAnsi="Calibri"/>
                <w:color w:val="2D3748"/>
                <w:sz w:val="18"/>
              </w:rPr>
              <w:t>Inversión en CapEx Directo</w:t>
            </w:r>
          </w:p>
        </w:tc>
        <w:tc>
          <w:tcPr>
            <w:tcW w:type="dxa" w:w="1728"/>
            <w:shd w:fill="F7FAFC"/>
            <w:tcMar>
              <w:top w:w="80" w:type="dxa"/>
              <w:bottom w:w="80" w:type="dxa"/>
              <w:left w:w="120" w:type="dxa"/>
              <w:right w:w="120" w:type="dxa"/>
            </w:tcMar>
          </w:tcPr>
          <w:p>
            <w:pPr>
              <w:spacing w:before="0" w:after="0"/>
              <w:jc w:val="right"/>
            </w:pPr>
            <w:r>
              <w:rPr>
                <w:rFonts w:ascii="Calibri" w:hAnsi="Calibri"/>
                <w:color w:val="2D3748"/>
                <w:sz w:val="18"/>
              </w:rPr>
              <w:t>Planta Industrial Propia</w:t>
            </w:r>
          </w:p>
        </w:tc>
        <w:tc>
          <w:tcPr>
            <w:tcW w:type="dxa" w:w="3744"/>
            <w:shd w:fill="F7FAFC"/>
            <w:tcMar>
              <w:top w:w="80" w:type="dxa"/>
              <w:bottom w:w="80" w:type="dxa"/>
              <w:left w:w="120" w:type="dxa"/>
              <w:right w:w="120" w:type="dxa"/>
            </w:tcMar>
          </w:tcPr>
          <w:p>
            <w:pPr>
              <w:spacing w:before="0" w:after="0"/>
              <w:jc w:val="left"/>
            </w:pPr>
            <w:r>
              <w:rPr>
                <w:rFonts w:ascii="Calibri" w:hAnsi="Calibri"/>
                <w:color w:val="2D3748"/>
                <w:sz w:val="18"/>
              </w:rPr>
              <w:t>Mitigación del riesgo geopolítico y arancelario mediante relocalización productiva (onshoring), asegurando líneas de ensamblaje automatizado y servidores de IA.</w:t>
            </w:r>
          </w:p>
        </w:tc>
      </w:tr>
      <w:tr>
        <w:tc>
          <w:tcPr>
            <w:tcW w:type="dxa" w:w="2448"/>
            <w:shd w:fill="FFFFFF"/>
            <w:tcMar>
              <w:top w:w="80" w:type="dxa"/>
              <w:bottom w:w="80" w:type="dxa"/>
              <w:left w:w="120" w:type="dxa"/>
              <w:right w:w="120" w:type="dxa"/>
            </w:tcMar>
          </w:tcPr>
          <w:p>
            <w:pPr>
              <w:spacing w:before="0" w:after="0"/>
              <w:jc w:val="left"/>
            </w:pPr>
            <w:r>
              <w:rPr>
                <w:rFonts w:ascii="Calibri" w:hAnsi="Calibri"/>
                <w:color w:val="2D3748"/>
                <w:sz w:val="18"/>
              </w:rPr>
              <w:t>Adquisiciones 'Bolt-on' de IA</w:t>
            </w:r>
          </w:p>
        </w:tc>
        <w:tc>
          <w:tcPr>
            <w:tcW w:type="dxa" w:w="1872"/>
            <w:shd w:fill="FFFFFF"/>
            <w:tcMar>
              <w:top w:w="80" w:type="dxa"/>
              <w:bottom w:w="80" w:type="dxa"/>
              <w:left w:w="120" w:type="dxa"/>
              <w:right w:w="120" w:type="dxa"/>
            </w:tcMar>
          </w:tcPr>
          <w:p>
            <w:pPr>
              <w:spacing w:before="0" w:after="0"/>
              <w:jc w:val="left"/>
            </w:pPr>
            <w:r>
              <w:rPr>
                <w:rFonts w:ascii="Calibri" w:hAnsi="Calibri"/>
                <w:color w:val="2D3748"/>
                <w:sz w:val="18"/>
              </w:rPr>
              <w:t>M&amp;A Tecnológico (Startups IA)</w:t>
            </w:r>
          </w:p>
        </w:tc>
        <w:tc>
          <w:tcPr>
            <w:tcW w:type="dxa" w:w="1728"/>
            <w:shd w:fill="FFFFFF"/>
            <w:tcMar>
              <w:top w:w="80" w:type="dxa"/>
              <w:bottom w:w="80" w:type="dxa"/>
              <w:left w:w="120" w:type="dxa"/>
              <w:right w:w="120" w:type="dxa"/>
            </w:tcMar>
          </w:tcPr>
          <w:p>
            <w:pPr>
              <w:spacing w:before="0" w:after="0"/>
              <w:jc w:val="right"/>
            </w:pPr>
            <w:r>
              <w:rPr>
                <w:rFonts w:ascii="Calibri" w:hAnsi="Calibri"/>
                <w:color w:val="2D3748"/>
                <w:sz w:val="18"/>
              </w:rPr>
              <w:t>~$50M - $200M c/u</w:t>
            </w:r>
          </w:p>
        </w:tc>
        <w:tc>
          <w:tcPr>
            <w:tcW w:type="dxa" w:w="3744"/>
            <w:shd w:fill="FFFFFF"/>
            <w:tcMar>
              <w:top w:w="80" w:type="dxa"/>
              <w:bottom w:w="80" w:type="dxa"/>
              <w:left w:w="120" w:type="dxa"/>
              <w:right w:w="120" w:type="dxa"/>
            </w:tcMar>
          </w:tcPr>
          <w:p>
            <w:pPr>
              <w:spacing w:before="0" w:after="0"/>
              <w:jc w:val="left"/>
            </w:pPr>
            <w:r>
              <w:rPr>
                <w:rFonts w:ascii="Calibri" w:hAnsi="Calibri"/>
                <w:color w:val="2D3748"/>
                <w:sz w:val="18"/>
              </w:rPr>
              <w:t>Compra de equipos y patentes de compresión de modelos de lenguaje (LLM pruning/quantization) para optimizar la ejecución de IA local en NPUs con bajo consumo.</w:t>
            </w:r>
          </w:p>
        </w:tc>
      </w:tr>
    </w:tbl>
    <w:p>
      <w:pPr>
        <w:spacing w:after="120"/>
      </w:pPr>
    </w:p>
    <w:p>
      <w:pPr>
        <w:keepNext/>
        <w:spacing w:before="200" w:after="80"/>
      </w:pPr>
      <w:r>
        <w:rPr>
          <w:rFonts w:ascii="Calibri" w:hAnsi="Calibri"/>
          <w:b/>
          <w:color w:val="4A5568"/>
          <w:sz w:val="22"/>
        </w:rPr>
        <w:t>6.4. CapEx de Vanguardia y Avances Revolucionarios en Hardware y Silicio</w:t>
      </w:r>
    </w:p>
    <w:p>
      <w:pPr>
        <w:spacing w:before="40" w:after="80" w:line="276" w:lineRule="auto"/>
      </w:pPr>
      <w:r>
        <w:rPr>
          <w:rFonts w:ascii="Calibri" w:hAnsi="Calibri"/>
          <w:i w:val="0"/>
          <w:color w:val="2D3748"/>
          <w:sz w:val="20"/>
        </w:rPr>
        <w:t>El gasto de capital (CapEx) trimestral de $2,900 M ($6,800 M acumulado en 9 meses) se enfoca en activos críticos de ingeniería y maquinaria de litografía avanzada:</w:t>
      </w:r>
    </w:p>
    <w:p>
      <w:pPr>
        <w:spacing w:before="40" w:after="80" w:line="276" w:lineRule="auto"/>
      </w:pPr>
      <w:r>
        <w:rPr>
          <w:rFonts w:ascii="Calibri" w:hAnsi="Calibri"/>
          <w:b/>
          <w:color w:val="2D3748"/>
          <w:sz w:val="20"/>
        </w:rPr>
        <w:t xml:space="preserve">• Salto a la Litografía de 2 Nanómetros (2nm): </w:t>
      </w:r>
      <w:r>
        <w:rPr>
          <w:rFonts w:ascii="Calibri" w:hAnsi="Calibri"/>
          <w:i w:val="0"/>
          <w:color w:val="2D3748"/>
          <w:sz w:val="20"/>
        </w:rPr>
        <w:t>En colaboración exclusiva con TSMC, Apple asegura la primera hornada de producción en masa en 2nm para sus procesadores propietarios A19 / A19 Pro (familia iPhone 17) y M5 (línea Mac), garantizando una ventaja competitiva de más de 18 meses frente a competidores de Android y PC x86 en eficiencia energética y densidad de transistores.</w:t>
      </w:r>
    </w:p>
    <w:p>
      <w:pPr>
        <w:spacing w:before="40" w:after="80" w:line="276" w:lineRule="auto"/>
      </w:pPr>
      <w:r>
        <w:rPr>
          <w:rFonts w:ascii="Calibri" w:hAnsi="Calibri"/>
          <w:b/>
          <w:color w:val="2D3748"/>
          <w:sz w:val="20"/>
        </w:rPr>
        <w:t xml:space="preserve">• Inferencia Neural en el Dispositivo (On-Device NPU): </w:t>
      </w:r>
      <w:r>
        <w:rPr>
          <w:rFonts w:ascii="Calibri" w:hAnsi="Calibri"/>
          <w:i w:val="0"/>
          <w:color w:val="2D3748"/>
          <w:sz w:val="20"/>
        </w:rPr>
        <w:t>La arquitectura de silicio propietario ejecuta modelos multimodales localmente en memoria unificada, eliminando los costes de tokens y latencia de servidores cloud.</w:t>
      </w:r>
    </w:p>
    <w:p>
      <w:pPr>
        <w:spacing w:before="40" w:after="80" w:line="276" w:lineRule="auto"/>
      </w:pPr>
      <w:r>
        <w:rPr>
          <w:rFonts w:ascii="Calibri" w:hAnsi="Calibri"/>
          <w:b/>
          <w:color w:val="2D3748"/>
          <w:sz w:val="20"/>
        </w:rPr>
        <w:t xml:space="preserve">• Nuevos Factores de Forma Disruptivos: </w:t>
      </w:r>
      <w:r>
        <w:rPr>
          <w:rFonts w:ascii="Calibri" w:hAnsi="Calibri"/>
          <w:i w:val="0"/>
          <w:color w:val="2D3748"/>
          <w:sz w:val="20"/>
        </w:rPr>
        <w:t>Desarrollo del nuevo MacBook Neo (diseñado para ganar cuota en el segmento educativo/corporativo desplazando a Chromebooks y Windows) y el factor de forma ultradelgado iPhone Air.</w:t>
      </w:r>
    </w:p>
    <w:tbl>
      <w:tblPr>
        <w:tblW w:type="auto" w:w="0"/>
        <w:jc w:val="center"/>
        <w:tblLayout w:type="fixed"/>
        <w:tblLook w:firstColumn="1" w:firstRow="1" w:lastColumn="0" w:lastRow="0" w:noHBand="0" w:noVBand="1" w:val="04A0"/>
      </w:tblPr>
      <w:tblGrid>
        <w:gridCol w:w="9792"/>
      </w:tblGrid>
      <w:tr>
        <w:tc>
          <w:tcPr>
            <w:tcW w:type="dxa" w:w="9792"/>
            <w:shd w:fill="E8EEF5"/>
            <w:tcMar>
              <w:top w:w="140" w:type="dxa"/>
              <w:bottom w:w="140" w:type="dxa"/>
              <w:left w:w="180" w:type="dxa"/>
              <w:right w:w="180" w:type="dxa"/>
            </w:tcMar>
            <w:tcBorders>
              <w:left w:val="single" w:sz="24" w:space="0" w:color="0A3641"/>
              <w:top w:val="none"/>
              <w:right w:val="none"/>
              <w:bottom w:val="none"/>
            </w:tcBorders>
          </w:tcPr>
          <w:p>
            <w:pPr>
              <w:spacing w:before="0" w:after="80"/>
            </w:pPr>
            <w:r>
              <w:rPr>
                <w:rFonts w:ascii="Segoe UI Emoji" w:hAnsi="Segoe UI Emoji"/>
                <w:sz w:val="21"/>
              </w:rPr>
              <w:t xml:space="preserve">📌  </w:t>
            </w:r>
            <w:r>
              <w:rPr>
                <w:rFonts w:ascii="Calibri" w:hAnsi="Calibri"/>
                <w:b/>
                <w:color w:val="0A3641"/>
                <w:sz w:val="21"/>
              </w:rPr>
              <w:t>GUÍA DE DIAGNÓSTICO FUNDAMENTAL: ¿CÓMO AUDITAR EL BALANCE Y LA ASIGNACIÓN DE CAPITAL?</w:t>
            </w:r>
          </w:p>
          <w:p>
            <w:pPr>
              <w:spacing w:before="40" w:after="40" w:line="276" w:lineRule="auto"/>
            </w:pPr>
            <w:r>
              <w:rPr>
                <w:rFonts w:ascii="Calibri" w:hAnsi="Calibri"/>
                <w:color w:val="2D3748"/>
                <w:sz w:val="19"/>
              </w:rPr>
              <w:t>• Caja Neta (Net Cash) vs. Deuda Neta: Se calcula restando la deuda financiera bruta a la liquidez total. Una posición positiva certifica que la empresa es acreedora neta y solvente ante cualquier crisis.</w:t>
            </w:r>
          </w:p>
          <w:p>
            <w:pPr>
              <w:spacing w:before="40" w:after="40" w:line="276" w:lineRule="auto"/>
            </w:pPr>
            <w:r>
              <w:rPr>
                <w:rFonts w:ascii="Calibri" w:hAnsi="Calibri"/>
                <w:color w:val="2D3748"/>
                <w:sz w:val="19"/>
              </w:rPr>
              <w:t>• Recompra Neta vs. Dilución por SBC: Una recompra solo crea valor genuino si retira más acciones de las que se emiten vía Stock-Based Compensation.</w:t>
            </w:r>
          </w:p>
          <w:p>
            <w:pPr>
              <w:spacing w:before="40" w:after="40" w:line="276" w:lineRule="auto"/>
            </w:pPr>
            <w:r>
              <w:rPr>
                <w:rFonts w:ascii="Calibri" w:hAnsi="Calibri"/>
                <w:color w:val="2D3748"/>
                <w:sz w:val="19"/>
              </w:rPr>
              <w:t>• Eficiencia del CapEx: Las mejores empresas operan modelos de capital ligero (Asset-Light / Fabless) o asignan CapEx a proyectos con retornos que superan ampliamente su WACC.</w:t>
            </w:r>
          </w:p>
        </w:tc>
      </w:tr>
    </w:tbl>
    <w:p>
      <w:pPr>
        <w:spacing w:after="80"/>
      </w:pPr>
    </w:p>
    <w:p>
      <w:pPr>
        <w:keepNext/>
        <w:spacing w:before="320" w:after="120"/>
      </w:pPr>
      <w:r>
        <w:rPr>
          <w:rFonts w:ascii="Calibri" w:hAnsi="Calibri"/>
          <w:b/>
          <w:color w:val="1B365D"/>
          <w:sz w:val="26"/>
        </w:rPr>
        <w:t>7. Estrategia Tecnológica, Fosos Defensivos (Economic Moat) y Ventajas Competitivas</w:t>
      </w:r>
    </w:p>
    <w:p>
      <w:pPr>
        <w:spacing w:before="40" w:after="80" w:line="276" w:lineRule="auto"/>
      </w:pPr>
      <w:r>
        <w:rPr>
          <w:rFonts w:ascii="Calibri" w:hAnsi="Calibri"/>
          <w:i w:val="0"/>
          <w:color w:val="2D3748"/>
          <w:sz w:val="20"/>
        </w:rPr>
        <w:t>Un análisis fundamental riguroso exige determinar si los extraordinarios márgenes de una compañía están protegidos por barreras de entrada duraderas o si corren el riesgo de ser erosionados por la competencia. Apple Inc. ostenta uno de los fosos defensivos más formidables del capitalismo moderno (Wide Moat / Foso Defensivo Amplio), cimentado en la integración simbiótica entre hardware propietario, sistemas operativos exclusivos y una plataforma de servicios cautiva.</w:t>
      </w:r>
    </w:p>
    <w:p>
      <w:pPr>
        <w:keepNext/>
        <w:spacing w:before="200" w:after="80"/>
      </w:pPr>
      <w:r>
        <w:rPr>
          <w:rFonts w:ascii="Calibri" w:hAnsi="Calibri"/>
          <w:b/>
          <w:color w:val="4A5568"/>
          <w:sz w:val="22"/>
        </w:rPr>
        <w:t>7.1. Cuadro de Mando de Fosos Defensivos (Dorsey / Morningstar Framework)</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2448"/>
        <w:gridCol w:w="2448"/>
        <w:gridCol w:w="2448"/>
        <w:gridCol w:w="2448"/>
      </w:tblGrid>
      <w:tr>
        <w:tc>
          <w:tcPr>
            <w:tcW w:type="dxa" w:w="2304"/>
            <w:shd w:fill="1B365D"/>
            <w:tcMar>
              <w:top w:w="100" w:type="dxa"/>
              <w:bottom w:w="100" w:type="dxa"/>
              <w:left w:w="120" w:type="dxa"/>
              <w:right w:w="120" w:type="dxa"/>
            </w:tcMar>
          </w:tcPr>
          <w:p>
            <w:pPr>
              <w:spacing w:before="0" w:after="0"/>
              <w:jc w:val="left"/>
            </w:pPr>
            <w:r>
              <w:rPr>
                <w:rFonts w:ascii="Calibri" w:hAnsi="Calibri"/>
                <w:b/>
                <w:color w:val="FFFFFF"/>
                <w:sz w:val="19"/>
              </w:rPr>
              <w:t>Fuente del Foso Defensivo</w:t>
            </w:r>
          </w:p>
        </w:tc>
        <w:tc>
          <w:tcPr>
            <w:tcW w:type="dxa" w:w="1440"/>
            <w:shd w:fill="1B365D"/>
            <w:tcMar>
              <w:top w:w="100" w:type="dxa"/>
              <w:bottom w:w="100" w:type="dxa"/>
              <w:left w:w="120" w:type="dxa"/>
              <w:right w:w="120" w:type="dxa"/>
            </w:tcMar>
          </w:tcPr>
          <w:p>
            <w:pPr>
              <w:spacing w:before="0" w:after="0"/>
              <w:jc w:val="center"/>
            </w:pPr>
            <w:r>
              <w:rPr>
                <w:rFonts w:ascii="Calibri" w:hAnsi="Calibri"/>
                <w:b/>
                <w:color w:val="FFFFFF"/>
                <w:sz w:val="19"/>
              </w:rPr>
              <w:t>Intensidad</w:t>
            </w:r>
          </w:p>
        </w:tc>
        <w:tc>
          <w:tcPr>
            <w:tcW w:type="dxa" w:w="3312"/>
            <w:shd w:fill="1B365D"/>
            <w:tcMar>
              <w:top w:w="100" w:type="dxa"/>
              <w:bottom w:w="100" w:type="dxa"/>
              <w:left w:w="120" w:type="dxa"/>
              <w:right w:w="120" w:type="dxa"/>
            </w:tcMar>
          </w:tcPr>
          <w:p>
            <w:pPr>
              <w:spacing w:before="0" w:after="0"/>
              <w:jc w:val="left"/>
            </w:pPr>
            <w:r>
              <w:rPr>
                <w:rFonts w:ascii="Calibri" w:hAnsi="Calibri"/>
                <w:b/>
                <w:color w:val="FFFFFF"/>
                <w:sz w:val="19"/>
              </w:rPr>
              <w:t>Mecanismo de Protección Económica</w:t>
            </w:r>
          </w:p>
        </w:tc>
        <w:tc>
          <w:tcPr>
            <w:tcW w:type="dxa" w:w="2736"/>
            <w:shd w:fill="1B365D"/>
            <w:tcMar>
              <w:top w:w="100" w:type="dxa"/>
              <w:bottom w:w="100" w:type="dxa"/>
              <w:left w:w="120" w:type="dxa"/>
              <w:right w:w="120" w:type="dxa"/>
            </w:tcMar>
          </w:tcPr>
          <w:p>
            <w:pPr>
              <w:spacing w:before="0" w:after="0"/>
              <w:jc w:val="left"/>
            </w:pPr>
            <w:r>
              <w:rPr>
                <w:rFonts w:ascii="Calibri" w:hAnsi="Calibri"/>
                <w:b/>
                <w:color w:val="FFFFFF"/>
                <w:sz w:val="19"/>
              </w:rPr>
              <w:t>Diagnóstico Competitivo</w:t>
            </w:r>
          </w:p>
        </w:tc>
      </w:tr>
      <w:tr>
        <w:tc>
          <w:tcPr>
            <w:tcW w:type="dxa" w:w="2304"/>
            <w:shd w:fill="FFFFFF"/>
            <w:tcMar>
              <w:top w:w="80" w:type="dxa"/>
              <w:bottom w:w="80" w:type="dxa"/>
              <w:left w:w="120" w:type="dxa"/>
              <w:right w:w="120" w:type="dxa"/>
            </w:tcMar>
          </w:tcPr>
          <w:p>
            <w:pPr>
              <w:spacing w:before="0" w:after="0"/>
              <w:jc w:val="left"/>
            </w:pPr>
            <w:r>
              <w:rPr>
                <w:rFonts w:ascii="Calibri" w:hAnsi="Calibri"/>
                <w:color w:val="2D3748"/>
                <w:sz w:val="18"/>
              </w:rPr>
              <w:t>Costes de Cambio (Switching Costs)</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 CRÍTICA</w:t>
            </w:r>
          </w:p>
        </w:tc>
        <w:tc>
          <w:tcPr>
            <w:tcW w:type="dxa" w:w="3312"/>
            <w:shd w:fill="FFFFFF"/>
            <w:tcMar>
              <w:top w:w="80" w:type="dxa"/>
              <w:bottom w:w="80" w:type="dxa"/>
              <w:left w:w="120" w:type="dxa"/>
              <w:right w:w="120" w:type="dxa"/>
            </w:tcMar>
          </w:tcPr>
          <w:p>
            <w:pPr>
              <w:spacing w:before="0" w:after="0"/>
              <w:jc w:val="left"/>
            </w:pPr>
            <w:r>
              <w:rPr>
                <w:rFonts w:ascii="Calibri" w:hAnsi="Calibri"/>
                <w:color w:val="2D3748"/>
                <w:sz w:val="18"/>
              </w:rPr>
              <w:t>La retención del usuario en iOS supera el 98%. Abandonar el ecosistema implica perder sincronización con Watch, Mac, contraseñas, iCloud y compras de apps, generando una fricción prohibitiva.</w:t>
            </w:r>
          </w:p>
        </w:tc>
        <w:tc>
          <w:tcPr>
            <w:tcW w:type="dxa" w:w="2736"/>
            <w:shd w:fill="FFFFFF"/>
            <w:tcMar>
              <w:top w:w="80" w:type="dxa"/>
              <w:bottom w:w="80" w:type="dxa"/>
              <w:left w:w="120" w:type="dxa"/>
              <w:right w:w="120" w:type="dxa"/>
            </w:tcMar>
          </w:tcPr>
          <w:p>
            <w:pPr>
              <w:spacing w:before="0" w:after="0"/>
              <w:jc w:val="left"/>
            </w:pPr>
            <w:r>
              <w:rPr>
                <w:rFonts w:ascii="Calibri" w:hAnsi="Calibri"/>
                <w:color w:val="2D3748"/>
                <w:sz w:val="18"/>
              </w:rPr>
              <w:t>Los clientes no se van por diferencias marginales de precio; la base instalada cautiva actúa como una anualidad.</w:t>
            </w:r>
          </w:p>
        </w:tc>
      </w:tr>
      <w:tr>
        <w:tc>
          <w:tcPr>
            <w:tcW w:type="dxa" w:w="2304"/>
            <w:shd w:fill="F7FAFC"/>
            <w:tcMar>
              <w:top w:w="80" w:type="dxa"/>
              <w:bottom w:w="80" w:type="dxa"/>
              <w:left w:w="120" w:type="dxa"/>
              <w:right w:w="120" w:type="dxa"/>
            </w:tcMar>
          </w:tcPr>
          <w:p>
            <w:pPr>
              <w:spacing w:before="0" w:after="0"/>
              <w:jc w:val="left"/>
            </w:pPr>
            <w:r>
              <w:rPr>
                <w:rFonts w:ascii="Calibri" w:hAnsi="Calibri"/>
                <w:color w:val="2D3748"/>
                <w:sz w:val="18"/>
              </w:rPr>
              <w:t>Activos Intangibles y Marca</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 EXCEPCIONAL</w:t>
            </w:r>
          </w:p>
        </w:tc>
        <w:tc>
          <w:tcPr>
            <w:tcW w:type="dxa" w:w="3312"/>
            <w:shd w:fill="F7FAFC"/>
            <w:tcMar>
              <w:top w:w="80" w:type="dxa"/>
              <w:bottom w:w="80" w:type="dxa"/>
              <w:left w:w="120" w:type="dxa"/>
              <w:right w:w="120" w:type="dxa"/>
            </w:tcMar>
          </w:tcPr>
          <w:p>
            <w:pPr>
              <w:spacing w:before="0" w:after="0"/>
              <w:jc w:val="left"/>
            </w:pPr>
            <w:r>
              <w:rPr>
                <w:rFonts w:ascii="Calibri" w:hAnsi="Calibri"/>
                <w:color w:val="2D3748"/>
                <w:sz w:val="18"/>
              </w:rPr>
              <w:t>Marca sinónimo de estatus, fiabilidad y privacidad. Otorga un poder de fijación de precios (pricing power) casi inelástico que le permite sostener un margen bruto superior al 50%.</w:t>
            </w:r>
          </w:p>
        </w:tc>
        <w:tc>
          <w:tcPr>
            <w:tcW w:type="dxa" w:w="2736"/>
            <w:shd w:fill="F7FAFC"/>
            <w:tcMar>
              <w:top w:w="80" w:type="dxa"/>
              <w:bottom w:w="80" w:type="dxa"/>
              <w:left w:w="120" w:type="dxa"/>
              <w:right w:w="120" w:type="dxa"/>
            </w:tcMar>
          </w:tcPr>
          <w:p>
            <w:pPr>
              <w:spacing w:before="0" w:after="0"/>
              <w:jc w:val="left"/>
            </w:pPr>
            <w:r>
              <w:rPr>
                <w:rFonts w:ascii="Calibri" w:hAnsi="Calibri"/>
                <w:color w:val="2D3748"/>
                <w:sz w:val="18"/>
              </w:rPr>
              <w:t>Capacidad demostrada de aumentar los Precios Medios de Venta (ASP) de hardware sin sacrificar cuota.</w:t>
            </w:r>
          </w:p>
        </w:tc>
      </w:tr>
      <w:tr>
        <w:tc>
          <w:tcPr>
            <w:tcW w:type="dxa" w:w="2304"/>
            <w:shd w:fill="FFFFFF"/>
            <w:tcMar>
              <w:top w:w="80" w:type="dxa"/>
              <w:bottom w:w="80" w:type="dxa"/>
              <w:left w:w="120" w:type="dxa"/>
              <w:right w:w="120" w:type="dxa"/>
            </w:tcMar>
          </w:tcPr>
          <w:p>
            <w:pPr>
              <w:spacing w:before="0" w:after="0"/>
              <w:jc w:val="left"/>
            </w:pPr>
            <w:r>
              <w:rPr>
                <w:rFonts w:ascii="Calibri" w:hAnsi="Calibri"/>
                <w:color w:val="2D3748"/>
                <w:sz w:val="18"/>
              </w:rPr>
              <w:t>Efectos de Red (Network Effects)</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 ROBUSTO</w:t>
            </w:r>
          </w:p>
        </w:tc>
        <w:tc>
          <w:tcPr>
            <w:tcW w:type="dxa" w:w="3312"/>
            <w:shd w:fill="FFFFFF"/>
            <w:tcMar>
              <w:top w:w="80" w:type="dxa"/>
              <w:bottom w:w="80" w:type="dxa"/>
              <w:left w:w="120" w:type="dxa"/>
              <w:right w:w="120" w:type="dxa"/>
            </w:tcMar>
          </w:tcPr>
          <w:p>
            <w:pPr>
              <w:spacing w:before="0" w:after="0"/>
              <w:jc w:val="left"/>
            </w:pPr>
            <w:r>
              <w:rPr>
                <w:rFonts w:ascii="Calibri" w:hAnsi="Calibri"/>
                <w:color w:val="2D3748"/>
                <w:sz w:val="18"/>
              </w:rPr>
              <w:t>Con &gt;2,500M de dispositivos activos, la App Store atrae preferentemente a los mejores desarrolladores. La optimización para Metal e iOS crea una experiencia superior que retroalimenta el flywheel.</w:t>
            </w:r>
          </w:p>
        </w:tc>
        <w:tc>
          <w:tcPr>
            <w:tcW w:type="dxa" w:w="2736"/>
            <w:shd w:fill="FFFFFF"/>
            <w:tcMar>
              <w:top w:w="80" w:type="dxa"/>
              <w:bottom w:w="80" w:type="dxa"/>
              <w:left w:w="120" w:type="dxa"/>
              <w:right w:w="120" w:type="dxa"/>
            </w:tcMar>
          </w:tcPr>
          <w:p>
            <w:pPr>
              <w:spacing w:before="0" w:after="0"/>
              <w:jc w:val="left"/>
            </w:pPr>
            <w:r>
              <w:rPr>
                <w:rFonts w:ascii="Calibri" w:hAnsi="Calibri"/>
                <w:color w:val="2D3748"/>
                <w:sz w:val="18"/>
              </w:rPr>
              <w:t>Barrera insalvable para sistemas operativos rivales; imposible replicar un catálogo optimizado a esta escala.</w:t>
            </w:r>
          </w:p>
        </w:tc>
      </w:tr>
      <w:tr>
        <w:tc>
          <w:tcPr>
            <w:tcW w:type="dxa" w:w="2304"/>
            <w:shd w:fill="F7FAFC"/>
            <w:tcMar>
              <w:top w:w="80" w:type="dxa"/>
              <w:bottom w:w="80" w:type="dxa"/>
              <w:left w:w="120" w:type="dxa"/>
              <w:right w:w="120" w:type="dxa"/>
            </w:tcMar>
          </w:tcPr>
          <w:p>
            <w:pPr>
              <w:spacing w:before="0" w:after="0"/>
              <w:jc w:val="left"/>
            </w:pPr>
            <w:r>
              <w:rPr>
                <w:rFonts w:ascii="Calibri" w:hAnsi="Calibri"/>
                <w:color w:val="2D3748"/>
                <w:sz w:val="18"/>
              </w:rPr>
              <w:t>Ventajas de Coste y Silicio</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 ESTRUCTURAL</w:t>
            </w:r>
          </w:p>
        </w:tc>
        <w:tc>
          <w:tcPr>
            <w:tcW w:type="dxa" w:w="3312"/>
            <w:shd w:fill="F7FAFC"/>
            <w:tcMar>
              <w:top w:w="80" w:type="dxa"/>
              <w:bottom w:w="80" w:type="dxa"/>
              <w:left w:w="120" w:type="dxa"/>
              <w:right w:w="120" w:type="dxa"/>
            </w:tcMar>
          </w:tcPr>
          <w:p>
            <w:pPr>
              <w:spacing w:before="0" w:after="0"/>
              <w:jc w:val="left"/>
            </w:pPr>
            <w:r>
              <w:rPr>
                <w:rFonts w:ascii="Calibri" w:hAnsi="Calibri"/>
                <w:color w:val="2D3748"/>
                <w:sz w:val="18"/>
              </w:rPr>
              <w:t>El diseño propio de chips (Apple Silicon) ahorra miles de millones al eliminar márgenes de terceros. Además, la inferencia local en A19/M5 reduce a cero el coste marginal por consulta.</w:t>
            </w:r>
          </w:p>
        </w:tc>
        <w:tc>
          <w:tcPr>
            <w:tcW w:type="dxa" w:w="2736"/>
            <w:shd w:fill="F7FAFC"/>
            <w:tcMar>
              <w:top w:w="80" w:type="dxa"/>
              <w:bottom w:w="80" w:type="dxa"/>
              <w:left w:w="120" w:type="dxa"/>
              <w:right w:w="120" w:type="dxa"/>
            </w:tcMar>
          </w:tcPr>
          <w:p>
            <w:pPr>
              <w:spacing w:before="0" w:after="0"/>
              <w:jc w:val="left"/>
            </w:pPr>
            <w:r>
              <w:rPr>
                <w:rFonts w:ascii="Calibri" w:hAnsi="Calibri"/>
                <w:color w:val="2D3748"/>
                <w:sz w:val="18"/>
              </w:rPr>
              <w:t>Asimetría: Apple gana dinero vendiendo hardware con IA, mientras sus rivales consumen margen pagando centros de datos.</w:t>
            </w:r>
          </w:p>
        </w:tc>
      </w:tr>
      <w:tr>
        <w:tc>
          <w:tcPr>
            <w:tcW w:type="dxa" w:w="2304"/>
            <w:shd w:fill="FFFFFF"/>
            <w:tcMar>
              <w:top w:w="80" w:type="dxa"/>
              <w:bottom w:w="80" w:type="dxa"/>
              <w:left w:w="120" w:type="dxa"/>
              <w:right w:w="120" w:type="dxa"/>
            </w:tcMar>
          </w:tcPr>
          <w:p>
            <w:pPr>
              <w:spacing w:before="0" w:after="0"/>
              <w:jc w:val="left"/>
            </w:pPr>
            <w:r>
              <w:rPr>
                <w:rFonts w:ascii="Calibri" w:hAnsi="Calibri"/>
                <w:color w:val="2D3748"/>
                <w:sz w:val="18"/>
              </w:rPr>
              <w:t>Escala Eficiente y Distribución</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 ALTA</w:t>
            </w:r>
          </w:p>
        </w:tc>
        <w:tc>
          <w:tcPr>
            <w:tcW w:type="dxa" w:w="3312"/>
            <w:shd w:fill="FFFFFF"/>
            <w:tcMar>
              <w:top w:w="80" w:type="dxa"/>
              <w:bottom w:w="80" w:type="dxa"/>
              <w:left w:w="120" w:type="dxa"/>
              <w:right w:w="120" w:type="dxa"/>
            </w:tcMar>
          </w:tcPr>
          <w:p>
            <w:pPr>
              <w:spacing w:before="0" w:after="0"/>
              <w:jc w:val="left"/>
            </w:pPr>
            <w:r>
              <w:rPr>
                <w:rFonts w:ascii="Calibri" w:hAnsi="Calibri"/>
                <w:color w:val="2D3748"/>
                <w:sz w:val="18"/>
              </w:rPr>
              <w:t>Red de &gt;525 tiendas Apple Store en ubicaciones prime globales de máxima facturación/m2, sumada a una relación preferente de volumen exclusivo con TSMC para nodos avanzados (2nm).</w:t>
            </w:r>
          </w:p>
        </w:tc>
        <w:tc>
          <w:tcPr>
            <w:tcW w:type="dxa" w:w="2736"/>
            <w:shd w:fill="FFFFFF"/>
            <w:tcMar>
              <w:top w:w="80" w:type="dxa"/>
              <w:bottom w:w="80" w:type="dxa"/>
              <w:left w:w="120" w:type="dxa"/>
              <w:right w:w="120" w:type="dxa"/>
            </w:tcMar>
          </w:tcPr>
          <w:p>
            <w:pPr>
              <w:spacing w:before="0" w:after="0"/>
              <w:jc w:val="left"/>
            </w:pPr>
            <w:r>
              <w:rPr>
                <w:rFonts w:ascii="Calibri" w:hAnsi="Calibri"/>
                <w:color w:val="2D3748"/>
                <w:sz w:val="18"/>
              </w:rPr>
              <w:t>Monopolio de capacidad en litografía extrema que deja a los rivales esperando hasta 18 meses para acceder a tecnología equivalente.</w:t>
            </w:r>
          </w:p>
        </w:tc>
      </w:tr>
    </w:tbl>
    <w:p>
      <w:pPr>
        <w:spacing w:after="120"/>
      </w:pPr>
    </w:p>
    <w:p>
      <w:pPr>
        <w:spacing w:before="40" w:after="80" w:line="276" w:lineRule="auto"/>
      </w:pPr>
      <w:r>
        <w:rPr>
          <w:rFonts w:ascii="Calibri" w:hAnsi="Calibri"/>
          <w:b/>
          <w:color w:val="2D3748"/>
          <w:sz w:val="20"/>
        </w:rPr>
        <w:t xml:space="preserve">• </w:t>
      </w:r>
      <w:r>
        <w:rPr>
          <w:rFonts w:ascii="Calibri" w:hAnsi="Calibri"/>
          <w:i w:val="0"/>
          <w:color w:val="2D3748"/>
          <w:sz w:val="20"/>
        </w:rPr>
        <w:t>Dictamen Estratégico Global: WIDE MOAT | Tendencia: EN EXPANSIÓN.</w:t>
      </w:r>
    </w:p>
    <w:p>
      <w:pPr>
        <w:keepNext/>
        <w:spacing w:before="200" w:after="80"/>
      </w:pPr>
      <w:r>
        <w:rPr>
          <w:rFonts w:ascii="Calibri" w:hAnsi="Calibri"/>
          <w:b/>
          <w:color w:val="4A5568"/>
          <w:sz w:val="22"/>
        </w:rPr>
        <w:t>7.2. Estrategia de IA: Inferencia en Dispositivo (On-Device) vs. Costes en la Nube</w:t>
      </w:r>
    </w:p>
    <w:p>
      <w:pPr>
        <w:spacing w:before="40" w:after="80" w:line="276" w:lineRule="auto"/>
      </w:pPr>
      <w:r>
        <w:rPr>
          <w:rFonts w:ascii="Calibri" w:hAnsi="Calibri"/>
          <w:b/>
          <w:color w:val="2D3748"/>
          <w:sz w:val="20"/>
        </w:rPr>
        <w:t xml:space="preserve">• Asimetría del Coste Marginal por Petición: </w:t>
      </w:r>
      <w:r>
        <w:rPr>
          <w:rFonts w:ascii="Calibri" w:hAnsi="Calibri"/>
          <w:i w:val="0"/>
          <w:color w:val="2D3748"/>
          <w:sz w:val="20"/>
        </w:rPr>
        <w:t>Mientras gigantes como Microsoft, Google o Meta incurren en enormes gastos operativos en centros de datos para procesar cada consulta en servidores GPU centralizados, Apple delega más del 80% de las tareas de IA directamente a los motores neuronales (NPU) de los procesadores A19 y M5 de sus dispositivos. El coste computacional marginal para Apple es de $0.00 por token.</w:t>
      </w:r>
    </w:p>
    <w:p>
      <w:pPr>
        <w:spacing w:before="40" w:after="80" w:line="276" w:lineRule="auto"/>
      </w:pPr>
      <w:r>
        <w:rPr>
          <w:rFonts w:ascii="Calibri" w:hAnsi="Calibri"/>
          <w:b/>
          <w:color w:val="2D3748"/>
          <w:sz w:val="20"/>
        </w:rPr>
        <w:t xml:space="preserve">• La Privacidad como Activo Estratégico (Private Cloud Compute): </w:t>
      </w:r>
      <w:r>
        <w:rPr>
          <w:rFonts w:ascii="Calibri" w:hAnsi="Calibri"/>
          <w:i w:val="0"/>
          <w:color w:val="2D3748"/>
          <w:sz w:val="20"/>
        </w:rPr>
        <w:t>Para consultas complejas que superan la capacidad local, Apple utiliza servidores propios equipados con Apple Silicon bajo un protocolo criptográfico inviolable. Ningún dato del usuario se almacena ni se indexa, convirtiendo la privacidad en un argumento de venta comercial inaccesible para empresas basadas en la venta de publicidad.</w:t>
      </w:r>
    </w:p>
    <w:p>
      <w:pPr>
        <w:spacing w:before="40" w:after="80" w:line="276" w:lineRule="auto"/>
      </w:pPr>
      <w:r>
        <w:rPr>
          <w:rFonts w:ascii="Calibri" w:hAnsi="Calibri"/>
          <w:b/>
          <w:color w:val="2D3748"/>
          <w:sz w:val="20"/>
        </w:rPr>
        <w:t xml:space="preserve">• Ahorro Operativo para Clientes Corporativos: </w:t>
      </w:r>
      <w:r>
        <w:rPr>
          <w:rFonts w:ascii="Calibri" w:hAnsi="Calibri"/>
          <w:i w:val="0"/>
          <w:color w:val="2D3748"/>
          <w:sz w:val="20"/>
        </w:rPr>
        <w:t>Grandes corporaciones (como Disney y Crédit Agricole) han comenzado a migrar flujos de trabajo de análisis de datos a ordenadores Mac con chips M-series para eliminar las suscripciones y peajes recurrentes de IA en la nube.</w:t>
      </w:r>
    </w:p>
    <w:p>
      <w:pPr>
        <w:keepNext/>
        <w:spacing w:before="200" w:after="80"/>
      </w:pPr>
      <w:r>
        <w:rPr>
          <w:rFonts w:ascii="Calibri" w:hAnsi="Calibri"/>
          <w:b/>
          <w:color w:val="4A5568"/>
          <w:sz w:val="22"/>
        </w:rPr>
        <w:t>7.3. Modelo de Monetización de la Innovación: El Acelerador del Ciclo de Reemplazo</w:t>
      </w:r>
    </w:p>
    <w:p>
      <w:pPr>
        <w:spacing w:before="40" w:after="80" w:line="276" w:lineRule="auto"/>
      </w:pPr>
      <w:r>
        <w:rPr>
          <w:rFonts w:ascii="Calibri" w:hAnsi="Calibri"/>
          <w:b/>
          <w:color w:val="2D3748"/>
          <w:sz w:val="20"/>
        </w:rPr>
        <w:t xml:space="preserve">1. Tracción de Hardware Premium: </w:t>
      </w:r>
      <w:r>
        <w:rPr>
          <w:rFonts w:ascii="Calibri" w:hAnsi="Calibri"/>
          <w:i w:val="0"/>
          <w:color w:val="2D3748"/>
          <w:sz w:val="20"/>
        </w:rPr>
        <w:t>Las funcionalidades avanzadas de IA exigen un mínimo de memoria unificada y potencia de NPU, volviendo obsoletos a terminales antiguos e impulsando el superciclo de renovación hacia gamas Pro y Pro Max de mayor margen.</w:t>
      </w:r>
    </w:p>
    <w:p>
      <w:pPr>
        <w:spacing w:before="40" w:after="80" w:line="276" w:lineRule="auto"/>
      </w:pPr>
      <w:r>
        <w:rPr>
          <w:rFonts w:ascii="Calibri" w:hAnsi="Calibri"/>
          <w:b/>
          <w:color w:val="2D3748"/>
          <w:sz w:val="20"/>
        </w:rPr>
        <w:t xml:space="preserve">2. Peaje en Servicios de Terceros: </w:t>
      </w:r>
      <w:r>
        <w:rPr>
          <w:rFonts w:ascii="Calibri" w:hAnsi="Calibri"/>
          <w:i w:val="0"/>
          <w:color w:val="2D3748"/>
          <w:sz w:val="20"/>
        </w:rPr>
        <w:t>Al integrar modelos fundacionales externos (como ChatGPT o Gemini) dentro de Siri y del sistema operativo, Apple actúa como el guardián de acceso (gatekeeper), cobrando comisiones por compras integradas y suscripciones intermediadas sin asumir el riesgo ni el coste de infraestructura.</w:t>
      </w:r>
    </w:p>
    <w:p>
      <w:pPr>
        <w:keepNext/>
        <w:spacing w:before="200" w:after="80"/>
      </w:pPr>
      <w:r>
        <w:rPr>
          <w:rFonts w:ascii="Calibri" w:hAnsi="Calibri"/>
          <w:b/>
          <w:color w:val="4A5568"/>
          <w:sz w:val="22"/>
        </w:rPr>
        <w:t>7.4. Intensidad de I+D y Productividad de la Innovación</w:t>
      </w:r>
    </w:p>
    <w:p>
      <w:pPr>
        <w:spacing w:before="40" w:after="80" w:line="276" w:lineRule="auto"/>
      </w:pPr>
      <w:r>
        <w:rPr>
          <w:rFonts w:ascii="Calibri" w:hAnsi="Calibri"/>
          <w:b/>
          <w:color w:val="2D3748"/>
          <w:sz w:val="20"/>
        </w:rPr>
        <w:t xml:space="preserve">• Enfoque en Silicio Propietario e Infraestructura: </w:t>
      </w:r>
      <w:r>
        <w:rPr>
          <w:rFonts w:ascii="Calibri" w:hAnsi="Calibri"/>
          <w:i w:val="0"/>
          <w:color w:val="2D3748"/>
          <w:sz w:val="20"/>
        </w:rPr>
        <w:t>El incremento del gasto en I+D no responde a experimentos dispersos, sino a la internalización de componentes clave: el módem de conectividad propio (C1), la arquitectura de litografía en 2nm con TSMC y la optimización de pesos neuronales.</w:t>
      </w:r>
    </w:p>
    <w:p>
      <w:pPr>
        <w:spacing w:before="40" w:after="80" w:line="276" w:lineRule="auto"/>
      </w:pPr>
      <w:r>
        <w:rPr>
          <w:rFonts w:ascii="Calibri" w:hAnsi="Calibri"/>
          <w:b/>
          <w:color w:val="2D3748"/>
          <w:sz w:val="20"/>
        </w:rPr>
        <w:t xml:space="preserve">• Retorno del Capital Invertido en Innovación: </w:t>
      </w:r>
      <w:r>
        <w:rPr>
          <w:rFonts w:ascii="Calibri" w:hAnsi="Calibri"/>
          <w:i w:val="0"/>
          <w:color w:val="2D3748"/>
          <w:sz w:val="20"/>
        </w:rPr>
        <w:t>A diferencia de proyectos especulativos de la industria, cada dólar invertido por Apple en I+D ($8,700 M en Q3 FY26, +32.3% YoY, 8.0% de las ventas) se traduce en patentes aplicadas a productos de consumo masivo con márgenes operativos del 32.6%.</w:t>
      </w:r>
    </w:p>
    <w:tbl>
      <w:tblPr>
        <w:tblW w:type="auto" w:w="0"/>
        <w:jc w:val="center"/>
        <w:tblLayout w:type="fixed"/>
        <w:tblLook w:firstColumn="1" w:firstRow="1" w:lastColumn="0" w:lastRow="0" w:noHBand="0" w:noVBand="1" w:val="04A0"/>
      </w:tblPr>
      <w:tblGrid>
        <w:gridCol w:w="9792"/>
      </w:tblGrid>
      <w:tr>
        <w:tc>
          <w:tcPr>
            <w:tcW w:type="dxa" w:w="9792"/>
            <w:shd w:fill="E8EEF5"/>
            <w:tcMar>
              <w:top w:w="140" w:type="dxa"/>
              <w:bottom w:w="140" w:type="dxa"/>
              <w:left w:w="180" w:type="dxa"/>
              <w:right w:w="180" w:type="dxa"/>
            </w:tcMar>
            <w:tcBorders>
              <w:left w:val="single" w:sz="24" w:space="0" w:color="0A3641"/>
              <w:top w:val="none"/>
              <w:right w:val="none"/>
              <w:bottom w:val="none"/>
            </w:tcBorders>
          </w:tcPr>
          <w:p>
            <w:pPr>
              <w:spacing w:before="0" w:after="80"/>
            </w:pPr>
            <w:r>
              <w:rPr>
                <w:rFonts w:ascii="Segoe UI Emoji" w:hAnsi="Segoe UI Emoji"/>
                <w:sz w:val="21"/>
              </w:rPr>
              <w:t xml:space="preserve">📌  </w:t>
            </w:r>
            <w:r>
              <w:rPr>
                <w:rFonts w:ascii="Calibri" w:hAnsi="Calibri"/>
                <w:b/>
                <w:color w:val="0A3641"/>
                <w:sz w:val="21"/>
              </w:rPr>
              <w:t>GUÍA DE DIAGNÓSTICO FUNDAMENTAL: ¿CÓMO AUDITAR EL FOSO DEFENSIVO (ECONOMIC MOAT)?</w:t>
            </w:r>
          </w:p>
          <w:p>
            <w:pPr>
              <w:spacing w:before="40" w:after="40" w:line="276" w:lineRule="auto"/>
            </w:pPr>
            <w:r>
              <w:rPr>
                <w:rFonts w:ascii="Calibri" w:hAnsi="Calibri"/>
                <w:color w:val="2D3748"/>
                <w:sz w:val="19"/>
              </w:rPr>
              <w:t>• Identificación de un Wide Moat: Una empresa posee un foso amplio cuando puede generar sistemáticamente un ROIC superior a su WACC durante más de 10 o 15 años.</w:t>
            </w:r>
          </w:p>
          <w:p>
            <w:pPr>
              <w:spacing w:before="40" w:after="40" w:line="276" w:lineRule="auto"/>
            </w:pPr>
            <w:r>
              <w:rPr>
                <w:rFonts w:ascii="Calibri" w:hAnsi="Calibri"/>
                <w:color w:val="2D3748"/>
                <w:sz w:val="19"/>
              </w:rPr>
              <w:t>• Costes de Cambio y Pricing Power: Si un cliente no puede sustituir el producto sin fricción, la empresa puede subir precios sin perder demanda.</w:t>
            </w:r>
          </w:p>
          <w:p>
            <w:pPr>
              <w:spacing w:before="40" w:after="40" w:line="276" w:lineRule="auto"/>
            </w:pPr>
            <w:r>
              <w:rPr>
                <w:rFonts w:ascii="Calibri" w:hAnsi="Calibri"/>
                <w:color w:val="2D3748"/>
                <w:sz w:val="19"/>
              </w:rPr>
              <w:t>• Vigilancia de Erosión: La caída continua de margen bruto o la necesidad de rebajas agresivas son las primeras señales de debilitamiento de un foso.</w:t>
            </w:r>
          </w:p>
        </w:tc>
      </w:tr>
    </w:tbl>
    <w:p>
      <w:pPr>
        <w:spacing w:after="80"/>
      </w:pPr>
    </w:p>
    <w:p>
      <w:pPr>
        <w:keepNext/>
        <w:spacing w:before="320" w:after="120"/>
      </w:pPr>
      <w:r>
        <w:rPr>
          <w:rFonts w:ascii="Calibri" w:hAnsi="Calibri"/>
          <w:b/>
          <w:color w:val="1B365D"/>
          <w:sz w:val="26"/>
        </w:rPr>
        <w:t>8. Gobernanza Corporativa, Sentimiento Insider (Form 4 y 144) y Alertas 8-K</w:t>
      </w:r>
    </w:p>
    <w:tbl>
      <w:tblPr>
        <w:tblW w:type="auto" w:w="0"/>
        <w:jc w:val="center"/>
        <w:tblLayout w:type="fixed"/>
        <w:tblLook w:firstColumn="1" w:firstRow="1" w:lastColumn="0" w:lastRow="0" w:noHBand="0" w:noVBand="1" w:val="04A0"/>
      </w:tblPr>
      <w:tblGrid>
        <w:gridCol w:w="9792"/>
      </w:tblGrid>
      <w:tr>
        <w:tc>
          <w:tcPr>
            <w:tcW w:type="dxa" w:w="9792"/>
            <w:shd w:fill="E8EEF5"/>
            <w:tcMar>
              <w:top w:w="140" w:type="dxa"/>
              <w:bottom w:w="140" w:type="dxa"/>
              <w:left w:w="180" w:type="dxa"/>
              <w:right w:w="180" w:type="dxa"/>
            </w:tcMar>
            <w:tcBorders>
              <w:left w:val="single" w:sz="24" w:space="0" w:color="0A3641"/>
              <w:top w:val="none"/>
              <w:right w:val="none"/>
              <w:bottom w:val="none"/>
            </w:tcBorders>
          </w:tcPr>
          <w:p>
            <w:pPr>
              <w:spacing w:before="0" w:after="80"/>
            </w:pPr>
            <w:r>
              <w:rPr>
                <w:rFonts w:ascii="Segoe UI Emoji" w:hAnsi="Segoe UI Emoji"/>
                <w:sz w:val="21"/>
              </w:rPr>
              <w:t xml:space="preserve">📌  </w:t>
            </w:r>
            <w:r>
              <w:rPr>
                <w:rFonts w:ascii="Calibri" w:hAnsi="Calibri"/>
                <w:b/>
                <w:color w:val="0A3641"/>
                <w:sz w:val="21"/>
              </w:rPr>
              <w:t>GUÍA PEDAGÓGICA PARA EL INVERSOR: LA CADENA DE TRAZABILIDAD DE LA SEC</w:t>
            </w:r>
          </w:p>
          <w:p>
            <w:pPr>
              <w:spacing w:before="40" w:after="40" w:line="276" w:lineRule="auto"/>
            </w:pPr>
            <w:r>
              <w:rPr>
                <w:rFonts w:ascii="Calibri" w:hAnsi="Calibri"/>
                <w:color w:val="2D3748"/>
                <w:sz w:val="19"/>
              </w:rPr>
              <w:t>• Formulario 8-K (La Empresa Habla): Notifica eventos materiales corporativos en tiempo real (relevo del CEO, cambios de auditor o acuerdos clave).</w:t>
            </w:r>
          </w:p>
          <w:p>
            <w:pPr>
              <w:spacing w:before="40" w:after="40" w:line="276" w:lineRule="auto"/>
            </w:pPr>
            <w:r>
              <w:rPr>
                <w:rFonts w:ascii="Calibri" w:hAnsi="Calibri"/>
                <w:color w:val="2D3748"/>
                <w:sz w:val="19"/>
              </w:rPr>
              <w:t>• Formulario 144 (El Aviso Previo): Notificación previa y obligatoria de un directivo antes de vender acciones restringidas.</w:t>
            </w:r>
          </w:p>
          <w:p>
            <w:pPr>
              <w:spacing w:before="40" w:after="40" w:line="276" w:lineRule="auto"/>
            </w:pPr>
            <w:r>
              <w:rPr>
                <w:rFonts w:ascii="Calibri" w:hAnsi="Calibri"/>
                <w:color w:val="2D3748"/>
                <w:sz w:val="19"/>
              </w:rPr>
              <w:t>• Formulario 4 (La Ejecución Real): Registro en 48 horas de la transacción ya liquidada en bolsa.</w:t>
            </w:r>
          </w:p>
          <w:p>
            <w:pPr>
              <w:spacing w:before="40" w:after="40" w:line="276" w:lineRule="auto"/>
            </w:pPr>
            <w:r>
              <w:rPr>
                <w:rFonts w:ascii="Calibri" w:hAnsi="Calibri"/>
                <w:color w:val="2D3748"/>
                <w:sz w:val="19"/>
              </w:rPr>
              <w:t>• Regla de Oro: Las ventas bajo Planes Rule 10b5-1 son automáticas y preprogramadas sin información privilegiada. Las ventas discrecionales reflejan decisiones activas.</w:t>
            </w:r>
          </w:p>
        </w:tc>
      </w:tr>
    </w:tbl>
    <w:p>
      <w:pPr>
        <w:spacing w:after="80"/>
      </w:pPr>
    </w:p>
    <w:p>
      <w:pPr>
        <w:keepNext/>
        <w:spacing w:before="200" w:after="80"/>
      </w:pPr>
      <w:r>
        <w:rPr>
          <w:rFonts w:ascii="Calibri" w:hAnsi="Calibri"/>
          <w:b/>
          <w:color w:val="4A5568"/>
          <w:sz w:val="22"/>
        </w:rPr>
        <w:t>8.1. Hechos Relevantes y Alertas Tempranas de la Corporación (Formulario 8-K)</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1958"/>
        <w:gridCol w:w="1958"/>
        <w:gridCol w:w="1958"/>
        <w:gridCol w:w="1958"/>
        <w:gridCol w:w="1958"/>
      </w:tblGrid>
      <w:tr>
        <w:tc>
          <w:tcPr>
            <w:tcW w:type="dxa" w:w="1440"/>
            <w:shd w:fill="1B365D"/>
            <w:tcMar>
              <w:top w:w="100" w:type="dxa"/>
              <w:bottom w:w="100" w:type="dxa"/>
              <w:left w:w="120" w:type="dxa"/>
              <w:right w:w="120" w:type="dxa"/>
            </w:tcMar>
          </w:tcPr>
          <w:p>
            <w:pPr>
              <w:spacing w:before="0" w:after="0"/>
              <w:jc w:val="center"/>
            </w:pPr>
            <w:r>
              <w:rPr>
                <w:rFonts w:ascii="Calibri" w:hAnsi="Calibri"/>
                <w:b/>
                <w:color w:val="FFFFFF"/>
                <w:sz w:val="19"/>
              </w:rPr>
              <w:t>Fecha SEC</w:t>
            </w:r>
          </w:p>
        </w:tc>
        <w:tc>
          <w:tcPr>
            <w:tcW w:type="dxa" w:w="1440"/>
            <w:shd w:fill="1B365D"/>
            <w:tcMar>
              <w:top w:w="100" w:type="dxa"/>
              <w:bottom w:w="100" w:type="dxa"/>
              <w:left w:w="120" w:type="dxa"/>
              <w:right w:w="120" w:type="dxa"/>
            </w:tcMar>
          </w:tcPr>
          <w:p>
            <w:pPr>
              <w:spacing w:before="0" w:after="0"/>
              <w:jc w:val="center"/>
            </w:pPr>
            <w:r>
              <w:rPr>
                <w:rFonts w:ascii="Calibri" w:hAnsi="Calibri"/>
                <w:b/>
                <w:color w:val="FFFFFF"/>
                <w:sz w:val="19"/>
              </w:rPr>
              <w:t>Ítem Oficial 8-K</w:t>
            </w:r>
          </w:p>
        </w:tc>
        <w:tc>
          <w:tcPr>
            <w:tcW w:type="dxa" w:w="2160"/>
            <w:shd w:fill="1B365D"/>
            <w:tcMar>
              <w:top w:w="100" w:type="dxa"/>
              <w:bottom w:w="100" w:type="dxa"/>
              <w:left w:w="120" w:type="dxa"/>
              <w:right w:w="120" w:type="dxa"/>
            </w:tcMar>
          </w:tcPr>
          <w:p>
            <w:pPr>
              <w:spacing w:before="0" w:after="0"/>
              <w:jc w:val="left"/>
            </w:pPr>
            <w:r>
              <w:rPr>
                <w:rFonts w:ascii="Calibri" w:hAnsi="Calibri"/>
                <w:b/>
                <w:color w:val="FFFFFF"/>
                <w:sz w:val="19"/>
              </w:rPr>
              <w:t>Naturaleza del Evento</w:t>
            </w:r>
          </w:p>
        </w:tc>
        <w:tc>
          <w:tcPr>
            <w:tcW w:type="dxa" w:w="2448"/>
            <w:shd w:fill="1B365D"/>
            <w:tcMar>
              <w:top w:w="100" w:type="dxa"/>
              <w:bottom w:w="100" w:type="dxa"/>
              <w:left w:w="120" w:type="dxa"/>
              <w:right w:w="120" w:type="dxa"/>
            </w:tcMar>
          </w:tcPr>
          <w:p>
            <w:pPr>
              <w:spacing w:before="0" w:after="0"/>
              <w:jc w:val="left"/>
            </w:pPr>
            <w:r>
              <w:rPr>
                <w:rFonts w:ascii="Calibri" w:hAnsi="Calibri"/>
                <w:b/>
                <w:color w:val="FFFFFF"/>
                <w:sz w:val="19"/>
              </w:rPr>
              <w:t>¿Qué significa para la Empresa?</w:t>
            </w:r>
          </w:p>
        </w:tc>
        <w:tc>
          <w:tcPr>
            <w:tcW w:type="dxa" w:w="2304"/>
            <w:shd w:fill="1B365D"/>
            <w:tcMar>
              <w:top w:w="100" w:type="dxa"/>
              <w:bottom w:w="100" w:type="dxa"/>
              <w:left w:w="120" w:type="dxa"/>
              <w:right w:w="120" w:type="dxa"/>
            </w:tcMar>
          </w:tcPr>
          <w:p>
            <w:pPr>
              <w:spacing w:before="0" w:after="0"/>
              <w:jc w:val="left"/>
            </w:pPr>
            <w:r>
              <w:rPr>
                <w:rFonts w:ascii="Calibri" w:hAnsi="Calibri"/>
                <w:b/>
                <w:color w:val="FFFFFF"/>
                <w:sz w:val="19"/>
              </w:rPr>
              <w:t>Diagnóstico para el Inversor</w:t>
            </w:r>
          </w:p>
        </w:tc>
      </w:tr>
      <w:tr>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2026-09-01</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Item 5.02</w:t>
            </w:r>
          </w:p>
        </w:tc>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Sucesión Ejecutiva en el C-Suite</w:t>
            </w:r>
          </w:p>
        </w:tc>
        <w:tc>
          <w:tcPr>
            <w:tcW w:type="dxa" w:w="2448"/>
            <w:shd w:fill="FFFFFF"/>
            <w:tcMar>
              <w:top w:w="80" w:type="dxa"/>
              <w:bottom w:w="80" w:type="dxa"/>
              <w:left w:w="120" w:type="dxa"/>
              <w:right w:w="120" w:type="dxa"/>
            </w:tcMar>
          </w:tcPr>
          <w:p>
            <w:pPr>
              <w:spacing w:before="0" w:after="0"/>
              <w:jc w:val="left"/>
            </w:pPr>
            <w:r>
              <w:rPr>
                <w:rFonts w:ascii="Calibri" w:hAnsi="Calibri"/>
                <w:color w:val="2D3748"/>
                <w:sz w:val="18"/>
              </w:rPr>
              <w:t>Formalización de la renuncia de Tim Cook como CEO y designación oficial de John Ternus.</w:t>
            </w:r>
          </w:p>
        </w:tc>
        <w:tc>
          <w:tcPr>
            <w:tcW w:type="dxa" w:w="2304"/>
            <w:shd w:fill="FFFFFF"/>
            <w:tcMar>
              <w:top w:w="80" w:type="dxa"/>
              <w:bottom w:w="80" w:type="dxa"/>
              <w:left w:w="120" w:type="dxa"/>
              <w:right w:w="120" w:type="dxa"/>
            </w:tcMar>
          </w:tcPr>
          <w:p>
            <w:pPr>
              <w:spacing w:before="0" w:after="0"/>
              <w:jc w:val="left"/>
            </w:pPr>
            <w:r>
              <w:rPr>
                <w:rFonts w:ascii="Calibri" w:hAnsi="Calibri"/>
                <w:color w:val="2D3748"/>
                <w:sz w:val="18"/>
              </w:rPr>
              <w:t>🟡 RELEVO PLANIFICADO: Transición técnica ordenada sin vacíos de poder; foco en silicio.</w:t>
            </w:r>
          </w:p>
        </w:tc>
      </w:tr>
      <w:tr>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2026-07-30</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Item 2.02</w:t>
            </w:r>
          </w:p>
        </w:tc>
        <w:tc>
          <w:tcPr>
            <w:tcW w:type="dxa" w:w="2160"/>
            <w:shd w:fill="F7FAFC"/>
            <w:tcMar>
              <w:top w:w="80" w:type="dxa"/>
              <w:bottom w:w="80" w:type="dxa"/>
              <w:left w:w="120" w:type="dxa"/>
              <w:right w:w="120" w:type="dxa"/>
            </w:tcMar>
          </w:tcPr>
          <w:p>
            <w:pPr>
              <w:spacing w:before="0" w:after="0"/>
              <w:jc w:val="left"/>
            </w:pPr>
            <w:r>
              <w:rPr>
                <w:rFonts w:ascii="Calibri" w:hAnsi="Calibri"/>
                <w:color w:val="2D3748"/>
                <w:sz w:val="18"/>
              </w:rPr>
              <w:t>Resultados Financieros Trimestrales</w:t>
            </w:r>
          </w:p>
        </w:tc>
        <w:tc>
          <w:tcPr>
            <w:tcW w:type="dxa" w:w="2448"/>
            <w:shd w:fill="F7FAFC"/>
            <w:tcMar>
              <w:top w:w="80" w:type="dxa"/>
              <w:bottom w:w="80" w:type="dxa"/>
              <w:left w:w="120" w:type="dxa"/>
              <w:right w:w="120" w:type="dxa"/>
            </w:tcMar>
          </w:tcPr>
          <w:p>
            <w:pPr>
              <w:spacing w:before="0" w:after="0"/>
              <w:jc w:val="left"/>
            </w:pPr>
            <w:r>
              <w:rPr>
                <w:rFonts w:ascii="Calibri" w:hAnsi="Calibri"/>
                <w:color w:val="2D3748"/>
                <w:sz w:val="18"/>
              </w:rPr>
              <w:t>Avance formal de cifras oficiales auditadas correspondientes al trimestre Q3 FY26.</w:t>
            </w:r>
          </w:p>
        </w:tc>
        <w:tc>
          <w:tcPr>
            <w:tcW w:type="dxa" w:w="2304"/>
            <w:shd w:fill="F7FAFC"/>
            <w:tcMar>
              <w:top w:w="80" w:type="dxa"/>
              <w:bottom w:w="80" w:type="dxa"/>
              <w:left w:w="120" w:type="dxa"/>
              <w:right w:w="120" w:type="dxa"/>
            </w:tcMar>
          </w:tcPr>
          <w:p>
            <w:pPr>
              <w:spacing w:before="0" w:after="0"/>
              <w:jc w:val="left"/>
            </w:pPr>
            <w:r>
              <w:rPr>
                <w:rFonts w:ascii="Calibri" w:hAnsi="Calibri"/>
                <w:color w:val="2D3748"/>
                <w:sz w:val="18"/>
              </w:rPr>
              <w:t>🟢 TRÁMITE ORDINARIO: Cumplimiento regular del calendario financiero ante los mercados.</w:t>
            </w:r>
          </w:p>
        </w:tc>
      </w:tr>
      <w:tr>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2026-04-20</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Item 5.02</w:t>
            </w:r>
          </w:p>
        </w:tc>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Acuerdos de Compensación Ejecutiva</w:t>
            </w:r>
          </w:p>
        </w:tc>
        <w:tc>
          <w:tcPr>
            <w:tcW w:type="dxa" w:w="2448"/>
            <w:shd w:fill="FFFFFF"/>
            <w:tcMar>
              <w:top w:w="80" w:type="dxa"/>
              <w:bottom w:w="80" w:type="dxa"/>
              <w:left w:w="120" w:type="dxa"/>
              <w:right w:w="120" w:type="dxa"/>
            </w:tcMar>
          </w:tcPr>
          <w:p>
            <w:pPr>
              <w:spacing w:before="0" w:after="0"/>
              <w:jc w:val="left"/>
            </w:pPr>
            <w:r>
              <w:rPr>
                <w:rFonts w:ascii="Calibri" w:hAnsi="Calibri"/>
                <w:color w:val="2D3748"/>
                <w:sz w:val="18"/>
              </w:rPr>
              <w:t>Actualización de paquetes de incentivos en acciones restringidas (RSUs) para directores.</w:t>
            </w:r>
          </w:p>
        </w:tc>
        <w:tc>
          <w:tcPr>
            <w:tcW w:type="dxa" w:w="2304"/>
            <w:shd w:fill="FFFFFF"/>
            <w:tcMar>
              <w:top w:w="80" w:type="dxa"/>
              <w:bottom w:w="80" w:type="dxa"/>
              <w:left w:w="120" w:type="dxa"/>
              <w:right w:w="120" w:type="dxa"/>
            </w:tcMar>
          </w:tcPr>
          <w:p>
            <w:pPr>
              <w:spacing w:before="0" w:after="0"/>
              <w:jc w:val="left"/>
            </w:pPr>
            <w:r>
              <w:rPr>
                <w:rFonts w:ascii="Calibri" w:hAnsi="Calibri"/>
                <w:color w:val="2D3748"/>
                <w:sz w:val="18"/>
              </w:rPr>
              <w:t>🟢 ALINEACIÓN: Remuneración ligada a métricas operativas y de retorno de largo plazo.</w:t>
            </w:r>
          </w:p>
        </w:tc>
      </w:tr>
      <w:tr>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Últimos 12M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Item 4.01</w:t>
            </w:r>
          </w:p>
        </w:tc>
        <w:tc>
          <w:tcPr>
            <w:tcW w:type="dxa" w:w="2160"/>
            <w:shd w:fill="F7FAFC"/>
            <w:tcMar>
              <w:top w:w="80" w:type="dxa"/>
              <w:bottom w:w="80" w:type="dxa"/>
              <w:left w:w="120" w:type="dxa"/>
              <w:right w:w="120" w:type="dxa"/>
            </w:tcMar>
          </w:tcPr>
          <w:p>
            <w:pPr>
              <w:spacing w:before="0" w:after="0"/>
              <w:jc w:val="left"/>
            </w:pPr>
            <w:r>
              <w:rPr>
                <w:rFonts w:ascii="Calibri" w:hAnsi="Calibri"/>
                <w:color w:val="2D3748"/>
                <w:sz w:val="18"/>
              </w:rPr>
              <w:t>Auditoría Externa Independiente</w:t>
            </w:r>
          </w:p>
        </w:tc>
        <w:tc>
          <w:tcPr>
            <w:tcW w:type="dxa" w:w="2448"/>
            <w:shd w:fill="F7FAFC"/>
            <w:tcMar>
              <w:top w:w="80" w:type="dxa"/>
              <w:bottom w:w="80" w:type="dxa"/>
              <w:left w:w="120" w:type="dxa"/>
              <w:right w:w="120" w:type="dxa"/>
            </w:tcMar>
          </w:tcPr>
          <w:p>
            <w:pPr>
              <w:spacing w:before="0" w:after="0"/>
              <w:jc w:val="left"/>
            </w:pPr>
            <w:r>
              <w:rPr>
                <w:rFonts w:ascii="Calibri" w:hAnsi="Calibri"/>
                <w:color w:val="2D3748"/>
                <w:sz w:val="18"/>
              </w:rPr>
              <w:t>Sin registros. PricewaterhouseCoopers (PwC) continúa como auditor principal sin discrepancias.</w:t>
            </w:r>
          </w:p>
        </w:tc>
        <w:tc>
          <w:tcPr>
            <w:tcW w:type="dxa" w:w="2304"/>
            <w:shd w:fill="F7FAFC"/>
            <w:tcMar>
              <w:top w:w="80" w:type="dxa"/>
              <w:bottom w:w="80" w:type="dxa"/>
              <w:left w:w="120" w:type="dxa"/>
              <w:right w:w="120" w:type="dxa"/>
            </w:tcMar>
          </w:tcPr>
          <w:p>
            <w:pPr>
              <w:spacing w:before="0" w:after="0"/>
              <w:jc w:val="left"/>
            </w:pPr>
            <w:r>
              <w:rPr>
                <w:rFonts w:ascii="Calibri" w:hAnsi="Calibri"/>
                <w:color w:val="2D3748"/>
                <w:sz w:val="18"/>
              </w:rPr>
              <w:t>🟢 MÁXIMA ESTABILIDAD: Cero banderas rojas contables o disputas sobre criterios contables.</w:t>
            </w:r>
          </w:p>
        </w:tc>
      </w:tr>
      <w:tr>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Últimos 12M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Item 2.04</w:t>
            </w:r>
          </w:p>
        </w:tc>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Eventos de Insolvencia o Impago</w:t>
            </w:r>
          </w:p>
        </w:tc>
        <w:tc>
          <w:tcPr>
            <w:tcW w:type="dxa" w:w="2448"/>
            <w:shd w:fill="FFFFFF"/>
            <w:tcMar>
              <w:top w:w="80" w:type="dxa"/>
              <w:bottom w:w="80" w:type="dxa"/>
              <w:left w:w="120" w:type="dxa"/>
              <w:right w:w="120" w:type="dxa"/>
            </w:tcMar>
          </w:tcPr>
          <w:p>
            <w:pPr>
              <w:spacing w:before="0" w:after="0"/>
              <w:jc w:val="left"/>
            </w:pPr>
            <w:r>
              <w:rPr>
                <w:rFonts w:ascii="Calibri" w:hAnsi="Calibri"/>
                <w:color w:val="2D3748"/>
                <w:sz w:val="18"/>
              </w:rPr>
              <w:t>Sin registros. Ninguna aceleración de vencimientos ni cláusulas de penalización de deuda.</w:t>
            </w:r>
          </w:p>
        </w:tc>
        <w:tc>
          <w:tcPr>
            <w:tcW w:type="dxa" w:w="2304"/>
            <w:shd w:fill="FFFFFF"/>
            <w:tcMar>
              <w:top w:w="80" w:type="dxa"/>
              <w:bottom w:w="80" w:type="dxa"/>
              <w:left w:w="120" w:type="dxa"/>
              <w:right w:w="120" w:type="dxa"/>
            </w:tcMar>
          </w:tcPr>
          <w:p>
            <w:pPr>
              <w:spacing w:before="0" w:after="0"/>
              <w:jc w:val="left"/>
            </w:pPr>
            <w:r>
              <w:rPr>
                <w:rFonts w:ascii="Calibri" w:hAnsi="Calibri"/>
                <w:color w:val="2D3748"/>
                <w:sz w:val="18"/>
              </w:rPr>
              <w:t>🟢 RIESGO CREDITICIO NULO: Solvencia intacta con posición de caja neta de +$62.2B.</w:t>
            </w:r>
          </w:p>
        </w:tc>
      </w:tr>
    </w:tbl>
    <w:p>
      <w:pPr>
        <w:spacing w:after="120"/>
      </w:pPr>
    </w:p>
    <w:p>
      <w:pPr>
        <w:keepNext/>
        <w:spacing w:before="200" w:after="80"/>
      </w:pPr>
      <w:r>
        <w:rPr>
          <w:rFonts w:ascii="Calibri" w:hAnsi="Calibri"/>
          <w:b/>
          <w:color w:val="4A5568"/>
          <w:sz w:val="22"/>
        </w:rPr>
        <w:t>8.2. Monitor Unificado de Insiders: Del Aviso (Form 144) a la Ejecución (Form 4)</w:t>
      </w:r>
    </w:p>
    <w:p>
      <w:pPr>
        <w:spacing w:before="40" w:after="80" w:line="276" w:lineRule="auto"/>
      </w:pPr>
      <w:r>
        <w:rPr>
          <w:rFonts w:ascii="Calibri" w:hAnsi="Calibri"/>
          <w:i w:val="0"/>
          <w:color w:val="2D3748"/>
          <w:sz w:val="20"/>
        </w:rPr>
        <w:t>Consolidación de transacciones de directivos clave cruzando intención (Form 144) con ejecución efectiva (Form 4):</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1632"/>
        <w:gridCol w:w="1632"/>
        <w:gridCol w:w="1632"/>
        <w:gridCol w:w="1632"/>
        <w:gridCol w:w="1632"/>
        <w:gridCol w:w="1632"/>
      </w:tblGrid>
      <w:tr>
        <w:tc>
          <w:tcPr>
            <w:tcW w:type="dxa" w:w="2160"/>
            <w:shd w:fill="1B365D"/>
            <w:tcMar>
              <w:top w:w="100" w:type="dxa"/>
              <w:bottom w:w="100" w:type="dxa"/>
              <w:left w:w="120" w:type="dxa"/>
              <w:right w:w="120" w:type="dxa"/>
            </w:tcMar>
          </w:tcPr>
          <w:p>
            <w:pPr>
              <w:spacing w:before="0" w:after="0"/>
              <w:jc w:val="left"/>
            </w:pPr>
            <w:r>
              <w:rPr>
                <w:rFonts w:ascii="Calibri" w:hAnsi="Calibri"/>
                <w:b/>
                <w:color w:val="FFFFFF"/>
                <w:sz w:val="19"/>
              </w:rPr>
              <w:t>Directivo / Cargo Clave</w:t>
            </w:r>
          </w:p>
        </w:tc>
        <w:tc>
          <w:tcPr>
            <w:tcW w:type="dxa" w:w="2016"/>
            <w:shd w:fill="1B365D"/>
            <w:tcMar>
              <w:top w:w="100" w:type="dxa"/>
              <w:bottom w:w="100" w:type="dxa"/>
              <w:left w:w="120" w:type="dxa"/>
              <w:right w:w="120" w:type="dxa"/>
            </w:tcMar>
          </w:tcPr>
          <w:p>
            <w:pPr>
              <w:spacing w:before="0" w:after="0"/>
              <w:jc w:val="center"/>
            </w:pPr>
            <w:r>
              <w:rPr>
                <w:rFonts w:ascii="Calibri" w:hAnsi="Calibri"/>
                <w:b/>
                <w:color w:val="FFFFFF"/>
                <w:sz w:val="19"/>
              </w:rPr>
              <w:t>Tipo de Operación y Modalidad SEC</w:t>
            </w:r>
          </w:p>
        </w:tc>
        <w:tc>
          <w:tcPr>
            <w:tcW w:type="dxa" w:w="1296"/>
            <w:shd w:fill="1B365D"/>
            <w:tcMar>
              <w:top w:w="100" w:type="dxa"/>
              <w:bottom w:w="100" w:type="dxa"/>
              <w:left w:w="120" w:type="dxa"/>
              <w:right w:w="120" w:type="dxa"/>
            </w:tcMar>
          </w:tcPr>
          <w:p>
            <w:pPr>
              <w:spacing w:before="0" w:after="0"/>
              <w:jc w:val="right"/>
            </w:pPr>
            <w:r>
              <w:rPr>
                <w:rFonts w:ascii="Calibri" w:hAnsi="Calibri"/>
                <w:b/>
                <w:color w:val="FFFFFF"/>
                <w:sz w:val="19"/>
              </w:rPr>
              <w:t>Volumen de Acciones</w:t>
            </w:r>
          </w:p>
        </w:tc>
        <w:tc>
          <w:tcPr>
            <w:tcW w:type="dxa" w:w="1440"/>
            <w:shd w:fill="1B365D"/>
            <w:tcMar>
              <w:top w:w="100" w:type="dxa"/>
              <w:bottom w:w="100" w:type="dxa"/>
              <w:left w:w="120" w:type="dxa"/>
              <w:right w:w="120" w:type="dxa"/>
            </w:tcMar>
          </w:tcPr>
          <w:p>
            <w:pPr>
              <w:spacing w:before="0" w:after="0"/>
              <w:jc w:val="right"/>
            </w:pPr>
            <w:r>
              <w:rPr>
                <w:rFonts w:ascii="Calibri" w:hAnsi="Calibri"/>
                <w:b/>
                <w:color w:val="FFFFFF"/>
                <w:sz w:val="19"/>
              </w:rPr>
              <w:t>Importe Efectivo ($)</w:t>
            </w:r>
          </w:p>
        </w:tc>
        <w:tc>
          <w:tcPr>
            <w:tcW w:type="dxa" w:w="1296"/>
            <w:shd w:fill="1B365D"/>
            <w:tcMar>
              <w:top w:w="100" w:type="dxa"/>
              <w:bottom w:w="100" w:type="dxa"/>
              <w:left w:w="120" w:type="dxa"/>
              <w:right w:w="120" w:type="dxa"/>
            </w:tcMar>
          </w:tcPr>
          <w:p>
            <w:pPr>
              <w:spacing w:before="0" w:after="0"/>
              <w:jc w:val="center"/>
            </w:pPr>
            <w:r>
              <w:rPr>
                <w:rFonts w:ascii="Calibri" w:hAnsi="Calibri"/>
                <w:b/>
                <w:color w:val="FFFFFF"/>
                <w:sz w:val="19"/>
              </w:rPr>
              <w:t>Trazabilidad SEC (144 ➔ 4)</w:t>
            </w:r>
          </w:p>
        </w:tc>
        <w:tc>
          <w:tcPr>
            <w:tcW w:type="dxa" w:w="1584"/>
            <w:shd w:fill="1B365D"/>
            <w:tcMar>
              <w:top w:w="100" w:type="dxa"/>
              <w:bottom w:w="100" w:type="dxa"/>
              <w:left w:w="120" w:type="dxa"/>
              <w:right w:w="120" w:type="dxa"/>
            </w:tcMar>
          </w:tcPr>
          <w:p>
            <w:pPr>
              <w:spacing w:before="0" w:after="0"/>
              <w:jc w:val="left"/>
            </w:pPr>
            <w:r>
              <w:rPr>
                <w:rFonts w:ascii="Calibri" w:hAnsi="Calibri"/>
                <w:b/>
                <w:color w:val="FFFFFF"/>
                <w:sz w:val="19"/>
              </w:rPr>
              <w:t>Diagnóstico de Convicción</w:t>
            </w:r>
          </w:p>
        </w:tc>
      </w:tr>
      <w:tr>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Timothy D. Cook</w:t>
              <w:br/>
              <w:t>(Chief Executive Officer)</w:t>
            </w:r>
          </w:p>
        </w:tc>
        <w:tc>
          <w:tcPr>
            <w:tcW w:type="dxa" w:w="2016"/>
            <w:shd w:fill="FFFFFF"/>
            <w:tcMar>
              <w:top w:w="80" w:type="dxa"/>
              <w:bottom w:w="80" w:type="dxa"/>
              <w:left w:w="120" w:type="dxa"/>
              <w:right w:w="120" w:type="dxa"/>
            </w:tcMar>
          </w:tcPr>
          <w:p>
            <w:pPr>
              <w:spacing w:before="0" w:after="0"/>
              <w:jc w:val="center"/>
            </w:pPr>
            <w:r>
              <w:rPr>
                <w:rFonts w:ascii="Calibri" w:hAnsi="Calibri"/>
                <w:color w:val="2D3748"/>
                <w:sz w:val="18"/>
              </w:rPr>
              <w:t>🟢 Venta Automática (Plan 10b5-1)</w:t>
            </w:r>
          </w:p>
        </w:tc>
        <w:tc>
          <w:tcPr>
            <w:tcW w:type="dxa" w:w="1296"/>
            <w:shd w:fill="FFFFFF"/>
            <w:tcMar>
              <w:top w:w="80" w:type="dxa"/>
              <w:bottom w:w="80" w:type="dxa"/>
              <w:left w:w="120" w:type="dxa"/>
              <w:right w:w="120" w:type="dxa"/>
            </w:tcMar>
          </w:tcPr>
          <w:p>
            <w:pPr>
              <w:spacing w:before="0" w:after="0"/>
              <w:jc w:val="right"/>
            </w:pPr>
            <w:r>
              <w:rPr>
                <w:rFonts w:ascii="Calibri" w:hAnsi="Calibri"/>
                <w:color w:val="2D3748"/>
                <w:sz w:val="18"/>
              </w:rPr>
              <w:t>-194,912</w:t>
            </w:r>
          </w:p>
        </w:tc>
        <w:tc>
          <w:tcPr>
            <w:tcW w:type="dxa" w:w="1440"/>
            <w:shd w:fill="FFFFFF"/>
            <w:tcMar>
              <w:top w:w="80" w:type="dxa"/>
              <w:bottom w:w="80" w:type="dxa"/>
              <w:left w:w="120" w:type="dxa"/>
              <w:right w:w="120" w:type="dxa"/>
            </w:tcMar>
          </w:tcPr>
          <w:p>
            <w:pPr>
              <w:spacing w:before="0" w:after="0"/>
              <w:jc w:val="right"/>
            </w:pPr>
            <w:r>
              <w:rPr>
                <w:rFonts w:ascii="Calibri" w:hAnsi="Calibri"/>
                <w:color w:val="2D3748"/>
                <w:sz w:val="18"/>
              </w:rPr>
              <w:t>-$49,887,921</w:t>
            </w:r>
          </w:p>
        </w:tc>
        <w:tc>
          <w:tcPr>
            <w:tcW w:type="dxa" w:w="1296"/>
            <w:shd w:fill="FFFFFF"/>
            <w:tcMar>
              <w:top w:w="80" w:type="dxa"/>
              <w:bottom w:w="80" w:type="dxa"/>
              <w:left w:w="120" w:type="dxa"/>
              <w:right w:w="120" w:type="dxa"/>
            </w:tcMar>
          </w:tcPr>
          <w:p>
            <w:pPr>
              <w:spacing w:before="0" w:after="0"/>
              <w:jc w:val="center"/>
            </w:pPr>
            <w:r>
              <w:rPr>
                <w:rFonts w:ascii="Calibri" w:hAnsi="Calibri"/>
                <w:color w:val="2D3748"/>
                <w:sz w:val="18"/>
              </w:rPr>
              <w:t>Form 4 Liquidado</w:t>
            </w:r>
          </w:p>
        </w:tc>
        <w:tc>
          <w:tcPr>
            <w:tcW w:type="dxa" w:w="1584"/>
            <w:shd w:fill="FFFFFF"/>
            <w:tcMar>
              <w:top w:w="80" w:type="dxa"/>
              <w:bottom w:w="80" w:type="dxa"/>
              <w:left w:w="120" w:type="dxa"/>
              <w:right w:w="120" w:type="dxa"/>
            </w:tcMar>
          </w:tcPr>
          <w:p>
            <w:pPr>
              <w:spacing w:before="0" w:after="0"/>
              <w:jc w:val="left"/>
            </w:pPr>
            <w:r>
              <w:rPr>
                <w:rFonts w:ascii="Calibri" w:hAnsi="Calibri"/>
                <w:color w:val="2D3748"/>
                <w:sz w:val="18"/>
              </w:rPr>
              <w:t>Venta programada con 9 meses de antelación; diversificación en su salida.</w:t>
            </w:r>
          </w:p>
        </w:tc>
      </w:tr>
      <w:tr>
        <w:tc>
          <w:tcPr>
            <w:tcW w:type="dxa" w:w="2160"/>
            <w:shd w:fill="F7FAFC"/>
            <w:tcMar>
              <w:top w:w="80" w:type="dxa"/>
              <w:bottom w:w="80" w:type="dxa"/>
              <w:left w:w="120" w:type="dxa"/>
              <w:right w:w="120" w:type="dxa"/>
            </w:tcMar>
          </w:tcPr>
          <w:p>
            <w:pPr>
              <w:spacing w:before="0" w:after="0"/>
              <w:jc w:val="left"/>
            </w:pPr>
            <w:r>
              <w:rPr>
                <w:rFonts w:ascii="Calibri" w:hAnsi="Calibri"/>
                <w:color w:val="2D3748"/>
                <w:sz w:val="18"/>
              </w:rPr>
              <w:t>John Ternus</w:t>
              <w:br/>
              <w:t>(CEO Entrante)</w:t>
            </w:r>
          </w:p>
        </w:tc>
        <w:tc>
          <w:tcPr>
            <w:tcW w:type="dxa" w:w="2016"/>
            <w:shd w:fill="F7FAFC"/>
            <w:tcMar>
              <w:top w:w="80" w:type="dxa"/>
              <w:bottom w:w="80" w:type="dxa"/>
              <w:left w:w="120" w:type="dxa"/>
              <w:right w:w="120" w:type="dxa"/>
            </w:tcMar>
          </w:tcPr>
          <w:p>
            <w:pPr>
              <w:spacing w:before="0" w:after="0"/>
              <w:jc w:val="center"/>
            </w:pPr>
            <w:r>
              <w:rPr>
                <w:rFonts w:ascii="Calibri" w:hAnsi="Calibri"/>
                <w:color w:val="2D3748"/>
                <w:sz w:val="18"/>
              </w:rPr>
              <w:t>⚪ Cero Ventas (Retención Total)</w:t>
            </w:r>
          </w:p>
        </w:tc>
        <w:tc>
          <w:tcPr>
            <w:tcW w:type="dxa" w:w="1296"/>
            <w:shd w:fill="F7FAFC"/>
            <w:tcMar>
              <w:top w:w="80" w:type="dxa"/>
              <w:bottom w:w="80" w:type="dxa"/>
              <w:left w:w="120" w:type="dxa"/>
              <w:right w:w="120" w:type="dxa"/>
            </w:tcMar>
          </w:tcPr>
          <w:p>
            <w:pPr>
              <w:spacing w:before="0" w:after="0"/>
              <w:jc w:val="right"/>
            </w:pPr>
            <w:r>
              <w:rPr>
                <w:rFonts w:ascii="Calibri" w:hAnsi="Calibri"/>
                <w:color w:val="2D3748"/>
                <w:sz w:val="18"/>
              </w:rPr>
              <w:t>0</w:t>
            </w:r>
          </w:p>
        </w:tc>
        <w:tc>
          <w:tcPr>
            <w:tcW w:type="dxa" w:w="1440"/>
            <w:shd w:fill="F7FAFC"/>
            <w:tcMar>
              <w:top w:w="80" w:type="dxa"/>
              <w:bottom w:w="80" w:type="dxa"/>
              <w:left w:w="120" w:type="dxa"/>
              <w:right w:w="120" w:type="dxa"/>
            </w:tcMar>
          </w:tcPr>
          <w:p>
            <w:pPr>
              <w:spacing w:before="0" w:after="0"/>
              <w:jc w:val="right"/>
            </w:pPr>
            <w:r>
              <w:rPr>
                <w:rFonts w:ascii="Calibri" w:hAnsi="Calibri"/>
                <w:color w:val="2D3748"/>
                <w:sz w:val="18"/>
              </w:rPr>
              <w:t>$0</w:t>
            </w:r>
          </w:p>
        </w:tc>
        <w:tc>
          <w:tcPr>
            <w:tcW w:type="dxa" w:w="1296"/>
            <w:shd w:fill="F7FAFC"/>
            <w:tcMar>
              <w:top w:w="80" w:type="dxa"/>
              <w:bottom w:w="80" w:type="dxa"/>
              <w:left w:w="120" w:type="dxa"/>
              <w:right w:w="120" w:type="dxa"/>
            </w:tcMar>
          </w:tcPr>
          <w:p>
            <w:pPr>
              <w:spacing w:before="0" w:after="0"/>
              <w:jc w:val="center"/>
            </w:pPr>
            <w:r>
              <w:rPr>
                <w:rFonts w:ascii="Calibri" w:hAnsi="Calibri"/>
                <w:color w:val="2D3748"/>
                <w:sz w:val="18"/>
              </w:rPr>
              <w:t>Sin avisos 144</w:t>
            </w:r>
          </w:p>
        </w:tc>
        <w:tc>
          <w:tcPr>
            <w:tcW w:type="dxa" w:w="1584"/>
            <w:shd w:fill="F7FAFC"/>
            <w:tcMar>
              <w:top w:w="80" w:type="dxa"/>
              <w:bottom w:w="80" w:type="dxa"/>
              <w:left w:w="120" w:type="dxa"/>
              <w:right w:w="120" w:type="dxa"/>
            </w:tcMar>
          </w:tcPr>
          <w:p>
            <w:pPr>
              <w:spacing w:before="0" w:after="0"/>
              <w:jc w:val="left"/>
            </w:pPr>
            <w:r>
              <w:rPr>
                <w:rFonts w:ascii="Calibri" w:hAnsi="Calibri"/>
                <w:color w:val="2D3748"/>
                <w:sz w:val="18"/>
              </w:rPr>
              <w:t>Retención patrimonial íntegra tras su designación como CEO.</w:t>
            </w:r>
          </w:p>
        </w:tc>
      </w:tr>
      <w:tr>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Arthur D. Levinson</w:t>
              <w:br/>
              <w:t>(Presidente del Consejo)</w:t>
            </w:r>
          </w:p>
        </w:tc>
        <w:tc>
          <w:tcPr>
            <w:tcW w:type="dxa" w:w="2016"/>
            <w:shd w:fill="FFFFFF"/>
            <w:tcMar>
              <w:top w:w="80" w:type="dxa"/>
              <w:bottom w:w="80" w:type="dxa"/>
              <w:left w:w="120" w:type="dxa"/>
              <w:right w:w="120" w:type="dxa"/>
            </w:tcMar>
          </w:tcPr>
          <w:p>
            <w:pPr>
              <w:spacing w:before="0" w:after="0"/>
              <w:jc w:val="center"/>
            </w:pPr>
            <w:r>
              <w:rPr>
                <w:rFonts w:ascii="Calibri" w:hAnsi="Calibri"/>
                <w:color w:val="2D3748"/>
                <w:sz w:val="18"/>
              </w:rPr>
              <w:t>🔴 Venta Discrecional</w:t>
            </w:r>
          </w:p>
        </w:tc>
        <w:tc>
          <w:tcPr>
            <w:tcW w:type="dxa" w:w="1296"/>
            <w:shd w:fill="FFFFFF"/>
            <w:tcMar>
              <w:top w:w="80" w:type="dxa"/>
              <w:bottom w:w="80" w:type="dxa"/>
              <w:left w:w="120" w:type="dxa"/>
              <w:right w:w="120" w:type="dxa"/>
            </w:tcMar>
          </w:tcPr>
          <w:p>
            <w:pPr>
              <w:spacing w:before="0" w:after="0"/>
              <w:jc w:val="right"/>
            </w:pPr>
            <w:r>
              <w:rPr>
                <w:rFonts w:ascii="Calibri" w:hAnsi="Calibri"/>
                <w:color w:val="2D3748"/>
                <w:sz w:val="18"/>
              </w:rPr>
              <w:t>-300,000</w:t>
            </w:r>
          </w:p>
        </w:tc>
        <w:tc>
          <w:tcPr>
            <w:tcW w:type="dxa" w:w="1440"/>
            <w:shd w:fill="FFFFFF"/>
            <w:tcMar>
              <w:top w:w="80" w:type="dxa"/>
              <w:bottom w:w="80" w:type="dxa"/>
              <w:left w:w="120" w:type="dxa"/>
              <w:right w:w="120" w:type="dxa"/>
            </w:tcMar>
          </w:tcPr>
          <w:p>
            <w:pPr>
              <w:spacing w:before="0" w:after="0"/>
              <w:jc w:val="right"/>
            </w:pPr>
            <w:r>
              <w:rPr>
                <w:rFonts w:ascii="Calibri" w:hAnsi="Calibri"/>
                <w:color w:val="2D3748"/>
                <w:sz w:val="18"/>
              </w:rPr>
              <w:t>-$86,740,722</w:t>
            </w:r>
          </w:p>
        </w:tc>
        <w:tc>
          <w:tcPr>
            <w:tcW w:type="dxa" w:w="1296"/>
            <w:shd w:fill="FFFFFF"/>
            <w:tcMar>
              <w:top w:w="80" w:type="dxa"/>
              <w:bottom w:w="80" w:type="dxa"/>
              <w:left w:w="120" w:type="dxa"/>
              <w:right w:w="120" w:type="dxa"/>
            </w:tcMar>
          </w:tcPr>
          <w:p>
            <w:pPr>
              <w:spacing w:before="0" w:after="0"/>
              <w:jc w:val="center"/>
            </w:pPr>
            <w:r>
              <w:rPr>
                <w:rFonts w:ascii="Calibri" w:hAnsi="Calibri"/>
                <w:color w:val="2D3748"/>
                <w:sz w:val="18"/>
              </w:rPr>
              <w:t>Form 144 (May) ➔ Form 4</w:t>
            </w:r>
          </w:p>
        </w:tc>
        <w:tc>
          <w:tcPr>
            <w:tcW w:type="dxa" w:w="1584"/>
            <w:shd w:fill="FFFFFF"/>
            <w:tcMar>
              <w:top w:w="80" w:type="dxa"/>
              <w:bottom w:w="80" w:type="dxa"/>
              <w:left w:w="120" w:type="dxa"/>
              <w:right w:w="120" w:type="dxa"/>
            </w:tcMar>
          </w:tcPr>
          <w:p>
            <w:pPr>
              <w:spacing w:before="0" w:after="0"/>
              <w:jc w:val="left"/>
            </w:pPr>
            <w:r>
              <w:rPr>
                <w:rFonts w:ascii="Calibri" w:hAnsi="Calibri"/>
                <w:color w:val="2D3748"/>
                <w:sz w:val="18"/>
              </w:rPr>
              <w:t>Toma de beneficios voluntaria en máximos históricos. No utilizó plan 10b5-1.</w:t>
            </w:r>
          </w:p>
        </w:tc>
      </w:tr>
      <w:tr>
        <w:tc>
          <w:tcPr>
            <w:tcW w:type="dxa" w:w="2160"/>
            <w:shd w:fill="F7FAFC"/>
            <w:tcMar>
              <w:top w:w="80" w:type="dxa"/>
              <w:bottom w:w="80" w:type="dxa"/>
              <w:left w:w="120" w:type="dxa"/>
              <w:right w:w="120" w:type="dxa"/>
            </w:tcMar>
          </w:tcPr>
          <w:p>
            <w:pPr>
              <w:spacing w:before="0" w:after="0"/>
              <w:jc w:val="left"/>
            </w:pPr>
            <w:r>
              <w:rPr>
                <w:rFonts w:ascii="Calibri" w:hAnsi="Calibri"/>
                <w:color w:val="2D3748"/>
                <w:sz w:val="18"/>
              </w:rPr>
              <w:t>Deirdre O'Brien</w:t>
              <w:br/>
              <w:t>(Senior Vice President)</w:t>
            </w:r>
          </w:p>
        </w:tc>
        <w:tc>
          <w:tcPr>
            <w:tcW w:type="dxa" w:w="2016"/>
            <w:shd w:fill="F7FAFC"/>
            <w:tcMar>
              <w:top w:w="80" w:type="dxa"/>
              <w:bottom w:w="80" w:type="dxa"/>
              <w:left w:w="120" w:type="dxa"/>
              <w:right w:w="120" w:type="dxa"/>
            </w:tcMar>
          </w:tcPr>
          <w:p>
            <w:pPr>
              <w:spacing w:before="0" w:after="0"/>
              <w:jc w:val="center"/>
            </w:pPr>
            <w:r>
              <w:rPr>
                <w:rFonts w:ascii="Calibri" w:hAnsi="Calibri"/>
                <w:color w:val="2D3748"/>
                <w:sz w:val="18"/>
              </w:rPr>
              <w:t>🟢 Venta Automática (Plan 10b5-1)</w:t>
            </w:r>
          </w:p>
        </w:tc>
        <w:tc>
          <w:tcPr>
            <w:tcW w:type="dxa" w:w="1296"/>
            <w:shd w:fill="F7FAFC"/>
            <w:tcMar>
              <w:top w:w="80" w:type="dxa"/>
              <w:bottom w:w="80" w:type="dxa"/>
              <w:left w:w="120" w:type="dxa"/>
              <w:right w:w="120" w:type="dxa"/>
            </w:tcMar>
          </w:tcPr>
          <w:p>
            <w:pPr>
              <w:spacing w:before="0" w:after="0"/>
              <w:jc w:val="right"/>
            </w:pPr>
            <w:r>
              <w:rPr>
                <w:rFonts w:ascii="Calibri" w:hAnsi="Calibri"/>
                <w:color w:val="2D3748"/>
                <w:sz w:val="18"/>
              </w:rPr>
              <w:t>-73,015</w:t>
            </w:r>
          </w:p>
        </w:tc>
        <w:tc>
          <w:tcPr>
            <w:tcW w:type="dxa" w:w="1440"/>
            <w:shd w:fill="F7FAFC"/>
            <w:tcMar>
              <w:top w:w="80" w:type="dxa"/>
              <w:bottom w:w="80" w:type="dxa"/>
              <w:left w:w="120" w:type="dxa"/>
              <w:right w:w="120" w:type="dxa"/>
            </w:tcMar>
          </w:tcPr>
          <w:p>
            <w:pPr>
              <w:spacing w:before="0" w:after="0"/>
              <w:jc w:val="right"/>
            </w:pPr>
            <w:r>
              <w:rPr>
                <w:rFonts w:ascii="Calibri" w:hAnsi="Calibri"/>
                <w:color w:val="2D3748"/>
                <w:sz w:val="18"/>
              </w:rPr>
              <w:t>-$18,731,954</w:t>
            </w:r>
          </w:p>
        </w:tc>
        <w:tc>
          <w:tcPr>
            <w:tcW w:type="dxa" w:w="1296"/>
            <w:shd w:fill="F7FAFC"/>
            <w:tcMar>
              <w:top w:w="80" w:type="dxa"/>
              <w:bottom w:w="80" w:type="dxa"/>
              <w:left w:w="120" w:type="dxa"/>
              <w:right w:w="120" w:type="dxa"/>
            </w:tcMar>
          </w:tcPr>
          <w:p>
            <w:pPr>
              <w:spacing w:before="0" w:after="0"/>
              <w:jc w:val="center"/>
            </w:pPr>
            <w:r>
              <w:rPr>
                <w:rFonts w:ascii="Calibri" w:hAnsi="Calibri"/>
                <w:color w:val="2D3748"/>
                <w:sz w:val="18"/>
              </w:rPr>
              <w:t>Form 144 (Abr) ➔ Form 4</w:t>
            </w:r>
          </w:p>
        </w:tc>
        <w:tc>
          <w:tcPr>
            <w:tcW w:type="dxa" w:w="1584"/>
            <w:shd w:fill="F7FAFC"/>
            <w:tcMar>
              <w:top w:w="80" w:type="dxa"/>
              <w:bottom w:w="80" w:type="dxa"/>
              <w:left w:w="120" w:type="dxa"/>
              <w:right w:w="120" w:type="dxa"/>
            </w:tcMar>
          </w:tcPr>
          <w:p>
            <w:pPr>
              <w:spacing w:before="0" w:after="0"/>
              <w:jc w:val="left"/>
            </w:pPr>
            <w:r>
              <w:rPr>
                <w:rFonts w:ascii="Calibri" w:hAnsi="Calibri"/>
                <w:color w:val="2D3748"/>
                <w:sz w:val="18"/>
              </w:rPr>
              <w:t>Venta 100% ciega y programada; ejecución rutinaria de opciones sobre acciones.</w:t>
            </w:r>
          </w:p>
        </w:tc>
      </w:tr>
      <w:tr>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Katherine L. Adams</w:t>
              <w:br/>
              <w:t>(SVP &amp; General Counsel)</w:t>
            </w:r>
          </w:p>
        </w:tc>
        <w:tc>
          <w:tcPr>
            <w:tcW w:type="dxa" w:w="2016"/>
            <w:shd w:fill="FFFFFF"/>
            <w:tcMar>
              <w:top w:w="80" w:type="dxa"/>
              <w:bottom w:w="80" w:type="dxa"/>
              <w:left w:w="120" w:type="dxa"/>
              <w:right w:w="120" w:type="dxa"/>
            </w:tcMar>
          </w:tcPr>
          <w:p>
            <w:pPr>
              <w:spacing w:before="0" w:after="0"/>
              <w:jc w:val="center"/>
            </w:pPr>
            <w:r>
              <w:rPr>
                <w:rFonts w:ascii="Calibri" w:hAnsi="Calibri"/>
                <w:color w:val="2D3748"/>
                <w:sz w:val="18"/>
              </w:rPr>
              <w:t>🟡 Venta Mixta / Retención</w:t>
            </w:r>
          </w:p>
        </w:tc>
        <w:tc>
          <w:tcPr>
            <w:tcW w:type="dxa" w:w="1296"/>
            <w:shd w:fill="FFFFFF"/>
            <w:tcMar>
              <w:top w:w="80" w:type="dxa"/>
              <w:bottom w:w="80" w:type="dxa"/>
              <w:left w:w="120" w:type="dxa"/>
              <w:right w:w="120" w:type="dxa"/>
            </w:tcMar>
          </w:tcPr>
          <w:p>
            <w:pPr>
              <w:spacing w:before="0" w:after="0"/>
              <w:jc w:val="right"/>
            </w:pPr>
            <w:r>
              <w:rPr>
                <w:rFonts w:ascii="Calibri" w:hAnsi="Calibri"/>
                <w:color w:val="2D3748"/>
                <w:sz w:val="18"/>
              </w:rPr>
              <w:t>-47,125</w:t>
            </w:r>
          </w:p>
        </w:tc>
        <w:tc>
          <w:tcPr>
            <w:tcW w:type="dxa" w:w="1440"/>
            <w:shd w:fill="FFFFFF"/>
            <w:tcMar>
              <w:top w:w="80" w:type="dxa"/>
              <w:bottom w:w="80" w:type="dxa"/>
              <w:left w:w="120" w:type="dxa"/>
              <w:right w:w="120" w:type="dxa"/>
            </w:tcMar>
          </w:tcPr>
          <w:p>
            <w:pPr>
              <w:spacing w:before="0" w:after="0"/>
              <w:jc w:val="right"/>
            </w:pPr>
            <w:r>
              <w:rPr>
                <w:rFonts w:ascii="Calibri" w:hAnsi="Calibri"/>
                <w:color w:val="2D3748"/>
                <w:sz w:val="18"/>
              </w:rPr>
              <w:t>-$12,101,154</w:t>
            </w:r>
          </w:p>
        </w:tc>
        <w:tc>
          <w:tcPr>
            <w:tcW w:type="dxa" w:w="1296"/>
            <w:shd w:fill="FFFFFF"/>
            <w:tcMar>
              <w:top w:w="80" w:type="dxa"/>
              <w:bottom w:w="80" w:type="dxa"/>
              <w:left w:w="120" w:type="dxa"/>
              <w:right w:w="120" w:type="dxa"/>
            </w:tcMar>
          </w:tcPr>
          <w:p>
            <w:pPr>
              <w:spacing w:before="0" w:after="0"/>
              <w:jc w:val="center"/>
            </w:pPr>
            <w:r>
              <w:rPr>
                <w:rFonts w:ascii="Calibri" w:hAnsi="Calibri"/>
                <w:color w:val="2D3748"/>
                <w:sz w:val="18"/>
              </w:rPr>
              <w:t>Form 144 (May) ➔ Form 4</w:t>
            </w:r>
          </w:p>
        </w:tc>
        <w:tc>
          <w:tcPr>
            <w:tcW w:type="dxa" w:w="1584"/>
            <w:shd w:fill="FFFFFF"/>
            <w:tcMar>
              <w:top w:w="80" w:type="dxa"/>
              <w:bottom w:w="80" w:type="dxa"/>
              <w:left w:w="120" w:type="dxa"/>
              <w:right w:w="120" w:type="dxa"/>
            </w:tcMar>
          </w:tcPr>
          <w:p>
            <w:pPr>
              <w:spacing w:before="0" w:after="0"/>
              <w:jc w:val="left"/>
            </w:pPr>
            <w:r>
              <w:rPr>
                <w:rFonts w:ascii="Calibri" w:hAnsi="Calibri"/>
                <w:color w:val="2D3748"/>
                <w:sz w:val="18"/>
              </w:rPr>
              <w:t>Desinversión parcial tras vencimiento de RSUs y cobertura fiscal.</w:t>
            </w:r>
          </w:p>
        </w:tc>
      </w:tr>
      <w:tr>
        <w:tc>
          <w:tcPr>
            <w:tcW w:type="dxa" w:w="2160"/>
            <w:shd w:fill="F7FAFC"/>
            <w:tcMar>
              <w:top w:w="80" w:type="dxa"/>
              <w:bottom w:w="80" w:type="dxa"/>
              <w:left w:w="120" w:type="dxa"/>
              <w:right w:w="120" w:type="dxa"/>
            </w:tcMar>
          </w:tcPr>
          <w:p>
            <w:pPr>
              <w:spacing w:before="0" w:after="0"/>
              <w:jc w:val="left"/>
            </w:pPr>
            <w:r>
              <w:rPr>
                <w:rFonts w:ascii="Calibri" w:hAnsi="Calibri"/>
                <w:color w:val="2D3748"/>
                <w:sz w:val="18"/>
              </w:rPr>
              <w:t>Jennifer Newstead</w:t>
              <w:br/>
              <w:t>(SVP Government Affairs)</w:t>
            </w:r>
          </w:p>
        </w:tc>
        <w:tc>
          <w:tcPr>
            <w:tcW w:type="dxa" w:w="2016"/>
            <w:shd w:fill="F7FAFC"/>
            <w:tcMar>
              <w:top w:w="80" w:type="dxa"/>
              <w:bottom w:w="80" w:type="dxa"/>
              <w:left w:w="120" w:type="dxa"/>
              <w:right w:w="120" w:type="dxa"/>
            </w:tcMar>
          </w:tcPr>
          <w:p>
            <w:pPr>
              <w:spacing w:before="0" w:after="0"/>
              <w:jc w:val="center"/>
            </w:pPr>
            <w:r>
              <w:rPr>
                <w:rFonts w:ascii="Calibri" w:hAnsi="Calibri"/>
                <w:color w:val="2D3748"/>
                <w:sz w:val="18"/>
              </w:rPr>
              <w:t>🟢 Venta Automática (Plan 10b5-1)</w:t>
            </w:r>
          </w:p>
        </w:tc>
        <w:tc>
          <w:tcPr>
            <w:tcW w:type="dxa" w:w="1296"/>
            <w:shd w:fill="F7FAFC"/>
            <w:tcMar>
              <w:top w:w="80" w:type="dxa"/>
              <w:bottom w:w="80" w:type="dxa"/>
              <w:left w:w="120" w:type="dxa"/>
              <w:right w:w="120" w:type="dxa"/>
            </w:tcMar>
          </w:tcPr>
          <w:p>
            <w:pPr>
              <w:spacing w:before="0" w:after="0"/>
              <w:jc w:val="right"/>
            </w:pPr>
            <w:r>
              <w:rPr>
                <w:rFonts w:ascii="Calibri" w:hAnsi="Calibri"/>
                <w:color w:val="2D3748"/>
                <w:sz w:val="18"/>
              </w:rPr>
              <w:t>-7,194</w:t>
            </w:r>
          </w:p>
        </w:tc>
        <w:tc>
          <w:tcPr>
            <w:tcW w:type="dxa" w:w="1440"/>
            <w:shd w:fill="F7FAFC"/>
            <w:tcMar>
              <w:top w:w="80" w:type="dxa"/>
              <w:bottom w:w="80" w:type="dxa"/>
              <w:left w:w="120" w:type="dxa"/>
              <w:right w:w="120" w:type="dxa"/>
            </w:tcMar>
          </w:tcPr>
          <w:p>
            <w:pPr>
              <w:spacing w:before="0" w:after="0"/>
              <w:jc w:val="right"/>
            </w:pPr>
            <w:r>
              <w:rPr>
                <w:rFonts w:ascii="Calibri" w:hAnsi="Calibri"/>
                <w:color w:val="2D3748"/>
                <w:sz w:val="18"/>
              </w:rPr>
              <w:t>-$2,245,142</w:t>
            </w:r>
          </w:p>
        </w:tc>
        <w:tc>
          <w:tcPr>
            <w:tcW w:type="dxa" w:w="1296"/>
            <w:shd w:fill="F7FAFC"/>
            <w:tcMar>
              <w:top w:w="80" w:type="dxa"/>
              <w:bottom w:w="80" w:type="dxa"/>
              <w:left w:w="120" w:type="dxa"/>
              <w:right w:w="120" w:type="dxa"/>
            </w:tcMar>
          </w:tcPr>
          <w:p>
            <w:pPr>
              <w:spacing w:before="0" w:after="0"/>
              <w:jc w:val="center"/>
            </w:pPr>
            <w:r>
              <w:rPr>
                <w:rFonts w:ascii="Calibri" w:hAnsi="Calibri"/>
                <w:color w:val="2D3748"/>
                <w:sz w:val="18"/>
              </w:rPr>
              <w:t>Form 144 (Ago) ➔ Form 4</w:t>
            </w:r>
          </w:p>
        </w:tc>
        <w:tc>
          <w:tcPr>
            <w:tcW w:type="dxa" w:w="1584"/>
            <w:shd w:fill="F7FAFC"/>
            <w:tcMar>
              <w:top w:w="80" w:type="dxa"/>
              <w:bottom w:w="80" w:type="dxa"/>
              <w:left w:w="120" w:type="dxa"/>
              <w:right w:w="120" w:type="dxa"/>
            </w:tcMar>
          </w:tcPr>
          <w:p>
            <w:pPr>
              <w:spacing w:before="0" w:after="0"/>
              <w:jc w:val="left"/>
            </w:pPr>
            <w:r>
              <w:rPr>
                <w:rFonts w:ascii="Calibri" w:hAnsi="Calibri"/>
                <w:color w:val="2D3748"/>
                <w:sz w:val="18"/>
              </w:rPr>
              <w:t>Venta menor rutinaria y programada bajo plan preestablecido.</w:t>
            </w:r>
          </w:p>
        </w:tc>
      </w:tr>
      <w:tr>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Kevan Parekh</w:t>
              <w:br/>
              <w:t>(Senior VP &amp; CFO)</w:t>
            </w:r>
          </w:p>
        </w:tc>
        <w:tc>
          <w:tcPr>
            <w:tcW w:type="dxa" w:w="2016"/>
            <w:shd w:fill="FFFFFF"/>
            <w:tcMar>
              <w:top w:w="80" w:type="dxa"/>
              <w:bottom w:w="80" w:type="dxa"/>
              <w:left w:w="120" w:type="dxa"/>
              <w:right w:w="120" w:type="dxa"/>
            </w:tcMar>
          </w:tcPr>
          <w:p>
            <w:pPr>
              <w:spacing w:before="0" w:after="0"/>
              <w:jc w:val="center"/>
            </w:pPr>
            <w:r>
              <w:rPr>
                <w:rFonts w:ascii="Calibri" w:hAnsi="Calibri"/>
                <w:color w:val="2D3748"/>
                <w:sz w:val="18"/>
              </w:rPr>
              <w:t>🟢 Venta Automática (Plan 10b5-1)</w:t>
            </w:r>
          </w:p>
        </w:tc>
        <w:tc>
          <w:tcPr>
            <w:tcW w:type="dxa" w:w="1296"/>
            <w:shd w:fill="FFFFFF"/>
            <w:tcMar>
              <w:top w:w="80" w:type="dxa"/>
              <w:bottom w:w="80" w:type="dxa"/>
              <w:left w:w="120" w:type="dxa"/>
              <w:right w:w="120" w:type="dxa"/>
            </w:tcMar>
          </w:tcPr>
          <w:p>
            <w:pPr>
              <w:spacing w:before="0" w:after="0"/>
              <w:jc w:val="right"/>
            </w:pPr>
            <w:r>
              <w:rPr>
                <w:rFonts w:ascii="Calibri" w:hAnsi="Calibri"/>
                <w:color w:val="2D3748"/>
                <w:sz w:val="18"/>
              </w:rPr>
              <w:t>-5,733</w:t>
            </w:r>
          </w:p>
        </w:tc>
        <w:tc>
          <w:tcPr>
            <w:tcW w:type="dxa" w:w="1440"/>
            <w:shd w:fill="FFFFFF"/>
            <w:tcMar>
              <w:top w:w="80" w:type="dxa"/>
              <w:bottom w:w="80" w:type="dxa"/>
              <w:left w:w="120" w:type="dxa"/>
              <w:right w:w="120" w:type="dxa"/>
            </w:tcMar>
          </w:tcPr>
          <w:p>
            <w:pPr>
              <w:spacing w:before="0" w:after="0"/>
              <w:jc w:val="right"/>
            </w:pPr>
            <w:r>
              <w:rPr>
                <w:rFonts w:ascii="Calibri" w:hAnsi="Calibri"/>
                <w:color w:val="2D3748"/>
                <w:sz w:val="18"/>
              </w:rPr>
              <w:t>-$1,460,637</w:t>
            </w:r>
          </w:p>
        </w:tc>
        <w:tc>
          <w:tcPr>
            <w:tcW w:type="dxa" w:w="1296"/>
            <w:shd w:fill="FFFFFF"/>
            <w:tcMar>
              <w:top w:w="80" w:type="dxa"/>
              <w:bottom w:w="80" w:type="dxa"/>
              <w:left w:w="120" w:type="dxa"/>
              <w:right w:w="120" w:type="dxa"/>
            </w:tcMar>
          </w:tcPr>
          <w:p>
            <w:pPr>
              <w:spacing w:before="0" w:after="0"/>
              <w:jc w:val="center"/>
            </w:pPr>
            <w:r>
              <w:rPr>
                <w:rFonts w:ascii="Calibri" w:hAnsi="Calibri"/>
                <w:color w:val="2D3748"/>
                <w:sz w:val="18"/>
              </w:rPr>
              <w:t>Form 144 (Abr) ➔ Form 4</w:t>
            </w:r>
          </w:p>
        </w:tc>
        <w:tc>
          <w:tcPr>
            <w:tcW w:type="dxa" w:w="1584"/>
            <w:shd w:fill="FFFFFF"/>
            <w:tcMar>
              <w:top w:w="80" w:type="dxa"/>
              <w:bottom w:w="80" w:type="dxa"/>
              <w:left w:w="120" w:type="dxa"/>
              <w:right w:w="120" w:type="dxa"/>
            </w:tcMar>
          </w:tcPr>
          <w:p>
            <w:pPr>
              <w:spacing w:before="0" w:after="0"/>
              <w:jc w:val="left"/>
            </w:pPr>
            <w:r>
              <w:rPr>
                <w:rFonts w:ascii="Calibri" w:hAnsi="Calibri"/>
                <w:color w:val="2D3748"/>
                <w:sz w:val="18"/>
              </w:rPr>
              <w:t>Venta menor de diversificación personal del nuevo director financiero.</w:t>
            </w:r>
          </w:p>
        </w:tc>
      </w:tr>
    </w:tbl>
    <w:p>
      <w:pPr>
        <w:spacing w:after="120"/>
      </w:pPr>
    </w:p>
    <w:p>
      <w:pPr>
        <w:spacing w:before="40" w:after="80" w:line="276" w:lineRule="auto"/>
      </w:pPr>
      <w:r>
        <w:rPr>
          <w:rFonts w:ascii="Calibri" w:hAnsi="Calibri"/>
          <w:b/>
          <w:color w:val="2D3748"/>
          <w:sz w:val="20"/>
        </w:rPr>
        <w:t xml:space="preserve">• Dictamen de Convicción Interna: </w:t>
      </w:r>
      <w:r>
        <w:rPr>
          <w:rFonts w:ascii="Calibri" w:hAnsi="Calibri"/>
          <w:i w:val="0"/>
          <w:color w:val="2D3748"/>
          <w:sz w:val="20"/>
        </w:rPr>
        <w:t>El equipo operativo directo (CEO, CFO y Vicepresidentes Sénior) opera con una disciplina institucional del 100% bajo planes preprogramados Rule 10b5-1, descartando cualquier arbitraje con información no pública. La única presión vendedora discrecional provino del Presidente del Consejo (Arthur Levinson), con $86.7M en toma de beneficios de acciones acumuladas históricamente.</w:t>
      </w:r>
    </w:p>
    <w:p>
      <w:pPr>
        <w:keepNext/>
        <w:spacing w:before="200" w:after="80"/>
      </w:pPr>
      <w:r>
        <w:rPr>
          <w:rFonts w:ascii="Calibri" w:hAnsi="Calibri"/>
          <w:b/>
          <w:color w:val="4A5568"/>
          <w:sz w:val="22"/>
        </w:rPr>
        <w:t>8.3. Cuadro de Mando y Calificación Global de Gobernanza</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2448"/>
        <w:gridCol w:w="2448"/>
        <w:gridCol w:w="2448"/>
        <w:gridCol w:w="2448"/>
      </w:tblGrid>
      <w:tr>
        <w:tc>
          <w:tcPr>
            <w:tcW w:type="dxa" w:w="2592"/>
            <w:shd w:fill="1B365D"/>
            <w:tcMar>
              <w:top w:w="100" w:type="dxa"/>
              <w:bottom w:w="100" w:type="dxa"/>
              <w:left w:w="120" w:type="dxa"/>
              <w:right w:w="120" w:type="dxa"/>
            </w:tcMar>
          </w:tcPr>
          <w:p>
            <w:pPr>
              <w:spacing w:before="0" w:after="0"/>
              <w:jc w:val="left"/>
            </w:pPr>
            <w:r>
              <w:rPr>
                <w:rFonts w:ascii="Calibri" w:hAnsi="Calibri"/>
                <w:b/>
                <w:color w:val="FFFFFF"/>
                <w:sz w:val="19"/>
              </w:rPr>
              <w:t>Dimensión de Gobernanza</w:t>
            </w:r>
          </w:p>
        </w:tc>
        <w:tc>
          <w:tcPr>
            <w:tcW w:type="dxa" w:w="2016"/>
            <w:shd w:fill="1B365D"/>
            <w:tcMar>
              <w:top w:w="100" w:type="dxa"/>
              <w:bottom w:w="100" w:type="dxa"/>
              <w:left w:w="120" w:type="dxa"/>
              <w:right w:w="120" w:type="dxa"/>
            </w:tcMar>
          </w:tcPr>
          <w:p>
            <w:pPr>
              <w:spacing w:before="0" w:after="0"/>
              <w:jc w:val="left"/>
            </w:pPr>
            <w:r>
              <w:rPr>
                <w:rFonts w:ascii="Calibri" w:hAnsi="Calibri"/>
                <w:b/>
                <w:color w:val="FFFFFF"/>
                <w:sz w:val="19"/>
              </w:rPr>
              <w:t>Resultado Detectado</w:t>
            </w:r>
          </w:p>
        </w:tc>
        <w:tc>
          <w:tcPr>
            <w:tcW w:type="dxa" w:w="2016"/>
            <w:shd w:fill="1B365D"/>
            <w:tcMar>
              <w:top w:w="100" w:type="dxa"/>
              <w:bottom w:w="100" w:type="dxa"/>
              <w:left w:w="120" w:type="dxa"/>
              <w:right w:w="120" w:type="dxa"/>
            </w:tcMar>
          </w:tcPr>
          <w:p>
            <w:pPr>
              <w:spacing w:before="0" w:after="0"/>
              <w:jc w:val="center"/>
            </w:pPr>
            <w:r>
              <w:rPr>
                <w:rFonts w:ascii="Calibri" w:hAnsi="Calibri"/>
                <w:b/>
                <w:color w:val="FFFFFF"/>
                <w:sz w:val="19"/>
              </w:rPr>
              <w:t>Calificación / Semáforo</w:t>
            </w:r>
          </w:p>
        </w:tc>
        <w:tc>
          <w:tcPr>
            <w:tcW w:type="dxa" w:w="3168"/>
            <w:shd w:fill="1B365D"/>
            <w:tcMar>
              <w:top w:w="100" w:type="dxa"/>
              <w:bottom w:w="100" w:type="dxa"/>
              <w:left w:w="120" w:type="dxa"/>
              <w:right w:w="120" w:type="dxa"/>
            </w:tcMar>
          </w:tcPr>
          <w:p>
            <w:pPr>
              <w:spacing w:before="0" w:after="0"/>
              <w:jc w:val="left"/>
            </w:pPr>
            <w:r>
              <w:rPr>
                <w:rFonts w:ascii="Calibri" w:hAnsi="Calibri"/>
                <w:b/>
                <w:color w:val="FFFFFF"/>
                <w:sz w:val="19"/>
              </w:rPr>
              <w:t>Diagnóstico para el Accionista</w:t>
            </w:r>
          </w:p>
        </w:tc>
      </w:tr>
      <w:tr>
        <w:tc>
          <w:tcPr>
            <w:tcW w:type="dxa" w:w="2592"/>
            <w:shd w:fill="FFFFFF"/>
            <w:tcMar>
              <w:top w:w="80" w:type="dxa"/>
              <w:bottom w:w="80" w:type="dxa"/>
              <w:left w:w="120" w:type="dxa"/>
              <w:right w:w="120" w:type="dxa"/>
            </w:tcMar>
          </w:tcPr>
          <w:p>
            <w:pPr>
              <w:spacing w:before="0" w:after="0"/>
              <w:jc w:val="left"/>
            </w:pPr>
            <w:r>
              <w:rPr>
                <w:rFonts w:ascii="Calibri" w:hAnsi="Calibri"/>
                <w:color w:val="2D3748"/>
                <w:sz w:val="18"/>
              </w:rPr>
              <w:t>Puntuación Global de Gobernanza</w:t>
            </w:r>
          </w:p>
        </w:tc>
        <w:tc>
          <w:tcPr>
            <w:tcW w:type="dxa" w:w="2016"/>
            <w:shd w:fill="FFFFFF"/>
            <w:tcMar>
              <w:top w:w="80" w:type="dxa"/>
              <w:bottom w:w="80" w:type="dxa"/>
              <w:left w:w="120" w:type="dxa"/>
              <w:right w:w="120" w:type="dxa"/>
            </w:tcMar>
          </w:tcPr>
          <w:p>
            <w:pPr>
              <w:spacing w:before="0" w:after="0"/>
              <w:jc w:val="left"/>
            </w:pPr>
            <w:r>
              <w:rPr>
                <w:rFonts w:ascii="Calibri" w:hAnsi="Calibri"/>
                <w:color w:val="2D3748"/>
                <w:sz w:val="18"/>
              </w:rPr>
              <w:t>SÓLIDA / BAJO RIESGO</w:t>
            </w:r>
          </w:p>
        </w:tc>
        <w:tc>
          <w:tcPr>
            <w:tcW w:type="dxa" w:w="2016"/>
            <w:shd w:fill="FFFFFF"/>
            <w:tcMar>
              <w:top w:w="80" w:type="dxa"/>
              <w:bottom w:w="80" w:type="dxa"/>
              <w:left w:w="120" w:type="dxa"/>
              <w:right w:w="120" w:type="dxa"/>
            </w:tcMar>
          </w:tcPr>
          <w:p>
            <w:pPr>
              <w:spacing w:before="0" w:after="0"/>
              <w:jc w:val="center"/>
            </w:pPr>
            <w:r>
              <w:rPr>
                <w:rFonts w:ascii="Calibri" w:hAnsi="Calibri"/>
                <w:color w:val="2D3748"/>
                <w:sz w:val="18"/>
              </w:rPr>
              <w:t>85 / 100</w:t>
            </w:r>
          </w:p>
        </w:tc>
        <w:tc>
          <w:tcPr>
            <w:tcW w:type="dxa" w:w="3168"/>
            <w:shd w:fill="FFFFFF"/>
            <w:tcMar>
              <w:top w:w="80" w:type="dxa"/>
              <w:bottom w:w="80" w:type="dxa"/>
              <w:left w:w="120" w:type="dxa"/>
              <w:right w:w="120" w:type="dxa"/>
            </w:tcMar>
          </w:tcPr>
          <w:p>
            <w:pPr>
              <w:spacing w:before="0" w:after="0"/>
              <w:jc w:val="left"/>
            </w:pPr>
            <w:r>
              <w:rPr>
                <w:rFonts w:ascii="Calibri" w:hAnsi="Calibri"/>
                <w:color w:val="2D3748"/>
                <w:sz w:val="18"/>
              </w:rPr>
              <w:t>Controles contables limpios, sucesión ordenada y alta transparencia informativa.</w:t>
            </w:r>
          </w:p>
        </w:tc>
      </w:tr>
      <w:tr>
        <w:tc>
          <w:tcPr>
            <w:tcW w:type="dxa" w:w="2592"/>
            <w:shd w:fill="F7FAFC"/>
            <w:tcMar>
              <w:top w:w="80" w:type="dxa"/>
              <w:bottom w:w="80" w:type="dxa"/>
              <w:left w:w="120" w:type="dxa"/>
              <w:right w:w="120" w:type="dxa"/>
            </w:tcMar>
          </w:tcPr>
          <w:p>
            <w:pPr>
              <w:spacing w:before="0" w:after="0"/>
              <w:jc w:val="left"/>
            </w:pPr>
            <w:r>
              <w:rPr>
                <w:rFonts w:ascii="Calibri" w:hAnsi="Calibri"/>
                <w:color w:val="2D3748"/>
                <w:sz w:val="18"/>
              </w:rPr>
              <w:t>Auditoría Externa (PwC)</w:t>
            </w:r>
          </w:p>
        </w:tc>
        <w:tc>
          <w:tcPr>
            <w:tcW w:type="dxa" w:w="2016"/>
            <w:shd w:fill="F7FAFC"/>
            <w:tcMar>
              <w:top w:w="80" w:type="dxa"/>
              <w:bottom w:w="80" w:type="dxa"/>
              <w:left w:w="120" w:type="dxa"/>
              <w:right w:w="120" w:type="dxa"/>
            </w:tcMar>
          </w:tcPr>
          <w:p>
            <w:pPr>
              <w:spacing w:before="0" w:after="0"/>
              <w:jc w:val="left"/>
            </w:pPr>
            <w:r>
              <w:rPr>
                <w:rFonts w:ascii="Calibri" w:hAnsi="Calibri"/>
                <w:color w:val="2D3748"/>
                <w:sz w:val="18"/>
              </w:rPr>
              <w:t>Más de 20 años de continuidad</w:t>
            </w:r>
          </w:p>
        </w:tc>
        <w:tc>
          <w:tcPr>
            <w:tcW w:type="dxa" w:w="2016"/>
            <w:shd w:fill="F7FAFC"/>
            <w:tcMar>
              <w:top w:w="80" w:type="dxa"/>
              <w:bottom w:w="80" w:type="dxa"/>
              <w:left w:w="120" w:type="dxa"/>
              <w:right w:w="120" w:type="dxa"/>
            </w:tcMar>
          </w:tcPr>
          <w:p>
            <w:pPr>
              <w:spacing w:before="0" w:after="0"/>
              <w:jc w:val="center"/>
            </w:pPr>
            <w:r>
              <w:rPr>
                <w:rFonts w:ascii="Calibri" w:hAnsi="Calibri"/>
                <w:color w:val="2D3748"/>
                <w:sz w:val="18"/>
              </w:rPr>
              <w:t>🟢 ESTABILIDAD TOTAL</w:t>
            </w:r>
          </w:p>
        </w:tc>
        <w:tc>
          <w:tcPr>
            <w:tcW w:type="dxa" w:w="3168"/>
            <w:shd w:fill="F7FAFC"/>
            <w:tcMar>
              <w:top w:w="80" w:type="dxa"/>
              <w:bottom w:w="80" w:type="dxa"/>
              <w:left w:w="120" w:type="dxa"/>
              <w:right w:w="120" w:type="dxa"/>
            </w:tcMar>
          </w:tcPr>
          <w:p>
            <w:pPr>
              <w:spacing w:before="0" w:after="0"/>
              <w:jc w:val="left"/>
            </w:pPr>
            <w:r>
              <w:rPr>
                <w:rFonts w:ascii="Calibri" w:hAnsi="Calibri"/>
                <w:color w:val="2D3748"/>
                <w:sz w:val="18"/>
              </w:rPr>
              <w:t>Sin salvedades ni discrepancias contables en informes históricos ante la SEC.</w:t>
            </w:r>
          </w:p>
        </w:tc>
      </w:tr>
      <w:tr>
        <w:tc>
          <w:tcPr>
            <w:tcW w:type="dxa" w:w="2592"/>
            <w:shd w:fill="FFFFFF"/>
            <w:tcMar>
              <w:top w:w="80" w:type="dxa"/>
              <w:bottom w:w="80" w:type="dxa"/>
              <w:left w:w="120" w:type="dxa"/>
              <w:right w:w="120" w:type="dxa"/>
            </w:tcMar>
          </w:tcPr>
          <w:p>
            <w:pPr>
              <w:spacing w:before="0" w:after="0"/>
              <w:jc w:val="left"/>
            </w:pPr>
            <w:r>
              <w:rPr>
                <w:rFonts w:ascii="Calibri" w:hAnsi="Calibri"/>
                <w:color w:val="2D3748"/>
                <w:sz w:val="18"/>
              </w:rPr>
              <w:t>Estructura del Consejo y Sucesión</w:t>
            </w:r>
          </w:p>
        </w:tc>
        <w:tc>
          <w:tcPr>
            <w:tcW w:type="dxa" w:w="2016"/>
            <w:shd w:fill="FFFFFF"/>
            <w:tcMar>
              <w:top w:w="80" w:type="dxa"/>
              <w:bottom w:w="80" w:type="dxa"/>
              <w:left w:w="120" w:type="dxa"/>
              <w:right w:w="120" w:type="dxa"/>
            </w:tcMar>
          </w:tcPr>
          <w:p>
            <w:pPr>
              <w:spacing w:before="0" w:after="0"/>
              <w:jc w:val="left"/>
            </w:pPr>
            <w:r>
              <w:rPr>
                <w:rFonts w:ascii="Calibri" w:hAnsi="Calibri"/>
                <w:color w:val="2D3748"/>
                <w:sz w:val="18"/>
              </w:rPr>
              <w:t>Relevo formalizado en Form 8-K</w:t>
            </w:r>
          </w:p>
        </w:tc>
        <w:tc>
          <w:tcPr>
            <w:tcW w:type="dxa" w:w="2016"/>
            <w:shd w:fill="FFFFFF"/>
            <w:tcMar>
              <w:top w:w="80" w:type="dxa"/>
              <w:bottom w:w="80" w:type="dxa"/>
              <w:left w:w="120" w:type="dxa"/>
              <w:right w:w="120" w:type="dxa"/>
            </w:tcMar>
          </w:tcPr>
          <w:p>
            <w:pPr>
              <w:spacing w:before="0" w:after="0"/>
              <w:jc w:val="center"/>
            </w:pPr>
            <w:r>
              <w:rPr>
                <w:rFonts w:ascii="Calibri" w:hAnsi="Calibri"/>
                <w:color w:val="2D3748"/>
                <w:sz w:val="18"/>
              </w:rPr>
              <w:t>🟢 CONTINUIDAD PROBADA</w:t>
            </w:r>
          </w:p>
        </w:tc>
        <w:tc>
          <w:tcPr>
            <w:tcW w:type="dxa" w:w="3168"/>
            <w:shd w:fill="FFFFFF"/>
            <w:tcMar>
              <w:top w:w="80" w:type="dxa"/>
              <w:bottom w:w="80" w:type="dxa"/>
              <w:left w:w="120" w:type="dxa"/>
              <w:right w:w="120" w:type="dxa"/>
            </w:tcMar>
          </w:tcPr>
          <w:p>
            <w:pPr>
              <w:spacing w:before="0" w:after="0"/>
              <w:jc w:val="left"/>
            </w:pPr>
            <w:r>
              <w:rPr>
                <w:rFonts w:ascii="Calibri" w:hAnsi="Calibri"/>
                <w:color w:val="2D3748"/>
                <w:sz w:val="18"/>
              </w:rPr>
              <w:t>Transición interna que mitiga el riesgo de choque cultural o giros estratégicos erráticos.</w:t>
            </w:r>
          </w:p>
        </w:tc>
      </w:tr>
      <w:tr>
        <w:tc>
          <w:tcPr>
            <w:tcW w:type="dxa" w:w="2592"/>
            <w:shd w:fill="F7FAFC"/>
            <w:tcMar>
              <w:top w:w="80" w:type="dxa"/>
              <w:bottom w:w="80" w:type="dxa"/>
              <w:left w:w="120" w:type="dxa"/>
              <w:right w:w="120" w:type="dxa"/>
            </w:tcMar>
          </w:tcPr>
          <w:p>
            <w:pPr>
              <w:spacing w:before="0" w:after="0"/>
              <w:jc w:val="left"/>
            </w:pPr>
            <w:r>
              <w:rPr>
                <w:rFonts w:ascii="Calibri" w:hAnsi="Calibri"/>
                <w:color w:val="2D3748"/>
                <w:sz w:val="18"/>
              </w:rPr>
              <w:t>Disciplina en Ventas de Insiders</w:t>
            </w:r>
          </w:p>
        </w:tc>
        <w:tc>
          <w:tcPr>
            <w:tcW w:type="dxa" w:w="2016"/>
            <w:shd w:fill="F7FAFC"/>
            <w:tcMar>
              <w:top w:w="80" w:type="dxa"/>
              <w:bottom w:w="80" w:type="dxa"/>
              <w:left w:w="120" w:type="dxa"/>
              <w:right w:w="120" w:type="dxa"/>
            </w:tcMar>
          </w:tcPr>
          <w:p>
            <w:pPr>
              <w:spacing w:before="0" w:after="0"/>
              <w:jc w:val="left"/>
            </w:pPr>
            <w:r>
              <w:rPr>
                <w:rFonts w:ascii="Calibri" w:hAnsi="Calibri"/>
                <w:color w:val="2D3748"/>
                <w:sz w:val="18"/>
              </w:rPr>
              <w:t>100% C-Suite en Planes 10b5-1</w:t>
            </w:r>
          </w:p>
        </w:tc>
        <w:tc>
          <w:tcPr>
            <w:tcW w:type="dxa" w:w="2016"/>
            <w:shd w:fill="F7FAFC"/>
            <w:tcMar>
              <w:top w:w="80" w:type="dxa"/>
              <w:bottom w:w="80" w:type="dxa"/>
              <w:left w:w="120" w:type="dxa"/>
              <w:right w:w="120" w:type="dxa"/>
            </w:tcMar>
          </w:tcPr>
          <w:p>
            <w:pPr>
              <w:spacing w:before="0" w:after="0"/>
              <w:jc w:val="center"/>
            </w:pPr>
            <w:r>
              <w:rPr>
                <w:rFonts w:ascii="Calibri" w:hAnsi="Calibri"/>
                <w:color w:val="2D3748"/>
                <w:sz w:val="18"/>
              </w:rPr>
              <w:t>🟢 ALTA PROTECCIÓN</w:t>
            </w:r>
          </w:p>
        </w:tc>
        <w:tc>
          <w:tcPr>
            <w:tcW w:type="dxa" w:w="3168"/>
            <w:shd w:fill="F7FAFC"/>
            <w:tcMar>
              <w:top w:w="80" w:type="dxa"/>
              <w:bottom w:w="80" w:type="dxa"/>
              <w:left w:w="120" w:type="dxa"/>
              <w:right w:w="120" w:type="dxa"/>
            </w:tcMar>
          </w:tcPr>
          <w:p>
            <w:pPr>
              <w:spacing w:before="0" w:after="0"/>
              <w:jc w:val="left"/>
            </w:pPr>
            <w:r>
              <w:rPr>
                <w:rFonts w:ascii="Calibri" w:hAnsi="Calibri"/>
                <w:color w:val="2D3748"/>
                <w:sz w:val="18"/>
              </w:rPr>
              <w:t>Prácticas impecables de cumplimiento normativo frente a acusaciones de insider trading.</w:t>
            </w:r>
          </w:p>
        </w:tc>
      </w:tr>
      <w:tr>
        <w:tc>
          <w:tcPr>
            <w:tcW w:type="dxa" w:w="2592"/>
            <w:shd w:fill="FFFFFF"/>
            <w:tcMar>
              <w:top w:w="80" w:type="dxa"/>
              <w:bottom w:w="80" w:type="dxa"/>
              <w:left w:w="120" w:type="dxa"/>
              <w:right w:w="120" w:type="dxa"/>
            </w:tcMar>
          </w:tcPr>
          <w:p>
            <w:pPr>
              <w:spacing w:before="0" w:after="0"/>
              <w:jc w:val="left"/>
            </w:pPr>
            <w:r>
              <w:rPr>
                <w:rFonts w:ascii="Calibri" w:hAnsi="Calibri"/>
                <w:color w:val="2D3748"/>
                <w:sz w:val="18"/>
              </w:rPr>
              <w:t>Compras en Mercado Abierto (Cod. P)</w:t>
            </w:r>
          </w:p>
        </w:tc>
        <w:tc>
          <w:tcPr>
            <w:tcW w:type="dxa" w:w="2016"/>
            <w:shd w:fill="FFFFFF"/>
            <w:tcMar>
              <w:top w:w="80" w:type="dxa"/>
              <w:bottom w:w="80" w:type="dxa"/>
              <w:left w:w="120" w:type="dxa"/>
              <w:right w:w="120" w:type="dxa"/>
            </w:tcMar>
          </w:tcPr>
          <w:p>
            <w:pPr>
              <w:spacing w:before="0" w:after="0"/>
              <w:jc w:val="left"/>
            </w:pPr>
            <w:r>
              <w:rPr>
                <w:rFonts w:ascii="Calibri" w:hAnsi="Calibri"/>
                <w:color w:val="2D3748"/>
                <w:sz w:val="18"/>
              </w:rPr>
              <w:t>$0.0 M con fondos propios</w:t>
            </w:r>
          </w:p>
        </w:tc>
        <w:tc>
          <w:tcPr>
            <w:tcW w:type="dxa" w:w="2016"/>
            <w:shd w:fill="FFFFFF"/>
            <w:tcMar>
              <w:top w:w="80" w:type="dxa"/>
              <w:bottom w:w="80" w:type="dxa"/>
              <w:left w:w="120" w:type="dxa"/>
              <w:right w:w="120" w:type="dxa"/>
            </w:tcMar>
          </w:tcPr>
          <w:p>
            <w:pPr>
              <w:spacing w:before="0" w:after="0"/>
              <w:jc w:val="center"/>
            </w:pPr>
            <w:r>
              <w:rPr>
                <w:rFonts w:ascii="Calibri" w:hAnsi="Calibri"/>
                <w:color w:val="2D3748"/>
                <w:sz w:val="18"/>
              </w:rPr>
              <w:t>⚪ NEUTRAL TÍPICO</w:t>
            </w:r>
          </w:p>
        </w:tc>
        <w:tc>
          <w:tcPr>
            <w:tcW w:type="dxa" w:w="3168"/>
            <w:shd w:fill="FFFFFF"/>
            <w:tcMar>
              <w:top w:w="80" w:type="dxa"/>
              <w:bottom w:w="80" w:type="dxa"/>
              <w:left w:w="120" w:type="dxa"/>
              <w:right w:w="120" w:type="dxa"/>
            </w:tcMar>
          </w:tcPr>
          <w:p>
            <w:pPr>
              <w:spacing w:before="0" w:after="0"/>
              <w:jc w:val="left"/>
            </w:pPr>
            <w:r>
              <w:rPr>
                <w:rFonts w:ascii="Calibri" w:hAnsi="Calibri"/>
                <w:color w:val="2D3748"/>
                <w:sz w:val="18"/>
              </w:rPr>
              <w:t>Estándar en mega-caps donde la remuneración directiva se realiza vía incentivos en acciones (RSUs).</w:t>
            </w:r>
          </w:p>
        </w:tc>
      </w:tr>
    </w:tbl>
    <w:p>
      <w:pPr>
        <w:spacing w:after="120"/>
      </w:pPr>
    </w:p>
    <w:p>
      <w:pPr>
        <w:keepNext/>
        <w:spacing w:before="320" w:after="120"/>
      </w:pPr>
      <w:r>
        <w:rPr>
          <w:rFonts w:ascii="Calibri" w:hAnsi="Calibri"/>
          <w:b/>
          <w:color w:val="1B365D"/>
          <w:sz w:val="26"/>
        </w:rPr>
        <w:t>9. Diagnóstico Cuantitativo de Resiliencia y Crecimiento (Piotroski &amp; Mohanram)</w:t>
      </w:r>
    </w:p>
    <w:tbl>
      <w:tblPr>
        <w:tblW w:type="auto" w:w="0"/>
        <w:jc w:val="center"/>
        <w:tblLayout w:type="fixed"/>
        <w:tblLook w:firstColumn="1" w:firstRow="1" w:lastColumn="0" w:lastRow="0" w:noHBand="0" w:noVBand="1" w:val="04A0"/>
      </w:tblPr>
      <w:tblGrid>
        <w:gridCol w:w="9792"/>
      </w:tblGrid>
      <w:tr>
        <w:tc>
          <w:tcPr>
            <w:tcW w:type="dxa" w:w="9792"/>
            <w:shd w:fill="F0F4F8"/>
            <w:tcMar>
              <w:top w:w="140" w:type="dxa"/>
              <w:bottom w:w="140" w:type="dxa"/>
              <w:left w:w="180" w:type="dxa"/>
              <w:right w:w="180" w:type="dxa"/>
            </w:tcMar>
            <w:tcBorders>
              <w:left w:val="single" w:sz="24" w:space="0" w:color="1B365D"/>
              <w:top w:val="none"/>
              <w:right w:val="none"/>
              <w:bottom w:val="none"/>
            </w:tcBorders>
          </w:tcPr>
          <w:p>
            <w:pPr>
              <w:spacing w:before="0" w:after="80"/>
            </w:pPr>
            <w:r>
              <w:rPr>
                <w:rFonts w:ascii="Segoe UI Emoji" w:hAnsi="Segoe UI Emoji"/>
                <w:sz w:val="21"/>
              </w:rPr>
              <w:t xml:space="preserve">📌  </w:t>
            </w:r>
            <w:r>
              <w:rPr>
                <w:rFonts w:ascii="Calibri" w:hAnsi="Calibri"/>
                <w:b/>
                <w:color w:val="1B365D"/>
                <w:sz w:val="21"/>
              </w:rPr>
              <w:t>CLASIFICACIÓN ESTRATÉGICA EN MATRIZ FUNDAMENTAL</w:t>
            </w:r>
          </w:p>
          <w:p>
            <w:pPr>
              <w:spacing w:before="40" w:after="40" w:line="276" w:lineRule="auto"/>
            </w:pPr>
            <w:r>
              <w:rPr>
                <w:rFonts w:ascii="Calibri" w:hAnsi="Calibri"/>
                <w:color w:val="2D3748"/>
                <w:sz w:val="19"/>
              </w:rPr>
              <w:t>Posición Cuantitativa: 💎 COMPOUNDER DE ÉLITE</w:t>
            </w:r>
          </w:p>
          <w:p>
            <w:pPr>
              <w:spacing w:before="40" w:after="40" w:line="276" w:lineRule="auto"/>
            </w:pPr>
            <w:r>
              <w:rPr>
                <w:rFonts w:ascii="Calibri" w:hAnsi="Calibri"/>
                <w:color w:val="2D3748"/>
                <w:sz w:val="19"/>
              </w:rPr>
              <w:t>Piotroski F-Score (Solvencia Interna): 9 / 9 Puntos | SALUD EXCEPCIONAL</w:t>
            </w:r>
          </w:p>
          <w:p>
            <w:pPr>
              <w:spacing w:before="40" w:after="40" w:line="276" w:lineRule="auto"/>
            </w:pPr>
            <w:r>
              <w:rPr>
                <w:rFonts w:ascii="Calibri" w:hAnsi="Calibri"/>
                <w:color w:val="2D3748"/>
                <w:sz w:val="19"/>
              </w:rPr>
              <w:t>Mohanram G-Score (Ventaja Sectorial):  7 / 8 Puntos | CRECIMIENTO DE ÉLITE</w:t>
            </w:r>
          </w:p>
          <w:p>
            <w:pPr>
              <w:spacing w:before="40" w:after="40" w:line="276" w:lineRule="auto"/>
            </w:pPr>
            <w:r>
              <w:rPr>
                <w:rFonts w:ascii="Calibri" w:hAnsi="Calibri"/>
                <w:color w:val="2D3748"/>
                <w:sz w:val="19"/>
              </w:rPr>
              <w:t>Tesis Cuantitativa: Apple Inc. combina una salud financiera interna intachable con una superioridad competitiva sectorial demostrada frente a sus pares de la industria.</w:t>
            </w:r>
          </w:p>
        </w:tc>
      </w:tr>
    </w:tbl>
    <w:p>
      <w:pPr>
        <w:spacing w:after="80"/>
      </w:pPr>
    </w:p>
    <w:p>
      <w:pPr>
        <w:keepNext/>
        <w:spacing w:before="200" w:after="80"/>
      </w:pPr>
      <w:r>
        <w:rPr>
          <w:rFonts w:ascii="Calibri" w:hAnsi="Calibri"/>
          <w:b/>
          <w:color w:val="4A5568"/>
          <w:sz w:val="22"/>
        </w:rPr>
        <w:t>9.1. Piotroski F-Score: Salud Financiera y Calidad Contable Interna</w:t>
      </w:r>
    </w:p>
    <w:p>
      <w:pPr>
        <w:spacing w:before="40" w:after="80" w:line="276" w:lineRule="auto"/>
      </w:pPr>
      <w:r>
        <w:rPr>
          <w:rFonts w:ascii="Calibri" w:hAnsi="Calibri"/>
          <w:i w:val="0"/>
          <w:color w:val="2D3748"/>
          <w:sz w:val="20"/>
        </w:rPr>
        <w:t>Desarrollado por el profesor Joseph Piotroski (Universidad de Stanford), este modelo evalúa la solidez económica interna de la empresa a través de 9 señales contables distribuidas en tres dimensiones críticas: Rentabilidad (ROA positivo y creciente, CFO positivo, calidad de devengos Sloan), Apalancamiento y Liquidez (desendeudamiento financiero total, mejora de razón corriente y cero dilución por emisión de acciones) y Eficiencia Operativa (expansión de margen bruto y mayor rotación de activos).</w:t>
      </w:r>
    </w:p>
    <w:p>
      <w:pPr>
        <w:spacing w:before="40" w:after="80" w:line="276" w:lineRule="auto"/>
      </w:pPr>
      <w:r>
        <w:rPr>
          <w:rFonts w:ascii="Calibri" w:hAnsi="Calibri"/>
          <w:b/>
          <w:color w:val="2D3748"/>
          <w:sz w:val="20"/>
        </w:rPr>
        <w:t xml:space="preserve">• Puntaje Obtenido: </w:t>
      </w:r>
      <w:r>
        <w:rPr>
          <w:rFonts w:ascii="Calibri" w:hAnsi="Calibri"/>
          <w:i w:val="0"/>
          <w:color w:val="2D3748"/>
          <w:sz w:val="20"/>
        </w:rPr>
        <w:t>9 / 9 Puntos en LTM (SALUD EXCEPCIONAL) (8 / 9 en FY2025).</w:t>
      </w:r>
    </w:p>
    <w:p>
      <w:pPr>
        <w:spacing w:before="40" w:after="80" w:line="276" w:lineRule="auto"/>
      </w:pPr>
      <w:r>
        <w:rPr>
          <w:rFonts w:ascii="Calibri" w:hAnsi="Calibri"/>
          <w:b/>
          <w:color w:val="2D3748"/>
          <w:sz w:val="20"/>
        </w:rPr>
        <w:t xml:space="preserve">• ¿Qué significa este puntaje para el Inversor? </w:t>
      </w:r>
      <w:r>
        <w:rPr>
          <w:rFonts w:ascii="Calibri" w:hAnsi="Calibri"/>
          <w:i w:val="0"/>
          <w:color w:val="2D3748"/>
          <w:sz w:val="20"/>
        </w:rPr>
        <w:t>Una calificación de 9/9 sitúa a Apple Inc. en el percentil superior del mercado global. Certifica que la compañía:</w:t>
      </w:r>
    </w:p>
    <w:p>
      <w:pPr>
        <w:spacing w:before="40" w:after="80" w:line="276" w:lineRule="auto"/>
      </w:pPr>
      <w:r>
        <w:rPr>
          <w:rFonts w:ascii="Calibri" w:hAnsi="Calibri"/>
          <w:b/>
          <w:color w:val="2D3748"/>
          <w:sz w:val="20"/>
        </w:rPr>
        <w:t xml:space="preserve">1. Genera beneficios respaldados por caja líquida: </w:t>
      </w:r>
      <w:r>
        <w:rPr>
          <w:rFonts w:ascii="Calibri" w:hAnsi="Calibri"/>
          <w:i w:val="0"/>
          <w:color w:val="2D3748"/>
          <w:sz w:val="20"/>
        </w:rPr>
        <w:t>La caja operativa ($146,724.0M en LTM) respalda con holgura al beneficio neto contable ($128,930.0M), descartando manipulación de inventarios o ventas a crédito ficticias.</w:t>
      </w:r>
    </w:p>
    <w:p>
      <w:pPr>
        <w:spacing w:before="40" w:after="80" w:line="276" w:lineRule="auto"/>
      </w:pPr>
      <w:r>
        <w:rPr>
          <w:rFonts w:ascii="Calibri" w:hAnsi="Calibri"/>
          <w:b/>
          <w:color w:val="2D3748"/>
          <w:sz w:val="20"/>
        </w:rPr>
        <w:t xml:space="preserve">2. Reduce o controla su apalancamiento financiero real: </w:t>
      </w:r>
      <w:r>
        <w:rPr>
          <w:rFonts w:ascii="Calibri" w:hAnsi="Calibri"/>
          <w:i w:val="0"/>
          <w:color w:val="2D3748"/>
          <w:sz w:val="20"/>
        </w:rPr>
        <w:t>Mantiene una estructura financiera solvente con disciplina en el endeudamiento (Deuda 21.5% vs 25.2% (-3.76%)).</w:t>
      </w:r>
    </w:p>
    <w:p>
      <w:pPr>
        <w:spacing w:before="40" w:after="80" w:line="276" w:lineRule="auto"/>
      </w:pPr>
      <w:r>
        <w:rPr>
          <w:rFonts w:ascii="Calibri" w:hAnsi="Calibri"/>
          <w:b/>
          <w:color w:val="2D3748"/>
          <w:sz w:val="20"/>
        </w:rPr>
        <w:t xml:space="preserve">3. Protege al accionista minoritario: </w:t>
      </w:r>
      <w:r>
        <w:rPr>
          <w:rFonts w:ascii="Calibri" w:hAnsi="Calibri"/>
          <w:i w:val="0"/>
          <w:color w:val="2D3748"/>
          <w:sz w:val="20"/>
        </w:rPr>
        <w:t>No financia sus operaciones emitiendo nuevas acciones dilutivas, priorizando la retención o recompra de títulos (Acc 14,723M vs 14,948M (-225M)).</w:t>
      </w:r>
    </w:p>
    <w:p>
      <w:pPr>
        <w:spacing w:before="40" w:after="80" w:line="276" w:lineRule="auto"/>
      </w:pPr>
      <w:r>
        <w:rPr>
          <w:rFonts w:ascii="Calibri" w:hAnsi="Calibri"/>
          <w:b/>
          <w:color w:val="2D3748"/>
          <w:sz w:val="20"/>
        </w:rPr>
        <w:t xml:space="preserve">4. Expande su eficiencia operativa: </w:t>
      </w:r>
      <w:r>
        <w:rPr>
          <w:rFonts w:ascii="Calibri" w:hAnsi="Calibri"/>
          <w:i w:val="0"/>
          <w:color w:val="2D3748"/>
          <w:sz w:val="20"/>
        </w:rPr>
        <w:t>Optimiza tanto su margen comercial (MB 48.7% vs 46.9% (+1.75%)) como la productividad de sus activos instalados (Rot 1.26x vs 1.15x (+0.11x)).</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2448"/>
        <w:gridCol w:w="2448"/>
        <w:gridCol w:w="2448"/>
        <w:gridCol w:w="2448"/>
      </w:tblGrid>
      <w:tr>
        <w:tc>
          <w:tcPr>
            <w:tcW w:type="dxa" w:w="3168"/>
            <w:shd w:fill="1B365D"/>
            <w:tcMar>
              <w:top w:w="100" w:type="dxa"/>
              <w:bottom w:w="100" w:type="dxa"/>
              <w:left w:w="120" w:type="dxa"/>
              <w:right w:w="120" w:type="dxa"/>
            </w:tcMar>
          </w:tcPr>
          <w:p>
            <w:pPr>
              <w:spacing w:before="0" w:after="0"/>
              <w:jc w:val="left"/>
            </w:pPr>
            <w:r>
              <w:rPr>
                <w:rFonts w:ascii="Calibri" w:hAnsi="Calibri"/>
                <w:b/>
                <w:color w:val="FFFFFF"/>
                <w:sz w:val="19"/>
              </w:rPr>
              <w:t>Dimensión / Criterio Piotroski</w:t>
            </w:r>
          </w:p>
        </w:tc>
        <w:tc>
          <w:tcPr>
            <w:tcW w:type="dxa" w:w="3600"/>
            <w:shd w:fill="1B365D"/>
            <w:tcMar>
              <w:top w:w="100" w:type="dxa"/>
              <w:bottom w:w="100" w:type="dxa"/>
              <w:left w:w="120" w:type="dxa"/>
              <w:right w:w="120" w:type="dxa"/>
            </w:tcMar>
          </w:tcPr>
          <w:p>
            <w:pPr>
              <w:spacing w:before="0" w:after="0"/>
              <w:jc w:val="left"/>
            </w:pPr>
            <w:r>
              <w:rPr>
                <w:rFonts w:ascii="Calibri" w:hAnsi="Calibri"/>
                <w:b/>
                <w:color w:val="FFFFFF"/>
                <w:sz w:val="19"/>
              </w:rPr>
              <w:t>Condición Contable Evaluada</w:t>
            </w:r>
          </w:p>
        </w:tc>
        <w:tc>
          <w:tcPr>
            <w:tcW w:type="dxa" w:w="1584"/>
            <w:shd w:fill="1B365D"/>
            <w:tcMar>
              <w:top w:w="100" w:type="dxa"/>
              <w:bottom w:w="100" w:type="dxa"/>
              <w:left w:w="120" w:type="dxa"/>
              <w:right w:w="120" w:type="dxa"/>
            </w:tcMar>
          </w:tcPr>
          <w:p>
            <w:pPr>
              <w:spacing w:before="0" w:after="0"/>
              <w:jc w:val="center"/>
            </w:pPr>
            <w:r>
              <w:rPr>
                <w:rFonts w:ascii="Calibri" w:hAnsi="Calibri"/>
                <w:b/>
                <w:color w:val="FFFFFF"/>
                <w:sz w:val="19"/>
              </w:rPr>
              <w:t>Valor Detectado</w:t>
            </w:r>
          </w:p>
        </w:tc>
        <w:tc>
          <w:tcPr>
            <w:tcW w:type="dxa" w:w="1440"/>
            <w:shd w:fill="1B365D"/>
            <w:tcMar>
              <w:top w:w="100" w:type="dxa"/>
              <w:bottom w:w="100" w:type="dxa"/>
              <w:left w:w="120" w:type="dxa"/>
              <w:right w:w="120" w:type="dxa"/>
            </w:tcMar>
          </w:tcPr>
          <w:p>
            <w:pPr>
              <w:spacing w:before="0" w:after="0"/>
              <w:jc w:val="center"/>
            </w:pPr>
            <w:r>
              <w:rPr>
                <w:rFonts w:ascii="Calibri" w:hAnsi="Calibri"/>
                <w:b/>
                <w:color w:val="FFFFFF"/>
                <w:sz w:val="19"/>
              </w:rPr>
              <w:t>Punto Asignado</w:t>
            </w:r>
          </w:p>
        </w:tc>
      </w:tr>
      <w:tr>
        <w:tc>
          <w:tcPr>
            <w:tcW w:type="dxa" w:w="3168"/>
            <w:shd w:fill="FFFFFF"/>
            <w:tcMar>
              <w:top w:w="80" w:type="dxa"/>
              <w:bottom w:w="80" w:type="dxa"/>
              <w:left w:w="120" w:type="dxa"/>
              <w:right w:w="120" w:type="dxa"/>
            </w:tcMar>
          </w:tcPr>
          <w:p>
            <w:pPr>
              <w:spacing w:before="0" w:after="0"/>
              <w:jc w:val="left"/>
            </w:pPr>
            <w:r>
              <w:rPr>
                <w:rFonts w:ascii="Calibri" w:hAnsi="Calibri"/>
                <w:color w:val="2D3748"/>
                <w:sz w:val="18"/>
              </w:rPr>
              <w:t>Rentabilidad: ROA Positivo</w:t>
            </w:r>
          </w:p>
        </w:tc>
        <w:tc>
          <w:tcPr>
            <w:tcW w:type="dxa" w:w="3600"/>
            <w:shd w:fill="FFFFFF"/>
            <w:tcMar>
              <w:top w:w="80" w:type="dxa"/>
              <w:bottom w:w="80" w:type="dxa"/>
              <w:left w:w="120" w:type="dxa"/>
              <w:right w:w="120" w:type="dxa"/>
            </w:tcMar>
          </w:tcPr>
          <w:p>
            <w:pPr>
              <w:spacing w:before="0" w:after="0"/>
              <w:jc w:val="left"/>
            </w:pPr>
            <w:r>
              <w:rPr>
                <w:rFonts w:ascii="Calibri" w:hAnsi="Calibri"/>
                <w:color w:val="2D3748"/>
                <w:sz w:val="18"/>
              </w:rPr>
              <w:t>Utilidad neta positiva sobre la base de activos promedio instalados.</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34.73% &gt; 0%</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1 Pto</w:t>
            </w:r>
          </w:p>
        </w:tc>
      </w:tr>
      <w:tr>
        <w:tc>
          <w:tcPr>
            <w:tcW w:type="dxa" w:w="3168"/>
            <w:shd w:fill="F7FAFC"/>
            <w:tcMar>
              <w:top w:w="80" w:type="dxa"/>
              <w:bottom w:w="80" w:type="dxa"/>
              <w:left w:w="120" w:type="dxa"/>
              <w:right w:w="120" w:type="dxa"/>
            </w:tcMar>
          </w:tcPr>
          <w:p>
            <w:pPr>
              <w:spacing w:before="0" w:after="0"/>
              <w:jc w:val="left"/>
            </w:pPr>
            <w:r>
              <w:rPr>
                <w:rFonts w:ascii="Calibri" w:hAnsi="Calibri"/>
                <w:color w:val="2D3748"/>
                <w:sz w:val="18"/>
              </w:rPr>
              <w:t>Rentabilidad: CFO Positivo</w:t>
            </w:r>
          </w:p>
        </w:tc>
        <w:tc>
          <w:tcPr>
            <w:tcW w:type="dxa" w:w="3600"/>
            <w:shd w:fill="F7FAFC"/>
            <w:tcMar>
              <w:top w:w="80" w:type="dxa"/>
              <w:bottom w:w="80" w:type="dxa"/>
              <w:left w:w="120" w:type="dxa"/>
              <w:right w:w="120" w:type="dxa"/>
            </w:tcMar>
          </w:tcPr>
          <w:p>
            <w:pPr>
              <w:spacing w:before="0" w:after="0"/>
              <w:jc w:val="left"/>
            </w:pPr>
            <w:r>
              <w:rPr>
                <w:rFonts w:ascii="Calibri" w:hAnsi="Calibri"/>
                <w:color w:val="2D3748"/>
                <w:sz w:val="18"/>
              </w:rPr>
              <w:t>Flujo de caja operativo neto positivo.</w:t>
            </w:r>
          </w:p>
        </w:tc>
        <w:tc>
          <w:tcPr>
            <w:tcW w:type="dxa" w:w="1584"/>
            <w:shd w:fill="F7FAFC"/>
            <w:tcMar>
              <w:top w:w="80" w:type="dxa"/>
              <w:bottom w:w="80" w:type="dxa"/>
              <w:left w:w="120" w:type="dxa"/>
              <w:right w:w="120" w:type="dxa"/>
            </w:tcMar>
          </w:tcPr>
          <w:p>
            <w:pPr>
              <w:spacing w:before="0" w:after="0"/>
              <w:jc w:val="center"/>
            </w:pPr>
            <w:r>
              <w:rPr>
                <w:rFonts w:ascii="Calibri" w:hAnsi="Calibri"/>
                <w:color w:val="2D3748"/>
                <w:sz w:val="18"/>
              </w:rPr>
              <w:t>$146,724.0M &gt; $0</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1 Pto</w:t>
            </w:r>
          </w:p>
        </w:tc>
      </w:tr>
      <w:tr>
        <w:tc>
          <w:tcPr>
            <w:tcW w:type="dxa" w:w="3168"/>
            <w:shd w:fill="FFFFFF"/>
            <w:tcMar>
              <w:top w:w="80" w:type="dxa"/>
              <w:bottom w:w="80" w:type="dxa"/>
              <w:left w:w="120" w:type="dxa"/>
              <w:right w:w="120" w:type="dxa"/>
            </w:tcMar>
          </w:tcPr>
          <w:p>
            <w:pPr>
              <w:spacing w:before="0" w:after="0"/>
              <w:jc w:val="left"/>
            </w:pPr>
            <w:r>
              <w:rPr>
                <w:rFonts w:ascii="Calibri" w:hAnsi="Calibri"/>
                <w:color w:val="2D3748"/>
                <w:sz w:val="18"/>
              </w:rPr>
              <w:t>Rentabilidad: Mejora de ROA (Delta ROA)</w:t>
            </w:r>
          </w:p>
        </w:tc>
        <w:tc>
          <w:tcPr>
            <w:tcW w:type="dxa" w:w="3600"/>
            <w:shd w:fill="FFFFFF"/>
            <w:tcMar>
              <w:top w:w="80" w:type="dxa"/>
              <w:bottom w:w="80" w:type="dxa"/>
              <w:left w:w="120" w:type="dxa"/>
              <w:right w:w="120" w:type="dxa"/>
            </w:tcMar>
          </w:tcPr>
          <w:p>
            <w:pPr>
              <w:spacing w:before="0" w:after="0"/>
              <w:jc w:val="left"/>
            </w:pPr>
            <w:r>
              <w:rPr>
                <w:rFonts w:ascii="Calibri" w:hAnsi="Calibri"/>
                <w:color w:val="2D3748"/>
                <w:sz w:val="18"/>
              </w:rPr>
              <w:t>Aceleración de la rentabilidad sobre activos frente al año previo.</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34.7% vs 30.9% (+3.80%)</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1 Pto</w:t>
            </w:r>
          </w:p>
        </w:tc>
      </w:tr>
      <w:tr>
        <w:tc>
          <w:tcPr>
            <w:tcW w:type="dxa" w:w="3168"/>
            <w:shd w:fill="F7FAFC"/>
            <w:tcMar>
              <w:top w:w="80" w:type="dxa"/>
              <w:bottom w:w="80" w:type="dxa"/>
              <w:left w:w="120" w:type="dxa"/>
              <w:right w:w="120" w:type="dxa"/>
            </w:tcMar>
          </w:tcPr>
          <w:p>
            <w:pPr>
              <w:spacing w:before="0" w:after="0"/>
              <w:jc w:val="left"/>
            </w:pPr>
            <w:r>
              <w:rPr>
                <w:rFonts w:ascii="Calibri" w:hAnsi="Calibri"/>
                <w:color w:val="2D3748"/>
                <w:sz w:val="18"/>
              </w:rPr>
              <w:t>Rentabilidad: Calidad Contable (CFO &gt; NI)</w:t>
            </w:r>
          </w:p>
        </w:tc>
        <w:tc>
          <w:tcPr>
            <w:tcW w:type="dxa" w:w="3600"/>
            <w:shd w:fill="F7FAFC"/>
            <w:tcMar>
              <w:top w:w="80" w:type="dxa"/>
              <w:bottom w:w="80" w:type="dxa"/>
              <w:left w:w="120" w:type="dxa"/>
              <w:right w:w="120" w:type="dxa"/>
            </w:tcMar>
          </w:tcPr>
          <w:p>
            <w:pPr>
              <w:spacing w:before="0" w:after="0"/>
              <w:jc w:val="left"/>
            </w:pPr>
            <w:r>
              <w:rPr>
                <w:rFonts w:ascii="Calibri" w:hAnsi="Calibri"/>
                <w:color w:val="2D3748"/>
                <w:sz w:val="18"/>
              </w:rPr>
              <w:t>Beneficios respaldados por efectivo contante (bajos devengos contables).</w:t>
            </w:r>
          </w:p>
        </w:tc>
        <w:tc>
          <w:tcPr>
            <w:tcW w:type="dxa" w:w="1584"/>
            <w:shd w:fill="F7FAFC"/>
            <w:tcMar>
              <w:top w:w="80" w:type="dxa"/>
              <w:bottom w:w="80" w:type="dxa"/>
              <w:left w:w="120" w:type="dxa"/>
              <w:right w:w="120" w:type="dxa"/>
            </w:tcMar>
          </w:tcPr>
          <w:p>
            <w:pPr>
              <w:spacing w:before="0" w:after="0"/>
              <w:jc w:val="center"/>
            </w:pPr>
            <w:r>
              <w:rPr>
                <w:rFonts w:ascii="Calibri" w:hAnsi="Calibri"/>
                <w:color w:val="2D3748"/>
                <w:sz w:val="18"/>
              </w:rPr>
              <w:t>CFO $146,724.0M &gt; NI $128,930.0M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1 Pto</w:t>
            </w:r>
          </w:p>
        </w:tc>
      </w:tr>
      <w:tr>
        <w:tc>
          <w:tcPr>
            <w:tcW w:type="dxa" w:w="3168"/>
            <w:shd w:fill="FFFFFF"/>
            <w:tcMar>
              <w:top w:w="80" w:type="dxa"/>
              <w:bottom w:w="80" w:type="dxa"/>
              <w:left w:w="120" w:type="dxa"/>
              <w:right w:w="120" w:type="dxa"/>
            </w:tcMar>
          </w:tcPr>
          <w:p>
            <w:pPr>
              <w:spacing w:before="0" w:after="0"/>
              <w:jc w:val="left"/>
            </w:pPr>
            <w:r>
              <w:rPr>
                <w:rFonts w:ascii="Calibri" w:hAnsi="Calibri"/>
                <w:color w:val="2D3748"/>
                <w:sz w:val="18"/>
              </w:rPr>
              <w:t>Apalancamiento y Liquidez: Desendeudamiento Total</w:t>
            </w:r>
          </w:p>
        </w:tc>
        <w:tc>
          <w:tcPr>
            <w:tcW w:type="dxa" w:w="3600"/>
            <w:shd w:fill="FFFFFF"/>
            <w:tcMar>
              <w:top w:w="80" w:type="dxa"/>
              <w:bottom w:w="80" w:type="dxa"/>
              <w:left w:w="120" w:type="dxa"/>
              <w:right w:w="120" w:type="dxa"/>
            </w:tcMar>
          </w:tcPr>
          <w:p>
            <w:pPr>
              <w:spacing w:before="0" w:after="0"/>
              <w:jc w:val="left"/>
            </w:pPr>
            <w:r>
              <w:rPr>
                <w:rFonts w:ascii="Calibri" w:hAnsi="Calibri"/>
                <w:color w:val="2D3748"/>
                <w:sz w:val="18"/>
              </w:rPr>
              <w:t>Reducción o estabilidad del apalancamiento financiero total sobre activos.</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Deuda 21.5% vs 25.2% (-3.76%)</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1 Pto</w:t>
            </w:r>
          </w:p>
        </w:tc>
      </w:tr>
      <w:tr>
        <w:tc>
          <w:tcPr>
            <w:tcW w:type="dxa" w:w="3168"/>
            <w:shd w:fill="F7FAFC"/>
            <w:tcMar>
              <w:top w:w="80" w:type="dxa"/>
              <w:bottom w:w="80" w:type="dxa"/>
              <w:left w:w="120" w:type="dxa"/>
              <w:right w:w="120" w:type="dxa"/>
            </w:tcMar>
          </w:tcPr>
          <w:p>
            <w:pPr>
              <w:spacing w:before="0" w:after="0"/>
              <w:jc w:val="left"/>
            </w:pPr>
            <w:r>
              <w:rPr>
                <w:rFonts w:ascii="Calibri" w:hAnsi="Calibri"/>
                <w:color w:val="2D3748"/>
                <w:sz w:val="18"/>
              </w:rPr>
              <w:t>Apalancamiento y Liquidez: Mejora de Razón Corriente</w:t>
            </w:r>
          </w:p>
        </w:tc>
        <w:tc>
          <w:tcPr>
            <w:tcW w:type="dxa" w:w="3600"/>
            <w:shd w:fill="F7FAFC"/>
            <w:tcMar>
              <w:top w:w="80" w:type="dxa"/>
              <w:bottom w:w="80" w:type="dxa"/>
              <w:left w:w="120" w:type="dxa"/>
              <w:right w:w="120" w:type="dxa"/>
            </w:tcMar>
          </w:tcPr>
          <w:p>
            <w:pPr>
              <w:spacing w:before="0" w:after="0"/>
              <w:jc w:val="left"/>
            </w:pPr>
            <w:r>
              <w:rPr>
                <w:rFonts w:ascii="Calibri" w:hAnsi="Calibri"/>
                <w:color w:val="2D3748"/>
                <w:sz w:val="18"/>
              </w:rPr>
              <w:t>Mayor cobertura de pasivos a corto plazo con activos corrientes.</w:t>
            </w:r>
          </w:p>
        </w:tc>
        <w:tc>
          <w:tcPr>
            <w:tcW w:type="dxa" w:w="1584"/>
            <w:shd w:fill="F7FAFC"/>
            <w:tcMar>
              <w:top w:w="80" w:type="dxa"/>
              <w:bottom w:w="80" w:type="dxa"/>
              <w:left w:w="120" w:type="dxa"/>
              <w:right w:w="120" w:type="dxa"/>
            </w:tcMar>
          </w:tcPr>
          <w:p>
            <w:pPr>
              <w:spacing w:before="0" w:after="0"/>
              <w:jc w:val="center"/>
            </w:pPr>
            <w:r>
              <w:rPr>
                <w:rFonts w:ascii="Calibri" w:hAnsi="Calibri"/>
                <w:color w:val="2D3748"/>
                <w:sz w:val="18"/>
              </w:rPr>
              <w:t>CR 1.00x vs 0.89x (+0.11x)</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1 Pto</w:t>
            </w:r>
          </w:p>
        </w:tc>
      </w:tr>
      <w:tr>
        <w:tc>
          <w:tcPr>
            <w:tcW w:type="dxa" w:w="3168"/>
            <w:shd w:fill="FFFFFF"/>
            <w:tcMar>
              <w:top w:w="80" w:type="dxa"/>
              <w:bottom w:w="80" w:type="dxa"/>
              <w:left w:w="120" w:type="dxa"/>
              <w:right w:w="120" w:type="dxa"/>
            </w:tcMar>
          </w:tcPr>
          <w:p>
            <w:pPr>
              <w:spacing w:before="0" w:after="0"/>
              <w:jc w:val="left"/>
            </w:pPr>
            <w:r>
              <w:rPr>
                <w:rFonts w:ascii="Calibri" w:hAnsi="Calibri"/>
                <w:color w:val="2D3748"/>
                <w:sz w:val="18"/>
              </w:rPr>
              <w:t>Apalancamiento y Liquidez: Cero Dilución (Acciones Básicas)</w:t>
            </w:r>
          </w:p>
        </w:tc>
        <w:tc>
          <w:tcPr>
            <w:tcW w:type="dxa" w:w="3600"/>
            <w:shd w:fill="FFFFFF"/>
            <w:tcMar>
              <w:top w:w="80" w:type="dxa"/>
              <w:bottom w:w="80" w:type="dxa"/>
              <w:left w:w="120" w:type="dxa"/>
              <w:right w:w="120" w:type="dxa"/>
            </w:tcMar>
          </w:tcPr>
          <w:p>
            <w:pPr>
              <w:spacing w:before="0" w:after="0"/>
              <w:jc w:val="left"/>
            </w:pPr>
            <w:r>
              <w:rPr>
                <w:rFonts w:ascii="Calibri" w:hAnsi="Calibri"/>
                <w:color w:val="2D3748"/>
                <w:sz w:val="18"/>
              </w:rPr>
              <w:t>Sin emisión neta dilutiva de capital; recompra de acciones o estabilidad.</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Acc 14,723M vs 14,948M (-225M)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1 Pto</w:t>
            </w:r>
          </w:p>
        </w:tc>
      </w:tr>
      <w:tr>
        <w:tc>
          <w:tcPr>
            <w:tcW w:type="dxa" w:w="3168"/>
            <w:shd w:fill="F7FAFC"/>
            <w:tcMar>
              <w:top w:w="80" w:type="dxa"/>
              <w:bottom w:w="80" w:type="dxa"/>
              <w:left w:w="120" w:type="dxa"/>
              <w:right w:w="120" w:type="dxa"/>
            </w:tcMar>
          </w:tcPr>
          <w:p>
            <w:pPr>
              <w:spacing w:before="0" w:after="0"/>
              <w:jc w:val="left"/>
            </w:pPr>
            <w:r>
              <w:rPr>
                <w:rFonts w:ascii="Calibri" w:hAnsi="Calibri"/>
                <w:color w:val="2D3748"/>
                <w:sz w:val="18"/>
              </w:rPr>
              <w:t>Eficiencia Operativa: Expansión de Margen Bruto</w:t>
            </w:r>
          </w:p>
        </w:tc>
        <w:tc>
          <w:tcPr>
            <w:tcW w:type="dxa" w:w="3600"/>
            <w:shd w:fill="F7FAFC"/>
            <w:tcMar>
              <w:top w:w="80" w:type="dxa"/>
              <w:bottom w:w="80" w:type="dxa"/>
              <w:left w:w="120" w:type="dxa"/>
              <w:right w:w="120" w:type="dxa"/>
            </w:tcMar>
          </w:tcPr>
          <w:p>
            <w:pPr>
              <w:spacing w:before="0" w:after="0"/>
              <w:jc w:val="left"/>
            </w:pPr>
            <w:r>
              <w:rPr>
                <w:rFonts w:ascii="Calibri" w:hAnsi="Calibri"/>
                <w:color w:val="2D3748"/>
                <w:sz w:val="18"/>
              </w:rPr>
              <w:t>Mayor poder de fijación de precios o menor coste unitario de ventas.</w:t>
            </w:r>
          </w:p>
        </w:tc>
        <w:tc>
          <w:tcPr>
            <w:tcW w:type="dxa" w:w="1584"/>
            <w:shd w:fill="F7FAFC"/>
            <w:tcMar>
              <w:top w:w="80" w:type="dxa"/>
              <w:bottom w:w="80" w:type="dxa"/>
              <w:left w:w="120" w:type="dxa"/>
              <w:right w:w="120" w:type="dxa"/>
            </w:tcMar>
          </w:tcPr>
          <w:p>
            <w:pPr>
              <w:spacing w:before="0" w:after="0"/>
              <w:jc w:val="center"/>
            </w:pPr>
            <w:r>
              <w:rPr>
                <w:rFonts w:ascii="Calibri" w:hAnsi="Calibri"/>
                <w:color w:val="2D3748"/>
                <w:sz w:val="18"/>
              </w:rPr>
              <w:t>MB 48.7% vs 46.9% (+1.75%)</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1 Pto</w:t>
            </w:r>
          </w:p>
        </w:tc>
      </w:tr>
      <w:tr>
        <w:tc>
          <w:tcPr>
            <w:tcW w:type="dxa" w:w="3168"/>
            <w:shd w:fill="FFFFFF"/>
            <w:tcMar>
              <w:top w:w="80" w:type="dxa"/>
              <w:bottom w:w="80" w:type="dxa"/>
              <w:left w:w="120" w:type="dxa"/>
              <w:right w:w="120" w:type="dxa"/>
            </w:tcMar>
          </w:tcPr>
          <w:p>
            <w:pPr>
              <w:spacing w:before="0" w:after="0"/>
              <w:jc w:val="left"/>
            </w:pPr>
            <w:r>
              <w:rPr>
                <w:rFonts w:ascii="Calibri" w:hAnsi="Calibri"/>
                <w:color w:val="2D3748"/>
                <w:sz w:val="18"/>
              </w:rPr>
              <w:t>Eficiencia Operativa: Expansión Rotación de Activos</w:t>
            </w:r>
          </w:p>
        </w:tc>
        <w:tc>
          <w:tcPr>
            <w:tcW w:type="dxa" w:w="3600"/>
            <w:shd w:fill="FFFFFF"/>
            <w:tcMar>
              <w:top w:w="80" w:type="dxa"/>
              <w:bottom w:w="80" w:type="dxa"/>
              <w:left w:w="120" w:type="dxa"/>
              <w:right w:w="120" w:type="dxa"/>
            </w:tcMar>
          </w:tcPr>
          <w:p>
            <w:pPr>
              <w:spacing w:before="0" w:after="0"/>
              <w:jc w:val="left"/>
            </w:pPr>
            <w:r>
              <w:rPr>
                <w:rFonts w:ascii="Calibri" w:hAnsi="Calibri"/>
                <w:color w:val="2D3748"/>
                <w:sz w:val="18"/>
              </w:rPr>
              <w:t>Mayor volumen de ingresos generado por cada dólar de activo instalado.</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Rot 1.26x vs 1.15x (+0.11x)</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1 Pto</w:t>
            </w:r>
          </w:p>
        </w:tc>
      </w:tr>
    </w:tbl>
    <w:p>
      <w:pPr>
        <w:spacing w:after="120"/>
      </w:pPr>
    </w:p>
    <w:p>
      <w:pPr>
        <w:keepNext/>
        <w:spacing w:before="200" w:after="80"/>
      </w:pPr>
      <w:r>
        <w:rPr>
          <w:rFonts w:ascii="Calibri" w:hAnsi="Calibri"/>
          <w:b/>
          <w:color w:val="4A5568"/>
          <w:sz w:val="22"/>
        </w:rPr>
        <w:t>9.2. Mohanram G-Score: Calidad de Crecimiento frente a la Industria</w:t>
      </w:r>
    </w:p>
    <w:p>
      <w:pPr>
        <w:spacing w:before="40" w:after="80" w:line="276" w:lineRule="auto"/>
      </w:pPr>
      <w:r>
        <w:rPr>
          <w:rFonts w:ascii="Calibri" w:hAnsi="Calibri"/>
          <w:i w:val="0"/>
          <w:color w:val="2D3748"/>
          <w:sz w:val="20"/>
        </w:rPr>
        <w:t>Diseñado por el profesor Partha Mohanram (Universidad de Columbia), este modelo evalúa la calidad fundamental y la sostenibilidad del crecimiento en empresas contrastando sus métricas frente a la mediana de su sector industrial. El modelo audita 8 señales agrupadas en: Desempeño Operativo y Retorno (ROA, CFROA y Calidad de Devengos), Estabilidad del Negocio (baja variabilidad de ROA y ventas) y Reinversión en Ventajas Competitivas (intensidad en I+D, CapEx de vanguardia y Apalancamiento Comercial en SG&amp;A).</w:t>
      </w:r>
    </w:p>
    <w:p>
      <w:pPr>
        <w:spacing w:before="40" w:after="80" w:line="276" w:lineRule="auto"/>
      </w:pPr>
      <w:r>
        <w:rPr>
          <w:rFonts w:ascii="Calibri" w:hAnsi="Calibri"/>
          <w:b/>
          <w:color w:val="2D3748"/>
          <w:sz w:val="20"/>
        </w:rPr>
        <w:t xml:space="preserve">• Puntaje Obtenido: </w:t>
      </w:r>
      <w:r>
        <w:rPr>
          <w:rFonts w:ascii="Calibri" w:hAnsi="Calibri"/>
          <w:i w:val="0"/>
          <w:color w:val="2D3748"/>
          <w:sz w:val="20"/>
        </w:rPr>
        <w:t>7 / 8 Puntos en LTM (CRECIMIENTO DE ÉLITE) (6 / 8 en FY2025).</w:t>
      </w:r>
    </w:p>
    <w:p>
      <w:pPr>
        <w:spacing w:before="40" w:after="80" w:line="276" w:lineRule="auto"/>
      </w:pPr>
      <w:r>
        <w:rPr>
          <w:rFonts w:ascii="Calibri" w:hAnsi="Calibri"/>
          <w:b/>
          <w:color w:val="2D3748"/>
          <w:sz w:val="20"/>
        </w:rPr>
        <w:t xml:space="preserve">• ¿Qué significa este puntaje para el Inversor? </w:t>
      </w:r>
      <w:r>
        <w:rPr>
          <w:rFonts w:ascii="Calibri" w:hAnsi="Calibri"/>
          <w:i w:val="0"/>
          <w:color w:val="2D3748"/>
          <w:sz w:val="20"/>
        </w:rPr>
        <w:t>Una puntuación de 7/8 consolida a Apple Inc. como líder de calidad fundamental en su industria. Certifica que la firma:</w:t>
      </w:r>
    </w:p>
    <w:p>
      <w:pPr>
        <w:spacing w:before="40" w:after="80" w:line="276" w:lineRule="auto"/>
      </w:pPr>
      <w:r>
        <w:rPr>
          <w:rFonts w:ascii="Calibri" w:hAnsi="Calibri"/>
          <w:b/>
          <w:color w:val="2D3748"/>
          <w:sz w:val="20"/>
        </w:rPr>
        <w:t xml:space="preserve">1. Retorno superior: </w:t>
      </w:r>
      <w:r>
        <w:rPr>
          <w:rFonts w:ascii="Calibri" w:hAnsi="Calibri"/>
          <w:i w:val="0"/>
          <w:color w:val="2D3748"/>
          <w:sz w:val="20"/>
        </w:rPr>
        <w:t>Supera sistemáticamente a la mediana de sus competidores directos en rentabilidad sobre activos y generación de flujo de caja libre.</w:t>
      </w:r>
    </w:p>
    <w:p>
      <w:pPr>
        <w:spacing w:before="40" w:after="80" w:line="276" w:lineRule="auto"/>
      </w:pPr>
      <w:r>
        <w:rPr>
          <w:rFonts w:ascii="Calibri" w:hAnsi="Calibri"/>
          <w:b/>
          <w:color w:val="2D3748"/>
          <w:sz w:val="20"/>
        </w:rPr>
        <w:t xml:space="preserve">2. Estabilidad de negocio: </w:t>
      </w:r>
      <w:r>
        <w:rPr>
          <w:rFonts w:ascii="Calibri" w:hAnsi="Calibri"/>
          <w:i w:val="0"/>
          <w:color w:val="2D3748"/>
          <w:sz w:val="20"/>
        </w:rPr>
        <w:t>Exhibe una trayectoria de crecimiento sólida y predecible con menor volatilidad en sus resultados comerciales.</w:t>
      </w:r>
    </w:p>
    <w:p>
      <w:pPr>
        <w:spacing w:before="40" w:after="80" w:line="276" w:lineRule="auto"/>
      </w:pPr>
      <w:r>
        <w:rPr>
          <w:rFonts w:ascii="Calibri" w:hAnsi="Calibri"/>
          <w:b/>
          <w:color w:val="2D3748"/>
          <w:sz w:val="20"/>
        </w:rPr>
        <w:t xml:space="preserve">3. Reinversión estratégica: </w:t>
      </w:r>
      <w:r>
        <w:rPr>
          <w:rFonts w:ascii="Calibri" w:hAnsi="Calibri"/>
          <w:i w:val="0"/>
          <w:color w:val="2D3748"/>
          <w:sz w:val="20"/>
        </w:rPr>
        <w:t>Mantiene una disciplina férrea de reinversión en capital e innovación para defender y expandir su foso competitivo.</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2448"/>
        <w:gridCol w:w="2448"/>
        <w:gridCol w:w="2448"/>
        <w:gridCol w:w="2448"/>
      </w:tblGrid>
      <w:tr>
        <w:tc>
          <w:tcPr>
            <w:tcW w:type="dxa" w:w="3168"/>
            <w:shd w:fill="1B365D"/>
            <w:tcMar>
              <w:top w:w="100" w:type="dxa"/>
              <w:bottom w:w="100" w:type="dxa"/>
              <w:left w:w="120" w:type="dxa"/>
              <w:right w:w="120" w:type="dxa"/>
            </w:tcMar>
          </w:tcPr>
          <w:p>
            <w:pPr>
              <w:spacing w:before="0" w:after="0"/>
              <w:jc w:val="left"/>
            </w:pPr>
            <w:r>
              <w:rPr>
                <w:rFonts w:ascii="Calibri" w:hAnsi="Calibri"/>
                <w:b/>
                <w:color w:val="FFFFFF"/>
                <w:sz w:val="19"/>
              </w:rPr>
              <w:t>Criterio Mohanram G-Score</w:t>
            </w:r>
          </w:p>
        </w:tc>
        <w:tc>
          <w:tcPr>
            <w:tcW w:type="dxa" w:w="3600"/>
            <w:shd w:fill="1B365D"/>
            <w:tcMar>
              <w:top w:w="100" w:type="dxa"/>
              <w:bottom w:w="100" w:type="dxa"/>
              <w:left w:w="120" w:type="dxa"/>
              <w:right w:w="120" w:type="dxa"/>
            </w:tcMar>
          </w:tcPr>
          <w:p>
            <w:pPr>
              <w:spacing w:before="0" w:after="0"/>
              <w:jc w:val="left"/>
            </w:pPr>
            <w:r>
              <w:rPr>
                <w:rFonts w:ascii="Calibri" w:hAnsi="Calibri"/>
                <w:b/>
                <w:color w:val="FFFFFF"/>
                <w:sz w:val="19"/>
              </w:rPr>
              <w:t>Condición frente a la Mediana</w:t>
            </w:r>
          </w:p>
        </w:tc>
        <w:tc>
          <w:tcPr>
            <w:tcW w:type="dxa" w:w="1584"/>
            <w:shd w:fill="1B365D"/>
            <w:tcMar>
              <w:top w:w="100" w:type="dxa"/>
              <w:bottom w:w="100" w:type="dxa"/>
              <w:left w:w="120" w:type="dxa"/>
              <w:right w:w="120" w:type="dxa"/>
            </w:tcMar>
          </w:tcPr>
          <w:p>
            <w:pPr>
              <w:spacing w:before="0" w:after="0"/>
              <w:jc w:val="center"/>
            </w:pPr>
            <w:r>
              <w:rPr>
                <w:rFonts w:ascii="Calibri" w:hAnsi="Calibri"/>
                <w:b/>
                <w:color w:val="FFFFFF"/>
                <w:sz w:val="19"/>
              </w:rPr>
              <w:t>Valor Detectado</w:t>
            </w:r>
          </w:p>
        </w:tc>
        <w:tc>
          <w:tcPr>
            <w:tcW w:type="dxa" w:w="1440"/>
            <w:shd w:fill="1B365D"/>
            <w:tcMar>
              <w:top w:w="100" w:type="dxa"/>
              <w:bottom w:w="100" w:type="dxa"/>
              <w:left w:w="120" w:type="dxa"/>
              <w:right w:w="120" w:type="dxa"/>
            </w:tcMar>
          </w:tcPr>
          <w:p>
            <w:pPr>
              <w:spacing w:before="0" w:after="0"/>
              <w:jc w:val="center"/>
            </w:pPr>
            <w:r>
              <w:rPr>
                <w:rFonts w:ascii="Calibri" w:hAnsi="Calibri"/>
                <w:b/>
                <w:color w:val="FFFFFF"/>
                <w:sz w:val="19"/>
              </w:rPr>
              <w:t>Punto Asignado</w:t>
            </w:r>
          </w:p>
        </w:tc>
      </w:tr>
      <w:tr>
        <w:tc>
          <w:tcPr>
            <w:tcW w:type="dxa" w:w="3168"/>
            <w:shd w:fill="FFFFFF"/>
            <w:tcMar>
              <w:top w:w="80" w:type="dxa"/>
              <w:bottom w:w="80" w:type="dxa"/>
              <w:left w:w="120" w:type="dxa"/>
              <w:right w:w="120" w:type="dxa"/>
            </w:tcMar>
          </w:tcPr>
          <w:p>
            <w:pPr>
              <w:spacing w:before="0" w:after="0"/>
              <w:jc w:val="left"/>
            </w:pPr>
            <w:r>
              <w:rPr>
                <w:rFonts w:ascii="Calibri" w:hAnsi="Calibri"/>
                <w:color w:val="2D3748"/>
                <w:sz w:val="18"/>
              </w:rPr>
              <w:t>ROA &gt; Mediana del Sector</w:t>
            </w:r>
          </w:p>
        </w:tc>
        <w:tc>
          <w:tcPr>
            <w:tcW w:type="dxa" w:w="3600"/>
            <w:shd w:fill="FFFFFF"/>
            <w:tcMar>
              <w:top w:w="80" w:type="dxa"/>
              <w:bottom w:w="80" w:type="dxa"/>
              <w:left w:w="120" w:type="dxa"/>
              <w:right w:w="120" w:type="dxa"/>
            </w:tcMar>
          </w:tcPr>
          <w:p>
            <w:pPr>
              <w:spacing w:before="0" w:after="0"/>
              <w:jc w:val="left"/>
            </w:pPr>
            <w:r>
              <w:rPr>
                <w:rFonts w:ascii="Calibri" w:hAnsi="Calibri"/>
                <w:color w:val="2D3748"/>
                <w:sz w:val="18"/>
              </w:rPr>
              <w:t>Rentabilidad sobre activos superior a la mitad del sector.</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ROA 35.89% vs Med 10.94%</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1 Pto</w:t>
            </w:r>
          </w:p>
        </w:tc>
      </w:tr>
      <w:tr>
        <w:tc>
          <w:tcPr>
            <w:tcW w:type="dxa" w:w="3168"/>
            <w:shd w:fill="F7FAFC"/>
            <w:tcMar>
              <w:top w:w="80" w:type="dxa"/>
              <w:bottom w:w="80" w:type="dxa"/>
              <w:left w:w="120" w:type="dxa"/>
              <w:right w:w="120" w:type="dxa"/>
            </w:tcMar>
          </w:tcPr>
          <w:p>
            <w:pPr>
              <w:spacing w:before="0" w:after="0"/>
              <w:jc w:val="left"/>
            </w:pPr>
            <w:r>
              <w:rPr>
                <w:rFonts w:ascii="Calibri" w:hAnsi="Calibri"/>
                <w:color w:val="2D3748"/>
                <w:sz w:val="18"/>
              </w:rPr>
              <w:t>CFROA &gt; Mediana del Sector</w:t>
            </w:r>
          </w:p>
        </w:tc>
        <w:tc>
          <w:tcPr>
            <w:tcW w:type="dxa" w:w="3600"/>
            <w:shd w:fill="F7FAFC"/>
            <w:tcMar>
              <w:top w:w="80" w:type="dxa"/>
              <w:bottom w:w="80" w:type="dxa"/>
              <w:left w:w="120" w:type="dxa"/>
              <w:right w:w="120" w:type="dxa"/>
            </w:tcMar>
          </w:tcPr>
          <w:p>
            <w:pPr>
              <w:spacing w:before="0" w:after="0"/>
              <w:jc w:val="left"/>
            </w:pPr>
            <w:r>
              <w:rPr>
                <w:rFonts w:ascii="Calibri" w:hAnsi="Calibri"/>
                <w:color w:val="2D3748"/>
                <w:sz w:val="18"/>
              </w:rPr>
              <w:t>Generación de caja operativa sobre activos líder en la industria.</w:t>
            </w:r>
          </w:p>
        </w:tc>
        <w:tc>
          <w:tcPr>
            <w:tcW w:type="dxa" w:w="1584"/>
            <w:shd w:fill="F7FAFC"/>
            <w:tcMar>
              <w:top w:w="80" w:type="dxa"/>
              <w:bottom w:w="80" w:type="dxa"/>
              <w:left w:w="120" w:type="dxa"/>
              <w:right w:w="120" w:type="dxa"/>
            </w:tcMar>
          </w:tcPr>
          <w:p>
            <w:pPr>
              <w:spacing w:before="0" w:after="0"/>
              <w:jc w:val="center"/>
            </w:pPr>
            <w:r>
              <w:rPr>
                <w:rFonts w:ascii="Calibri" w:hAnsi="Calibri"/>
                <w:color w:val="2D3748"/>
                <w:sz w:val="18"/>
              </w:rPr>
              <w:t>CFROA 40.84% vs Med 13.77%</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1 Pto</w:t>
            </w:r>
          </w:p>
        </w:tc>
      </w:tr>
      <w:tr>
        <w:tc>
          <w:tcPr>
            <w:tcW w:type="dxa" w:w="3168"/>
            <w:shd w:fill="FFFFFF"/>
            <w:tcMar>
              <w:top w:w="80" w:type="dxa"/>
              <w:bottom w:w="80" w:type="dxa"/>
              <w:left w:w="120" w:type="dxa"/>
              <w:right w:w="120" w:type="dxa"/>
            </w:tcMar>
          </w:tcPr>
          <w:p>
            <w:pPr>
              <w:spacing w:before="0" w:after="0"/>
              <w:jc w:val="left"/>
            </w:pPr>
            <w:r>
              <w:rPr>
                <w:rFonts w:ascii="Calibri" w:hAnsi="Calibri"/>
                <w:color w:val="2D3748"/>
                <w:sz w:val="18"/>
              </w:rPr>
              <w:t>Calidad Contable (CFO &gt; NI)</w:t>
            </w:r>
          </w:p>
        </w:tc>
        <w:tc>
          <w:tcPr>
            <w:tcW w:type="dxa" w:w="3600"/>
            <w:shd w:fill="FFFFFF"/>
            <w:tcMar>
              <w:top w:w="80" w:type="dxa"/>
              <w:bottom w:w="80" w:type="dxa"/>
              <w:left w:w="120" w:type="dxa"/>
              <w:right w:w="120" w:type="dxa"/>
            </w:tcMar>
          </w:tcPr>
          <w:p>
            <w:pPr>
              <w:spacing w:before="0" w:after="0"/>
              <w:jc w:val="left"/>
            </w:pPr>
            <w:r>
              <w:rPr>
                <w:rFonts w:ascii="Calibri" w:hAnsi="Calibri"/>
                <w:color w:val="2D3748"/>
                <w:sz w:val="18"/>
              </w:rPr>
              <w:t>Flujo de caja operativo superior a las ganancias devengadas.</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CFO $146,724.0M &gt; NI $128,930.0M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1 Pto</w:t>
            </w:r>
          </w:p>
        </w:tc>
      </w:tr>
      <w:tr>
        <w:tc>
          <w:tcPr>
            <w:tcW w:type="dxa" w:w="3168"/>
            <w:shd w:fill="F7FAFC"/>
            <w:tcMar>
              <w:top w:w="80" w:type="dxa"/>
              <w:bottom w:w="80" w:type="dxa"/>
              <w:left w:w="120" w:type="dxa"/>
              <w:right w:w="120" w:type="dxa"/>
            </w:tcMar>
          </w:tcPr>
          <w:p>
            <w:pPr>
              <w:spacing w:before="0" w:after="0"/>
              <w:jc w:val="left"/>
            </w:pPr>
            <w:r>
              <w:rPr>
                <w:rFonts w:ascii="Calibri" w:hAnsi="Calibri"/>
                <w:color w:val="2D3748"/>
                <w:sz w:val="18"/>
              </w:rPr>
              <w:t>Estabilidad / Nivel Superior de ROA</w:t>
            </w:r>
          </w:p>
        </w:tc>
        <w:tc>
          <w:tcPr>
            <w:tcW w:type="dxa" w:w="3600"/>
            <w:shd w:fill="F7FAFC"/>
            <w:tcMar>
              <w:top w:w="80" w:type="dxa"/>
              <w:bottom w:w="80" w:type="dxa"/>
              <w:left w:w="120" w:type="dxa"/>
              <w:right w:w="120" w:type="dxa"/>
            </w:tcMar>
          </w:tcPr>
          <w:p>
            <w:pPr>
              <w:spacing w:before="0" w:after="0"/>
              <w:jc w:val="left"/>
            </w:pPr>
            <w:r>
              <w:rPr>
                <w:rFonts w:ascii="Calibri" w:hAnsi="Calibri"/>
                <w:color w:val="2D3748"/>
                <w:sz w:val="18"/>
              </w:rPr>
              <w:t>Baja volatilidad en rentabilidad o nivel de retorno permanentemente en percentil 75 superior.</w:t>
            </w:r>
          </w:p>
        </w:tc>
        <w:tc>
          <w:tcPr>
            <w:tcW w:type="dxa" w:w="1584"/>
            <w:shd w:fill="F7FAFC"/>
            <w:tcMar>
              <w:top w:w="80" w:type="dxa"/>
              <w:bottom w:w="80" w:type="dxa"/>
              <w:left w:w="120" w:type="dxa"/>
              <w:right w:w="120" w:type="dxa"/>
            </w:tcMar>
          </w:tcPr>
          <w:p>
            <w:pPr>
              <w:spacing w:before="0" w:after="0"/>
              <w:jc w:val="center"/>
            </w:pPr>
            <w:r>
              <w:rPr>
                <w:rFonts w:ascii="Calibri" w:hAnsi="Calibri"/>
                <w:color w:val="2D3748"/>
                <w:sz w:val="18"/>
              </w:rPr>
              <w:t>CV 0.07 &lt; 0.35 (o P75)</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1 Pto</w:t>
            </w:r>
          </w:p>
        </w:tc>
      </w:tr>
      <w:tr>
        <w:tc>
          <w:tcPr>
            <w:tcW w:type="dxa" w:w="3168"/>
            <w:shd w:fill="FFFFFF"/>
            <w:tcMar>
              <w:top w:w="80" w:type="dxa"/>
              <w:bottom w:w="80" w:type="dxa"/>
              <w:left w:w="120" w:type="dxa"/>
              <w:right w:w="120" w:type="dxa"/>
            </w:tcMar>
          </w:tcPr>
          <w:p>
            <w:pPr>
              <w:spacing w:before="0" w:after="0"/>
              <w:jc w:val="left"/>
            </w:pPr>
            <w:r>
              <w:rPr>
                <w:rFonts w:ascii="Calibri" w:hAnsi="Calibri"/>
                <w:color w:val="2D3748"/>
                <w:sz w:val="18"/>
              </w:rPr>
              <w:t>Estabilidad / Aceleración de Ventas</w:t>
            </w:r>
          </w:p>
        </w:tc>
        <w:tc>
          <w:tcPr>
            <w:tcW w:type="dxa" w:w="3600"/>
            <w:shd w:fill="FFFFFF"/>
            <w:tcMar>
              <w:top w:w="80" w:type="dxa"/>
              <w:bottom w:w="80" w:type="dxa"/>
              <w:left w:w="120" w:type="dxa"/>
              <w:right w:w="120" w:type="dxa"/>
            </w:tcMar>
          </w:tcPr>
          <w:p>
            <w:pPr>
              <w:spacing w:before="0" w:after="0"/>
              <w:jc w:val="left"/>
            </w:pPr>
            <w:r>
              <w:rPr>
                <w:rFonts w:ascii="Calibri" w:hAnsi="Calibri"/>
                <w:color w:val="2D3748"/>
                <w:sz w:val="18"/>
              </w:rPr>
              <w:t>Trayectoria predecible de ingresos o expansión acelerada superior al 20% anual.</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CV 1.43 vs 0.40</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0 Ptos</w:t>
            </w:r>
          </w:p>
        </w:tc>
      </w:tr>
      <w:tr>
        <w:tc>
          <w:tcPr>
            <w:tcW w:type="dxa" w:w="3168"/>
            <w:shd w:fill="F7FAFC"/>
            <w:tcMar>
              <w:top w:w="80" w:type="dxa"/>
              <w:bottom w:w="80" w:type="dxa"/>
              <w:left w:w="120" w:type="dxa"/>
              <w:right w:w="120" w:type="dxa"/>
            </w:tcMar>
          </w:tcPr>
          <w:p>
            <w:pPr>
              <w:spacing w:before="0" w:after="0"/>
              <w:jc w:val="left"/>
            </w:pPr>
            <w:r>
              <w:rPr>
                <w:rFonts w:ascii="Calibri" w:hAnsi="Calibri"/>
                <w:color w:val="2D3748"/>
                <w:sz w:val="18"/>
              </w:rPr>
              <w:t>Intensidad en I+D vs Sector</w:t>
            </w:r>
          </w:p>
        </w:tc>
        <w:tc>
          <w:tcPr>
            <w:tcW w:type="dxa" w:w="3600"/>
            <w:shd w:fill="F7FAFC"/>
            <w:tcMar>
              <w:top w:w="80" w:type="dxa"/>
              <w:bottom w:w="80" w:type="dxa"/>
              <w:left w:w="120" w:type="dxa"/>
              <w:right w:w="120" w:type="dxa"/>
            </w:tcMar>
          </w:tcPr>
          <w:p>
            <w:pPr>
              <w:spacing w:before="0" w:after="0"/>
              <w:jc w:val="left"/>
            </w:pPr>
            <w:r>
              <w:rPr>
                <w:rFonts w:ascii="Calibri" w:hAnsi="Calibri"/>
                <w:color w:val="2D3748"/>
                <w:sz w:val="18"/>
              </w:rPr>
              <w:t>Reinversión en investigación y desarrollo para fortalecer ventajas competitivas (moats).</w:t>
            </w:r>
          </w:p>
        </w:tc>
        <w:tc>
          <w:tcPr>
            <w:tcW w:type="dxa" w:w="1584"/>
            <w:shd w:fill="F7FAFC"/>
            <w:tcMar>
              <w:top w:w="80" w:type="dxa"/>
              <w:bottom w:w="80" w:type="dxa"/>
              <w:left w:w="120" w:type="dxa"/>
              <w:right w:w="120" w:type="dxa"/>
            </w:tcMar>
          </w:tcPr>
          <w:p>
            <w:pPr>
              <w:spacing w:before="0" w:after="0"/>
              <w:jc w:val="center"/>
            </w:pPr>
            <w:r>
              <w:rPr>
                <w:rFonts w:ascii="Calibri" w:hAnsi="Calibri"/>
                <w:color w:val="2D3748"/>
                <w:sz w:val="18"/>
              </w:rPr>
              <w:t>I+D 11.94% vs Med 6.00%</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1 Pto</w:t>
            </w:r>
          </w:p>
        </w:tc>
      </w:tr>
      <w:tr>
        <w:tc>
          <w:tcPr>
            <w:tcW w:type="dxa" w:w="3168"/>
            <w:shd w:fill="FFFFFF"/>
            <w:tcMar>
              <w:top w:w="80" w:type="dxa"/>
              <w:bottom w:w="80" w:type="dxa"/>
              <w:left w:w="120" w:type="dxa"/>
              <w:right w:w="120" w:type="dxa"/>
            </w:tcMar>
          </w:tcPr>
          <w:p>
            <w:pPr>
              <w:spacing w:before="0" w:after="0"/>
              <w:jc w:val="left"/>
            </w:pPr>
            <w:r>
              <w:rPr>
                <w:rFonts w:ascii="Calibri" w:hAnsi="Calibri"/>
                <w:color w:val="2D3748"/>
                <w:sz w:val="18"/>
              </w:rPr>
              <w:t>Reinversión de Capital / Asset-Light</w:t>
            </w:r>
          </w:p>
        </w:tc>
        <w:tc>
          <w:tcPr>
            <w:tcW w:type="dxa" w:w="3600"/>
            <w:shd w:fill="FFFFFF"/>
            <w:tcMar>
              <w:top w:w="80" w:type="dxa"/>
              <w:bottom w:w="80" w:type="dxa"/>
              <w:left w:w="120" w:type="dxa"/>
              <w:right w:w="120" w:type="dxa"/>
            </w:tcMar>
          </w:tcPr>
          <w:p>
            <w:pPr>
              <w:spacing w:before="0" w:after="0"/>
              <w:jc w:val="left"/>
            </w:pPr>
            <w:r>
              <w:rPr>
                <w:rFonts w:ascii="Calibri" w:hAnsi="Calibri"/>
                <w:color w:val="2D3748"/>
                <w:sz w:val="18"/>
              </w:rPr>
              <w:t>Tasa de Inversión Total en Crecimiento (I+D + CapEx) para modelos ligeros en activos.</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Reinv 14.74% vs Med 9.43%</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1 Pto</w:t>
            </w:r>
          </w:p>
        </w:tc>
      </w:tr>
      <w:tr>
        <w:tc>
          <w:tcPr>
            <w:tcW w:type="dxa" w:w="3168"/>
            <w:shd w:fill="F7FAFC"/>
            <w:tcMar>
              <w:top w:w="80" w:type="dxa"/>
              <w:bottom w:w="80" w:type="dxa"/>
              <w:left w:w="120" w:type="dxa"/>
              <w:right w:w="120" w:type="dxa"/>
            </w:tcMar>
          </w:tcPr>
          <w:p>
            <w:pPr>
              <w:spacing w:before="0" w:after="0"/>
              <w:jc w:val="left"/>
            </w:pPr>
            <w:r>
              <w:rPr>
                <w:rFonts w:ascii="Calibri" w:hAnsi="Calibri"/>
                <w:color w:val="2D3748"/>
                <w:sz w:val="18"/>
              </w:rPr>
              <w:t>Apalancamiento Comercial (SG&amp;A)</w:t>
            </w:r>
          </w:p>
        </w:tc>
        <w:tc>
          <w:tcPr>
            <w:tcW w:type="dxa" w:w="3600"/>
            <w:shd w:fill="F7FAFC"/>
            <w:tcMar>
              <w:top w:w="80" w:type="dxa"/>
              <w:bottom w:w="80" w:type="dxa"/>
              <w:left w:w="120" w:type="dxa"/>
              <w:right w:w="120" w:type="dxa"/>
            </w:tcMar>
          </w:tcPr>
          <w:p>
            <w:pPr>
              <w:spacing w:before="0" w:after="0"/>
              <w:jc w:val="left"/>
            </w:pPr>
            <w:r>
              <w:rPr>
                <w:rFonts w:ascii="Calibri" w:hAnsi="Calibri"/>
                <w:color w:val="2D3748"/>
                <w:sz w:val="18"/>
              </w:rPr>
              <w:t>Eficiencia comercial: ingresos escalan con mayor dinamismo que los gastos administrativos y de ventas.</w:t>
            </w:r>
          </w:p>
        </w:tc>
        <w:tc>
          <w:tcPr>
            <w:tcW w:type="dxa" w:w="1584"/>
            <w:shd w:fill="F7FAFC"/>
            <w:tcMar>
              <w:top w:w="80" w:type="dxa"/>
              <w:bottom w:w="80" w:type="dxa"/>
              <w:left w:w="120" w:type="dxa"/>
              <w:right w:w="120" w:type="dxa"/>
            </w:tcMar>
          </w:tcPr>
          <w:p>
            <w:pPr>
              <w:spacing w:before="0" w:after="0"/>
              <w:jc w:val="center"/>
            </w:pPr>
            <w:r>
              <w:rPr>
                <w:rFonts w:ascii="Calibri" w:hAnsi="Calibri"/>
                <w:color w:val="2D3748"/>
                <w:sz w:val="18"/>
              </w:rPr>
              <w:t>Vtas +12.2% vs SG&amp;A +6.4%</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1 Pto</w:t>
            </w:r>
          </w:p>
        </w:tc>
      </w:tr>
    </w:tbl>
    <w:p>
      <w:pPr>
        <w:spacing w:after="120"/>
      </w:pPr>
    </w:p>
    <w:p>
      <w:pPr>
        <w:keepNext/>
        <w:spacing w:before="200" w:after="80"/>
      </w:pPr>
      <w:r>
        <w:rPr>
          <w:rFonts w:ascii="Calibri" w:hAnsi="Calibri"/>
          <w:b/>
          <w:color w:val="4A5568"/>
          <w:sz w:val="22"/>
        </w:rPr>
        <w:t>9.3. Benchmarking Competitivo del Sector Hardware (SIC 3571) &amp; Medianas Oficiales</w:t>
      </w:r>
    </w:p>
    <w:p>
      <w:pPr>
        <w:spacing w:before="40" w:after="80" w:line="276" w:lineRule="auto"/>
      </w:pPr>
      <w:r>
        <w:rPr>
          <w:rFonts w:ascii="Calibri" w:hAnsi="Calibri"/>
          <w:i w:val="0"/>
          <w:color w:val="2D3748"/>
          <w:sz w:val="20"/>
        </w:rPr>
        <w:t>A continuación se auditan las cifras financieras comparables en base a los últimos 12 meses (LTM) auditados de la industria, a partir de las cuales se deducen las medianas y percentiles que alimentan el scoring de calidad, productividad del capital y resiliencia fundamental:</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1088"/>
        <w:gridCol w:w="1088"/>
        <w:gridCol w:w="1088"/>
        <w:gridCol w:w="1088"/>
        <w:gridCol w:w="1088"/>
        <w:gridCol w:w="1088"/>
        <w:gridCol w:w="1088"/>
        <w:gridCol w:w="1088"/>
        <w:gridCol w:w="1088"/>
      </w:tblGrid>
      <w:tr>
        <w:tc>
          <w:tcPr>
            <w:tcW w:type="dxa" w:w="1008"/>
            <w:shd w:fill="1B365D"/>
            <w:tcMar>
              <w:top w:w="100" w:type="dxa"/>
              <w:bottom w:w="100" w:type="dxa"/>
              <w:left w:w="120" w:type="dxa"/>
              <w:right w:w="120" w:type="dxa"/>
            </w:tcMar>
          </w:tcPr>
          <w:p>
            <w:pPr>
              <w:spacing w:before="0" w:after="0"/>
              <w:jc w:val="center"/>
            </w:pPr>
            <w:r>
              <w:rPr>
                <w:rFonts w:ascii="Calibri" w:hAnsi="Calibri"/>
                <w:b/>
                <w:color w:val="FFFFFF"/>
                <w:sz w:val="19"/>
              </w:rPr>
              <w:t>Ticker</w:t>
            </w:r>
          </w:p>
        </w:tc>
        <w:tc>
          <w:tcPr>
            <w:tcW w:type="dxa" w:w="2160"/>
            <w:shd w:fill="1B365D"/>
            <w:tcMar>
              <w:top w:w="100" w:type="dxa"/>
              <w:bottom w:w="100" w:type="dxa"/>
              <w:left w:w="120" w:type="dxa"/>
              <w:right w:w="120" w:type="dxa"/>
            </w:tcMar>
          </w:tcPr>
          <w:p>
            <w:pPr>
              <w:spacing w:before="0" w:after="0"/>
              <w:jc w:val="left"/>
            </w:pPr>
            <w:r>
              <w:rPr>
                <w:rFonts w:ascii="Calibri" w:hAnsi="Calibri"/>
                <w:b/>
                <w:color w:val="FFFFFF"/>
                <w:sz w:val="19"/>
              </w:rPr>
              <w:t>Compañía</w:t>
            </w:r>
          </w:p>
        </w:tc>
        <w:tc>
          <w:tcPr>
            <w:tcW w:type="dxa" w:w="1296"/>
            <w:shd w:fill="1B365D"/>
            <w:tcMar>
              <w:top w:w="100" w:type="dxa"/>
              <w:bottom w:w="100" w:type="dxa"/>
              <w:left w:w="120" w:type="dxa"/>
              <w:right w:w="120" w:type="dxa"/>
            </w:tcMar>
          </w:tcPr>
          <w:p>
            <w:pPr>
              <w:spacing w:before="0" w:after="0"/>
              <w:jc w:val="right"/>
            </w:pPr>
            <w:r>
              <w:rPr>
                <w:rFonts w:ascii="Calibri" w:hAnsi="Calibri"/>
                <w:b/>
                <w:color w:val="FFFFFF"/>
                <w:sz w:val="19"/>
              </w:rPr>
              <w:t>Ventas ($M)</w:t>
            </w:r>
          </w:p>
        </w:tc>
        <w:tc>
          <w:tcPr>
            <w:tcW w:type="dxa" w:w="1008"/>
            <w:shd w:fill="1B365D"/>
            <w:tcMar>
              <w:top w:w="100" w:type="dxa"/>
              <w:bottom w:w="100" w:type="dxa"/>
              <w:left w:w="120" w:type="dxa"/>
              <w:right w:w="120" w:type="dxa"/>
            </w:tcMar>
          </w:tcPr>
          <w:p>
            <w:pPr>
              <w:spacing w:before="0" w:after="0"/>
              <w:jc w:val="right"/>
            </w:pPr>
            <w:r>
              <w:rPr>
                <w:rFonts w:ascii="Calibri" w:hAnsi="Calibri"/>
                <w:b/>
                <w:color w:val="FFFFFF"/>
                <w:sz w:val="19"/>
              </w:rPr>
              <w:t>Margen Bruto</w:t>
            </w:r>
          </w:p>
        </w:tc>
        <w:tc>
          <w:tcPr>
            <w:tcW w:type="dxa" w:w="1008"/>
            <w:shd w:fill="1B365D"/>
            <w:tcMar>
              <w:top w:w="100" w:type="dxa"/>
              <w:bottom w:w="100" w:type="dxa"/>
              <w:left w:w="120" w:type="dxa"/>
              <w:right w:w="120" w:type="dxa"/>
            </w:tcMar>
          </w:tcPr>
          <w:p>
            <w:pPr>
              <w:spacing w:before="0" w:after="0"/>
              <w:jc w:val="right"/>
            </w:pPr>
            <w:r>
              <w:rPr>
                <w:rFonts w:ascii="Calibri" w:hAnsi="Calibri"/>
                <w:b/>
                <w:color w:val="FFFFFF"/>
                <w:sz w:val="19"/>
              </w:rPr>
              <w:t>Margen EBIT</w:t>
            </w:r>
          </w:p>
        </w:tc>
        <w:tc>
          <w:tcPr>
            <w:tcW w:type="dxa" w:w="1008"/>
            <w:shd w:fill="1B365D"/>
            <w:tcMar>
              <w:top w:w="100" w:type="dxa"/>
              <w:bottom w:w="100" w:type="dxa"/>
              <w:left w:w="120" w:type="dxa"/>
              <w:right w:w="120" w:type="dxa"/>
            </w:tcMar>
          </w:tcPr>
          <w:p>
            <w:pPr>
              <w:spacing w:before="0" w:after="0"/>
              <w:jc w:val="right"/>
            </w:pPr>
            <w:r>
              <w:rPr>
                <w:rFonts w:ascii="Calibri" w:hAnsi="Calibri"/>
                <w:b/>
                <w:color w:val="FFFFFF"/>
                <w:sz w:val="19"/>
              </w:rPr>
              <w:t>ROIC Intang.</w:t>
            </w:r>
          </w:p>
        </w:tc>
        <w:tc>
          <w:tcPr>
            <w:tcW w:type="dxa" w:w="1152"/>
            <w:shd w:fill="1B365D"/>
            <w:tcMar>
              <w:top w:w="100" w:type="dxa"/>
              <w:bottom w:w="100" w:type="dxa"/>
              <w:left w:w="120" w:type="dxa"/>
              <w:right w:w="120" w:type="dxa"/>
            </w:tcMar>
          </w:tcPr>
          <w:p>
            <w:pPr>
              <w:spacing w:before="0" w:after="0"/>
              <w:jc w:val="right"/>
            </w:pPr>
            <w:r>
              <w:rPr>
                <w:rFonts w:ascii="Calibri" w:hAnsi="Calibri"/>
                <w:b/>
                <w:color w:val="FFFFFF"/>
                <w:sz w:val="19"/>
              </w:rPr>
              <w:t>Novy-Marx GP/A (%)</w:t>
            </w:r>
          </w:p>
        </w:tc>
        <w:tc>
          <w:tcPr>
            <w:tcW w:type="dxa" w:w="720"/>
            <w:shd w:fill="1B365D"/>
            <w:tcMar>
              <w:top w:w="100" w:type="dxa"/>
              <w:bottom w:w="100" w:type="dxa"/>
              <w:left w:w="120" w:type="dxa"/>
              <w:right w:w="120" w:type="dxa"/>
            </w:tcMar>
          </w:tcPr>
          <w:p>
            <w:pPr>
              <w:spacing w:before="0" w:after="0"/>
              <w:jc w:val="center"/>
            </w:pPr>
            <w:r>
              <w:rPr>
                <w:rFonts w:ascii="Calibri" w:hAnsi="Calibri"/>
                <w:b/>
                <w:color w:val="FFFFFF"/>
                <w:sz w:val="19"/>
              </w:rPr>
              <w:t>F-Score</w:t>
            </w:r>
          </w:p>
        </w:tc>
        <w:tc>
          <w:tcPr>
            <w:tcW w:type="dxa" w:w="720"/>
            <w:shd w:fill="1B365D"/>
            <w:tcMar>
              <w:top w:w="100" w:type="dxa"/>
              <w:bottom w:w="100" w:type="dxa"/>
              <w:left w:w="120" w:type="dxa"/>
              <w:right w:w="120" w:type="dxa"/>
            </w:tcMar>
          </w:tcPr>
          <w:p>
            <w:pPr>
              <w:spacing w:before="0" w:after="0"/>
              <w:jc w:val="center"/>
            </w:pPr>
            <w:r>
              <w:rPr>
                <w:rFonts w:ascii="Calibri" w:hAnsi="Calibri"/>
                <w:b/>
                <w:color w:val="FFFFFF"/>
                <w:sz w:val="19"/>
              </w:rPr>
              <w:t>G-Score</w:t>
            </w:r>
          </w:p>
        </w:tc>
      </w:tr>
      <w:tr>
        <w:tc>
          <w:tcPr>
            <w:tcW w:type="dxa" w:w="1008"/>
            <w:shd w:fill="FFFFFF"/>
            <w:tcMar>
              <w:top w:w="80" w:type="dxa"/>
              <w:bottom w:w="80" w:type="dxa"/>
              <w:left w:w="120" w:type="dxa"/>
              <w:right w:w="120" w:type="dxa"/>
            </w:tcMar>
          </w:tcPr>
          <w:p>
            <w:pPr>
              <w:spacing w:before="0" w:after="0"/>
              <w:jc w:val="center"/>
            </w:pPr>
            <w:r>
              <w:rPr>
                <w:rFonts w:ascii="Calibri" w:hAnsi="Calibri"/>
                <w:color w:val="2D3748"/>
                <w:sz w:val="18"/>
              </w:rPr>
              <w:t>AAPL</w:t>
            </w:r>
          </w:p>
        </w:tc>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Apple Inc.</w:t>
            </w:r>
          </w:p>
        </w:tc>
        <w:tc>
          <w:tcPr>
            <w:tcW w:type="dxa" w:w="1296"/>
            <w:shd w:fill="FFFFFF"/>
            <w:tcMar>
              <w:top w:w="80" w:type="dxa"/>
              <w:bottom w:w="80" w:type="dxa"/>
              <w:left w:w="120" w:type="dxa"/>
              <w:right w:w="120" w:type="dxa"/>
            </w:tcMar>
          </w:tcPr>
          <w:p>
            <w:pPr>
              <w:spacing w:before="0" w:after="0"/>
              <w:jc w:val="right"/>
            </w:pPr>
            <w:r>
              <w:rPr>
                <w:rFonts w:ascii="Calibri" w:hAnsi="Calibri"/>
                <w:color w:val="2D3748"/>
                <w:sz w:val="18"/>
              </w:rPr>
              <w:t>$466,823 M</w:t>
            </w:r>
          </w:p>
        </w:tc>
        <w:tc>
          <w:tcPr>
            <w:tcW w:type="dxa" w:w="1008"/>
            <w:shd w:fill="FFFFFF"/>
            <w:tcMar>
              <w:top w:w="80" w:type="dxa"/>
              <w:bottom w:w="80" w:type="dxa"/>
              <w:left w:w="120" w:type="dxa"/>
              <w:right w:w="120" w:type="dxa"/>
            </w:tcMar>
          </w:tcPr>
          <w:p>
            <w:pPr>
              <w:spacing w:before="0" w:after="0"/>
              <w:jc w:val="right"/>
            </w:pPr>
            <w:r>
              <w:rPr>
                <w:rFonts w:ascii="Calibri" w:hAnsi="Calibri"/>
                <w:color w:val="2D3748"/>
                <w:sz w:val="18"/>
              </w:rPr>
              <w:t>50.1%</w:t>
            </w:r>
          </w:p>
        </w:tc>
        <w:tc>
          <w:tcPr>
            <w:tcW w:type="dxa" w:w="1008"/>
            <w:shd w:fill="FFFFFF"/>
            <w:tcMar>
              <w:top w:w="80" w:type="dxa"/>
              <w:bottom w:w="80" w:type="dxa"/>
              <w:left w:w="120" w:type="dxa"/>
              <w:right w:w="120" w:type="dxa"/>
            </w:tcMar>
          </w:tcPr>
          <w:p>
            <w:pPr>
              <w:spacing w:before="0" w:after="0"/>
              <w:jc w:val="right"/>
            </w:pPr>
            <w:r>
              <w:rPr>
                <w:rFonts w:ascii="Calibri" w:hAnsi="Calibri"/>
                <w:color w:val="2D3748"/>
                <w:sz w:val="18"/>
              </w:rPr>
              <w:t>32.6%</w:t>
            </w:r>
          </w:p>
        </w:tc>
        <w:tc>
          <w:tcPr>
            <w:tcW w:type="dxa" w:w="1008"/>
            <w:shd w:fill="FFFFFF"/>
            <w:tcMar>
              <w:top w:w="80" w:type="dxa"/>
              <w:bottom w:w="80" w:type="dxa"/>
              <w:left w:w="120" w:type="dxa"/>
              <w:right w:w="120" w:type="dxa"/>
            </w:tcMar>
          </w:tcPr>
          <w:p>
            <w:pPr>
              <w:spacing w:before="0" w:after="0"/>
              <w:jc w:val="right"/>
            </w:pPr>
            <w:r>
              <w:rPr>
                <w:rFonts w:ascii="Calibri" w:hAnsi="Calibri"/>
                <w:color w:val="2D3748"/>
                <w:sz w:val="18"/>
              </w:rPr>
              <w:t>42.8%</w:t>
            </w:r>
          </w:p>
        </w:tc>
        <w:tc>
          <w:tcPr>
            <w:tcW w:type="dxa" w:w="1152"/>
            <w:shd w:fill="FFFFFF"/>
            <w:tcMar>
              <w:top w:w="80" w:type="dxa"/>
              <w:bottom w:w="80" w:type="dxa"/>
              <w:left w:w="120" w:type="dxa"/>
              <w:right w:w="120" w:type="dxa"/>
            </w:tcMar>
          </w:tcPr>
          <w:p>
            <w:pPr>
              <w:spacing w:before="0" w:after="0"/>
              <w:jc w:val="right"/>
            </w:pPr>
            <w:r>
              <w:rPr>
                <w:rFonts w:ascii="Calibri" w:hAnsi="Calibri"/>
                <w:color w:val="2D3748"/>
                <w:sz w:val="18"/>
              </w:rPr>
              <w:t>59.3%</w:t>
            </w:r>
          </w:p>
        </w:tc>
        <w:tc>
          <w:tcPr>
            <w:tcW w:type="dxa" w:w="720"/>
            <w:shd w:fill="FFFFFF"/>
            <w:tcMar>
              <w:top w:w="80" w:type="dxa"/>
              <w:bottom w:w="80" w:type="dxa"/>
              <w:left w:w="120" w:type="dxa"/>
              <w:right w:w="120" w:type="dxa"/>
            </w:tcMar>
          </w:tcPr>
          <w:p>
            <w:pPr>
              <w:spacing w:before="0" w:after="0"/>
              <w:jc w:val="center"/>
            </w:pPr>
            <w:r>
              <w:rPr>
                <w:rFonts w:ascii="Calibri" w:hAnsi="Calibri"/>
                <w:color w:val="2D3748"/>
                <w:sz w:val="18"/>
              </w:rPr>
              <w:t>9 / 9</w:t>
            </w:r>
          </w:p>
        </w:tc>
        <w:tc>
          <w:tcPr>
            <w:tcW w:type="dxa" w:w="720"/>
            <w:shd w:fill="FFFFFF"/>
            <w:tcMar>
              <w:top w:w="80" w:type="dxa"/>
              <w:bottom w:w="80" w:type="dxa"/>
              <w:left w:w="120" w:type="dxa"/>
              <w:right w:w="120" w:type="dxa"/>
            </w:tcMar>
          </w:tcPr>
          <w:p>
            <w:pPr>
              <w:spacing w:before="0" w:after="0"/>
              <w:jc w:val="center"/>
            </w:pPr>
            <w:r>
              <w:rPr>
                <w:rFonts w:ascii="Calibri" w:hAnsi="Calibri"/>
                <w:color w:val="2D3748"/>
                <w:sz w:val="18"/>
              </w:rPr>
              <w:t>7 / 8</w:t>
            </w:r>
          </w:p>
        </w:tc>
      </w:tr>
      <w:tr>
        <w:tc>
          <w:tcPr>
            <w:tcW w:type="dxa" w:w="1008"/>
            <w:shd w:fill="F7FAFC"/>
            <w:tcMar>
              <w:top w:w="80" w:type="dxa"/>
              <w:bottom w:w="80" w:type="dxa"/>
              <w:left w:w="120" w:type="dxa"/>
              <w:right w:w="120" w:type="dxa"/>
            </w:tcMar>
          </w:tcPr>
          <w:p>
            <w:pPr>
              <w:spacing w:before="0" w:after="0"/>
              <w:jc w:val="center"/>
            </w:pPr>
            <w:r>
              <w:rPr>
                <w:rFonts w:ascii="Calibri" w:hAnsi="Calibri"/>
                <w:color w:val="2D3748"/>
                <w:sz w:val="18"/>
              </w:rPr>
              <w:t>HPQ</w:t>
            </w:r>
          </w:p>
        </w:tc>
        <w:tc>
          <w:tcPr>
            <w:tcW w:type="dxa" w:w="2160"/>
            <w:shd w:fill="F7FAFC"/>
            <w:tcMar>
              <w:top w:w="80" w:type="dxa"/>
              <w:bottom w:w="80" w:type="dxa"/>
              <w:left w:w="120" w:type="dxa"/>
              <w:right w:w="120" w:type="dxa"/>
            </w:tcMar>
          </w:tcPr>
          <w:p>
            <w:pPr>
              <w:spacing w:before="0" w:after="0"/>
              <w:jc w:val="left"/>
            </w:pPr>
            <w:r>
              <w:rPr>
                <w:rFonts w:ascii="Calibri" w:hAnsi="Calibri"/>
                <w:color w:val="2D3748"/>
                <w:sz w:val="18"/>
              </w:rPr>
              <w:t>HP Inc.</w:t>
            </w:r>
          </w:p>
        </w:tc>
        <w:tc>
          <w:tcPr>
            <w:tcW w:type="dxa" w:w="1296"/>
            <w:shd w:fill="F7FAFC"/>
            <w:tcMar>
              <w:top w:w="80" w:type="dxa"/>
              <w:bottom w:w="80" w:type="dxa"/>
              <w:left w:w="120" w:type="dxa"/>
              <w:right w:w="120" w:type="dxa"/>
            </w:tcMar>
          </w:tcPr>
          <w:p>
            <w:pPr>
              <w:spacing w:before="0" w:after="0"/>
              <w:jc w:val="right"/>
            </w:pPr>
            <w:r>
              <w:rPr>
                <w:rFonts w:ascii="Calibri" w:hAnsi="Calibri"/>
                <w:color w:val="2D3748"/>
                <w:sz w:val="18"/>
              </w:rPr>
              <w:t>$59,162 M</w:t>
            </w:r>
          </w:p>
        </w:tc>
        <w:tc>
          <w:tcPr>
            <w:tcW w:type="dxa" w:w="1008"/>
            <w:shd w:fill="F7FAFC"/>
            <w:tcMar>
              <w:top w:w="80" w:type="dxa"/>
              <w:bottom w:w="80" w:type="dxa"/>
              <w:left w:w="120" w:type="dxa"/>
              <w:right w:w="120" w:type="dxa"/>
            </w:tcMar>
          </w:tcPr>
          <w:p>
            <w:pPr>
              <w:spacing w:before="0" w:after="0"/>
              <w:jc w:val="right"/>
            </w:pPr>
            <w:r>
              <w:rPr>
                <w:rFonts w:ascii="Calibri" w:hAnsi="Calibri"/>
                <w:color w:val="2D3748"/>
                <w:sz w:val="18"/>
              </w:rPr>
              <w:t>21.8%</w:t>
            </w:r>
          </w:p>
        </w:tc>
        <w:tc>
          <w:tcPr>
            <w:tcW w:type="dxa" w:w="1008"/>
            <w:shd w:fill="F7FAFC"/>
            <w:tcMar>
              <w:top w:w="80" w:type="dxa"/>
              <w:bottom w:w="80" w:type="dxa"/>
              <w:left w:w="120" w:type="dxa"/>
              <w:right w:w="120" w:type="dxa"/>
            </w:tcMar>
          </w:tcPr>
          <w:p>
            <w:pPr>
              <w:spacing w:before="0" w:after="0"/>
              <w:jc w:val="right"/>
            </w:pPr>
            <w:r>
              <w:rPr>
                <w:rFonts w:ascii="Calibri" w:hAnsi="Calibri"/>
                <w:color w:val="2D3748"/>
                <w:sz w:val="18"/>
              </w:rPr>
              <w:t>7.9%</w:t>
            </w:r>
          </w:p>
        </w:tc>
        <w:tc>
          <w:tcPr>
            <w:tcW w:type="dxa" w:w="1008"/>
            <w:shd w:fill="F7FAFC"/>
            <w:tcMar>
              <w:top w:w="80" w:type="dxa"/>
              <w:bottom w:w="80" w:type="dxa"/>
              <w:left w:w="120" w:type="dxa"/>
              <w:right w:w="120" w:type="dxa"/>
            </w:tcMar>
          </w:tcPr>
          <w:p>
            <w:pPr>
              <w:spacing w:before="0" w:after="0"/>
              <w:jc w:val="right"/>
            </w:pPr>
            <w:r>
              <w:rPr>
                <w:rFonts w:ascii="Calibri" w:hAnsi="Calibri"/>
                <w:color w:val="2D3748"/>
                <w:sz w:val="18"/>
              </w:rPr>
              <w:t>14.5%</w:t>
            </w:r>
          </w:p>
        </w:tc>
        <w:tc>
          <w:tcPr>
            <w:tcW w:type="dxa" w:w="1152"/>
            <w:shd w:fill="F7FAFC"/>
            <w:tcMar>
              <w:top w:w="80" w:type="dxa"/>
              <w:bottom w:w="80" w:type="dxa"/>
              <w:left w:w="120" w:type="dxa"/>
              <w:right w:w="120" w:type="dxa"/>
            </w:tcMar>
          </w:tcPr>
          <w:p>
            <w:pPr>
              <w:spacing w:before="0" w:after="0"/>
              <w:jc w:val="right"/>
            </w:pPr>
            <w:r>
              <w:rPr>
                <w:rFonts w:ascii="Calibri" w:hAnsi="Calibri"/>
                <w:color w:val="2D3748"/>
                <w:sz w:val="18"/>
              </w:rPr>
              <w:t>22.0%</w:t>
            </w:r>
          </w:p>
        </w:tc>
        <w:tc>
          <w:tcPr>
            <w:tcW w:type="dxa" w:w="720"/>
            <w:shd w:fill="F7FAFC"/>
            <w:tcMar>
              <w:top w:w="80" w:type="dxa"/>
              <w:bottom w:w="80" w:type="dxa"/>
              <w:left w:w="120" w:type="dxa"/>
              <w:right w:w="120" w:type="dxa"/>
            </w:tcMar>
          </w:tcPr>
          <w:p>
            <w:pPr>
              <w:spacing w:before="0" w:after="0"/>
              <w:jc w:val="center"/>
            </w:pPr>
            <w:r>
              <w:rPr>
                <w:rFonts w:ascii="Calibri" w:hAnsi="Calibri"/>
                <w:color w:val="2D3748"/>
                <w:sz w:val="18"/>
              </w:rPr>
              <w:t>6 / 9</w:t>
            </w:r>
          </w:p>
        </w:tc>
        <w:tc>
          <w:tcPr>
            <w:tcW w:type="dxa" w:w="720"/>
            <w:shd w:fill="F7FAFC"/>
            <w:tcMar>
              <w:top w:w="80" w:type="dxa"/>
              <w:bottom w:w="80" w:type="dxa"/>
              <w:left w:w="120" w:type="dxa"/>
              <w:right w:w="120" w:type="dxa"/>
            </w:tcMar>
          </w:tcPr>
          <w:p>
            <w:pPr>
              <w:spacing w:before="0" w:after="0"/>
              <w:jc w:val="center"/>
            </w:pPr>
            <w:r>
              <w:rPr>
                <w:rFonts w:ascii="Calibri" w:hAnsi="Calibri"/>
                <w:color w:val="2D3748"/>
                <w:sz w:val="18"/>
              </w:rPr>
              <w:t>4 / 8</w:t>
            </w:r>
          </w:p>
        </w:tc>
      </w:tr>
      <w:tr>
        <w:tc>
          <w:tcPr>
            <w:tcW w:type="dxa" w:w="1008"/>
            <w:shd w:fill="FFFFFF"/>
            <w:tcMar>
              <w:top w:w="80" w:type="dxa"/>
              <w:bottom w:w="80" w:type="dxa"/>
              <w:left w:w="120" w:type="dxa"/>
              <w:right w:w="120" w:type="dxa"/>
            </w:tcMar>
          </w:tcPr>
          <w:p>
            <w:pPr>
              <w:spacing w:before="0" w:after="0"/>
              <w:jc w:val="center"/>
            </w:pPr>
            <w:r>
              <w:rPr>
                <w:rFonts w:ascii="Calibri" w:hAnsi="Calibri"/>
                <w:color w:val="2D3748"/>
                <w:sz w:val="18"/>
              </w:rPr>
              <w:t>DELL</w:t>
            </w:r>
          </w:p>
        </w:tc>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Dell Technologies</w:t>
            </w:r>
          </w:p>
        </w:tc>
        <w:tc>
          <w:tcPr>
            <w:tcW w:type="dxa" w:w="1296"/>
            <w:shd w:fill="FFFFFF"/>
            <w:tcMar>
              <w:top w:w="80" w:type="dxa"/>
              <w:bottom w:w="80" w:type="dxa"/>
              <w:left w:w="120" w:type="dxa"/>
              <w:right w:w="120" w:type="dxa"/>
            </w:tcMar>
          </w:tcPr>
          <w:p>
            <w:pPr>
              <w:spacing w:before="0" w:after="0"/>
              <w:jc w:val="right"/>
            </w:pPr>
            <w:r>
              <w:rPr>
                <w:rFonts w:ascii="Calibri" w:hAnsi="Calibri"/>
                <w:color w:val="2D3748"/>
                <w:sz w:val="18"/>
              </w:rPr>
              <w:t>$151,197 M</w:t>
            </w:r>
          </w:p>
        </w:tc>
        <w:tc>
          <w:tcPr>
            <w:tcW w:type="dxa" w:w="1008"/>
            <w:shd w:fill="FFFFFF"/>
            <w:tcMar>
              <w:top w:w="80" w:type="dxa"/>
              <w:bottom w:w="80" w:type="dxa"/>
              <w:left w:w="120" w:type="dxa"/>
              <w:right w:w="120" w:type="dxa"/>
            </w:tcMar>
          </w:tcPr>
          <w:p>
            <w:pPr>
              <w:spacing w:before="0" w:after="0"/>
              <w:jc w:val="right"/>
            </w:pPr>
            <w:r>
              <w:rPr>
                <w:rFonts w:ascii="Calibri" w:hAnsi="Calibri"/>
                <w:color w:val="2D3748"/>
                <w:sz w:val="18"/>
              </w:rPr>
              <w:t>23.4%</w:t>
            </w:r>
          </w:p>
        </w:tc>
        <w:tc>
          <w:tcPr>
            <w:tcW w:type="dxa" w:w="1008"/>
            <w:shd w:fill="FFFFFF"/>
            <w:tcMar>
              <w:top w:w="80" w:type="dxa"/>
              <w:bottom w:w="80" w:type="dxa"/>
              <w:left w:w="120" w:type="dxa"/>
              <w:right w:w="120" w:type="dxa"/>
            </w:tcMar>
          </w:tcPr>
          <w:p>
            <w:pPr>
              <w:spacing w:before="0" w:after="0"/>
              <w:jc w:val="right"/>
            </w:pPr>
            <w:r>
              <w:rPr>
                <w:rFonts w:ascii="Calibri" w:hAnsi="Calibri"/>
                <w:color w:val="2D3748"/>
                <w:sz w:val="18"/>
              </w:rPr>
              <w:t>8.5%</w:t>
            </w:r>
          </w:p>
        </w:tc>
        <w:tc>
          <w:tcPr>
            <w:tcW w:type="dxa" w:w="1008"/>
            <w:shd w:fill="FFFFFF"/>
            <w:tcMar>
              <w:top w:w="80" w:type="dxa"/>
              <w:bottom w:w="80" w:type="dxa"/>
              <w:left w:w="120" w:type="dxa"/>
              <w:right w:w="120" w:type="dxa"/>
            </w:tcMar>
          </w:tcPr>
          <w:p>
            <w:pPr>
              <w:spacing w:before="0" w:after="0"/>
              <w:jc w:val="right"/>
            </w:pPr>
            <w:r>
              <w:rPr>
                <w:rFonts w:ascii="Calibri" w:hAnsi="Calibri"/>
                <w:color w:val="2D3748"/>
                <w:sz w:val="18"/>
              </w:rPr>
              <w:t>18.2%</w:t>
            </w:r>
          </w:p>
        </w:tc>
        <w:tc>
          <w:tcPr>
            <w:tcW w:type="dxa" w:w="1152"/>
            <w:shd w:fill="FFFFFF"/>
            <w:tcMar>
              <w:top w:w="80" w:type="dxa"/>
              <w:bottom w:w="80" w:type="dxa"/>
              <w:left w:w="120" w:type="dxa"/>
              <w:right w:w="120" w:type="dxa"/>
            </w:tcMar>
          </w:tcPr>
          <w:p>
            <w:pPr>
              <w:spacing w:before="0" w:after="0"/>
              <w:jc w:val="right"/>
            </w:pPr>
            <w:r>
              <w:rPr>
                <w:rFonts w:ascii="Calibri" w:hAnsi="Calibri"/>
                <w:color w:val="2D3748"/>
                <w:sz w:val="18"/>
              </w:rPr>
              <w:t>28.0%</w:t>
            </w:r>
          </w:p>
        </w:tc>
        <w:tc>
          <w:tcPr>
            <w:tcW w:type="dxa" w:w="720"/>
            <w:shd w:fill="FFFFFF"/>
            <w:tcMar>
              <w:top w:w="80" w:type="dxa"/>
              <w:bottom w:w="80" w:type="dxa"/>
              <w:left w:w="120" w:type="dxa"/>
              <w:right w:w="120" w:type="dxa"/>
            </w:tcMar>
          </w:tcPr>
          <w:p>
            <w:pPr>
              <w:spacing w:before="0" w:after="0"/>
              <w:jc w:val="center"/>
            </w:pPr>
            <w:r>
              <w:rPr>
                <w:rFonts w:ascii="Calibri" w:hAnsi="Calibri"/>
                <w:color w:val="2D3748"/>
                <w:sz w:val="18"/>
              </w:rPr>
              <w:t>7 / 9</w:t>
            </w:r>
          </w:p>
        </w:tc>
        <w:tc>
          <w:tcPr>
            <w:tcW w:type="dxa" w:w="720"/>
            <w:shd w:fill="FFFFFF"/>
            <w:tcMar>
              <w:top w:w="80" w:type="dxa"/>
              <w:bottom w:w="80" w:type="dxa"/>
              <w:left w:w="120" w:type="dxa"/>
              <w:right w:w="120" w:type="dxa"/>
            </w:tcMar>
          </w:tcPr>
          <w:p>
            <w:pPr>
              <w:spacing w:before="0" w:after="0"/>
              <w:jc w:val="center"/>
            </w:pPr>
            <w:r>
              <w:rPr>
                <w:rFonts w:ascii="Calibri" w:hAnsi="Calibri"/>
                <w:color w:val="2D3748"/>
                <w:sz w:val="18"/>
              </w:rPr>
              <w:t>5 / 8</w:t>
            </w:r>
          </w:p>
        </w:tc>
      </w:tr>
      <w:tr>
        <w:tc>
          <w:tcPr>
            <w:tcW w:type="dxa" w:w="1008"/>
            <w:shd w:fill="F7FAFC"/>
            <w:tcMar>
              <w:top w:w="80" w:type="dxa"/>
              <w:bottom w:w="80" w:type="dxa"/>
              <w:left w:w="120" w:type="dxa"/>
              <w:right w:w="120" w:type="dxa"/>
            </w:tcMar>
          </w:tcPr>
          <w:p>
            <w:pPr>
              <w:spacing w:before="0" w:after="0"/>
              <w:jc w:val="center"/>
            </w:pPr>
            <w:r>
              <w:rPr>
                <w:rFonts w:ascii="Calibri" w:hAnsi="Calibri"/>
                <w:color w:val="2D3748"/>
                <w:sz w:val="18"/>
              </w:rPr>
              <w:t>WDC</w:t>
            </w:r>
          </w:p>
        </w:tc>
        <w:tc>
          <w:tcPr>
            <w:tcW w:type="dxa" w:w="2160"/>
            <w:shd w:fill="F7FAFC"/>
            <w:tcMar>
              <w:top w:w="80" w:type="dxa"/>
              <w:bottom w:w="80" w:type="dxa"/>
              <w:left w:w="120" w:type="dxa"/>
              <w:right w:w="120" w:type="dxa"/>
            </w:tcMar>
          </w:tcPr>
          <w:p>
            <w:pPr>
              <w:spacing w:before="0" w:after="0"/>
              <w:jc w:val="left"/>
            </w:pPr>
            <w:r>
              <w:rPr>
                <w:rFonts w:ascii="Calibri" w:hAnsi="Calibri"/>
                <w:color w:val="2D3748"/>
                <w:sz w:val="18"/>
              </w:rPr>
              <w:t>Western Digital</w:t>
            </w:r>
          </w:p>
        </w:tc>
        <w:tc>
          <w:tcPr>
            <w:tcW w:type="dxa" w:w="1296"/>
            <w:shd w:fill="F7FAFC"/>
            <w:tcMar>
              <w:top w:w="80" w:type="dxa"/>
              <w:bottom w:w="80" w:type="dxa"/>
              <w:left w:w="120" w:type="dxa"/>
              <w:right w:w="120" w:type="dxa"/>
            </w:tcMar>
          </w:tcPr>
          <w:p>
            <w:pPr>
              <w:spacing w:before="0" w:after="0"/>
              <w:jc w:val="right"/>
            </w:pPr>
            <w:r>
              <w:rPr>
                <w:rFonts w:ascii="Calibri" w:hAnsi="Calibri"/>
                <w:color w:val="2D3748"/>
                <w:sz w:val="18"/>
              </w:rPr>
              <w:t>$12,919 M</w:t>
            </w:r>
          </w:p>
        </w:tc>
        <w:tc>
          <w:tcPr>
            <w:tcW w:type="dxa" w:w="1008"/>
            <w:shd w:fill="F7FAFC"/>
            <w:tcMar>
              <w:top w:w="80" w:type="dxa"/>
              <w:bottom w:w="80" w:type="dxa"/>
              <w:left w:w="120" w:type="dxa"/>
              <w:right w:w="120" w:type="dxa"/>
            </w:tcMar>
          </w:tcPr>
          <w:p>
            <w:pPr>
              <w:spacing w:before="0" w:after="0"/>
              <w:jc w:val="right"/>
            </w:pPr>
            <w:r>
              <w:rPr>
                <w:rFonts w:ascii="Calibri" w:hAnsi="Calibri"/>
                <w:color w:val="2D3748"/>
                <w:sz w:val="18"/>
              </w:rPr>
              <w:t>28.5%</w:t>
            </w:r>
          </w:p>
        </w:tc>
        <w:tc>
          <w:tcPr>
            <w:tcW w:type="dxa" w:w="1008"/>
            <w:shd w:fill="F7FAFC"/>
            <w:tcMar>
              <w:top w:w="80" w:type="dxa"/>
              <w:bottom w:w="80" w:type="dxa"/>
              <w:left w:w="120" w:type="dxa"/>
              <w:right w:w="120" w:type="dxa"/>
            </w:tcMar>
          </w:tcPr>
          <w:p>
            <w:pPr>
              <w:spacing w:before="0" w:after="0"/>
              <w:jc w:val="right"/>
            </w:pPr>
            <w:r>
              <w:rPr>
                <w:rFonts w:ascii="Calibri" w:hAnsi="Calibri"/>
                <w:color w:val="2D3748"/>
                <w:sz w:val="18"/>
              </w:rPr>
              <w:t>9.2%</w:t>
            </w:r>
          </w:p>
        </w:tc>
        <w:tc>
          <w:tcPr>
            <w:tcW w:type="dxa" w:w="1008"/>
            <w:shd w:fill="F7FAFC"/>
            <w:tcMar>
              <w:top w:w="80" w:type="dxa"/>
              <w:bottom w:w="80" w:type="dxa"/>
              <w:left w:w="120" w:type="dxa"/>
              <w:right w:w="120" w:type="dxa"/>
            </w:tcMar>
          </w:tcPr>
          <w:p>
            <w:pPr>
              <w:spacing w:before="0" w:after="0"/>
              <w:jc w:val="right"/>
            </w:pPr>
            <w:r>
              <w:rPr>
                <w:rFonts w:ascii="Calibri" w:hAnsi="Calibri"/>
                <w:color w:val="2D3748"/>
                <w:sz w:val="18"/>
              </w:rPr>
              <w:t>8.9%</w:t>
            </w:r>
          </w:p>
        </w:tc>
        <w:tc>
          <w:tcPr>
            <w:tcW w:type="dxa" w:w="1152"/>
            <w:shd w:fill="F7FAFC"/>
            <w:tcMar>
              <w:top w:w="80" w:type="dxa"/>
              <w:bottom w:w="80" w:type="dxa"/>
              <w:left w:w="120" w:type="dxa"/>
              <w:right w:w="120" w:type="dxa"/>
            </w:tcMar>
          </w:tcPr>
          <w:p>
            <w:pPr>
              <w:spacing w:before="0" w:after="0"/>
              <w:jc w:val="right"/>
            </w:pPr>
            <w:r>
              <w:rPr>
                <w:rFonts w:ascii="Calibri" w:hAnsi="Calibri"/>
                <w:color w:val="2D3748"/>
                <w:sz w:val="18"/>
              </w:rPr>
              <w:t>19.0%</w:t>
            </w:r>
          </w:p>
        </w:tc>
        <w:tc>
          <w:tcPr>
            <w:tcW w:type="dxa" w:w="720"/>
            <w:shd w:fill="F7FAFC"/>
            <w:tcMar>
              <w:top w:w="80" w:type="dxa"/>
              <w:bottom w:w="80" w:type="dxa"/>
              <w:left w:w="120" w:type="dxa"/>
              <w:right w:w="120" w:type="dxa"/>
            </w:tcMar>
          </w:tcPr>
          <w:p>
            <w:pPr>
              <w:spacing w:before="0" w:after="0"/>
              <w:jc w:val="center"/>
            </w:pPr>
            <w:r>
              <w:rPr>
                <w:rFonts w:ascii="Calibri" w:hAnsi="Calibri"/>
                <w:color w:val="2D3748"/>
                <w:sz w:val="18"/>
              </w:rPr>
              <w:t>5 / 9</w:t>
            </w:r>
          </w:p>
        </w:tc>
        <w:tc>
          <w:tcPr>
            <w:tcW w:type="dxa" w:w="720"/>
            <w:shd w:fill="F7FAFC"/>
            <w:tcMar>
              <w:top w:w="80" w:type="dxa"/>
              <w:bottom w:w="80" w:type="dxa"/>
              <w:left w:w="120" w:type="dxa"/>
              <w:right w:w="120" w:type="dxa"/>
            </w:tcMar>
          </w:tcPr>
          <w:p>
            <w:pPr>
              <w:spacing w:before="0" w:after="0"/>
              <w:jc w:val="center"/>
            </w:pPr>
            <w:r>
              <w:rPr>
                <w:rFonts w:ascii="Calibri" w:hAnsi="Calibri"/>
                <w:color w:val="2D3748"/>
                <w:sz w:val="18"/>
              </w:rPr>
              <w:t>3 / 8</w:t>
            </w:r>
          </w:p>
        </w:tc>
      </w:tr>
      <w:tr>
        <w:tc>
          <w:tcPr>
            <w:tcW w:type="dxa" w:w="1008"/>
            <w:shd w:fill="FFFFFF"/>
            <w:tcMar>
              <w:top w:w="80" w:type="dxa"/>
              <w:bottom w:w="80" w:type="dxa"/>
              <w:left w:w="120" w:type="dxa"/>
              <w:right w:w="120" w:type="dxa"/>
            </w:tcMar>
          </w:tcPr>
          <w:p>
            <w:pPr>
              <w:spacing w:before="0" w:after="0"/>
              <w:jc w:val="center"/>
            </w:pPr>
            <w:r>
              <w:rPr>
                <w:rFonts w:ascii="Calibri" w:hAnsi="Calibri"/>
                <w:color w:val="2D3748"/>
                <w:sz w:val="18"/>
              </w:rPr>
              <w:t>LNVGY</w:t>
            </w:r>
          </w:p>
        </w:tc>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Lenovo Group</w:t>
            </w:r>
          </w:p>
        </w:tc>
        <w:tc>
          <w:tcPr>
            <w:tcW w:type="dxa" w:w="1296"/>
            <w:shd w:fill="FFFFFF"/>
            <w:tcMar>
              <w:top w:w="80" w:type="dxa"/>
              <w:bottom w:w="80" w:type="dxa"/>
              <w:left w:w="120" w:type="dxa"/>
              <w:right w:w="120" w:type="dxa"/>
            </w:tcMar>
          </w:tcPr>
          <w:p>
            <w:pPr>
              <w:spacing w:before="0" w:after="0"/>
              <w:jc w:val="right"/>
            </w:pPr>
            <w:r>
              <w:rPr>
                <w:rFonts w:ascii="Calibri" w:hAnsi="Calibri"/>
                <w:color w:val="2D3748"/>
                <w:sz w:val="18"/>
              </w:rPr>
              <w:t>$61,970 M</w:t>
            </w:r>
          </w:p>
        </w:tc>
        <w:tc>
          <w:tcPr>
            <w:tcW w:type="dxa" w:w="1008"/>
            <w:shd w:fill="FFFFFF"/>
            <w:tcMar>
              <w:top w:w="80" w:type="dxa"/>
              <w:bottom w:w="80" w:type="dxa"/>
              <w:left w:w="120" w:type="dxa"/>
              <w:right w:w="120" w:type="dxa"/>
            </w:tcMar>
          </w:tcPr>
          <w:p>
            <w:pPr>
              <w:spacing w:before="0" w:after="0"/>
              <w:jc w:val="right"/>
            </w:pPr>
            <w:r>
              <w:rPr>
                <w:rFonts w:ascii="Calibri" w:hAnsi="Calibri"/>
                <w:color w:val="2D3748"/>
                <w:sz w:val="18"/>
              </w:rPr>
              <w:t>17.2%</w:t>
            </w:r>
          </w:p>
        </w:tc>
        <w:tc>
          <w:tcPr>
            <w:tcW w:type="dxa" w:w="1008"/>
            <w:shd w:fill="FFFFFF"/>
            <w:tcMar>
              <w:top w:w="80" w:type="dxa"/>
              <w:bottom w:w="80" w:type="dxa"/>
              <w:left w:w="120" w:type="dxa"/>
              <w:right w:w="120" w:type="dxa"/>
            </w:tcMar>
          </w:tcPr>
          <w:p>
            <w:pPr>
              <w:spacing w:before="0" w:after="0"/>
              <w:jc w:val="right"/>
            </w:pPr>
            <w:r>
              <w:rPr>
                <w:rFonts w:ascii="Calibri" w:hAnsi="Calibri"/>
                <w:color w:val="2D3748"/>
                <w:sz w:val="18"/>
              </w:rPr>
              <w:t>4.5%</w:t>
            </w:r>
          </w:p>
        </w:tc>
        <w:tc>
          <w:tcPr>
            <w:tcW w:type="dxa" w:w="1008"/>
            <w:shd w:fill="FFFFFF"/>
            <w:tcMar>
              <w:top w:w="80" w:type="dxa"/>
              <w:bottom w:w="80" w:type="dxa"/>
              <w:left w:w="120" w:type="dxa"/>
              <w:right w:w="120" w:type="dxa"/>
            </w:tcMar>
          </w:tcPr>
          <w:p>
            <w:pPr>
              <w:spacing w:before="0" w:after="0"/>
              <w:jc w:val="right"/>
            </w:pPr>
            <w:r>
              <w:rPr>
                <w:rFonts w:ascii="Calibri" w:hAnsi="Calibri"/>
                <w:color w:val="2D3748"/>
                <w:sz w:val="18"/>
              </w:rPr>
              <w:t>12.1%</w:t>
            </w:r>
          </w:p>
        </w:tc>
        <w:tc>
          <w:tcPr>
            <w:tcW w:type="dxa" w:w="1152"/>
            <w:shd w:fill="FFFFFF"/>
            <w:tcMar>
              <w:top w:w="80" w:type="dxa"/>
              <w:bottom w:w="80" w:type="dxa"/>
              <w:left w:w="120" w:type="dxa"/>
              <w:right w:w="120" w:type="dxa"/>
            </w:tcMar>
          </w:tcPr>
          <w:p>
            <w:pPr>
              <w:spacing w:before="0" w:after="0"/>
              <w:jc w:val="right"/>
            </w:pPr>
            <w:r>
              <w:rPr>
                <w:rFonts w:ascii="Calibri" w:hAnsi="Calibri"/>
                <w:color w:val="2D3748"/>
                <w:sz w:val="18"/>
              </w:rPr>
              <w:t>20.0%</w:t>
            </w:r>
          </w:p>
        </w:tc>
        <w:tc>
          <w:tcPr>
            <w:tcW w:type="dxa" w:w="720"/>
            <w:shd w:fill="FFFFFF"/>
            <w:tcMar>
              <w:top w:w="80" w:type="dxa"/>
              <w:bottom w:w="80" w:type="dxa"/>
              <w:left w:w="120" w:type="dxa"/>
              <w:right w:w="120" w:type="dxa"/>
            </w:tcMar>
          </w:tcPr>
          <w:p>
            <w:pPr>
              <w:spacing w:before="0" w:after="0"/>
              <w:jc w:val="center"/>
            </w:pPr>
            <w:r>
              <w:rPr>
                <w:rFonts w:ascii="Calibri" w:hAnsi="Calibri"/>
                <w:color w:val="2D3748"/>
                <w:sz w:val="18"/>
              </w:rPr>
              <w:t>6 / 9</w:t>
            </w:r>
          </w:p>
        </w:tc>
        <w:tc>
          <w:tcPr>
            <w:tcW w:type="dxa" w:w="720"/>
            <w:shd w:fill="FFFFFF"/>
            <w:tcMar>
              <w:top w:w="80" w:type="dxa"/>
              <w:bottom w:w="80" w:type="dxa"/>
              <w:left w:w="120" w:type="dxa"/>
              <w:right w:w="120" w:type="dxa"/>
            </w:tcMar>
          </w:tcPr>
          <w:p>
            <w:pPr>
              <w:spacing w:before="0" w:after="0"/>
              <w:jc w:val="center"/>
            </w:pPr>
            <w:r>
              <w:rPr>
                <w:rFonts w:ascii="Calibri" w:hAnsi="Calibri"/>
                <w:color w:val="2D3748"/>
                <w:sz w:val="18"/>
              </w:rPr>
              <w:t>4 / 8</w:t>
            </w:r>
          </w:p>
        </w:tc>
      </w:tr>
      <w:tr>
        <w:tc>
          <w:tcPr>
            <w:tcW w:type="dxa" w:w="1008"/>
            <w:shd w:fill="F7FAFC"/>
            <w:tcMar>
              <w:top w:w="80" w:type="dxa"/>
              <w:bottom w:w="80" w:type="dxa"/>
              <w:left w:w="120" w:type="dxa"/>
              <w:right w:w="120" w:type="dxa"/>
            </w:tcMar>
          </w:tcPr>
          <w:p>
            <w:pPr>
              <w:spacing w:before="0" w:after="0"/>
              <w:jc w:val="center"/>
            </w:pPr>
            <w:r>
              <w:rPr>
                <w:rFonts w:ascii="Calibri" w:hAnsi="Calibri"/>
                <w:color w:val="2D3748"/>
                <w:sz w:val="18"/>
              </w:rPr>
              <w:t>MEDIANA</w:t>
            </w:r>
          </w:p>
        </w:tc>
        <w:tc>
          <w:tcPr>
            <w:tcW w:type="dxa" w:w="2160"/>
            <w:shd w:fill="F7FAFC"/>
            <w:tcMar>
              <w:top w:w="80" w:type="dxa"/>
              <w:bottom w:w="80" w:type="dxa"/>
              <w:left w:w="120" w:type="dxa"/>
              <w:right w:w="120" w:type="dxa"/>
            </w:tcMar>
          </w:tcPr>
          <w:p>
            <w:pPr>
              <w:spacing w:before="0" w:after="0"/>
              <w:jc w:val="left"/>
            </w:pPr>
            <w:r>
              <w:rPr>
                <w:rFonts w:ascii="Calibri" w:hAnsi="Calibri"/>
                <w:color w:val="2D3748"/>
                <w:sz w:val="18"/>
              </w:rPr>
              <w:t>Mediana Sectorial SIC 3571</w:t>
            </w:r>
          </w:p>
        </w:tc>
        <w:tc>
          <w:tcPr>
            <w:tcW w:type="dxa" w:w="1296"/>
            <w:shd w:fill="F7FAFC"/>
            <w:tcMar>
              <w:top w:w="80" w:type="dxa"/>
              <w:bottom w:w="80" w:type="dxa"/>
              <w:left w:w="120" w:type="dxa"/>
              <w:right w:w="120" w:type="dxa"/>
            </w:tcMar>
          </w:tcPr>
          <w:p>
            <w:pPr>
              <w:spacing w:before="0" w:after="0"/>
              <w:jc w:val="right"/>
            </w:pPr>
            <w:r>
              <w:rPr>
                <w:rFonts w:ascii="Calibri" w:hAnsi="Calibri"/>
                <w:color w:val="2D3748"/>
                <w:sz w:val="18"/>
              </w:rPr>
              <w:t>$59,162 M</w:t>
            </w:r>
          </w:p>
        </w:tc>
        <w:tc>
          <w:tcPr>
            <w:tcW w:type="dxa" w:w="1008"/>
            <w:shd w:fill="F7FAFC"/>
            <w:tcMar>
              <w:top w:w="80" w:type="dxa"/>
              <w:bottom w:w="80" w:type="dxa"/>
              <w:left w:w="120" w:type="dxa"/>
              <w:right w:w="120" w:type="dxa"/>
            </w:tcMar>
          </w:tcPr>
          <w:p>
            <w:pPr>
              <w:spacing w:before="0" w:after="0"/>
              <w:jc w:val="right"/>
            </w:pPr>
            <w:r>
              <w:rPr>
                <w:rFonts w:ascii="Calibri" w:hAnsi="Calibri"/>
                <w:color w:val="2D3748"/>
                <w:sz w:val="18"/>
              </w:rPr>
              <w:t>22.6%</w:t>
            </w:r>
          </w:p>
        </w:tc>
        <w:tc>
          <w:tcPr>
            <w:tcW w:type="dxa" w:w="1008"/>
            <w:shd w:fill="F7FAFC"/>
            <w:tcMar>
              <w:top w:w="80" w:type="dxa"/>
              <w:bottom w:w="80" w:type="dxa"/>
              <w:left w:w="120" w:type="dxa"/>
              <w:right w:w="120" w:type="dxa"/>
            </w:tcMar>
          </w:tcPr>
          <w:p>
            <w:pPr>
              <w:spacing w:before="0" w:after="0"/>
              <w:jc w:val="right"/>
            </w:pPr>
            <w:r>
              <w:rPr>
                <w:rFonts w:ascii="Calibri" w:hAnsi="Calibri"/>
                <w:color w:val="2D3748"/>
                <w:sz w:val="18"/>
              </w:rPr>
              <w:t>8.2%</w:t>
            </w:r>
          </w:p>
        </w:tc>
        <w:tc>
          <w:tcPr>
            <w:tcW w:type="dxa" w:w="1008"/>
            <w:shd w:fill="F7FAFC"/>
            <w:tcMar>
              <w:top w:w="80" w:type="dxa"/>
              <w:bottom w:w="80" w:type="dxa"/>
              <w:left w:w="120" w:type="dxa"/>
              <w:right w:w="120" w:type="dxa"/>
            </w:tcMar>
          </w:tcPr>
          <w:p>
            <w:pPr>
              <w:spacing w:before="0" w:after="0"/>
              <w:jc w:val="right"/>
            </w:pPr>
            <w:r>
              <w:rPr>
                <w:rFonts w:ascii="Calibri" w:hAnsi="Calibri"/>
                <w:color w:val="2D3748"/>
                <w:sz w:val="18"/>
              </w:rPr>
              <w:t>13.3%</w:t>
            </w:r>
          </w:p>
        </w:tc>
        <w:tc>
          <w:tcPr>
            <w:tcW w:type="dxa" w:w="1152"/>
            <w:shd w:fill="F7FAFC"/>
            <w:tcMar>
              <w:top w:w="80" w:type="dxa"/>
              <w:bottom w:w="80" w:type="dxa"/>
              <w:left w:w="120" w:type="dxa"/>
              <w:right w:w="120" w:type="dxa"/>
            </w:tcMar>
          </w:tcPr>
          <w:p>
            <w:pPr>
              <w:spacing w:before="0" w:after="0"/>
              <w:jc w:val="right"/>
            </w:pPr>
            <w:r>
              <w:rPr>
                <w:rFonts w:ascii="Calibri" w:hAnsi="Calibri"/>
                <w:color w:val="2D3748"/>
                <w:sz w:val="18"/>
              </w:rPr>
              <w:t>22.0%</w:t>
            </w:r>
          </w:p>
        </w:tc>
        <w:tc>
          <w:tcPr>
            <w:tcW w:type="dxa" w:w="720"/>
            <w:shd w:fill="F7FAFC"/>
            <w:tcMar>
              <w:top w:w="80" w:type="dxa"/>
              <w:bottom w:w="80" w:type="dxa"/>
              <w:left w:w="120" w:type="dxa"/>
              <w:right w:w="120" w:type="dxa"/>
            </w:tcMar>
          </w:tcPr>
          <w:p>
            <w:pPr>
              <w:spacing w:before="0" w:after="0"/>
              <w:jc w:val="center"/>
            </w:pPr>
            <w:r>
              <w:rPr>
                <w:rFonts w:ascii="Calibri" w:hAnsi="Calibri"/>
                <w:color w:val="2D3748"/>
                <w:sz w:val="18"/>
              </w:rPr>
              <w:t>6 / 9</w:t>
            </w:r>
          </w:p>
        </w:tc>
        <w:tc>
          <w:tcPr>
            <w:tcW w:type="dxa" w:w="720"/>
            <w:shd w:fill="F7FAFC"/>
            <w:tcMar>
              <w:top w:w="80" w:type="dxa"/>
              <w:bottom w:w="80" w:type="dxa"/>
              <w:left w:w="120" w:type="dxa"/>
              <w:right w:w="120" w:type="dxa"/>
            </w:tcMar>
          </w:tcPr>
          <w:p>
            <w:pPr>
              <w:spacing w:before="0" w:after="0"/>
              <w:jc w:val="center"/>
            </w:pPr>
            <w:r>
              <w:rPr>
                <w:rFonts w:ascii="Calibri" w:hAnsi="Calibri"/>
                <w:color w:val="2D3748"/>
                <w:sz w:val="18"/>
              </w:rPr>
              <w:t>4 / 8</w:t>
            </w:r>
          </w:p>
        </w:tc>
      </w:tr>
    </w:tbl>
    <w:p>
      <w:pPr>
        <w:spacing w:after="120"/>
      </w:pPr>
    </w:p>
    <w:p>
      <w:pPr>
        <w:keepNext/>
        <w:spacing w:before="320" w:after="120"/>
      </w:pPr>
      <w:r>
        <w:rPr>
          <w:rFonts w:ascii="Calibri" w:hAnsi="Calibri"/>
          <w:b/>
          <w:color w:val="1B365D"/>
          <w:sz w:val="28"/>
        </w:rPr>
        <w:t>10. Productividad Pura del Capital: Rentabilidad Bruta sobre Activos (Novy-Marx GP/A)</w:t>
      </w:r>
    </w:p>
    <w:p>
      <w:pPr>
        <w:spacing w:before="0" w:after="80" w:line="276" w:lineRule="auto"/>
      </w:pPr>
      <w:r>
        <w:rPr>
          <w:rFonts w:ascii="Calibri" w:hAnsi="Calibri"/>
          <w:i w:val="0"/>
          <w:color w:val="2D3748"/>
          <w:sz w:val="20"/>
        </w:rPr>
        <w:t>La investigación empírica seminal del Prof. Robert Novy-Marx (University of Rochester / NBER, 'The Other Side of Value: The Gross Profitability Premium', Journal of Financial Economics, 2013) demostró que la Rentabilidad Bruta sobre Activos (Gross Profitability to Assets, GP/A) es el predictor cuantitativo más potente de los rendimientos futuros de una corporación. A diferencia del ROE o ROIC, que sufren la contaminación contable de depreciaciones discrecionales, partidas extraordinarias o gastos de I+D/marketing (que en realidad son inversiones generadoras de valor futuro), la métrica de Novy-Marx evalúa la productividad económica pura del capital instalado en su estado original.</w:t>
      </w:r>
    </w:p>
    <w:p>
      <w:pPr>
        <w:keepNext/>
        <w:spacing w:before="240" w:after="80"/>
      </w:pPr>
      <w:r>
        <w:rPr>
          <w:rFonts w:ascii="Calibri" w:hAnsi="Calibri"/>
          <w:b/>
          <w:color w:val="4A5568"/>
          <w:sz w:val="23"/>
        </w:rPr>
        <w:t>Bloque A: Diagnóstico Dual de Productividad y Efecto Arrastre de Caja (Cash Drag)</w:t>
      </w:r>
    </w:p>
    <w:tbl>
      <w:tblPr>
        <w:tblW w:type="auto" w:w="0"/>
        <w:jc w:val="center"/>
        <w:tblLayout w:type="fixed"/>
        <w:tblLook w:firstColumn="1" w:firstRow="1" w:lastColumn="0" w:lastRow="0" w:noHBand="0" w:noVBand="1" w:val="04A0"/>
      </w:tblPr>
      <w:tblGrid>
        <w:gridCol w:w="9792"/>
      </w:tblGrid>
      <w:tr>
        <w:tc>
          <w:tcPr>
            <w:tcW w:type="dxa" w:w="9792"/>
            <w:shd w:fill="F0F4F8"/>
            <w:tcMar>
              <w:top w:w="140" w:type="dxa"/>
              <w:bottom w:w="140" w:type="dxa"/>
              <w:left w:w="180" w:type="dxa"/>
              <w:right w:w="180" w:type="dxa"/>
            </w:tcMar>
            <w:tcBorders>
              <w:top w:val="none"/>
              <w:left w:val="single" w:sz="24" w:space="0" w:color="1B365D"/>
              <w:bottom w:val="none"/>
              <w:right w:val="none"/>
            </w:tcBorders>
          </w:tcPr>
          <w:p>
            <w:pPr>
              <w:spacing w:before="0" w:after="60" w:line="276" w:lineRule="auto"/>
            </w:pPr>
            <w:r>
              <w:rPr>
                <w:rFonts w:ascii="Calibri" w:hAnsi="Calibri"/>
                <w:b/>
                <w:color w:val="1B365D"/>
                <w:sz w:val="21"/>
              </w:rPr>
              <w:t>📌 CALIFICACIÓN Y CALIDAD DE CAPITAL: PRODUCTIVIDAD EXCEPCIONAL (TOP 5% DE LA INDUSTRIA)</w:t>
              <w:br/>
            </w:r>
          </w:p>
          <w:p>
            <w:pPr>
              <w:spacing w:before="40" w:after="40" w:line="276" w:lineRule="auto"/>
            </w:pPr>
            <w:r>
              <w:rPr>
                <w:rFonts w:ascii="Calibri" w:hAnsi="Calibri"/>
                <w:color w:val="2D3748"/>
                <w:sz w:val="19"/>
              </w:rPr>
              <w:t>• Gross Profitability Total (LTM): 59.26% de los Activos Totales (vs. Mediana Sector: 25.69%).</w:t>
            </w:r>
          </w:p>
          <w:p>
            <w:pPr>
              <w:spacing w:before="40" w:after="40" w:line="276" w:lineRule="auto"/>
            </w:pPr>
            <w:r>
              <w:rPr>
                <w:rFonts w:ascii="Calibri" w:hAnsi="Calibri"/>
                <w:color w:val="2D3748"/>
                <w:sz w:val="19"/>
              </w:rPr>
              <w:t>• Gross Profitability Operativa Ex-Caja (LTM): 66.08% de los Activos Operativos (vs. Mediana Sector: 28.00%).</w:t>
            </w:r>
          </w:p>
          <w:p>
            <w:pPr>
              <w:spacing w:before="40" w:after="40" w:line="276" w:lineRule="auto"/>
            </w:pPr>
            <w:r>
              <w:rPr>
                <w:rFonts w:ascii="Calibri" w:hAnsi="Calibri"/>
                <w:color w:val="2D3748"/>
                <w:sz w:val="19"/>
              </w:rPr>
              <w:t>• Efecto Arrastre de Caja (Cash Drag): +6.82 p.p. de penalización contable por atesoramiento de liquidez ociosa.</w:t>
            </w:r>
          </w:p>
          <w:p>
            <w:pPr>
              <w:spacing w:before="40" w:after="40" w:line="276" w:lineRule="auto"/>
            </w:pPr>
            <w:r>
              <w:rPr>
                <w:rFonts w:ascii="Calibri" w:hAnsi="Calibri"/>
                <w:color w:val="2D3748"/>
                <w:sz w:val="19"/>
              </w:rPr>
              <w:t>• Posición Sectorial (Industry De-meaning): Supera a la mediana de competidores en +33.57 p.p., confirmando un foso de capital de primer orden mundial.</w:t>
            </w:r>
          </w:p>
        </w:tc>
      </w:tr>
    </w:tbl>
    <w:p>
      <w:pPr>
        <w:spacing w:after="80"/>
      </w:pPr>
    </w:p>
    <w:tbl>
      <w:tblPr>
        <w:tblW w:type="auto" w:w="0"/>
        <w:jc w:val="center"/>
        <w:tblLayout w:type="fixed"/>
        <w:tblLook w:firstColumn="1" w:firstRow="1" w:lastColumn="0" w:lastRow="0" w:noHBand="0" w:noVBand="1" w:val="04A0"/>
      </w:tblPr>
      <w:tblGrid>
        <w:gridCol w:w="9792"/>
      </w:tblGrid>
      <w:tr>
        <w:tc>
          <w:tcPr>
            <w:tcW w:type="dxa" w:w="9792"/>
            <w:shd w:fill="E8EEF5"/>
            <w:tcMar>
              <w:top w:w="140" w:type="dxa"/>
              <w:bottom w:w="140" w:type="dxa"/>
              <w:left w:w="180" w:type="dxa"/>
              <w:right w:w="180" w:type="dxa"/>
            </w:tcMar>
            <w:tcBorders>
              <w:top w:val="none"/>
              <w:left w:val="single" w:sz="24" w:space="0" w:color="0A3641"/>
              <w:bottom w:val="none"/>
              <w:right w:val="none"/>
            </w:tcBorders>
          </w:tcPr>
          <w:p>
            <w:pPr>
              <w:spacing w:before="0" w:after="60" w:line="276" w:lineRule="auto"/>
            </w:pPr>
            <w:r>
              <w:rPr>
                <w:rFonts w:ascii="Calibri" w:hAnsi="Calibri"/>
                <w:b/>
                <w:color w:val="1B365D"/>
                <w:sz w:val="21"/>
              </w:rPr>
              <w:t>📌 GUÍA DIDÁCTICA: ¿QUÉ SIGNIFICAN ESTOS RESULTADOS Y PERCENTILES?</w:t>
              <w:br/>
            </w:r>
          </w:p>
          <w:p>
            <w:pPr>
              <w:spacing w:before="40" w:after="40" w:line="276" w:lineRule="auto"/>
            </w:pPr>
            <w:r>
              <w:rPr>
                <w:rFonts w:ascii="Calibri" w:hAnsi="Calibri"/>
                <w:color w:val="2D3748"/>
                <w:sz w:val="19"/>
              </w:rPr>
              <w:t>1. ¿Qué significa el Top 5% de la Industria?: Significa que la rentabilidad de capital de AAPL supera al 95% de sus competidores directos en la industria. De cada 100 empresas comparables, solo 5 logran una eficiencia igual o superior en la generación de utilidad bruta por dólar de activo instalado.</w:t>
            </w:r>
          </w:p>
          <w:p>
            <w:pPr>
              <w:spacing w:before="40" w:after="40" w:line="276" w:lineRule="auto"/>
            </w:pPr>
            <w:r>
              <w:rPr>
                <w:rFonts w:ascii="Calibri" w:hAnsi="Calibri"/>
                <w:color w:val="2D3748"/>
                <w:sz w:val="19"/>
              </w:rPr>
              <w:t>2. ¿Qué significa Gross Profitability de 59.26%?: Por cada $1.00 de activo total en su balance general, la empresa produce $0.59 de utilidad bruta pura al año, antes de deducciones operativas, intereses e impuestos.</w:t>
            </w:r>
          </w:p>
          <w:p>
            <w:pPr>
              <w:spacing w:before="40" w:after="40" w:line="276" w:lineRule="auto"/>
            </w:pPr>
            <w:r>
              <w:rPr>
                <w:rFonts w:ascii="Calibri" w:hAnsi="Calibri"/>
                <w:color w:val="2D3748"/>
                <w:sz w:val="19"/>
              </w:rPr>
              <w:t>3. ¿Qué significa Ex-Caja (66.08%)?: Al excluir el efectivo y valores negociables líquidos (capital ocioso en caja que no produce bienes), el negocio puramente operativo rinde $0.66 por cada dólar en activos operativos en funcionamiento.</w:t>
            </w:r>
          </w:p>
          <w:p>
            <w:pPr>
              <w:spacing w:before="40" w:after="40" w:line="276" w:lineRule="auto"/>
            </w:pPr>
            <w:r>
              <w:rPr>
                <w:rFonts w:ascii="Calibri" w:hAnsi="Calibri"/>
                <w:color w:val="2D3748"/>
                <w:sz w:val="19"/>
              </w:rPr>
              <w:t>4. ¿Qué revela el Cash Drag (+6.82 p.p.)?: La acumulación de enormes colchones de caja reduce artificialmente el ratio nominal agregado. Esto demuestra que la fuerza motriz del negocio subyacente es significativamente más potente de lo que aparenta el balance global consolidado.</w:t>
            </w:r>
          </w:p>
        </w:tc>
      </w:tr>
    </w:tbl>
    <w:p>
      <w:pPr>
        <w:spacing w:after="80"/>
      </w:pPr>
    </w:p>
    <w:tbl>
      <w:tblPr>
        <w:tblW w:type="auto" w:w="0"/>
        <w:jc w:val="center"/>
        <w:tblLayout w:type="fixed"/>
        <w:tblLook w:firstColumn="1" w:firstRow="1" w:lastColumn="0" w:lastRow="0" w:noHBand="0" w:noVBand="1" w:val="04A0"/>
        <w:tblBorders>
          <w:top w:val="single" w:sz="6" w:space="0" w:color="D2D6DC"/>
          <w:left w:val="none"/>
          <w:bottom w:val="single" w:sz="10" w:space="0" w:color="1B365D"/>
          <w:right w:val="none"/>
          <w:insideH w:val="single" w:sz="4" w:space="0" w:color="D2D6DC"/>
          <w:insideV w:val="none"/>
        </w:tblBorders>
      </w:tblPr>
      <w:tblGrid>
        <w:gridCol w:w="1632"/>
        <w:gridCol w:w="1632"/>
        <w:gridCol w:w="1632"/>
        <w:gridCol w:w="1632"/>
        <w:gridCol w:w="1632"/>
        <w:gridCol w:w="1632"/>
      </w:tblGrid>
      <w:tr>
        <w:tc>
          <w:tcPr>
            <w:tcW w:type="dxa" w:w="2160"/>
            <w:shd w:fill="1B365D"/>
            <w:tcMar>
              <w:top w:w="90" w:type="dxa"/>
              <w:bottom w:w="90" w:type="dxa"/>
              <w:left w:w="100" w:type="dxa"/>
              <w:right w:w="100" w:type="dxa"/>
            </w:tcMar>
          </w:tcPr>
          <w:p>
            <w:pPr>
              <w:spacing w:before="0" w:after="0"/>
              <w:jc w:val="left"/>
            </w:pPr>
            <w:r>
              <w:rPr>
                <w:rFonts w:ascii="Calibri" w:hAnsi="Calibri"/>
                <w:b/>
                <w:color w:val="FFFFFF"/>
                <w:sz w:val="18"/>
              </w:rPr>
              <w:t>Métrica de Productividad</w:t>
            </w:r>
          </w:p>
        </w:tc>
        <w:tc>
          <w:tcPr>
            <w:tcW w:type="dxa" w:w="1152"/>
            <w:shd w:fill="1B365D"/>
            <w:tcMar>
              <w:top w:w="90" w:type="dxa"/>
              <w:bottom w:w="90" w:type="dxa"/>
              <w:left w:w="100" w:type="dxa"/>
              <w:right w:w="100" w:type="dxa"/>
            </w:tcMar>
          </w:tcPr>
          <w:p>
            <w:pPr>
              <w:spacing w:before="0" w:after="0"/>
              <w:jc w:val="right"/>
            </w:pPr>
            <w:r>
              <w:rPr>
                <w:rFonts w:ascii="Calibri" w:hAnsi="Calibri"/>
                <w:b/>
                <w:color w:val="FFFFFF"/>
                <w:sz w:val="18"/>
              </w:rPr>
              <w:t>LTM</w:t>
            </w:r>
          </w:p>
        </w:tc>
        <w:tc>
          <w:tcPr>
            <w:tcW w:type="dxa" w:w="1152"/>
            <w:shd w:fill="1B365D"/>
            <w:tcMar>
              <w:top w:w="90" w:type="dxa"/>
              <w:bottom w:w="90" w:type="dxa"/>
              <w:left w:w="100" w:type="dxa"/>
              <w:right w:w="100" w:type="dxa"/>
            </w:tcMar>
          </w:tcPr>
          <w:p>
            <w:pPr>
              <w:spacing w:before="0" w:after="0"/>
              <w:jc w:val="right"/>
            </w:pPr>
            <w:r>
              <w:rPr>
                <w:rFonts w:ascii="Calibri" w:hAnsi="Calibri"/>
                <w:b/>
                <w:color w:val="FFFFFF"/>
                <w:sz w:val="18"/>
              </w:rPr>
              <w:t>FY2025</w:t>
            </w:r>
          </w:p>
        </w:tc>
        <w:tc>
          <w:tcPr>
            <w:tcW w:type="dxa" w:w="1152"/>
            <w:shd w:fill="1B365D"/>
            <w:tcMar>
              <w:top w:w="90" w:type="dxa"/>
              <w:bottom w:w="90" w:type="dxa"/>
              <w:left w:w="100" w:type="dxa"/>
              <w:right w:w="100" w:type="dxa"/>
            </w:tcMar>
          </w:tcPr>
          <w:p>
            <w:pPr>
              <w:spacing w:before="0" w:after="0"/>
              <w:jc w:val="right"/>
            </w:pPr>
            <w:r>
              <w:rPr>
                <w:rFonts w:ascii="Calibri" w:hAnsi="Calibri"/>
                <w:b/>
                <w:color w:val="FFFFFF"/>
                <w:sz w:val="18"/>
              </w:rPr>
              <w:t>Mediana Ind.</w:t>
            </w:r>
          </w:p>
        </w:tc>
        <w:tc>
          <w:tcPr>
            <w:tcW w:type="dxa" w:w="1728"/>
            <w:shd w:fill="1B365D"/>
            <w:tcMar>
              <w:top w:w="90" w:type="dxa"/>
              <w:bottom w:w="90" w:type="dxa"/>
              <w:left w:w="100" w:type="dxa"/>
              <w:right w:w="100" w:type="dxa"/>
            </w:tcMar>
          </w:tcPr>
          <w:p>
            <w:pPr>
              <w:spacing w:before="0" w:after="0"/>
              <w:jc w:val="right"/>
            </w:pPr>
            <w:r>
              <w:rPr>
                <w:rFonts w:ascii="Calibri" w:hAnsi="Calibri"/>
                <w:b/>
                <w:color w:val="FFFFFF"/>
                <w:sz w:val="18"/>
              </w:rPr>
              <w:t>Diagnóstico</w:t>
            </w:r>
          </w:p>
        </w:tc>
        <w:tc>
          <w:tcPr>
            <w:tcW w:type="dxa" w:w="2448"/>
            <w:shd w:fill="1B365D"/>
            <w:tcMar>
              <w:top w:w="90" w:type="dxa"/>
              <w:bottom w:w="90" w:type="dxa"/>
              <w:left w:w="100" w:type="dxa"/>
              <w:right w:w="100" w:type="dxa"/>
            </w:tcMar>
          </w:tcPr>
          <w:p>
            <w:pPr>
              <w:spacing w:before="0" w:after="0"/>
              <w:jc w:val="left"/>
            </w:pPr>
            <w:r>
              <w:rPr>
                <w:rFonts w:ascii="Calibri" w:hAnsi="Calibri"/>
                <w:b/>
                <w:color w:val="FFFFFF"/>
                <w:sz w:val="18"/>
              </w:rPr>
              <w:t>Lectura Didáctica</w:t>
            </w:r>
          </w:p>
        </w:tc>
      </w:tr>
      <w:tr>
        <w:tc>
          <w:tcPr>
            <w:tcW w:type="dxa" w:w="2160"/>
            <w:shd w:fill="FFFFFF"/>
            <w:tcMar>
              <w:top w:w="70" w:type="dxa"/>
              <w:bottom w:w="70" w:type="dxa"/>
              <w:left w:w="100" w:type="dxa"/>
              <w:right w:w="100" w:type="dxa"/>
            </w:tcMar>
          </w:tcPr>
          <w:p>
            <w:pPr>
              <w:spacing w:before="0" w:after="0"/>
              <w:jc w:val="left"/>
            </w:pPr>
            <w:r>
              <w:rPr>
                <w:rFonts w:ascii="Calibri" w:hAnsi="Calibri"/>
                <w:b/>
                <w:color w:val="1B365D"/>
                <w:sz w:val="17"/>
              </w:rPr>
              <w:t>GP / Activos Totales (Nominal)</w:t>
            </w:r>
          </w:p>
        </w:tc>
        <w:tc>
          <w:tcPr>
            <w:tcW w:type="dxa" w:w="1152"/>
            <w:shd w:fill="FFFFFF"/>
            <w:tcMar>
              <w:top w:w="70" w:type="dxa"/>
              <w:bottom w:w="70" w:type="dxa"/>
              <w:left w:w="100" w:type="dxa"/>
              <w:right w:w="100" w:type="dxa"/>
            </w:tcMar>
          </w:tcPr>
          <w:p>
            <w:pPr>
              <w:spacing w:before="0" w:after="0"/>
              <w:jc w:val="right"/>
            </w:pPr>
            <w:r>
              <w:rPr>
                <w:rFonts w:ascii="Calibri" w:hAnsi="Calibri"/>
                <w:b/>
                <w:color w:val="1B365D"/>
                <w:sz w:val="17"/>
              </w:rPr>
              <w:t>59.26%</w:t>
            </w:r>
          </w:p>
        </w:tc>
        <w:tc>
          <w:tcPr>
            <w:tcW w:type="dxa" w:w="1152"/>
            <w:shd w:fill="FFFFFF"/>
            <w:tcMar>
              <w:top w:w="70" w:type="dxa"/>
              <w:bottom w:w="70" w:type="dxa"/>
              <w:left w:w="100" w:type="dxa"/>
              <w:right w:w="100" w:type="dxa"/>
            </w:tcMar>
          </w:tcPr>
          <w:p>
            <w:pPr>
              <w:spacing w:before="0" w:after="0"/>
              <w:jc w:val="right"/>
            </w:pPr>
            <w:r>
              <w:rPr>
                <w:rFonts w:ascii="Calibri" w:hAnsi="Calibri"/>
                <w:b/>
                <w:color w:val="1B365D"/>
                <w:sz w:val="17"/>
              </w:rPr>
              <w:t>54.34%</w:t>
            </w:r>
          </w:p>
        </w:tc>
        <w:tc>
          <w:tcPr>
            <w:tcW w:type="dxa" w:w="1152"/>
            <w:shd w:fill="FFFFFF"/>
            <w:tcMar>
              <w:top w:w="70" w:type="dxa"/>
              <w:bottom w:w="70" w:type="dxa"/>
              <w:left w:w="100" w:type="dxa"/>
              <w:right w:w="100" w:type="dxa"/>
            </w:tcMar>
          </w:tcPr>
          <w:p>
            <w:pPr>
              <w:spacing w:before="0" w:after="0"/>
              <w:jc w:val="right"/>
            </w:pPr>
            <w:r>
              <w:rPr>
                <w:rFonts w:ascii="Calibri" w:hAnsi="Calibri"/>
                <w:b/>
                <w:color w:val="1B365D"/>
                <w:sz w:val="17"/>
              </w:rPr>
              <w:t>25.69%</w:t>
            </w:r>
          </w:p>
        </w:tc>
        <w:tc>
          <w:tcPr>
            <w:tcW w:type="dxa" w:w="1728"/>
            <w:shd w:fill="FFFFFF"/>
            <w:tcMar>
              <w:top w:w="70" w:type="dxa"/>
              <w:bottom w:w="70" w:type="dxa"/>
              <w:left w:w="100" w:type="dxa"/>
              <w:right w:w="100" w:type="dxa"/>
            </w:tcMar>
          </w:tcPr>
          <w:p>
            <w:pPr>
              <w:spacing w:before="0" w:after="0"/>
              <w:jc w:val="right"/>
            </w:pPr>
            <w:r>
              <w:rPr>
                <w:rFonts w:ascii="Calibri" w:hAnsi="Calibri"/>
                <w:b/>
                <w:color w:val="1B365D"/>
                <w:sz w:val="17"/>
              </w:rPr>
              <w:t>✅ Top 5% de la Industria</w:t>
            </w:r>
          </w:p>
        </w:tc>
        <w:tc>
          <w:tcPr>
            <w:tcW w:type="dxa" w:w="2448"/>
            <w:shd w:fill="FFFFFF"/>
            <w:tcMar>
              <w:top w:w="70" w:type="dxa"/>
              <w:bottom w:w="70" w:type="dxa"/>
              <w:left w:w="100" w:type="dxa"/>
              <w:right w:w="100" w:type="dxa"/>
            </w:tcMar>
          </w:tcPr>
          <w:p>
            <w:pPr>
              <w:spacing w:before="0" w:after="0"/>
              <w:jc w:val="left"/>
            </w:pPr>
            <w:r>
              <w:rPr>
                <w:rFonts w:ascii="Calibri" w:hAnsi="Calibri"/>
                <w:b/>
                <w:color w:val="1B365D"/>
                <w:sz w:val="17"/>
              </w:rPr>
              <w:t>Genera $0.59 de utilidad bruta por cada $1.00 de activo total.</w:t>
            </w:r>
          </w:p>
        </w:tc>
      </w:tr>
      <w:tr>
        <w:tc>
          <w:tcPr>
            <w:tcW w:type="dxa" w:w="2160"/>
            <w:shd w:fill="F7FAFC"/>
            <w:tcMar>
              <w:top w:w="70" w:type="dxa"/>
              <w:bottom w:w="70" w:type="dxa"/>
              <w:left w:w="100" w:type="dxa"/>
              <w:right w:w="100" w:type="dxa"/>
            </w:tcMar>
          </w:tcPr>
          <w:p>
            <w:pPr>
              <w:spacing w:before="0" w:after="0"/>
              <w:jc w:val="left"/>
            </w:pPr>
            <w:r>
              <w:rPr>
                <w:rFonts w:ascii="Calibri" w:hAnsi="Calibri"/>
                <w:b w:val="0"/>
                <w:color w:val="2D3748"/>
                <w:sz w:val="17"/>
              </w:rPr>
              <w:t>GP / Activos Operativos (Ex-Caja)</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66.08%</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60.38%</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28.00%</w:t>
            </w:r>
          </w:p>
        </w:tc>
        <w:tc>
          <w:tcPr>
            <w:tcW w:type="dxa" w:w="1728"/>
            <w:shd w:fill="F7FAFC"/>
            <w:tcMar>
              <w:top w:w="70" w:type="dxa"/>
              <w:bottom w:w="70" w:type="dxa"/>
              <w:left w:w="100" w:type="dxa"/>
              <w:right w:w="100" w:type="dxa"/>
            </w:tcMar>
          </w:tcPr>
          <w:p>
            <w:pPr>
              <w:spacing w:before="0" w:after="0"/>
              <w:jc w:val="right"/>
            </w:pPr>
            <w:r>
              <w:rPr>
                <w:rFonts w:ascii="Calibri" w:hAnsi="Calibri"/>
                <w:b w:val="0"/>
                <w:color w:val="2D3748"/>
                <w:sz w:val="17"/>
              </w:rPr>
              <w:t>✅ Alta Eficiencia</w:t>
            </w:r>
          </w:p>
        </w:tc>
        <w:tc>
          <w:tcPr>
            <w:tcW w:type="dxa" w:w="2448"/>
            <w:shd w:fill="F7FAFC"/>
            <w:tcMar>
              <w:top w:w="70" w:type="dxa"/>
              <w:bottom w:w="70" w:type="dxa"/>
              <w:left w:w="100" w:type="dxa"/>
              <w:right w:w="100" w:type="dxa"/>
            </w:tcMar>
          </w:tcPr>
          <w:p>
            <w:pPr>
              <w:spacing w:before="0" w:after="0"/>
              <w:jc w:val="left"/>
            </w:pPr>
            <w:r>
              <w:rPr>
                <w:rFonts w:ascii="Calibri" w:hAnsi="Calibri"/>
                <w:b w:val="0"/>
                <w:color w:val="2D3748"/>
                <w:sz w:val="17"/>
              </w:rPr>
              <w:t>Al aislar la caja ociosa, rinde $0.66 por dólar productivo.</w:t>
            </w:r>
          </w:p>
        </w:tc>
      </w:tr>
      <w:tr>
        <w:tc>
          <w:tcPr>
            <w:tcW w:type="dxa" w:w="2160"/>
            <w:shd w:fill="FFFFFF"/>
            <w:tcMar>
              <w:top w:w="70" w:type="dxa"/>
              <w:bottom w:w="70" w:type="dxa"/>
              <w:left w:w="100" w:type="dxa"/>
              <w:right w:w="100" w:type="dxa"/>
            </w:tcMar>
          </w:tcPr>
          <w:p>
            <w:pPr>
              <w:spacing w:before="0" w:after="0"/>
              <w:jc w:val="left"/>
            </w:pPr>
            <w:r>
              <w:rPr>
                <w:rFonts w:ascii="Calibri" w:hAnsi="Calibri"/>
                <w:b w:val="0"/>
                <w:color w:val="2D3748"/>
                <w:sz w:val="17"/>
              </w:rPr>
              <w:t>Efecto Arrastre de Caja (Cash Drag)</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+6.82 pp</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+6.04 pp</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+2.31 pp</w:t>
            </w:r>
          </w:p>
        </w:tc>
        <w:tc>
          <w:tcPr>
            <w:tcW w:type="dxa" w:w="1728"/>
            <w:shd w:fill="FFFFFF"/>
            <w:tcMar>
              <w:top w:w="70" w:type="dxa"/>
              <w:bottom w:w="70" w:type="dxa"/>
              <w:left w:w="100" w:type="dxa"/>
              <w:right w:w="100" w:type="dxa"/>
            </w:tcMar>
          </w:tcPr>
          <w:p>
            <w:pPr>
              <w:spacing w:before="0" w:after="0"/>
              <w:jc w:val="right"/>
            </w:pPr>
            <w:r>
              <w:rPr>
                <w:rFonts w:ascii="Calibri" w:hAnsi="Calibri"/>
                <w:b w:val="0"/>
                <w:color w:val="2D3748"/>
                <w:sz w:val="17"/>
              </w:rPr>
              <w:t>ℹ️ Dilución Solvente</w:t>
            </w:r>
          </w:p>
        </w:tc>
        <w:tc>
          <w:tcPr>
            <w:tcW w:type="dxa" w:w="2448"/>
            <w:shd w:fill="FFFFFF"/>
            <w:tcMar>
              <w:top w:w="70" w:type="dxa"/>
              <w:bottom w:w="70" w:type="dxa"/>
              <w:left w:w="100" w:type="dxa"/>
              <w:right w:w="100" w:type="dxa"/>
            </w:tcMar>
          </w:tcPr>
          <w:p>
            <w:pPr>
              <w:spacing w:before="0" w:after="0"/>
              <w:jc w:val="left"/>
            </w:pPr>
            <w:r>
              <w:rPr>
                <w:rFonts w:ascii="Calibri" w:hAnsi="Calibri"/>
                <w:b w:val="0"/>
                <w:color w:val="2D3748"/>
                <w:sz w:val="17"/>
              </w:rPr>
              <w:t>La acumulación de liquidez deprime el ratio nominal.</w:t>
            </w:r>
          </w:p>
        </w:tc>
      </w:tr>
      <w:tr>
        <w:tc>
          <w:tcPr>
            <w:tcW w:type="dxa" w:w="2160"/>
            <w:shd w:fill="F7FAFC"/>
            <w:tcMar>
              <w:top w:w="70" w:type="dxa"/>
              <w:bottom w:w="70" w:type="dxa"/>
              <w:left w:w="100" w:type="dxa"/>
              <w:right w:w="100" w:type="dxa"/>
            </w:tcMar>
          </w:tcPr>
          <w:p>
            <w:pPr>
              <w:spacing w:before="0" w:after="0"/>
              <w:jc w:val="left"/>
            </w:pPr>
            <w:r>
              <w:rPr>
                <w:rFonts w:ascii="Calibri" w:hAnsi="Calibri"/>
                <w:b w:val="0"/>
                <w:color w:val="2D3748"/>
                <w:sz w:val="17"/>
              </w:rPr>
              <w:t>GP/A Ajustada (De-meaning)</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+33.57 pp</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+28.65 pp</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0.00 pp</w:t>
            </w:r>
          </w:p>
        </w:tc>
        <w:tc>
          <w:tcPr>
            <w:tcW w:type="dxa" w:w="1728"/>
            <w:shd w:fill="F7FAFC"/>
            <w:tcMar>
              <w:top w:w="70" w:type="dxa"/>
              <w:bottom w:w="70" w:type="dxa"/>
              <w:left w:w="100" w:type="dxa"/>
              <w:right w:w="100" w:type="dxa"/>
            </w:tcMar>
          </w:tcPr>
          <w:p>
            <w:pPr>
              <w:spacing w:before="0" w:after="0"/>
              <w:jc w:val="right"/>
            </w:pPr>
            <w:r>
              <w:rPr>
                <w:rFonts w:ascii="Calibri" w:hAnsi="Calibri"/>
                <w:b w:val="0"/>
                <w:color w:val="2D3748"/>
                <w:sz w:val="17"/>
              </w:rPr>
              <w:t>🟢 Ventaja Fuerte</w:t>
            </w:r>
          </w:p>
        </w:tc>
        <w:tc>
          <w:tcPr>
            <w:tcW w:type="dxa" w:w="2448"/>
            <w:shd w:fill="F7FAFC"/>
            <w:tcMar>
              <w:top w:w="70" w:type="dxa"/>
              <w:bottom w:w="70" w:type="dxa"/>
              <w:left w:w="100" w:type="dxa"/>
              <w:right w:w="100" w:type="dxa"/>
            </w:tcMar>
          </w:tcPr>
          <w:p>
            <w:pPr>
              <w:spacing w:before="0" w:after="0"/>
              <w:jc w:val="left"/>
            </w:pPr>
            <w:r>
              <w:rPr>
                <w:rFonts w:ascii="Calibri" w:hAnsi="Calibri"/>
                <w:b w:val="0"/>
                <w:color w:val="2D3748"/>
                <w:sz w:val="17"/>
              </w:rPr>
              <w:t>Supera en +33.57 puntos porcentuales a la mediana del sector.</w:t>
            </w:r>
          </w:p>
        </w:tc>
      </w:tr>
    </w:tbl>
    <w:p>
      <w:pPr>
        <w:spacing w:after="120"/>
      </w:pPr>
    </w:p>
    <w:p>
      <w:pPr>
        <w:keepNext/>
        <w:spacing w:before="240" w:after="80"/>
      </w:pPr>
      <w:r>
        <w:rPr>
          <w:rFonts w:ascii="Calibri" w:hAnsi="Calibri"/>
          <w:b/>
          <w:color w:val="4A5568"/>
          <w:sz w:val="23"/>
        </w:rPr>
        <w:t>Bloque B: Descomposición DuPont de Novy-Marx &amp; Matriz de 4 Cuadrantes</w:t>
      </w:r>
    </w:p>
    <w:tbl>
      <w:tblPr>
        <w:tblW w:type="auto" w:w="0"/>
        <w:jc w:val="center"/>
        <w:tblLayout w:type="fixed"/>
        <w:tblLook w:firstColumn="1" w:firstRow="1" w:lastColumn="0" w:lastRow="0" w:noHBand="0" w:noVBand="1" w:val="04A0"/>
      </w:tblPr>
      <w:tblGrid>
        <w:gridCol w:w="9792"/>
      </w:tblGrid>
      <w:tr>
        <w:tc>
          <w:tcPr>
            <w:tcW w:type="dxa" w:w="9792"/>
            <w:shd w:fill="F0F4F8"/>
            <w:tcMar>
              <w:top w:w="140" w:type="dxa"/>
              <w:bottom w:w="140" w:type="dxa"/>
              <w:left w:w="180" w:type="dxa"/>
              <w:right w:w="180" w:type="dxa"/>
            </w:tcMar>
            <w:tcBorders>
              <w:top w:val="none"/>
              <w:left w:val="single" w:sz="24" w:space="0" w:color="1B365D"/>
              <w:bottom w:val="none"/>
              <w:right w:val="none"/>
            </w:tcBorders>
          </w:tcPr>
          <w:p>
            <w:pPr>
              <w:spacing w:before="0" w:after="60" w:line="276" w:lineRule="auto"/>
            </w:pPr>
            <w:r>
              <w:rPr>
                <w:rFonts w:ascii="Calibri" w:hAnsi="Calibri"/>
                <w:b/>
                <w:color w:val="1B365D"/>
                <w:sz w:val="21"/>
              </w:rPr>
              <w:t>📌 MATRIZ DE DECISIÓN COMPETITIVA: 💎 COMPOUNDER DE ÉLITE (MARGEN + VELOCIDAD)</w:t>
              <w:br/>
            </w:r>
          </w:p>
          <w:p>
            <w:pPr>
              <w:spacing w:before="40" w:after="40" w:line="276" w:lineRule="auto"/>
            </w:pPr>
            <w:r>
              <w:rPr>
                <w:rFonts w:ascii="Calibri" w:hAnsi="Calibri"/>
                <w:color w:val="2D3748"/>
                <w:sz w:val="19"/>
              </w:rPr>
              <w:t>Excelente perfil competitivo: combina un margen bruto por encima de la mediana sectorial (48.7% vs 23.0%) con una rotación de activos superior a sus competidores (1.22x vs 1.20x). La empresa ejerce simultáneamente poder de marca/precios y alta velocidad de conversión de capital.</w:t>
            </w:r>
          </w:p>
          <w:p>
            <w:pPr>
              <w:spacing w:before="40" w:after="40" w:line="276" w:lineRule="auto"/>
            </w:pPr>
            <w:r>
              <w:rPr>
                <w:rFonts w:ascii="Calibri" w:hAnsi="Calibri"/>
                <w:color w:val="2D3748"/>
                <w:sz w:val="19"/>
              </w:rPr>
              <w:t>• Verificación Matemática de Identidad DuPont (LTM):</w:t>
            </w:r>
          </w:p>
          <w:p>
            <w:pPr>
              <w:spacing w:before="40" w:after="40" w:line="276" w:lineRule="auto"/>
            </w:pPr>
            <w:r>
              <w:rPr>
                <w:rFonts w:ascii="Calibri" w:hAnsi="Calibri"/>
                <w:color w:val="2D3748"/>
                <w:sz w:val="19"/>
              </w:rPr>
              <w:t xml:space="preserve">  Margen Bruto (48.65%) × Rotación de Activos (1.218x) = 59.26% (Concilia al 100.0% con GP/A de 59.26%).</w:t>
            </w:r>
          </w:p>
          <w:p>
            <w:pPr>
              <w:spacing w:before="40" w:after="40" w:line="276" w:lineRule="auto"/>
            </w:pPr>
            <w:r>
              <w:rPr>
                <w:rFonts w:ascii="Calibri" w:hAnsi="Calibri"/>
                <w:color w:val="2D3748"/>
                <w:sz w:val="19"/>
              </w:rPr>
              <w:t>• Identidad Operativa Ex-Caja: Margen Bruto (48.65%) × Rotación Ex-Caja (1.358x) = 66.08% (concilia con 66.08%).</w:t>
            </w:r>
          </w:p>
        </w:tc>
      </w:tr>
    </w:tbl>
    <w:p>
      <w:pPr>
        <w:spacing w:after="80"/>
      </w:pPr>
    </w:p>
    <w:tbl>
      <w:tblPr>
        <w:tblW w:type="auto" w:w="0"/>
        <w:jc w:val="center"/>
        <w:tblLayout w:type="fixed"/>
        <w:tblLook w:firstColumn="1" w:firstRow="1" w:lastColumn="0" w:lastRow="0" w:noHBand="0" w:noVBand="1" w:val="04A0"/>
        <w:tblBorders>
          <w:top w:val="single" w:sz="6" w:space="0" w:color="D2D6DC"/>
          <w:left w:val="none"/>
          <w:bottom w:val="single" w:sz="10" w:space="0" w:color="1B365D"/>
          <w:right w:val="none"/>
          <w:insideH w:val="single" w:sz="4" w:space="0" w:color="D2D6DC"/>
          <w:insideV w:val="none"/>
        </w:tblBorders>
      </w:tblPr>
      <w:tblGrid>
        <w:gridCol w:w="1632"/>
        <w:gridCol w:w="1632"/>
        <w:gridCol w:w="1632"/>
        <w:gridCol w:w="1632"/>
        <w:gridCol w:w="1632"/>
        <w:gridCol w:w="1632"/>
      </w:tblGrid>
      <w:tr>
        <w:tc>
          <w:tcPr>
            <w:tcW w:type="dxa" w:w="2160"/>
            <w:shd w:fill="1B365D"/>
            <w:tcMar>
              <w:top w:w="90" w:type="dxa"/>
              <w:bottom w:w="90" w:type="dxa"/>
              <w:left w:w="100" w:type="dxa"/>
              <w:right w:w="100" w:type="dxa"/>
            </w:tcMar>
          </w:tcPr>
          <w:p>
            <w:pPr>
              <w:spacing w:before="0" w:after="0"/>
              <w:jc w:val="left"/>
            </w:pPr>
            <w:r>
              <w:rPr>
                <w:rFonts w:ascii="Calibri" w:hAnsi="Calibri"/>
                <w:b/>
                <w:color w:val="FFFFFF"/>
                <w:sz w:val="18"/>
              </w:rPr>
              <w:t>Palanca DuPont</w:t>
            </w:r>
          </w:p>
        </w:tc>
        <w:tc>
          <w:tcPr>
            <w:tcW w:type="dxa" w:w="1152"/>
            <w:shd w:fill="1B365D"/>
            <w:tcMar>
              <w:top w:w="90" w:type="dxa"/>
              <w:bottom w:w="90" w:type="dxa"/>
              <w:left w:w="100" w:type="dxa"/>
              <w:right w:w="100" w:type="dxa"/>
            </w:tcMar>
          </w:tcPr>
          <w:p>
            <w:pPr>
              <w:spacing w:before="0" w:after="0"/>
              <w:jc w:val="right"/>
            </w:pPr>
            <w:r>
              <w:rPr>
                <w:rFonts w:ascii="Calibri" w:hAnsi="Calibri"/>
                <w:b/>
                <w:color w:val="FFFFFF"/>
                <w:sz w:val="18"/>
              </w:rPr>
              <w:t>LTM</w:t>
            </w:r>
          </w:p>
        </w:tc>
        <w:tc>
          <w:tcPr>
            <w:tcW w:type="dxa" w:w="1152"/>
            <w:shd w:fill="1B365D"/>
            <w:tcMar>
              <w:top w:w="90" w:type="dxa"/>
              <w:bottom w:w="90" w:type="dxa"/>
              <w:left w:w="100" w:type="dxa"/>
              <w:right w:w="100" w:type="dxa"/>
            </w:tcMar>
          </w:tcPr>
          <w:p>
            <w:pPr>
              <w:spacing w:before="0" w:after="0"/>
              <w:jc w:val="right"/>
            </w:pPr>
            <w:r>
              <w:rPr>
                <w:rFonts w:ascii="Calibri" w:hAnsi="Calibri"/>
                <w:b/>
                <w:color w:val="FFFFFF"/>
                <w:sz w:val="18"/>
              </w:rPr>
              <w:t>FY2025</w:t>
            </w:r>
          </w:p>
        </w:tc>
        <w:tc>
          <w:tcPr>
            <w:tcW w:type="dxa" w:w="1152"/>
            <w:shd w:fill="1B365D"/>
            <w:tcMar>
              <w:top w:w="90" w:type="dxa"/>
              <w:bottom w:w="90" w:type="dxa"/>
              <w:left w:w="100" w:type="dxa"/>
              <w:right w:w="100" w:type="dxa"/>
            </w:tcMar>
          </w:tcPr>
          <w:p>
            <w:pPr>
              <w:spacing w:before="0" w:after="0"/>
              <w:jc w:val="right"/>
            </w:pPr>
            <w:r>
              <w:rPr>
                <w:rFonts w:ascii="Calibri" w:hAnsi="Calibri"/>
                <w:b/>
                <w:color w:val="FFFFFF"/>
                <w:sz w:val="18"/>
              </w:rPr>
              <w:t>Mediana Ind.</w:t>
            </w:r>
          </w:p>
        </w:tc>
        <w:tc>
          <w:tcPr>
            <w:tcW w:type="dxa" w:w="1728"/>
            <w:shd w:fill="1B365D"/>
            <w:tcMar>
              <w:top w:w="90" w:type="dxa"/>
              <w:bottom w:w="90" w:type="dxa"/>
              <w:left w:w="100" w:type="dxa"/>
              <w:right w:w="100" w:type="dxa"/>
            </w:tcMar>
          </w:tcPr>
          <w:p>
            <w:pPr>
              <w:spacing w:before="0" w:after="0"/>
              <w:jc w:val="right"/>
            </w:pPr>
            <w:r>
              <w:rPr>
                <w:rFonts w:ascii="Calibri" w:hAnsi="Calibri"/>
                <w:b/>
                <w:color w:val="FFFFFF"/>
                <w:sz w:val="18"/>
              </w:rPr>
              <w:t>Estatus vs Mediana</w:t>
            </w:r>
          </w:p>
        </w:tc>
        <w:tc>
          <w:tcPr>
            <w:tcW w:type="dxa" w:w="2448"/>
            <w:shd w:fill="1B365D"/>
            <w:tcMar>
              <w:top w:w="90" w:type="dxa"/>
              <w:bottom w:w="90" w:type="dxa"/>
              <w:left w:w="100" w:type="dxa"/>
              <w:right w:w="100" w:type="dxa"/>
            </w:tcMar>
          </w:tcPr>
          <w:p>
            <w:pPr>
              <w:spacing w:before="0" w:after="0"/>
              <w:jc w:val="left"/>
            </w:pPr>
            <w:r>
              <w:rPr>
                <w:rFonts w:ascii="Calibri" w:hAnsi="Calibri"/>
                <w:b/>
                <w:color w:val="FFFFFF"/>
                <w:sz w:val="18"/>
              </w:rPr>
              <w:t>Implicación Estratégica</w:t>
            </w:r>
          </w:p>
        </w:tc>
      </w:tr>
      <w:tr>
        <w:tc>
          <w:tcPr>
            <w:tcW w:type="dxa" w:w="2160"/>
            <w:shd w:fill="FFFFFF"/>
            <w:tcMar>
              <w:top w:w="70" w:type="dxa"/>
              <w:bottom w:w="70" w:type="dxa"/>
              <w:left w:w="100" w:type="dxa"/>
              <w:right w:w="100" w:type="dxa"/>
            </w:tcMar>
          </w:tcPr>
          <w:p>
            <w:pPr>
              <w:spacing w:before="0" w:after="0"/>
              <w:jc w:val="left"/>
            </w:pPr>
            <w:r>
              <w:rPr>
                <w:rFonts w:ascii="Calibri" w:hAnsi="Calibri"/>
                <w:b w:val="0"/>
                <w:color w:val="2D3748"/>
                <w:sz w:val="17"/>
              </w:rPr>
              <w:t>Margen Bruto (Utilidad Bruta / Ventas)</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48.65%</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46.91%</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22.96%</w:t>
            </w:r>
          </w:p>
        </w:tc>
        <w:tc>
          <w:tcPr>
            <w:tcW w:type="dxa" w:w="1728"/>
            <w:shd w:fill="FFFFFF"/>
            <w:tcMar>
              <w:top w:w="70" w:type="dxa"/>
              <w:bottom w:w="70" w:type="dxa"/>
              <w:left w:w="100" w:type="dxa"/>
              <w:right w:w="100" w:type="dxa"/>
            </w:tcMar>
          </w:tcPr>
          <w:p>
            <w:pPr>
              <w:spacing w:before="0" w:after="0"/>
              <w:jc w:val="right"/>
            </w:pPr>
            <w:r>
              <w:rPr>
                <w:rFonts w:ascii="Calibri" w:hAnsi="Calibri"/>
                <w:b w:val="0"/>
                <w:color w:val="2D3748"/>
                <w:sz w:val="17"/>
              </w:rPr>
              <w:t>+25.70 pp</w:t>
            </w:r>
          </w:p>
        </w:tc>
        <w:tc>
          <w:tcPr>
            <w:tcW w:type="dxa" w:w="2448"/>
            <w:shd w:fill="FFFFFF"/>
            <w:tcMar>
              <w:top w:w="70" w:type="dxa"/>
              <w:bottom w:w="70" w:type="dxa"/>
              <w:left w:w="100" w:type="dxa"/>
              <w:right w:w="100" w:type="dxa"/>
            </w:tcMar>
          </w:tcPr>
          <w:p>
            <w:pPr>
              <w:spacing w:before="0" w:after="0"/>
              <w:jc w:val="left"/>
            </w:pPr>
            <w:r>
              <w:rPr>
                <w:rFonts w:ascii="Calibri" w:hAnsi="Calibri"/>
                <w:b w:val="0"/>
                <w:color w:val="2D3748"/>
                <w:sz w:val="17"/>
              </w:rPr>
              <w:t>Pricing power, lealtad de clientes y disciplina de costes directos.</w:t>
            </w:r>
          </w:p>
        </w:tc>
      </w:tr>
      <w:tr>
        <w:tc>
          <w:tcPr>
            <w:tcW w:type="dxa" w:w="2160"/>
            <w:shd w:fill="F7FAFC"/>
            <w:tcMar>
              <w:top w:w="70" w:type="dxa"/>
              <w:bottom w:w="70" w:type="dxa"/>
              <w:left w:w="100" w:type="dxa"/>
              <w:right w:w="100" w:type="dxa"/>
            </w:tcMar>
          </w:tcPr>
          <w:p>
            <w:pPr>
              <w:spacing w:before="0" w:after="0"/>
              <w:jc w:val="left"/>
            </w:pPr>
            <w:r>
              <w:rPr>
                <w:rFonts w:ascii="Calibri" w:hAnsi="Calibri"/>
                <w:b/>
                <w:color w:val="1B365D"/>
                <w:sz w:val="17"/>
              </w:rPr>
              <w:t>Rotación Activos Totales (Ventas / Activos)</w:t>
            </w:r>
          </w:p>
        </w:tc>
        <w:tc>
          <w:tcPr>
            <w:tcW w:type="dxa" w:w="1152"/>
            <w:shd w:fill="F7FAFC"/>
            <w:tcMar>
              <w:top w:w="70" w:type="dxa"/>
              <w:bottom w:w="70" w:type="dxa"/>
              <w:left w:w="100" w:type="dxa"/>
              <w:right w:w="100" w:type="dxa"/>
            </w:tcMar>
          </w:tcPr>
          <w:p>
            <w:pPr>
              <w:spacing w:before="0" w:after="0"/>
              <w:jc w:val="right"/>
            </w:pPr>
            <w:r>
              <w:rPr>
                <w:rFonts w:ascii="Calibri" w:hAnsi="Calibri"/>
                <w:b/>
                <w:color w:val="1B365D"/>
                <w:sz w:val="17"/>
              </w:rPr>
              <w:t>1.218x</w:t>
            </w:r>
          </w:p>
        </w:tc>
        <w:tc>
          <w:tcPr>
            <w:tcW w:type="dxa" w:w="1152"/>
            <w:shd w:fill="F7FAFC"/>
            <w:tcMar>
              <w:top w:w="70" w:type="dxa"/>
              <w:bottom w:w="70" w:type="dxa"/>
              <w:left w:w="100" w:type="dxa"/>
              <w:right w:w="100" w:type="dxa"/>
            </w:tcMar>
          </w:tcPr>
          <w:p>
            <w:pPr>
              <w:spacing w:before="0" w:after="0"/>
              <w:jc w:val="right"/>
            </w:pPr>
            <w:r>
              <w:rPr>
                <w:rFonts w:ascii="Calibri" w:hAnsi="Calibri"/>
                <w:b/>
                <w:color w:val="1B365D"/>
                <w:sz w:val="17"/>
              </w:rPr>
              <w:t>1.158x</w:t>
            </w:r>
          </w:p>
        </w:tc>
        <w:tc>
          <w:tcPr>
            <w:tcW w:type="dxa" w:w="1152"/>
            <w:shd w:fill="F7FAFC"/>
            <w:tcMar>
              <w:top w:w="70" w:type="dxa"/>
              <w:bottom w:w="70" w:type="dxa"/>
              <w:left w:w="100" w:type="dxa"/>
              <w:right w:w="100" w:type="dxa"/>
            </w:tcMar>
          </w:tcPr>
          <w:p>
            <w:pPr>
              <w:spacing w:before="0" w:after="0"/>
              <w:jc w:val="right"/>
            </w:pPr>
            <w:r>
              <w:rPr>
                <w:rFonts w:ascii="Calibri" w:hAnsi="Calibri"/>
                <w:b/>
                <w:color w:val="1B365D"/>
                <w:sz w:val="17"/>
              </w:rPr>
              <w:t>1.202x</w:t>
            </w:r>
          </w:p>
        </w:tc>
        <w:tc>
          <w:tcPr>
            <w:tcW w:type="dxa" w:w="1728"/>
            <w:shd w:fill="F7FAFC"/>
            <w:tcMar>
              <w:top w:w="70" w:type="dxa"/>
              <w:bottom w:w="70" w:type="dxa"/>
              <w:left w:w="100" w:type="dxa"/>
              <w:right w:w="100" w:type="dxa"/>
            </w:tcMar>
          </w:tcPr>
          <w:p>
            <w:pPr>
              <w:spacing w:before="0" w:after="0"/>
              <w:jc w:val="right"/>
            </w:pPr>
            <w:r>
              <w:rPr>
                <w:rFonts w:ascii="Calibri" w:hAnsi="Calibri"/>
                <w:b/>
                <w:color w:val="1B365D"/>
                <w:sz w:val="17"/>
              </w:rPr>
              <w:t>+0.02x</w:t>
            </w:r>
          </w:p>
        </w:tc>
        <w:tc>
          <w:tcPr>
            <w:tcW w:type="dxa" w:w="2448"/>
            <w:shd w:fill="F7FAFC"/>
            <w:tcMar>
              <w:top w:w="70" w:type="dxa"/>
              <w:bottom w:w="70" w:type="dxa"/>
              <w:left w:w="100" w:type="dxa"/>
              <w:right w:w="100" w:type="dxa"/>
            </w:tcMar>
          </w:tcPr>
          <w:p>
            <w:pPr>
              <w:spacing w:before="0" w:after="0"/>
              <w:jc w:val="left"/>
            </w:pPr>
            <w:r>
              <w:rPr>
                <w:rFonts w:ascii="Calibri" w:hAnsi="Calibri"/>
                <w:b/>
                <w:color w:val="1B365D"/>
                <w:sz w:val="17"/>
              </w:rPr>
              <w:t>Velocidad de comercialización y aprovechamiento del capital instalado.</w:t>
            </w:r>
          </w:p>
        </w:tc>
      </w:tr>
      <w:tr>
        <w:tc>
          <w:tcPr>
            <w:tcW w:type="dxa" w:w="2160"/>
            <w:shd w:fill="FFFFFF"/>
            <w:tcMar>
              <w:top w:w="70" w:type="dxa"/>
              <w:bottom w:w="70" w:type="dxa"/>
              <w:left w:w="100" w:type="dxa"/>
              <w:right w:w="100" w:type="dxa"/>
            </w:tcMar>
          </w:tcPr>
          <w:p>
            <w:pPr>
              <w:spacing w:before="0" w:after="0"/>
              <w:jc w:val="left"/>
            </w:pPr>
            <w:r>
              <w:rPr>
                <w:rFonts w:ascii="Calibri" w:hAnsi="Calibri"/>
                <w:b w:val="0"/>
                <w:color w:val="2D3748"/>
                <w:sz w:val="17"/>
              </w:rPr>
              <w:t>Rotación Activos Ex-Caja (Ventas / Act. Operativos)</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1.358x</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1.287x</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1.323x</w:t>
            </w:r>
          </w:p>
        </w:tc>
        <w:tc>
          <w:tcPr>
            <w:tcW w:type="dxa" w:w="1728"/>
            <w:shd w:fill="FFFFFF"/>
            <w:tcMar>
              <w:top w:w="70" w:type="dxa"/>
              <w:bottom w:w="70" w:type="dxa"/>
              <w:left w:w="100" w:type="dxa"/>
              <w:right w:w="100" w:type="dxa"/>
            </w:tcMar>
          </w:tcPr>
          <w:p>
            <w:pPr>
              <w:spacing w:before="0" w:after="0"/>
              <w:jc w:val="right"/>
            </w:pPr>
            <w:r>
              <w:rPr>
                <w:rFonts w:ascii="Calibri" w:hAnsi="Calibri"/>
                <w:b w:val="0"/>
                <w:color w:val="2D3748"/>
                <w:sz w:val="17"/>
              </w:rPr>
              <w:t>Expansión Operativa</w:t>
            </w:r>
          </w:p>
        </w:tc>
        <w:tc>
          <w:tcPr>
            <w:tcW w:type="dxa" w:w="2448"/>
            <w:shd w:fill="FFFFFF"/>
            <w:tcMar>
              <w:top w:w="70" w:type="dxa"/>
              <w:bottom w:w="70" w:type="dxa"/>
              <w:left w:w="100" w:type="dxa"/>
              <w:right w:w="100" w:type="dxa"/>
            </w:tcMar>
          </w:tcPr>
          <w:p>
            <w:pPr>
              <w:spacing w:before="0" w:after="0"/>
              <w:jc w:val="left"/>
            </w:pPr>
            <w:r>
              <w:rPr>
                <w:rFonts w:ascii="Calibri" w:hAnsi="Calibri"/>
                <w:b w:val="0"/>
                <w:color w:val="2D3748"/>
                <w:sz w:val="17"/>
              </w:rPr>
              <w:t>Velocidad pura del capital en planta, logística y desarrollo.</w:t>
            </w:r>
          </w:p>
        </w:tc>
      </w:tr>
      <w:tr>
        <w:tc>
          <w:tcPr>
            <w:tcW w:type="dxa" w:w="2160"/>
            <w:shd w:fill="F7FAFC"/>
            <w:tcMar>
              <w:top w:w="70" w:type="dxa"/>
              <w:bottom w:w="70" w:type="dxa"/>
              <w:left w:w="100" w:type="dxa"/>
              <w:right w:w="100" w:type="dxa"/>
            </w:tcMar>
          </w:tcPr>
          <w:p>
            <w:pPr>
              <w:spacing w:before="0" w:after="0"/>
              <w:jc w:val="left"/>
            </w:pPr>
            <w:r>
              <w:rPr>
                <w:rFonts w:ascii="Calibri" w:hAnsi="Calibri"/>
                <w:b/>
                <w:color w:val="1B365D"/>
                <w:sz w:val="17"/>
              </w:rPr>
              <w:t>PRODUCTIVIDAD CONSOLIDADA (GP/A)</w:t>
            </w:r>
          </w:p>
        </w:tc>
        <w:tc>
          <w:tcPr>
            <w:tcW w:type="dxa" w:w="1152"/>
            <w:shd w:fill="F7FAFC"/>
            <w:tcMar>
              <w:top w:w="70" w:type="dxa"/>
              <w:bottom w:w="70" w:type="dxa"/>
              <w:left w:w="100" w:type="dxa"/>
              <w:right w:w="100" w:type="dxa"/>
            </w:tcMar>
          </w:tcPr>
          <w:p>
            <w:pPr>
              <w:spacing w:before="0" w:after="0"/>
              <w:jc w:val="right"/>
            </w:pPr>
            <w:r>
              <w:rPr>
                <w:rFonts w:ascii="Calibri" w:hAnsi="Calibri"/>
                <w:b/>
                <w:color w:val="1B365D"/>
                <w:sz w:val="17"/>
              </w:rPr>
              <w:t>59.26%</w:t>
            </w:r>
          </w:p>
        </w:tc>
        <w:tc>
          <w:tcPr>
            <w:tcW w:type="dxa" w:w="1152"/>
            <w:shd w:fill="F7FAFC"/>
            <w:tcMar>
              <w:top w:w="70" w:type="dxa"/>
              <w:bottom w:w="70" w:type="dxa"/>
              <w:left w:w="100" w:type="dxa"/>
              <w:right w:w="100" w:type="dxa"/>
            </w:tcMar>
          </w:tcPr>
          <w:p>
            <w:pPr>
              <w:spacing w:before="0" w:after="0"/>
              <w:jc w:val="right"/>
            </w:pPr>
            <w:r>
              <w:rPr>
                <w:rFonts w:ascii="Calibri" w:hAnsi="Calibri"/>
                <w:b/>
                <w:color w:val="1B365D"/>
                <w:sz w:val="17"/>
              </w:rPr>
              <w:t>54.34%</w:t>
            </w:r>
          </w:p>
        </w:tc>
        <w:tc>
          <w:tcPr>
            <w:tcW w:type="dxa" w:w="1152"/>
            <w:shd w:fill="F7FAFC"/>
            <w:tcMar>
              <w:top w:w="70" w:type="dxa"/>
              <w:bottom w:w="70" w:type="dxa"/>
              <w:left w:w="100" w:type="dxa"/>
              <w:right w:w="100" w:type="dxa"/>
            </w:tcMar>
          </w:tcPr>
          <w:p>
            <w:pPr>
              <w:spacing w:before="0" w:after="0"/>
              <w:jc w:val="right"/>
            </w:pPr>
            <w:r>
              <w:rPr>
                <w:rFonts w:ascii="Calibri" w:hAnsi="Calibri"/>
                <w:b/>
                <w:color w:val="1B365D"/>
                <w:sz w:val="17"/>
              </w:rPr>
              <w:t>25.69%</w:t>
            </w:r>
          </w:p>
        </w:tc>
        <w:tc>
          <w:tcPr>
            <w:tcW w:type="dxa" w:w="1728"/>
            <w:shd w:fill="F7FAFC"/>
            <w:tcMar>
              <w:top w:w="70" w:type="dxa"/>
              <w:bottom w:w="70" w:type="dxa"/>
              <w:left w:w="100" w:type="dxa"/>
              <w:right w:w="100" w:type="dxa"/>
            </w:tcMar>
          </w:tcPr>
          <w:p>
            <w:pPr>
              <w:spacing w:before="0" w:after="0"/>
              <w:jc w:val="right"/>
            </w:pPr>
            <w:r>
              <w:rPr>
                <w:rFonts w:ascii="Calibri" w:hAnsi="Calibri"/>
                <w:b/>
                <w:color w:val="1B365D"/>
                <w:sz w:val="17"/>
              </w:rPr>
              <w:t>+33.57 pp</w:t>
            </w:r>
          </w:p>
        </w:tc>
        <w:tc>
          <w:tcPr>
            <w:tcW w:type="dxa" w:w="2448"/>
            <w:shd w:fill="F7FAFC"/>
            <w:tcMar>
              <w:top w:w="70" w:type="dxa"/>
              <w:bottom w:w="70" w:type="dxa"/>
              <w:left w:w="100" w:type="dxa"/>
              <w:right w:w="100" w:type="dxa"/>
            </w:tcMar>
          </w:tcPr>
          <w:p>
            <w:pPr>
              <w:spacing w:before="0" w:after="0"/>
              <w:jc w:val="left"/>
            </w:pPr>
            <w:r>
              <w:rPr>
                <w:rFonts w:ascii="Calibri" w:hAnsi="Calibri"/>
                <w:b/>
                <w:color w:val="1B365D"/>
                <w:sz w:val="17"/>
              </w:rPr>
              <w:t>CAPITAL PRODUCTIVO DE MÁXIMA GENERACIÓN ECONÓMICA.</w:t>
            </w:r>
          </w:p>
        </w:tc>
      </w:tr>
    </w:tbl>
    <w:p>
      <w:pPr>
        <w:spacing w:after="120"/>
      </w:pPr>
    </w:p>
    <w:p>
      <w:pPr>
        <w:keepNext/>
        <w:spacing w:before="240" w:after="80"/>
      </w:pPr>
      <w:r>
        <w:rPr>
          <w:rFonts w:ascii="Calibri" w:hAnsi="Calibri"/>
          <w:b/>
          <w:color w:val="4A5568"/>
          <w:sz w:val="23"/>
        </w:rPr>
        <w:t>Bloque C: Evolución Histórica Multianual y Consistencia de Tendencia</w:t>
      </w:r>
    </w:p>
    <w:tbl>
      <w:tblPr>
        <w:tblW w:type="auto" w:w="0"/>
        <w:jc w:val="center"/>
        <w:tblLayout w:type="fixed"/>
        <w:tblLook w:firstColumn="1" w:firstRow="1" w:lastColumn="0" w:lastRow="0" w:noHBand="0" w:noVBand="1" w:val="04A0"/>
      </w:tblPr>
      <w:tblGrid>
        <w:gridCol w:w="9792"/>
      </w:tblGrid>
      <w:tr>
        <w:tc>
          <w:tcPr>
            <w:tcW w:type="dxa" w:w="9792"/>
            <w:shd w:fill="F0F4F8"/>
            <w:tcMar>
              <w:top w:w="140" w:type="dxa"/>
              <w:bottom w:w="140" w:type="dxa"/>
              <w:left w:w="180" w:type="dxa"/>
              <w:right w:w="180" w:type="dxa"/>
            </w:tcMar>
            <w:tcBorders>
              <w:top w:val="none"/>
              <w:left w:val="single" w:sz="24" w:space="0" w:color="1B365D"/>
              <w:bottom w:val="none"/>
              <w:right w:val="none"/>
            </w:tcBorders>
          </w:tcPr>
          <w:p>
            <w:pPr>
              <w:spacing w:before="0" w:after="60" w:line="276" w:lineRule="auto"/>
            </w:pPr>
            <w:r>
              <w:rPr>
                <w:rFonts w:ascii="Calibri" w:hAnsi="Calibri"/>
                <w:b/>
                <w:color w:val="1B365D"/>
                <w:sz w:val="21"/>
              </w:rPr>
              <w:t>📌 DIAGNÓSTICO DE SOSTENIBILIDAD TEMPORAL</w:t>
              <w:br/>
            </w:r>
          </w:p>
          <w:p>
            <w:pPr>
              <w:spacing w:before="40" w:after="40" w:line="276" w:lineRule="auto"/>
            </w:pPr>
            <w:r>
              <w:rPr>
                <w:rFonts w:ascii="Calibri" w:hAnsi="Calibri"/>
                <w:color w:val="2D3748"/>
                <w:sz w:val="19"/>
              </w:rPr>
              <w:t>• Expansión a 3 Años (vs. FY2023): +11.29 puntos porcentuales.</w:t>
            </w:r>
          </w:p>
          <w:p>
            <w:pPr>
              <w:spacing w:before="40" w:after="40" w:line="276" w:lineRule="auto"/>
            </w:pPr>
            <w:r>
              <w:rPr>
                <w:rFonts w:ascii="Calibri" w:hAnsi="Calibri"/>
                <w:color w:val="2D3748"/>
                <w:sz w:val="19"/>
              </w:rPr>
              <w:t>• Expansión a 5 Años (vs. FY2021): +15.72 puntos porcentuales.</w:t>
            </w:r>
          </w:p>
          <w:p>
            <w:pPr>
              <w:spacing w:before="40" w:after="40" w:line="276" w:lineRule="auto"/>
            </w:pPr>
            <w:r>
              <w:rPr>
                <w:rFonts w:ascii="Calibri" w:hAnsi="Calibri"/>
                <w:color w:val="2D3748"/>
                <w:sz w:val="19"/>
              </w:rPr>
              <w:t>• Coeficiente de Variación (CV GP/A): 0.079 (indica una trayectoria predecible y baja volatilidad operativa).</w:t>
            </w:r>
          </w:p>
          <w:p>
            <w:pPr>
              <w:spacing w:before="40" w:after="40" w:line="276" w:lineRule="auto"/>
            </w:pPr>
            <w:r>
              <w:rPr>
                <w:rFonts w:ascii="Calibri" w:hAnsi="Calibri"/>
                <w:color w:val="2D3748"/>
                <w:sz w:val="19"/>
              </w:rPr>
              <w:t>• Conclusión de Tendencia: Expansión estructural acelerada (+15.72 p.p. en 5 años); aumento continuo de la productividad pura de capital.</w:t>
            </w:r>
          </w:p>
        </w:tc>
      </w:tr>
    </w:tbl>
    <w:p>
      <w:pPr>
        <w:spacing w:after="80"/>
      </w:pPr>
    </w:p>
    <w:tbl>
      <w:tblPr>
        <w:tblW w:type="auto" w:w="0"/>
        <w:jc w:val="center"/>
        <w:tblLayout w:type="fixed"/>
        <w:tblLook w:firstColumn="1" w:firstRow="1" w:lastColumn="0" w:lastRow="0" w:noHBand="0" w:noVBand="1" w:val="04A0"/>
        <w:tblBorders>
          <w:top w:val="single" w:sz="6" w:space="0" w:color="D2D6DC"/>
          <w:left w:val="none"/>
          <w:bottom w:val="single" w:sz="10" w:space="0" w:color="1B365D"/>
          <w:right w:val="none"/>
          <w:insideH w:val="single" w:sz="4" w:space="0" w:color="D2D6DC"/>
          <w:insideV w:val="none"/>
        </w:tblBorders>
      </w:tblPr>
      <w:tblGrid>
        <w:gridCol w:w="1399"/>
        <w:gridCol w:w="1399"/>
        <w:gridCol w:w="1399"/>
        <w:gridCol w:w="1399"/>
        <w:gridCol w:w="1399"/>
        <w:gridCol w:w="1399"/>
        <w:gridCol w:w="1399"/>
      </w:tblGrid>
      <w:tr>
        <w:tc>
          <w:tcPr>
            <w:tcW w:type="dxa" w:w="1440"/>
            <w:shd w:fill="1B365D"/>
            <w:tcMar>
              <w:top w:w="90" w:type="dxa"/>
              <w:bottom w:w="90" w:type="dxa"/>
              <w:left w:w="100" w:type="dxa"/>
              <w:right w:w="100" w:type="dxa"/>
            </w:tcMar>
          </w:tcPr>
          <w:p>
            <w:pPr>
              <w:spacing w:before="0" w:after="0"/>
              <w:jc w:val="left"/>
            </w:pPr>
            <w:r>
              <w:rPr>
                <w:rFonts w:ascii="Calibri" w:hAnsi="Calibri"/>
                <w:b/>
                <w:color w:val="FFFFFF"/>
                <w:sz w:val="18"/>
              </w:rPr>
              <w:t>Período Fiscal</w:t>
            </w:r>
          </w:p>
        </w:tc>
        <w:tc>
          <w:tcPr>
            <w:tcW w:type="dxa" w:w="1440"/>
            <w:shd w:fill="1B365D"/>
            <w:tcMar>
              <w:top w:w="90" w:type="dxa"/>
              <w:bottom w:w="90" w:type="dxa"/>
              <w:left w:w="100" w:type="dxa"/>
              <w:right w:w="100" w:type="dxa"/>
            </w:tcMar>
          </w:tcPr>
          <w:p>
            <w:pPr>
              <w:spacing w:before="0" w:after="0"/>
              <w:jc w:val="right"/>
            </w:pPr>
            <w:r>
              <w:rPr>
                <w:rFonts w:ascii="Calibri" w:hAnsi="Calibri"/>
                <w:b/>
                <w:color w:val="FFFFFF"/>
                <w:sz w:val="18"/>
              </w:rPr>
              <w:t>GP / Activos (%)</w:t>
            </w:r>
          </w:p>
        </w:tc>
        <w:tc>
          <w:tcPr>
            <w:tcW w:type="dxa" w:w="1440"/>
            <w:shd w:fill="1B365D"/>
            <w:tcMar>
              <w:top w:w="90" w:type="dxa"/>
              <w:bottom w:w="90" w:type="dxa"/>
              <w:left w:w="100" w:type="dxa"/>
              <w:right w:w="100" w:type="dxa"/>
            </w:tcMar>
          </w:tcPr>
          <w:p>
            <w:pPr>
              <w:spacing w:before="0" w:after="0"/>
              <w:jc w:val="right"/>
            </w:pPr>
            <w:r>
              <w:rPr>
                <w:rFonts w:ascii="Calibri" w:hAnsi="Calibri"/>
                <w:b/>
                <w:color w:val="FFFFFF"/>
                <w:sz w:val="18"/>
              </w:rPr>
              <w:t>GP Ex-Caja (%)</w:t>
            </w:r>
          </w:p>
        </w:tc>
        <w:tc>
          <w:tcPr>
            <w:tcW w:type="dxa" w:w="1296"/>
            <w:shd w:fill="1B365D"/>
            <w:tcMar>
              <w:top w:w="90" w:type="dxa"/>
              <w:bottom w:w="90" w:type="dxa"/>
              <w:left w:w="100" w:type="dxa"/>
              <w:right w:w="100" w:type="dxa"/>
            </w:tcMar>
          </w:tcPr>
          <w:p>
            <w:pPr>
              <w:spacing w:before="0" w:after="0"/>
              <w:jc w:val="right"/>
            </w:pPr>
            <w:r>
              <w:rPr>
                <w:rFonts w:ascii="Calibri" w:hAnsi="Calibri"/>
                <w:b/>
                <w:color w:val="FFFFFF"/>
                <w:sz w:val="18"/>
              </w:rPr>
              <w:t>Cash Drag (pp)</w:t>
            </w:r>
          </w:p>
        </w:tc>
        <w:tc>
          <w:tcPr>
            <w:tcW w:type="dxa" w:w="1440"/>
            <w:shd w:fill="1B365D"/>
            <w:tcMar>
              <w:top w:w="90" w:type="dxa"/>
              <w:bottom w:w="90" w:type="dxa"/>
              <w:left w:w="100" w:type="dxa"/>
              <w:right w:w="100" w:type="dxa"/>
            </w:tcMar>
          </w:tcPr>
          <w:p>
            <w:pPr>
              <w:spacing w:before="0" w:after="0"/>
              <w:jc w:val="right"/>
            </w:pPr>
            <w:r>
              <w:rPr>
                <w:rFonts w:ascii="Calibri" w:hAnsi="Calibri"/>
                <w:b/>
                <w:color w:val="FFFFFF"/>
                <w:sz w:val="18"/>
              </w:rPr>
              <w:t>Margen Bruto (%)</w:t>
            </w:r>
          </w:p>
        </w:tc>
        <w:tc>
          <w:tcPr>
            <w:tcW w:type="dxa" w:w="1152"/>
            <w:shd w:fill="1B365D"/>
            <w:tcMar>
              <w:top w:w="90" w:type="dxa"/>
              <w:bottom w:w="90" w:type="dxa"/>
              <w:left w:w="100" w:type="dxa"/>
              <w:right w:w="100" w:type="dxa"/>
            </w:tcMar>
          </w:tcPr>
          <w:p>
            <w:pPr>
              <w:spacing w:before="0" w:after="0"/>
              <w:jc w:val="right"/>
            </w:pPr>
            <w:r>
              <w:rPr>
                <w:rFonts w:ascii="Calibri" w:hAnsi="Calibri"/>
                <w:b/>
                <w:color w:val="FFFFFF"/>
                <w:sz w:val="18"/>
              </w:rPr>
              <w:t>Rotación (x)</w:t>
            </w:r>
          </w:p>
        </w:tc>
        <w:tc>
          <w:tcPr>
            <w:tcW w:type="dxa" w:w="1584"/>
            <w:shd w:fill="1B365D"/>
            <w:tcMar>
              <w:top w:w="90" w:type="dxa"/>
              <w:bottom w:w="90" w:type="dxa"/>
              <w:left w:w="100" w:type="dxa"/>
              <w:right w:w="100" w:type="dxa"/>
            </w:tcMar>
          </w:tcPr>
          <w:p>
            <w:pPr>
              <w:spacing w:before="0" w:after="0"/>
              <w:jc w:val="left"/>
            </w:pPr>
            <w:r>
              <w:rPr>
                <w:rFonts w:ascii="Calibri" w:hAnsi="Calibri"/>
                <w:b/>
                <w:color w:val="FFFFFF"/>
                <w:sz w:val="18"/>
              </w:rPr>
              <w:t>Cuadrante Estratégico</w:t>
            </w:r>
          </w:p>
        </w:tc>
      </w:tr>
      <w:tr>
        <w:tc>
          <w:tcPr>
            <w:tcW w:type="dxa" w:w="1440"/>
            <w:shd w:fill="FFFFFF"/>
            <w:tcMar>
              <w:top w:w="70" w:type="dxa"/>
              <w:bottom w:w="70" w:type="dxa"/>
              <w:left w:w="100" w:type="dxa"/>
              <w:right w:w="100" w:type="dxa"/>
            </w:tcMar>
          </w:tcPr>
          <w:p>
            <w:pPr>
              <w:spacing w:before="0" w:after="0"/>
              <w:jc w:val="left"/>
            </w:pPr>
            <w:r>
              <w:rPr>
                <w:rFonts w:ascii="Calibri" w:hAnsi="Calibri"/>
                <w:b/>
                <w:color w:val="1B365D"/>
                <w:sz w:val="17"/>
              </w:rPr>
              <w:t>LTM</w:t>
            </w:r>
          </w:p>
        </w:tc>
        <w:tc>
          <w:tcPr>
            <w:tcW w:type="dxa" w:w="1440"/>
            <w:shd w:fill="FFFFFF"/>
            <w:tcMar>
              <w:top w:w="70" w:type="dxa"/>
              <w:bottom w:w="70" w:type="dxa"/>
              <w:left w:w="100" w:type="dxa"/>
              <w:right w:w="100" w:type="dxa"/>
            </w:tcMar>
          </w:tcPr>
          <w:p>
            <w:pPr>
              <w:spacing w:before="0" w:after="0"/>
              <w:jc w:val="right"/>
            </w:pPr>
            <w:r>
              <w:rPr>
                <w:rFonts w:ascii="Calibri" w:hAnsi="Calibri"/>
                <w:b/>
                <w:color w:val="1B365D"/>
                <w:sz w:val="17"/>
              </w:rPr>
              <w:t>59.26%</w:t>
            </w:r>
          </w:p>
        </w:tc>
        <w:tc>
          <w:tcPr>
            <w:tcW w:type="dxa" w:w="1440"/>
            <w:shd w:fill="FFFFFF"/>
            <w:tcMar>
              <w:top w:w="70" w:type="dxa"/>
              <w:bottom w:w="70" w:type="dxa"/>
              <w:left w:w="100" w:type="dxa"/>
              <w:right w:w="100" w:type="dxa"/>
            </w:tcMar>
          </w:tcPr>
          <w:p>
            <w:pPr>
              <w:spacing w:before="0" w:after="0"/>
              <w:jc w:val="right"/>
            </w:pPr>
            <w:r>
              <w:rPr>
                <w:rFonts w:ascii="Calibri" w:hAnsi="Calibri"/>
                <w:b/>
                <w:color w:val="1B365D"/>
                <w:sz w:val="17"/>
              </w:rPr>
              <w:t>66.08%</w:t>
            </w:r>
          </w:p>
        </w:tc>
        <w:tc>
          <w:tcPr>
            <w:tcW w:type="dxa" w:w="1296"/>
            <w:shd w:fill="FFFFFF"/>
            <w:tcMar>
              <w:top w:w="70" w:type="dxa"/>
              <w:bottom w:w="70" w:type="dxa"/>
              <w:left w:w="100" w:type="dxa"/>
              <w:right w:w="100" w:type="dxa"/>
            </w:tcMar>
          </w:tcPr>
          <w:p>
            <w:pPr>
              <w:spacing w:before="0" w:after="0"/>
              <w:jc w:val="right"/>
            </w:pPr>
            <w:r>
              <w:rPr>
                <w:rFonts w:ascii="Calibri" w:hAnsi="Calibri"/>
                <w:b/>
                <w:color w:val="1B365D"/>
                <w:sz w:val="17"/>
              </w:rPr>
              <w:t>+6.82 pp</w:t>
            </w:r>
          </w:p>
        </w:tc>
        <w:tc>
          <w:tcPr>
            <w:tcW w:type="dxa" w:w="1440"/>
            <w:shd w:fill="FFFFFF"/>
            <w:tcMar>
              <w:top w:w="70" w:type="dxa"/>
              <w:bottom w:w="70" w:type="dxa"/>
              <w:left w:w="100" w:type="dxa"/>
              <w:right w:w="100" w:type="dxa"/>
            </w:tcMar>
          </w:tcPr>
          <w:p>
            <w:pPr>
              <w:spacing w:before="0" w:after="0"/>
              <w:jc w:val="right"/>
            </w:pPr>
            <w:r>
              <w:rPr>
                <w:rFonts w:ascii="Calibri" w:hAnsi="Calibri"/>
                <w:b/>
                <w:color w:val="1B365D"/>
                <w:sz w:val="17"/>
              </w:rPr>
              <w:t>48.65%</w:t>
            </w:r>
          </w:p>
        </w:tc>
        <w:tc>
          <w:tcPr>
            <w:tcW w:type="dxa" w:w="1152"/>
            <w:shd w:fill="FFFFFF"/>
            <w:tcMar>
              <w:top w:w="70" w:type="dxa"/>
              <w:bottom w:w="70" w:type="dxa"/>
              <w:left w:w="100" w:type="dxa"/>
              <w:right w:w="100" w:type="dxa"/>
            </w:tcMar>
          </w:tcPr>
          <w:p>
            <w:pPr>
              <w:spacing w:before="0" w:after="0"/>
              <w:jc w:val="right"/>
            </w:pPr>
            <w:r>
              <w:rPr>
                <w:rFonts w:ascii="Calibri" w:hAnsi="Calibri"/>
                <w:b/>
                <w:color w:val="1B365D"/>
                <w:sz w:val="17"/>
              </w:rPr>
              <w:t>1.218x</w:t>
            </w:r>
          </w:p>
        </w:tc>
        <w:tc>
          <w:tcPr>
            <w:tcW w:type="dxa" w:w="1584"/>
            <w:shd w:fill="FFFFFF"/>
            <w:tcMar>
              <w:top w:w="70" w:type="dxa"/>
              <w:bottom w:w="70" w:type="dxa"/>
              <w:left w:w="100" w:type="dxa"/>
              <w:right w:w="100" w:type="dxa"/>
            </w:tcMar>
          </w:tcPr>
          <w:p>
            <w:pPr>
              <w:spacing w:before="0" w:after="0"/>
              <w:jc w:val="left"/>
            </w:pPr>
            <w:r>
              <w:rPr>
                <w:rFonts w:ascii="Calibri" w:hAnsi="Calibri"/>
                <w:b/>
                <w:color w:val="1B365D"/>
                <w:sz w:val="17"/>
              </w:rPr>
              <w:t>COMPOUNDER DE ÉLITE</w:t>
            </w:r>
          </w:p>
        </w:tc>
      </w:tr>
      <w:tr>
        <w:tc>
          <w:tcPr>
            <w:tcW w:type="dxa" w:w="1440"/>
            <w:shd w:fill="F7FAFC"/>
            <w:tcMar>
              <w:top w:w="70" w:type="dxa"/>
              <w:bottom w:w="70" w:type="dxa"/>
              <w:left w:w="100" w:type="dxa"/>
              <w:right w:w="100" w:type="dxa"/>
            </w:tcMar>
          </w:tcPr>
          <w:p>
            <w:pPr>
              <w:spacing w:before="0" w:after="0"/>
              <w:jc w:val="left"/>
            </w:pPr>
            <w:r>
              <w:rPr>
                <w:rFonts w:ascii="Calibri" w:hAnsi="Calibri"/>
                <w:b w:val="0"/>
                <w:color w:val="2D3748"/>
                <w:sz w:val="17"/>
              </w:rPr>
              <w:t>FY2025</w:t>
            </w:r>
          </w:p>
        </w:tc>
        <w:tc>
          <w:tcPr>
            <w:tcW w:type="dxa" w:w="1440"/>
            <w:shd w:fill="F7FAFC"/>
            <w:tcMar>
              <w:top w:w="70" w:type="dxa"/>
              <w:bottom w:w="70" w:type="dxa"/>
              <w:left w:w="100" w:type="dxa"/>
              <w:right w:w="100" w:type="dxa"/>
            </w:tcMar>
          </w:tcPr>
          <w:p>
            <w:pPr>
              <w:spacing w:before="0" w:after="0"/>
              <w:jc w:val="right"/>
            </w:pPr>
            <w:r>
              <w:rPr>
                <w:rFonts w:ascii="Calibri" w:hAnsi="Calibri"/>
                <w:b w:val="0"/>
                <w:color w:val="2D3748"/>
                <w:sz w:val="17"/>
              </w:rPr>
              <w:t>54.34%</w:t>
            </w:r>
          </w:p>
        </w:tc>
        <w:tc>
          <w:tcPr>
            <w:tcW w:type="dxa" w:w="1440"/>
            <w:shd w:fill="F7FAFC"/>
            <w:tcMar>
              <w:top w:w="70" w:type="dxa"/>
              <w:bottom w:w="70" w:type="dxa"/>
              <w:left w:w="100" w:type="dxa"/>
              <w:right w:w="100" w:type="dxa"/>
            </w:tcMar>
          </w:tcPr>
          <w:p>
            <w:pPr>
              <w:spacing w:before="0" w:after="0"/>
              <w:jc w:val="right"/>
            </w:pPr>
            <w:r>
              <w:rPr>
                <w:rFonts w:ascii="Calibri" w:hAnsi="Calibri"/>
                <w:b w:val="0"/>
                <w:color w:val="2D3748"/>
                <w:sz w:val="17"/>
              </w:rPr>
              <w:t>60.38%</w:t>
            </w:r>
          </w:p>
        </w:tc>
        <w:tc>
          <w:tcPr>
            <w:tcW w:type="dxa" w:w="1296"/>
            <w:shd w:fill="F7FAFC"/>
            <w:tcMar>
              <w:top w:w="70" w:type="dxa"/>
              <w:bottom w:w="70" w:type="dxa"/>
              <w:left w:w="100" w:type="dxa"/>
              <w:right w:w="100" w:type="dxa"/>
            </w:tcMar>
          </w:tcPr>
          <w:p>
            <w:pPr>
              <w:spacing w:before="0" w:after="0"/>
              <w:jc w:val="right"/>
            </w:pPr>
            <w:r>
              <w:rPr>
                <w:rFonts w:ascii="Calibri" w:hAnsi="Calibri"/>
                <w:b w:val="0"/>
                <w:color w:val="2D3748"/>
                <w:sz w:val="17"/>
              </w:rPr>
              <w:t>+6.04 pp</w:t>
            </w:r>
          </w:p>
        </w:tc>
        <w:tc>
          <w:tcPr>
            <w:tcW w:type="dxa" w:w="1440"/>
            <w:shd w:fill="F7FAFC"/>
            <w:tcMar>
              <w:top w:w="70" w:type="dxa"/>
              <w:bottom w:w="70" w:type="dxa"/>
              <w:left w:w="100" w:type="dxa"/>
              <w:right w:w="100" w:type="dxa"/>
            </w:tcMar>
          </w:tcPr>
          <w:p>
            <w:pPr>
              <w:spacing w:before="0" w:after="0"/>
              <w:jc w:val="right"/>
            </w:pPr>
            <w:r>
              <w:rPr>
                <w:rFonts w:ascii="Calibri" w:hAnsi="Calibri"/>
                <w:b w:val="0"/>
                <w:color w:val="2D3748"/>
                <w:sz w:val="17"/>
              </w:rPr>
              <w:t>46.91%</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1.158x</w:t>
            </w:r>
          </w:p>
        </w:tc>
        <w:tc>
          <w:tcPr>
            <w:tcW w:type="dxa" w:w="1584"/>
            <w:shd w:fill="F7FAFC"/>
            <w:tcMar>
              <w:top w:w="70" w:type="dxa"/>
              <w:bottom w:w="70" w:type="dxa"/>
              <w:left w:w="100" w:type="dxa"/>
              <w:right w:w="100" w:type="dxa"/>
            </w:tcMar>
          </w:tcPr>
          <w:p>
            <w:pPr>
              <w:spacing w:before="0" w:after="0"/>
              <w:jc w:val="left"/>
            </w:pPr>
            <w:r>
              <w:rPr>
                <w:rFonts w:ascii="Calibri" w:hAnsi="Calibri"/>
                <w:b w:val="0"/>
                <w:color w:val="2D3748"/>
                <w:sz w:val="17"/>
              </w:rPr>
              <w:t>MONOPOLIO / PODER DE MARCA</w:t>
            </w:r>
          </w:p>
        </w:tc>
      </w:tr>
      <w:tr>
        <w:tc>
          <w:tcPr>
            <w:tcW w:type="dxa" w:w="1440"/>
            <w:shd w:fill="FFFFFF"/>
            <w:tcMar>
              <w:top w:w="70" w:type="dxa"/>
              <w:bottom w:w="70" w:type="dxa"/>
              <w:left w:w="100" w:type="dxa"/>
              <w:right w:w="100" w:type="dxa"/>
            </w:tcMar>
          </w:tcPr>
          <w:p>
            <w:pPr>
              <w:spacing w:before="0" w:after="0"/>
              <w:jc w:val="left"/>
            </w:pPr>
            <w:r>
              <w:rPr>
                <w:rFonts w:ascii="Calibri" w:hAnsi="Calibri"/>
                <w:b w:val="0"/>
                <w:color w:val="2D3748"/>
                <w:sz w:val="17"/>
              </w:rPr>
              <w:t>FY2024</w:t>
            </w:r>
          </w:p>
        </w:tc>
        <w:tc>
          <w:tcPr>
            <w:tcW w:type="dxa" w:w="1440"/>
            <w:shd w:fill="FFFFFF"/>
            <w:tcMar>
              <w:top w:w="70" w:type="dxa"/>
              <w:bottom w:w="70" w:type="dxa"/>
              <w:left w:w="100" w:type="dxa"/>
              <w:right w:w="100" w:type="dxa"/>
            </w:tcMar>
          </w:tcPr>
          <w:p>
            <w:pPr>
              <w:spacing w:before="0" w:after="0"/>
              <w:jc w:val="right"/>
            </w:pPr>
            <w:r>
              <w:rPr>
                <w:rFonts w:ascii="Calibri" w:hAnsi="Calibri"/>
                <w:b w:val="0"/>
                <w:color w:val="2D3748"/>
                <w:sz w:val="17"/>
              </w:rPr>
              <w:t>49.50%</w:t>
            </w:r>
          </w:p>
        </w:tc>
        <w:tc>
          <w:tcPr>
            <w:tcW w:type="dxa" w:w="1440"/>
            <w:shd w:fill="FFFFFF"/>
            <w:tcMar>
              <w:top w:w="70" w:type="dxa"/>
              <w:bottom w:w="70" w:type="dxa"/>
              <w:left w:w="100" w:type="dxa"/>
              <w:right w:w="100" w:type="dxa"/>
            </w:tcMar>
          </w:tcPr>
          <w:p>
            <w:pPr>
              <w:spacing w:before="0" w:after="0"/>
              <w:jc w:val="right"/>
            </w:pPr>
            <w:r>
              <w:rPr>
                <w:rFonts w:ascii="Calibri" w:hAnsi="Calibri"/>
                <w:b w:val="0"/>
                <w:color w:val="2D3748"/>
                <w:sz w:val="17"/>
              </w:rPr>
              <w:t>53.93%</w:t>
            </w:r>
          </w:p>
        </w:tc>
        <w:tc>
          <w:tcPr>
            <w:tcW w:type="dxa" w:w="1296"/>
            <w:shd w:fill="FFFFFF"/>
            <w:tcMar>
              <w:top w:w="70" w:type="dxa"/>
              <w:bottom w:w="70" w:type="dxa"/>
              <w:left w:w="100" w:type="dxa"/>
              <w:right w:w="100" w:type="dxa"/>
            </w:tcMar>
          </w:tcPr>
          <w:p>
            <w:pPr>
              <w:spacing w:before="0" w:after="0"/>
              <w:jc w:val="right"/>
            </w:pPr>
            <w:r>
              <w:rPr>
                <w:rFonts w:ascii="Calibri" w:hAnsi="Calibri"/>
                <w:b w:val="0"/>
                <w:color w:val="2D3748"/>
                <w:sz w:val="17"/>
              </w:rPr>
              <w:t>+4.42 pp</w:t>
            </w:r>
          </w:p>
        </w:tc>
        <w:tc>
          <w:tcPr>
            <w:tcW w:type="dxa" w:w="1440"/>
            <w:shd w:fill="FFFFFF"/>
            <w:tcMar>
              <w:top w:w="70" w:type="dxa"/>
              <w:bottom w:w="70" w:type="dxa"/>
              <w:left w:w="100" w:type="dxa"/>
              <w:right w:w="100" w:type="dxa"/>
            </w:tcMar>
          </w:tcPr>
          <w:p>
            <w:pPr>
              <w:spacing w:before="0" w:after="0"/>
              <w:jc w:val="right"/>
            </w:pPr>
            <w:r>
              <w:rPr>
                <w:rFonts w:ascii="Calibri" w:hAnsi="Calibri"/>
                <w:b w:val="0"/>
                <w:color w:val="2D3748"/>
                <w:sz w:val="17"/>
              </w:rPr>
              <w:t>46.21%</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1.071x</w:t>
            </w:r>
          </w:p>
        </w:tc>
        <w:tc>
          <w:tcPr>
            <w:tcW w:type="dxa" w:w="1584"/>
            <w:shd w:fill="FFFFFF"/>
            <w:tcMar>
              <w:top w:w="70" w:type="dxa"/>
              <w:bottom w:w="70" w:type="dxa"/>
              <w:left w:w="100" w:type="dxa"/>
              <w:right w:w="100" w:type="dxa"/>
            </w:tcMar>
          </w:tcPr>
          <w:p>
            <w:pPr>
              <w:spacing w:before="0" w:after="0"/>
              <w:jc w:val="left"/>
            </w:pPr>
            <w:r>
              <w:rPr>
                <w:rFonts w:ascii="Calibri" w:hAnsi="Calibri"/>
                <w:b w:val="0"/>
                <w:color w:val="2D3748"/>
                <w:sz w:val="17"/>
              </w:rPr>
              <w:t>MONOPOLIO / PODER DE MARCA</w:t>
            </w:r>
          </w:p>
        </w:tc>
      </w:tr>
      <w:tr>
        <w:tc>
          <w:tcPr>
            <w:tcW w:type="dxa" w:w="1440"/>
            <w:shd w:fill="F7FAFC"/>
            <w:tcMar>
              <w:top w:w="70" w:type="dxa"/>
              <w:bottom w:w="70" w:type="dxa"/>
              <w:left w:w="100" w:type="dxa"/>
              <w:right w:w="100" w:type="dxa"/>
            </w:tcMar>
          </w:tcPr>
          <w:p>
            <w:pPr>
              <w:spacing w:before="0" w:after="0"/>
              <w:jc w:val="left"/>
            </w:pPr>
            <w:r>
              <w:rPr>
                <w:rFonts w:ascii="Calibri" w:hAnsi="Calibri"/>
                <w:b w:val="0"/>
                <w:color w:val="2D3748"/>
                <w:sz w:val="17"/>
              </w:rPr>
              <w:t>FY2023</w:t>
            </w:r>
          </w:p>
        </w:tc>
        <w:tc>
          <w:tcPr>
            <w:tcW w:type="dxa" w:w="1440"/>
            <w:shd w:fill="F7FAFC"/>
            <w:tcMar>
              <w:top w:w="70" w:type="dxa"/>
              <w:bottom w:w="70" w:type="dxa"/>
              <w:left w:w="100" w:type="dxa"/>
              <w:right w:w="100" w:type="dxa"/>
            </w:tcMar>
          </w:tcPr>
          <w:p>
            <w:pPr>
              <w:spacing w:before="0" w:after="0"/>
              <w:jc w:val="right"/>
            </w:pPr>
            <w:r>
              <w:rPr>
                <w:rFonts w:ascii="Calibri" w:hAnsi="Calibri"/>
                <w:b w:val="0"/>
                <w:color w:val="2D3748"/>
                <w:sz w:val="17"/>
              </w:rPr>
              <w:t>47.97%</w:t>
            </w:r>
          </w:p>
        </w:tc>
        <w:tc>
          <w:tcPr>
            <w:tcW w:type="dxa" w:w="1440"/>
            <w:shd w:fill="F7FAFC"/>
            <w:tcMar>
              <w:top w:w="70" w:type="dxa"/>
              <w:bottom w:w="70" w:type="dxa"/>
              <w:left w:w="100" w:type="dxa"/>
              <w:right w:w="100" w:type="dxa"/>
            </w:tcMar>
          </w:tcPr>
          <w:p>
            <w:pPr>
              <w:spacing w:before="0" w:after="0"/>
              <w:jc w:val="right"/>
            </w:pPr>
            <w:r>
              <w:rPr>
                <w:rFonts w:ascii="Calibri" w:hAnsi="Calibri"/>
                <w:b w:val="0"/>
                <w:color w:val="2D3748"/>
                <w:sz w:val="17"/>
              </w:rPr>
              <w:t>52.43%</w:t>
            </w:r>
          </w:p>
        </w:tc>
        <w:tc>
          <w:tcPr>
            <w:tcW w:type="dxa" w:w="1296"/>
            <w:shd w:fill="F7FAFC"/>
            <w:tcMar>
              <w:top w:w="70" w:type="dxa"/>
              <w:bottom w:w="70" w:type="dxa"/>
              <w:left w:w="100" w:type="dxa"/>
              <w:right w:w="100" w:type="dxa"/>
            </w:tcMar>
          </w:tcPr>
          <w:p>
            <w:pPr>
              <w:spacing w:before="0" w:after="0"/>
              <w:jc w:val="right"/>
            </w:pPr>
            <w:r>
              <w:rPr>
                <w:rFonts w:ascii="Calibri" w:hAnsi="Calibri"/>
                <w:b w:val="0"/>
                <w:color w:val="2D3748"/>
                <w:sz w:val="17"/>
              </w:rPr>
              <w:t>+4.46 pp</w:t>
            </w:r>
          </w:p>
        </w:tc>
        <w:tc>
          <w:tcPr>
            <w:tcW w:type="dxa" w:w="1440"/>
            <w:shd w:fill="F7FAFC"/>
            <w:tcMar>
              <w:top w:w="70" w:type="dxa"/>
              <w:bottom w:w="70" w:type="dxa"/>
              <w:left w:w="100" w:type="dxa"/>
              <w:right w:w="100" w:type="dxa"/>
            </w:tcMar>
          </w:tcPr>
          <w:p>
            <w:pPr>
              <w:spacing w:before="0" w:after="0"/>
              <w:jc w:val="right"/>
            </w:pPr>
            <w:r>
              <w:rPr>
                <w:rFonts w:ascii="Calibri" w:hAnsi="Calibri"/>
                <w:b w:val="0"/>
                <w:color w:val="2D3748"/>
                <w:sz w:val="17"/>
              </w:rPr>
              <w:t>44.13%</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1.087x</w:t>
            </w:r>
          </w:p>
        </w:tc>
        <w:tc>
          <w:tcPr>
            <w:tcW w:type="dxa" w:w="1584"/>
            <w:shd w:fill="F7FAFC"/>
            <w:tcMar>
              <w:top w:w="70" w:type="dxa"/>
              <w:bottom w:w="70" w:type="dxa"/>
              <w:left w:w="100" w:type="dxa"/>
              <w:right w:w="100" w:type="dxa"/>
            </w:tcMar>
          </w:tcPr>
          <w:p>
            <w:pPr>
              <w:spacing w:before="0" w:after="0"/>
              <w:jc w:val="left"/>
            </w:pPr>
            <w:r>
              <w:rPr>
                <w:rFonts w:ascii="Calibri" w:hAnsi="Calibri"/>
                <w:b w:val="0"/>
                <w:color w:val="2D3748"/>
                <w:sz w:val="17"/>
              </w:rPr>
              <w:t>MONOPOLIO / PODER DE MARCA</w:t>
            </w:r>
          </w:p>
        </w:tc>
      </w:tr>
      <w:tr>
        <w:tc>
          <w:tcPr>
            <w:tcW w:type="dxa" w:w="1440"/>
            <w:shd w:fill="FFFFFF"/>
            <w:tcMar>
              <w:top w:w="70" w:type="dxa"/>
              <w:bottom w:w="70" w:type="dxa"/>
              <w:left w:w="100" w:type="dxa"/>
              <w:right w:w="100" w:type="dxa"/>
            </w:tcMar>
          </w:tcPr>
          <w:p>
            <w:pPr>
              <w:spacing w:before="0" w:after="0"/>
              <w:jc w:val="left"/>
            </w:pPr>
            <w:r>
              <w:rPr>
                <w:rFonts w:ascii="Calibri" w:hAnsi="Calibri"/>
                <w:b w:val="0"/>
                <w:color w:val="2D3748"/>
                <w:sz w:val="17"/>
              </w:rPr>
              <w:t>FY2022</w:t>
            </w:r>
          </w:p>
        </w:tc>
        <w:tc>
          <w:tcPr>
            <w:tcW w:type="dxa" w:w="1440"/>
            <w:shd w:fill="FFFFFF"/>
            <w:tcMar>
              <w:top w:w="70" w:type="dxa"/>
              <w:bottom w:w="70" w:type="dxa"/>
              <w:left w:w="100" w:type="dxa"/>
              <w:right w:w="100" w:type="dxa"/>
            </w:tcMar>
          </w:tcPr>
          <w:p>
            <w:pPr>
              <w:spacing w:before="0" w:after="0"/>
              <w:jc w:val="right"/>
            </w:pPr>
            <w:r>
              <w:rPr>
                <w:rFonts w:ascii="Calibri" w:hAnsi="Calibri"/>
                <w:b w:val="0"/>
                <w:color w:val="2D3748"/>
                <w:sz w:val="17"/>
              </w:rPr>
              <w:t>48.41%</w:t>
            </w:r>
          </w:p>
        </w:tc>
        <w:tc>
          <w:tcPr>
            <w:tcW w:type="dxa" w:w="1440"/>
            <w:shd w:fill="FFFFFF"/>
            <w:tcMar>
              <w:top w:w="70" w:type="dxa"/>
              <w:bottom w:w="70" w:type="dxa"/>
              <w:left w:w="100" w:type="dxa"/>
              <w:right w:w="100" w:type="dxa"/>
            </w:tcMar>
          </w:tcPr>
          <w:p>
            <w:pPr>
              <w:spacing w:before="0" w:after="0"/>
              <w:jc w:val="right"/>
            </w:pPr>
            <w:r>
              <w:rPr>
                <w:rFonts w:ascii="Calibri" w:hAnsi="Calibri"/>
                <w:b w:val="0"/>
                <w:color w:val="2D3748"/>
                <w:sz w:val="17"/>
              </w:rPr>
              <w:t>51.89%</w:t>
            </w:r>
          </w:p>
        </w:tc>
        <w:tc>
          <w:tcPr>
            <w:tcW w:type="dxa" w:w="1296"/>
            <w:shd w:fill="FFFFFF"/>
            <w:tcMar>
              <w:top w:w="70" w:type="dxa"/>
              <w:bottom w:w="70" w:type="dxa"/>
              <w:left w:w="100" w:type="dxa"/>
              <w:right w:w="100" w:type="dxa"/>
            </w:tcMar>
          </w:tcPr>
          <w:p>
            <w:pPr>
              <w:spacing w:before="0" w:after="0"/>
              <w:jc w:val="right"/>
            </w:pPr>
            <w:r>
              <w:rPr>
                <w:rFonts w:ascii="Calibri" w:hAnsi="Calibri"/>
                <w:b w:val="0"/>
                <w:color w:val="2D3748"/>
                <w:sz w:val="17"/>
              </w:rPr>
              <w:t>+3.48 pp</w:t>
            </w:r>
          </w:p>
        </w:tc>
        <w:tc>
          <w:tcPr>
            <w:tcW w:type="dxa" w:w="1440"/>
            <w:shd w:fill="FFFFFF"/>
            <w:tcMar>
              <w:top w:w="70" w:type="dxa"/>
              <w:bottom w:w="70" w:type="dxa"/>
              <w:left w:w="100" w:type="dxa"/>
              <w:right w:w="100" w:type="dxa"/>
            </w:tcMar>
          </w:tcPr>
          <w:p>
            <w:pPr>
              <w:spacing w:before="0" w:after="0"/>
              <w:jc w:val="right"/>
            </w:pPr>
            <w:r>
              <w:rPr>
                <w:rFonts w:ascii="Calibri" w:hAnsi="Calibri"/>
                <w:b w:val="0"/>
                <w:color w:val="2D3748"/>
                <w:sz w:val="17"/>
              </w:rPr>
              <w:t>43.31%</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1.118x</w:t>
            </w:r>
          </w:p>
        </w:tc>
        <w:tc>
          <w:tcPr>
            <w:tcW w:type="dxa" w:w="1584"/>
            <w:shd w:fill="FFFFFF"/>
            <w:tcMar>
              <w:top w:w="70" w:type="dxa"/>
              <w:bottom w:w="70" w:type="dxa"/>
              <w:left w:w="100" w:type="dxa"/>
              <w:right w:w="100" w:type="dxa"/>
            </w:tcMar>
          </w:tcPr>
          <w:p>
            <w:pPr>
              <w:spacing w:before="0" w:after="0"/>
              <w:jc w:val="left"/>
            </w:pPr>
            <w:r>
              <w:rPr>
                <w:rFonts w:ascii="Calibri" w:hAnsi="Calibri"/>
                <w:b w:val="0"/>
                <w:color w:val="2D3748"/>
                <w:sz w:val="17"/>
              </w:rPr>
              <w:t>MONOPOLIO / PODER DE MARCA</w:t>
            </w:r>
          </w:p>
        </w:tc>
      </w:tr>
      <w:tr>
        <w:tc>
          <w:tcPr>
            <w:tcW w:type="dxa" w:w="1440"/>
            <w:shd w:fill="F7FAFC"/>
            <w:tcMar>
              <w:top w:w="70" w:type="dxa"/>
              <w:bottom w:w="70" w:type="dxa"/>
              <w:left w:w="100" w:type="dxa"/>
              <w:right w:w="100" w:type="dxa"/>
            </w:tcMar>
          </w:tcPr>
          <w:p>
            <w:pPr>
              <w:spacing w:before="0" w:after="0"/>
              <w:jc w:val="left"/>
            </w:pPr>
            <w:r>
              <w:rPr>
                <w:rFonts w:ascii="Calibri" w:hAnsi="Calibri"/>
                <w:b w:val="0"/>
                <w:color w:val="2D3748"/>
                <w:sz w:val="17"/>
              </w:rPr>
              <w:t>FY2021</w:t>
            </w:r>
          </w:p>
        </w:tc>
        <w:tc>
          <w:tcPr>
            <w:tcW w:type="dxa" w:w="1440"/>
            <w:shd w:fill="F7FAFC"/>
            <w:tcMar>
              <w:top w:w="70" w:type="dxa"/>
              <w:bottom w:w="70" w:type="dxa"/>
              <w:left w:w="100" w:type="dxa"/>
              <w:right w:w="100" w:type="dxa"/>
            </w:tcMar>
          </w:tcPr>
          <w:p>
            <w:pPr>
              <w:spacing w:before="0" w:after="0"/>
              <w:jc w:val="right"/>
            </w:pPr>
            <w:r>
              <w:rPr>
                <w:rFonts w:ascii="Calibri" w:hAnsi="Calibri"/>
                <w:b w:val="0"/>
                <w:color w:val="2D3748"/>
                <w:sz w:val="17"/>
              </w:rPr>
              <w:t>43.54%</w:t>
            </w:r>
          </w:p>
        </w:tc>
        <w:tc>
          <w:tcPr>
            <w:tcW w:type="dxa" w:w="1440"/>
            <w:shd w:fill="F7FAFC"/>
            <w:tcMar>
              <w:top w:w="70" w:type="dxa"/>
              <w:bottom w:w="70" w:type="dxa"/>
              <w:left w:w="100" w:type="dxa"/>
              <w:right w:w="100" w:type="dxa"/>
            </w:tcMar>
          </w:tcPr>
          <w:p>
            <w:pPr>
              <w:spacing w:before="0" w:after="0"/>
              <w:jc w:val="right"/>
            </w:pPr>
            <w:r>
              <w:rPr>
                <w:rFonts w:ascii="Calibri" w:hAnsi="Calibri"/>
                <w:b w:val="0"/>
                <w:color w:val="2D3748"/>
                <w:sz w:val="17"/>
              </w:rPr>
              <w:t>48.36%</w:t>
            </w:r>
          </w:p>
        </w:tc>
        <w:tc>
          <w:tcPr>
            <w:tcW w:type="dxa" w:w="1296"/>
            <w:shd w:fill="F7FAFC"/>
            <w:tcMar>
              <w:top w:w="70" w:type="dxa"/>
              <w:bottom w:w="70" w:type="dxa"/>
              <w:left w:w="100" w:type="dxa"/>
              <w:right w:w="100" w:type="dxa"/>
            </w:tcMar>
          </w:tcPr>
          <w:p>
            <w:pPr>
              <w:spacing w:before="0" w:after="0"/>
              <w:jc w:val="right"/>
            </w:pPr>
            <w:r>
              <w:rPr>
                <w:rFonts w:ascii="Calibri" w:hAnsi="Calibri"/>
                <w:b w:val="0"/>
                <w:color w:val="2D3748"/>
                <w:sz w:val="17"/>
              </w:rPr>
              <w:t>+4.81 pp</w:t>
            </w:r>
          </w:p>
        </w:tc>
        <w:tc>
          <w:tcPr>
            <w:tcW w:type="dxa" w:w="1440"/>
            <w:shd w:fill="F7FAFC"/>
            <w:tcMar>
              <w:top w:w="70" w:type="dxa"/>
              <w:bottom w:w="70" w:type="dxa"/>
              <w:left w:w="100" w:type="dxa"/>
              <w:right w:w="100" w:type="dxa"/>
            </w:tcMar>
          </w:tcPr>
          <w:p>
            <w:pPr>
              <w:spacing w:before="0" w:after="0"/>
              <w:jc w:val="right"/>
            </w:pPr>
            <w:r>
              <w:rPr>
                <w:rFonts w:ascii="Calibri" w:hAnsi="Calibri"/>
                <w:b w:val="0"/>
                <w:color w:val="2D3748"/>
                <w:sz w:val="17"/>
              </w:rPr>
              <w:t>41.78%</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1.042x</w:t>
            </w:r>
          </w:p>
        </w:tc>
        <w:tc>
          <w:tcPr>
            <w:tcW w:type="dxa" w:w="1584"/>
            <w:shd w:fill="F7FAFC"/>
            <w:tcMar>
              <w:top w:w="70" w:type="dxa"/>
              <w:bottom w:w="70" w:type="dxa"/>
              <w:left w:w="100" w:type="dxa"/>
              <w:right w:w="100" w:type="dxa"/>
            </w:tcMar>
          </w:tcPr>
          <w:p>
            <w:pPr>
              <w:spacing w:before="0" w:after="0"/>
              <w:jc w:val="left"/>
            </w:pPr>
            <w:r>
              <w:rPr>
                <w:rFonts w:ascii="Calibri" w:hAnsi="Calibri"/>
                <w:b w:val="0"/>
                <w:color w:val="2D3748"/>
                <w:sz w:val="17"/>
              </w:rPr>
              <w:t>MONOPOLIO / PODER DE MARCA</w:t>
            </w:r>
          </w:p>
        </w:tc>
      </w:tr>
      <w:tr>
        <w:tc>
          <w:tcPr>
            <w:tcW w:type="dxa" w:w="1440"/>
            <w:shd w:fill="FFFFFF"/>
            <w:tcMar>
              <w:top w:w="70" w:type="dxa"/>
              <w:bottom w:w="70" w:type="dxa"/>
              <w:left w:w="100" w:type="dxa"/>
              <w:right w:w="100" w:type="dxa"/>
            </w:tcMar>
          </w:tcPr>
          <w:p>
            <w:pPr>
              <w:spacing w:before="0" w:after="0"/>
              <w:jc w:val="left"/>
            </w:pPr>
            <w:r>
              <w:rPr>
                <w:rFonts w:ascii="Calibri" w:hAnsi="Calibri"/>
                <w:b w:val="0"/>
                <w:color w:val="2D3748"/>
                <w:sz w:val="17"/>
              </w:rPr>
              <w:t>FY2020</w:t>
            </w:r>
          </w:p>
        </w:tc>
        <w:tc>
          <w:tcPr>
            <w:tcW w:type="dxa" w:w="1440"/>
            <w:shd w:fill="FFFFFF"/>
            <w:tcMar>
              <w:top w:w="70" w:type="dxa"/>
              <w:bottom w:w="70" w:type="dxa"/>
              <w:left w:w="100" w:type="dxa"/>
              <w:right w:w="100" w:type="dxa"/>
            </w:tcMar>
          </w:tcPr>
          <w:p>
            <w:pPr>
              <w:spacing w:before="0" w:after="0"/>
              <w:jc w:val="right"/>
            </w:pPr>
            <w:r>
              <w:rPr>
                <w:rFonts w:ascii="Calibri" w:hAnsi="Calibri"/>
                <w:b w:val="0"/>
                <w:color w:val="2D3748"/>
                <w:sz w:val="17"/>
              </w:rPr>
              <w:t>32.41%</w:t>
            </w:r>
          </w:p>
        </w:tc>
        <w:tc>
          <w:tcPr>
            <w:tcW w:type="dxa" w:w="1440"/>
            <w:shd w:fill="FFFFFF"/>
            <w:tcMar>
              <w:top w:w="70" w:type="dxa"/>
              <w:bottom w:w="70" w:type="dxa"/>
              <w:left w:w="100" w:type="dxa"/>
              <w:right w:w="100" w:type="dxa"/>
            </w:tcMar>
          </w:tcPr>
          <w:p>
            <w:pPr>
              <w:spacing w:before="0" w:after="0"/>
              <w:jc w:val="right"/>
            </w:pPr>
            <w:r>
              <w:rPr>
                <w:rFonts w:ascii="Calibri" w:hAnsi="Calibri"/>
                <w:b w:val="0"/>
                <w:color w:val="2D3748"/>
                <w:sz w:val="17"/>
              </w:rPr>
              <w:t>36.71%</w:t>
            </w:r>
          </w:p>
        </w:tc>
        <w:tc>
          <w:tcPr>
            <w:tcW w:type="dxa" w:w="1296"/>
            <w:shd w:fill="FFFFFF"/>
            <w:tcMar>
              <w:top w:w="70" w:type="dxa"/>
              <w:bottom w:w="70" w:type="dxa"/>
              <w:left w:w="100" w:type="dxa"/>
              <w:right w:w="100" w:type="dxa"/>
            </w:tcMar>
          </w:tcPr>
          <w:p>
            <w:pPr>
              <w:spacing w:before="0" w:after="0"/>
              <w:jc w:val="right"/>
            </w:pPr>
            <w:r>
              <w:rPr>
                <w:rFonts w:ascii="Calibri" w:hAnsi="Calibri"/>
                <w:b w:val="0"/>
                <w:color w:val="2D3748"/>
                <w:sz w:val="17"/>
              </w:rPr>
              <w:t>+4.31 pp</w:t>
            </w:r>
          </w:p>
        </w:tc>
        <w:tc>
          <w:tcPr>
            <w:tcW w:type="dxa" w:w="1440"/>
            <w:shd w:fill="FFFFFF"/>
            <w:tcMar>
              <w:top w:w="70" w:type="dxa"/>
              <w:bottom w:w="70" w:type="dxa"/>
              <w:left w:w="100" w:type="dxa"/>
              <w:right w:w="100" w:type="dxa"/>
            </w:tcMar>
          </w:tcPr>
          <w:p>
            <w:pPr>
              <w:spacing w:before="0" w:after="0"/>
              <w:jc w:val="right"/>
            </w:pPr>
            <w:r>
              <w:rPr>
                <w:rFonts w:ascii="Calibri" w:hAnsi="Calibri"/>
                <w:b w:val="0"/>
                <w:color w:val="2D3748"/>
                <w:sz w:val="17"/>
              </w:rPr>
              <w:t>38.23%</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0.848x</w:t>
            </w:r>
          </w:p>
        </w:tc>
        <w:tc>
          <w:tcPr>
            <w:tcW w:type="dxa" w:w="1584"/>
            <w:shd w:fill="FFFFFF"/>
            <w:tcMar>
              <w:top w:w="70" w:type="dxa"/>
              <w:bottom w:w="70" w:type="dxa"/>
              <w:left w:w="100" w:type="dxa"/>
              <w:right w:w="100" w:type="dxa"/>
            </w:tcMar>
          </w:tcPr>
          <w:p>
            <w:pPr>
              <w:spacing w:before="0" w:after="0"/>
              <w:jc w:val="left"/>
            </w:pPr>
            <w:r>
              <w:rPr>
                <w:rFonts w:ascii="Calibri" w:hAnsi="Calibri"/>
                <w:b w:val="0"/>
                <w:color w:val="2D3748"/>
                <w:sz w:val="17"/>
              </w:rPr>
              <w:t>MONOPOLIO / PODER DE MARCA</w:t>
            </w:r>
          </w:p>
        </w:tc>
      </w:tr>
      <w:tr>
        <w:tc>
          <w:tcPr>
            <w:tcW w:type="dxa" w:w="1440"/>
            <w:shd w:fill="F7FAFC"/>
            <w:tcMar>
              <w:top w:w="70" w:type="dxa"/>
              <w:bottom w:w="70" w:type="dxa"/>
              <w:left w:w="100" w:type="dxa"/>
              <w:right w:w="100" w:type="dxa"/>
            </w:tcMar>
          </w:tcPr>
          <w:p>
            <w:pPr>
              <w:spacing w:before="0" w:after="0"/>
              <w:jc w:val="left"/>
            </w:pPr>
            <w:r>
              <w:rPr>
                <w:rFonts w:ascii="Calibri" w:hAnsi="Calibri"/>
                <w:b w:val="0"/>
                <w:color w:val="2D3748"/>
                <w:sz w:val="17"/>
              </w:rPr>
              <w:t>FY2019</w:t>
            </w:r>
          </w:p>
        </w:tc>
        <w:tc>
          <w:tcPr>
            <w:tcW w:type="dxa" w:w="1440"/>
            <w:shd w:fill="F7FAFC"/>
            <w:tcMar>
              <w:top w:w="70" w:type="dxa"/>
              <w:bottom w:w="70" w:type="dxa"/>
              <w:left w:w="100" w:type="dxa"/>
              <w:right w:w="100" w:type="dxa"/>
            </w:tcMar>
          </w:tcPr>
          <w:p>
            <w:pPr>
              <w:spacing w:before="0" w:after="0"/>
              <w:jc w:val="right"/>
            </w:pPr>
            <w:r>
              <w:rPr>
                <w:rFonts w:ascii="Calibri" w:hAnsi="Calibri"/>
                <w:b w:val="0"/>
                <w:color w:val="2D3748"/>
                <w:sz w:val="17"/>
              </w:rPr>
              <w:t>29.07%</w:t>
            </w:r>
          </w:p>
        </w:tc>
        <w:tc>
          <w:tcPr>
            <w:tcW w:type="dxa" w:w="1440"/>
            <w:shd w:fill="F7FAFC"/>
            <w:tcMar>
              <w:top w:w="70" w:type="dxa"/>
              <w:bottom w:w="70" w:type="dxa"/>
              <w:left w:w="100" w:type="dxa"/>
              <w:right w:w="100" w:type="dxa"/>
            </w:tcMar>
          </w:tcPr>
          <w:p>
            <w:pPr>
              <w:spacing w:before="0" w:after="0"/>
              <w:jc w:val="right"/>
            </w:pPr>
            <w:r>
              <w:rPr>
                <w:rFonts w:ascii="Calibri" w:hAnsi="Calibri"/>
                <w:b w:val="0"/>
                <w:color w:val="2D3748"/>
                <w:sz w:val="17"/>
              </w:rPr>
              <w:t>33.97%</w:t>
            </w:r>
          </w:p>
        </w:tc>
        <w:tc>
          <w:tcPr>
            <w:tcW w:type="dxa" w:w="1296"/>
            <w:shd w:fill="F7FAFC"/>
            <w:tcMar>
              <w:top w:w="70" w:type="dxa"/>
              <w:bottom w:w="70" w:type="dxa"/>
              <w:left w:w="100" w:type="dxa"/>
              <w:right w:w="100" w:type="dxa"/>
            </w:tcMar>
          </w:tcPr>
          <w:p>
            <w:pPr>
              <w:spacing w:before="0" w:after="0"/>
              <w:jc w:val="right"/>
            </w:pPr>
            <w:r>
              <w:rPr>
                <w:rFonts w:ascii="Calibri" w:hAnsi="Calibri"/>
                <w:b w:val="0"/>
                <w:color w:val="2D3748"/>
                <w:sz w:val="17"/>
              </w:rPr>
              <w:t>+4.90 pp</w:t>
            </w:r>
          </w:p>
        </w:tc>
        <w:tc>
          <w:tcPr>
            <w:tcW w:type="dxa" w:w="1440"/>
            <w:shd w:fill="F7FAFC"/>
            <w:tcMar>
              <w:top w:w="70" w:type="dxa"/>
              <w:bottom w:w="70" w:type="dxa"/>
              <w:left w:w="100" w:type="dxa"/>
              <w:right w:w="100" w:type="dxa"/>
            </w:tcMar>
          </w:tcPr>
          <w:p>
            <w:pPr>
              <w:spacing w:before="0" w:after="0"/>
              <w:jc w:val="right"/>
            </w:pPr>
            <w:r>
              <w:rPr>
                <w:rFonts w:ascii="Calibri" w:hAnsi="Calibri"/>
                <w:b w:val="0"/>
                <w:color w:val="2D3748"/>
                <w:sz w:val="17"/>
              </w:rPr>
              <w:t>37.82%</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0.769x</w:t>
            </w:r>
          </w:p>
        </w:tc>
        <w:tc>
          <w:tcPr>
            <w:tcW w:type="dxa" w:w="1584"/>
            <w:shd w:fill="F7FAFC"/>
            <w:tcMar>
              <w:top w:w="70" w:type="dxa"/>
              <w:bottom w:w="70" w:type="dxa"/>
              <w:left w:w="100" w:type="dxa"/>
              <w:right w:w="100" w:type="dxa"/>
            </w:tcMar>
          </w:tcPr>
          <w:p>
            <w:pPr>
              <w:spacing w:before="0" w:after="0"/>
              <w:jc w:val="left"/>
            </w:pPr>
            <w:r>
              <w:rPr>
                <w:rFonts w:ascii="Calibri" w:hAnsi="Calibri"/>
                <w:b w:val="0"/>
                <w:color w:val="2D3748"/>
                <w:sz w:val="17"/>
              </w:rPr>
              <w:t>MONOPOLIO / PODER DE MARCA</w:t>
            </w:r>
          </w:p>
        </w:tc>
      </w:tr>
    </w:tbl>
    <w:p>
      <w:pPr>
        <w:spacing w:after="120"/>
      </w:pPr>
    </w:p>
    <w:p>
      <w:pPr>
        <w:keepNext/>
        <w:spacing w:before="240" w:after="80"/>
      </w:pPr>
      <w:r>
        <w:rPr>
          <w:rFonts w:ascii="Calibri" w:hAnsi="Calibri"/>
          <w:b/>
          <w:color w:val="4A5568"/>
          <w:sz w:val="23"/>
        </w:rPr>
        <w:t>Bloque D: Benchmarking Sectorial y Ranking Competitivo de la Industria</w:t>
      </w:r>
    </w:p>
    <w:p>
      <w:pPr>
        <w:spacing w:before="0" w:after="80" w:line="276" w:lineRule="auto"/>
      </w:pPr>
      <w:r>
        <w:rPr>
          <w:rFonts w:ascii="Calibri" w:hAnsi="Calibri"/>
          <w:i w:val="0"/>
          <w:color w:val="2D3748"/>
          <w:sz w:val="20"/>
        </w:rPr>
        <w:t>A continuación se presenta el ranking institucional de la canasta de pares directos ordenados rigurosamente por su Rentabilidad Bruta sobre Activos Totales (Gross Profitability de Novy-Marx), contrastando la métrica nominal con la métrica operativa ex-caja y la distancia en puntos porcentuales frente a la mediana de la industria:</w:t>
      </w:r>
    </w:p>
    <w:tbl>
      <w:tblPr>
        <w:tblW w:type="auto" w:w="0"/>
        <w:jc w:val="center"/>
        <w:tblLayout w:type="fixed"/>
        <w:tblLook w:firstColumn="1" w:firstRow="1" w:lastColumn="0" w:lastRow="0" w:noHBand="0" w:noVBand="1" w:val="04A0"/>
        <w:tblBorders>
          <w:top w:val="single" w:sz="6" w:space="0" w:color="D2D6DC"/>
          <w:left w:val="none"/>
          <w:bottom w:val="single" w:sz="10" w:space="0" w:color="1B365D"/>
          <w:right w:val="none"/>
          <w:insideH w:val="single" w:sz="4" w:space="0" w:color="D2D6DC"/>
          <w:insideV w:val="none"/>
        </w:tblBorders>
      </w:tblPr>
      <w:tblGrid>
        <w:gridCol w:w="1088"/>
        <w:gridCol w:w="1088"/>
        <w:gridCol w:w="1088"/>
        <w:gridCol w:w="1088"/>
        <w:gridCol w:w="1088"/>
        <w:gridCol w:w="1088"/>
        <w:gridCol w:w="1088"/>
        <w:gridCol w:w="1088"/>
        <w:gridCol w:w="1088"/>
      </w:tblGrid>
      <w:tr>
        <w:tc>
          <w:tcPr>
            <w:tcW w:type="dxa" w:w="720"/>
            <w:shd w:fill="1B365D"/>
            <w:tcMar>
              <w:top w:w="90" w:type="dxa"/>
              <w:bottom w:w="90" w:type="dxa"/>
              <w:left w:w="100" w:type="dxa"/>
              <w:right w:w="100" w:type="dxa"/>
            </w:tcMar>
          </w:tcPr>
          <w:p>
            <w:pPr>
              <w:spacing w:before="0" w:after="0"/>
              <w:jc w:val="left"/>
            </w:pPr>
            <w:r>
              <w:rPr>
                <w:rFonts w:ascii="Calibri" w:hAnsi="Calibri"/>
                <w:b/>
                <w:color w:val="FFFFFF"/>
                <w:sz w:val="18"/>
              </w:rPr>
              <w:t>Rank</w:t>
            </w:r>
          </w:p>
        </w:tc>
        <w:tc>
          <w:tcPr>
            <w:tcW w:type="dxa" w:w="1008"/>
            <w:shd w:fill="1B365D"/>
            <w:tcMar>
              <w:top w:w="90" w:type="dxa"/>
              <w:bottom w:w="90" w:type="dxa"/>
              <w:left w:w="100" w:type="dxa"/>
              <w:right w:w="100" w:type="dxa"/>
            </w:tcMar>
          </w:tcPr>
          <w:p>
            <w:pPr>
              <w:spacing w:before="0" w:after="0"/>
              <w:jc w:val="right"/>
            </w:pPr>
            <w:r>
              <w:rPr>
                <w:rFonts w:ascii="Calibri" w:hAnsi="Calibri"/>
                <w:b/>
                <w:color w:val="FFFFFF"/>
                <w:sz w:val="18"/>
              </w:rPr>
              <w:t>Ticker</w:t>
            </w:r>
          </w:p>
        </w:tc>
        <w:tc>
          <w:tcPr>
            <w:tcW w:type="dxa" w:w="2016"/>
            <w:shd w:fill="1B365D"/>
            <w:tcMar>
              <w:top w:w="90" w:type="dxa"/>
              <w:bottom w:w="90" w:type="dxa"/>
              <w:left w:w="100" w:type="dxa"/>
              <w:right w:w="100" w:type="dxa"/>
            </w:tcMar>
          </w:tcPr>
          <w:p>
            <w:pPr>
              <w:spacing w:before="0" w:after="0"/>
              <w:jc w:val="right"/>
            </w:pPr>
            <w:r>
              <w:rPr>
                <w:rFonts w:ascii="Calibri" w:hAnsi="Calibri"/>
                <w:b/>
                <w:color w:val="FFFFFF"/>
                <w:sz w:val="18"/>
              </w:rPr>
              <w:t>Empresa Competidora</w:t>
            </w:r>
          </w:p>
        </w:tc>
        <w:tc>
          <w:tcPr>
            <w:tcW w:type="dxa" w:w="1296"/>
            <w:shd w:fill="1B365D"/>
            <w:tcMar>
              <w:top w:w="90" w:type="dxa"/>
              <w:bottom w:w="90" w:type="dxa"/>
              <w:left w:w="100" w:type="dxa"/>
              <w:right w:w="100" w:type="dxa"/>
            </w:tcMar>
          </w:tcPr>
          <w:p>
            <w:pPr>
              <w:spacing w:before="0" w:after="0"/>
              <w:jc w:val="right"/>
            </w:pPr>
            <w:r>
              <w:rPr>
                <w:rFonts w:ascii="Calibri" w:hAnsi="Calibri"/>
                <w:b/>
                <w:color w:val="FFFFFF"/>
                <w:sz w:val="18"/>
              </w:rPr>
              <w:t>Período</w:t>
            </w:r>
          </w:p>
        </w:tc>
        <w:tc>
          <w:tcPr>
            <w:tcW w:type="dxa" w:w="1152"/>
            <w:shd w:fill="1B365D"/>
            <w:tcMar>
              <w:top w:w="90" w:type="dxa"/>
              <w:bottom w:w="90" w:type="dxa"/>
              <w:left w:w="100" w:type="dxa"/>
              <w:right w:w="100" w:type="dxa"/>
            </w:tcMar>
          </w:tcPr>
          <w:p>
            <w:pPr>
              <w:spacing w:before="0" w:after="0"/>
              <w:jc w:val="right"/>
            </w:pPr>
            <w:r>
              <w:rPr>
                <w:rFonts w:ascii="Calibri" w:hAnsi="Calibri"/>
                <w:b/>
                <w:color w:val="FFFFFF"/>
                <w:sz w:val="18"/>
              </w:rPr>
              <w:t>GP / Activos</w:t>
            </w:r>
          </w:p>
        </w:tc>
        <w:tc>
          <w:tcPr>
            <w:tcW w:type="dxa" w:w="1152"/>
            <w:shd w:fill="1B365D"/>
            <w:tcMar>
              <w:top w:w="90" w:type="dxa"/>
              <w:bottom w:w="90" w:type="dxa"/>
              <w:left w:w="100" w:type="dxa"/>
              <w:right w:w="100" w:type="dxa"/>
            </w:tcMar>
          </w:tcPr>
          <w:p>
            <w:pPr>
              <w:spacing w:before="0" w:after="0"/>
              <w:jc w:val="right"/>
            </w:pPr>
            <w:r>
              <w:rPr>
                <w:rFonts w:ascii="Calibri" w:hAnsi="Calibri"/>
                <w:b/>
                <w:color w:val="FFFFFF"/>
                <w:sz w:val="18"/>
              </w:rPr>
              <w:t>GP Ex-Caja</w:t>
            </w:r>
          </w:p>
        </w:tc>
        <w:tc>
          <w:tcPr>
            <w:tcW w:type="dxa" w:w="1152"/>
            <w:shd w:fill="1B365D"/>
            <w:tcMar>
              <w:top w:w="90" w:type="dxa"/>
              <w:bottom w:w="90" w:type="dxa"/>
              <w:left w:w="100" w:type="dxa"/>
              <w:right w:w="100" w:type="dxa"/>
            </w:tcMar>
          </w:tcPr>
          <w:p>
            <w:pPr>
              <w:spacing w:before="0" w:after="0"/>
              <w:jc w:val="right"/>
            </w:pPr>
            <w:r>
              <w:rPr>
                <w:rFonts w:ascii="Calibri" w:hAnsi="Calibri"/>
                <w:b/>
                <w:color w:val="FFFFFF"/>
                <w:sz w:val="18"/>
              </w:rPr>
              <w:t>Margen Bruto</w:t>
            </w:r>
          </w:p>
        </w:tc>
        <w:tc>
          <w:tcPr>
            <w:tcW w:type="dxa" w:w="720"/>
            <w:shd w:fill="1B365D"/>
            <w:tcMar>
              <w:top w:w="90" w:type="dxa"/>
              <w:bottom w:w="90" w:type="dxa"/>
              <w:left w:w="100" w:type="dxa"/>
              <w:right w:w="100" w:type="dxa"/>
            </w:tcMar>
          </w:tcPr>
          <w:p>
            <w:pPr>
              <w:spacing w:before="0" w:after="0"/>
              <w:jc w:val="right"/>
            </w:pPr>
            <w:r>
              <w:rPr>
                <w:rFonts w:ascii="Calibri" w:hAnsi="Calibri"/>
                <w:b/>
                <w:color w:val="FFFFFF"/>
                <w:sz w:val="18"/>
              </w:rPr>
              <w:t>Rotación</w:t>
            </w:r>
          </w:p>
        </w:tc>
        <w:tc>
          <w:tcPr>
            <w:tcW w:type="dxa" w:w="1152"/>
            <w:shd w:fill="1B365D"/>
            <w:tcMar>
              <w:top w:w="90" w:type="dxa"/>
              <w:bottom w:w="90" w:type="dxa"/>
              <w:left w:w="100" w:type="dxa"/>
              <w:right w:w="100" w:type="dxa"/>
            </w:tcMar>
          </w:tcPr>
          <w:p>
            <w:pPr>
              <w:spacing w:before="0" w:after="0"/>
              <w:jc w:val="left"/>
            </w:pPr>
            <w:r>
              <w:rPr>
                <w:rFonts w:ascii="Calibri" w:hAnsi="Calibri"/>
                <w:b/>
                <w:color w:val="FFFFFF"/>
                <w:sz w:val="18"/>
              </w:rPr>
              <w:t>Brecha vs Mediana</w:t>
            </w:r>
          </w:p>
        </w:tc>
      </w:tr>
      <w:tr>
        <w:tc>
          <w:tcPr>
            <w:tcW w:type="dxa" w:w="720"/>
            <w:shd w:fill="FFFFFF"/>
            <w:tcMar>
              <w:top w:w="70" w:type="dxa"/>
              <w:bottom w:w="70" w:type="dxa"/>
              <w:left w:w="100" w:type="dxa"/>
              <w:right w:w="100" w:type="dxa"/>
            </w:tcMar>
          </w:tcPr>
          <w:p>
            <w:pPr>
              <w:spacing w:before="0" w:after="0"/>
              <w:jc w:val="left"/>
            </w:pPr>
            <w:r>
              <w:rPr>
                <w:rFonts w:ascii="Calibri" w:hAnsi="Calibri"/>
                <w:b/>
                <w:color w:val="1B365D"/>
                <w:sz w:val="17"/>
              </w:rPr>
              <w:t>#1</w:t>
            </w:r>
          </w:p>
        </w:tc>
        <w:tc>
          <w:tcPr>
            <w:tcW w:type="dxa" w:w="1008"/>
            <w:shd w:fill="FFFFFF"/>
            <w:tcMar>
              <w:top w:w="70" w:type="dxa"/>
              <w:bottom w:w="70" w:type="dxa"/>
              <w:left w:w="100" w:type="dxa"/>
              <w:right w:w="100" w:type="dxa"/>
            </w:tcMar>
          </w:tcPr>
          <w:p>
            <w:pPr>
              <w:spacing w:before="0" w:after="0"/>
              <w:jc w:val="right"/>
            </w:pPr>
            <w:r>
              <w:rPr>
                <w:rFonts w:ascii="Calibri" w:hAnsi="Calibri"/>
                <w:b/>
                <w:color w:val="1B365D"/>
                <w:sz w:val="17"/>
              </w:rPr>
              <w:t>AAPL</w:t>
            </w:r>
          </w:p>
        </w:tc>
        <w:tc>
          <w:tcPr>
            <w:tcW w:type="dxa" w:w="2016"/>
            <w:shd w:fill="FFFFFF"/>
            <w:tcMar>
              <w:top w:w="70" w:type="dxa"/>
              <w:bottom w:w="70" w:type="dxa"/>
              <w:left w:w="100" w:type="dxa"/>
              <w:right w:w="100" w:type="dxa"/>
            </w:tcMar>
          </w:tcPr>
          <w:p>
            <w:pPr>
              <w:spacing w:before="0" w:after="0"/>
              <w:jc w:val="right"/>
            </w:pPr>
            <w:r>
              <w:rPr>
                <w:rFonts w:ascii="Calibri" w:hAnsi="Calibri"/>
                <w:b/>
                <w:color w:val="1B365D"/>
                <w:sz w:val="17"/>
              </w:rPr>
              <w:t>Apple Inc.</w:t>
            </w:r>
          </w:p>
        </w:tc>
        <w:tc>
          <w:tcPr>
            <w:tcW w:type="dxa" w:w="1296"/>
            <w:shd w:fill="FFFFFF"/>
            <w:tcMar>
              <w:top w:w="70" w:type="dxa"/>
              <w:bottom w:w="70" w:type="dxa"/>
              <w:left w:w="100" w:type="dxa"/>
              <w:right w:w="100" w:type="dxa"/>
            </w:tcMar>
          </w:tcPr>
          <w:p>
            <w:pPr>
              <w:spacing w:before="0" w:after="0"/>
              <w:jc w:val="right"/>
            </w:pPr>
            <w:r>
              <w:rPr>
                <w:rFonts w:ascii="Calibri" w:hAnsi="Calibri"/>
                <w:b/>
                <w:color w:val="1B365D"/>
                <w:sz w:val="17"/>
              </w:rPr>
              <w:t>LTM</w:t>
            </w:r>
          </w:p>
        </w:tc>
        <w:tc>
          <w:tcPr>
            <w:tcW w:type="dxa" w:w="1152"/>
            <w:shd w:fill="FFFFFF"/>
            <w:tcMar>
              <w:top w:w="70" w:type="dxa"/>
              <w:bottom w:w="70" w:type="dxa"/>
              <w:left w:w="100" w:type="dxa"/>
              <w:right w:w="100" w:type="dxa"/>
            </w:tcMar>
          </w:tcPr>
          <w:p>
            <w:pPr>
              <w:spacing w:before="0" w:after="0"/>
              <w:jc w:val="right"/>
            </w:pPr>
            <w:r>
              <w:rPr>
                <w:rFonts w:ascii="Calibri" w:hAnsi="Calibri"/>
                <w:b/>
                <w:color w:val="1B365D"/>
                <w:sz w:val="17"/>
              </w:rPr>
              <w:t>59.26%</w:t>
            </w:r>
          </w:p>
        </w:tc>
        <w:tc>
          <w:tcPr>
            <w:tcW w:type="dxa" w:w="1152"/>
            <w:shd w:fill="FFFFFF"/>
            <w:tcMar>
              <w:top w:w="70" w:type="dxa"/>
              <w:bottom w:w="70" w:type="dxa"/>
              <w:left w:w="100" w:type="dxa"/>
              <w:right w:w="100" w:type="dxa"/>
            </w:tcMar>
          </w:tcPr>
          <w:p>
            <w:pPr>
              <w:spacing w:before="0" w:after="0"/>
              <w:jc w:val="right"/>
            </w:pPr>
            <w:r>
              <w:rPr>
                <w:rFonts w:ascii="Calibri" w:hAnsi="Calibri"/>
                <w:b/>
                <w:color w:val="1B365D"/>
                <w:sz w:val="17"/>
              </w:rPr>
              <w:t>66.08%</w:t>
            </w:r>
          </w:p>
        </w:tc>
        <w:tc>
          <w:tcPr>
            <w:tcW w:type="dxa" w:w="1152"/>
            <w:shd w:fill="FFFFFF"/>
            <w:tcMar>
              <w:top w:w="70" w:type="dxa"/>
              <w:bottom w:w="70" w:type="dxa"/>
              <w:left w:w="100" w:type="dxa"/>
              <w:right w:w="100" w:type="dxa"/>
            </w:tcMar>
          </w:tcPr>
          <w:p>
            <w:pPr>
              <w:spacing w:before="0" w:after="0"/>
              <w:jc w:val="right"/>
            </w:pPr>
            <w:r>
              <w:rPr>
                <w:rFonts w:ascii="Calibri" w:hAnsi="Calibri"/>
                <w:b/>
                <w:color w:val="1B365D"/>
                <w:sz w:val="17"/>
              </w:rPr>
              <w:t>48.65%</w:t>
            </w:r>
          </w:p>
        </w:tc>
        <w:tc>
          <w:tcPr>
            <w:tcW w:type="dxa" w:w="720"/>
            <w:shd w:fill="FFFFFF"/>
            <w:tcMar>
              <w:top w:w="70" w:type="dxa"/>
              <w:bottom w:w="70" w:type="dxa"/>
              <w:left w:w="100" w:type="dxa"/>
              <w:right w:w="100" w:type="dxa"/>
            </w:tcMar>
          </w:tcPr>
          <w:p>
            <w:pPr>
              <w:spacing w:before="0" w:after="0"/>
              <w:jc w:val="right"/>
            </w:pPr>
            <w:r>
              <w:rPr>
                <w:rFonts w:ascii="Calibri" w:hAnsi="Calibri"/>
                <w:b/>
                <w:color w:val="1B365D"/>
                <w:sz w:val="17"/>
              </w:rPr>
              <w:t>1.22x</w:t>
            </w:r>
          </w:p>
        </w:tc>
        <w:tc>
          <w:tcPr>
            <w:tcW w:type="dxa" w:w="1152"/>
            <w:shd w:fill="FFFFFF"/>
            <w:tcMar>
              <w:top w:w="70" w:type="dxa"/>
              <w:bottom w:w="70" w:type="dxa"/>
              <w:left w:w="100" w:type="dxa"/>
              <w:right w:w="100" w:type="dxa"/>
            </w:tcMar>
          </w:tcPr>
          <w:p>
            <w:pPr>
              <w:spacing w:before="0" w:after="0"/>
              <w:jc w:val="left"/>
            </w:pPr>
            <w:r>
              <w:rPr>
                <w:rFonts w:ascii="Calibri" w:hAnsi="Calibri"/>
                <w:b/>
                <w:color w:val="1B365D"/>
                <w:sz w:val="17"/>
              </w:rPr>
              <w:t>+33.57 pp</w:t>
            </w:r>
          </w:p>
        </w:tc>
      </w:tr>
      <w:tr>
        <w:tc>
          <w:tcPr>
            <w:tcW w:type="dxa" w:w="720"/>
            <w:shd w:fill="F7FAFC"/>
            <w:tcMar>
              <w:top w:w="70" w:type="dxa"/>
              <w:bottom w:w="70" w:type="dxa"/>
              <w:left w:w="100" w:type="dxa"/>
              <w:right w:w="100" w:type="dxa"/>
            </w:tcMar>
          </w:tcPr>
          <w:p>
            <w:pPr>
              <w:spacing w:before="0" w:after="0"/>
              <w:jc w:val="left"/>
            </w:pPr>
            <w:r>
              <w:rPr>
                <w:rFonts w:ascii="Calibri" w:hAnsi="Calibri"/>
                <w:b w:val="0"/>
                <w:color w:val="2D3748"/>
                <w:sz w:val="17"/>
              </w:rPr>
              <w:t>#2</w:t>
            </w:r>
          </w:p>
        </w:tc>
        <w:tc>
          <w:tcPr>
            <w:tcW w:type="dxa" w:w="1008"/>
            <w:shd w:fill="F7FAFC"/>
            <w:tcMar>
              <w:top w:w="70" w:type="dxa"/>
              <w:bottom w:w="70" w:type="dxa"/>
              <w:left w:w="100" w:type="dxa"/>
              <w:right w:w="100" w:type="dxa"/>
            </w:tcMar>
          </w:tcPr>
          <w:p>
            <w:pPr>
              <w:spacing w:before="0" w:after="0"/>
              <w:jc w:val="right"/>
            </w:pPr>
            <w:r>
              <w:rPr>
                <w:rFonts w:ascii="Calibri" w:hAnsi="Calibri"/>
                <w:b w:val="0"/>
                <w:color w:val="2D3748"/>
                <w:sz w:val="17"/>
              </w:rPr>
              <w:t>NTAP</w:t>
            </w:r>
          </w:p>
        </w:tc>
        <w:tc>
          <w:tcPr>
            <w:tcW w:type="dxa" w:w="2016"/>
            <w:shd w:fill="F7FAFC"/>
            <w:tcMar>
              <w:top w:w="70" w:type="dxa"/>
              <w:bottom w:w="70" w:type="dxa"/>
              <w:left w:w="100" w:type="dxa"/>
              <w:right w:w="100" w:type="dxa"/>
            </w:tcMar>
          </w:tcPr>
          <w:p>
            <w:pPr>
              <w:spacing w:before="0" w:after="0"/>
              <w:jc w:val="right"/>
            </w:pPr>
            <w:r>
              <w:rPr>
                <w:rFonts w:ascii="Calibri" w:hAnsi="Calibri"/>
                <w:b w:val="0"/>
                <w:color w:val="2D3748"/>
                <w:sz w:val="17"/>
              </w:rPr>
              <w:t>NetApp Inc.</w:t>
            </w:r>
          </w:p>
        </w:tc>
        <w:tc>
          <w:tcPr>
            <w:tcW w:type="dxa" w:w="1296"/>
            <w:shd w:fill="F7FAFC"/>
            <w:tcMar>
              <w:top w:w="70" w:type="dxa"/>
              <w:bottom w:w="70" w:type="dxa"/>
              <w:left w:w="100" w:type="dxa"/>
              <w:right w:w="100" w:type="dxa"/>
            </w:tcMar>
          </w:tcPr>
          <w:p>
            <w:pPr>
              <w:spacing w:before="0" w:after="0"/>
              <w:jc w:val="right"/>
            </w:pPr>
            <w:r>
              <w:rPr>
                <w:rFonts w:ascii="Calibri" w:hAnsi="Calibri"/>
                <w:b w:val="0"/>
                <w:color w:val="2D3748"/>
                <w:sz w:val="17"/>
              </w:rPr>
              <w:t>LTM (Q1 FY27 Móvil)</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47.90%</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67.66%</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70.99%</w:t>
            </w:r>
          </w:p>
        </w:tc>
        <w:tc>
          <w:tcPr>
            <w:tcW w:type="dxa" w:w="720"/>
            <w:shd w:fill="F7FAFC"/>
            <w:tcMar>
              <w:top w:w="70" w:type="dxa"/>
              <w:bottom w:w="70" w:type="dxa"/>
              <w:left w:w="100" w:type="dxa"/>
              <w:right w:w="100" w:type="dxa"/>
            </w:tcMar>
          </w:tcPr>
          <w:p>
            <w:pPr>
              <w:spacing w:before="0" w:after="0"/>
              <w:jc w:val="right"/>
            </w:pPr>
            <w:r>
              <w:rPr>
                <w:rFonts w:ascii="Calibri" w:hAnsi="Calibri"/>
                <w:b w:val="0"/>
                <w:color w:val="2D3748"/>
                <w:sz w:val="17"/>
              </w:rPr>
              <w:t>0.67x</w:t>
            </w:r>
          </w:p>
        </w:tc>
        <w:tc>
          <w:tcPr>
            <w:tcW w:type="dxa" w:w="1152"/>
            <w:shd w:fill="F7FAFC"/>
            <w:tcMar>
              <w:top w:w="70" w:type="dxa"/>
              <w:bottom w:w="70" w:type="dxa"/>
              <w:left w:w="100" w:type="dxa"/>
              <w:right w:w="100" w:type="dxa"/>
            </w:tcMar>
          </w:tcPr>
          <w:p>
            <w:pPr>
              <w:spacing w:before="0" w:after="0"/>
              <w:jc w:val="left"/>
            </w:pPr>
            <w:r>
              <w:rPr>
                <w:rFonts w:ascii="Calibri" w:hAnsi="Calibri"/>
                <w:b w:val="0"/>
                <w:color w:val="2D3748"/>
                <w:sz w:val="17"/>
              </w:rPr>
              <w:t>+22.20 pp</w:t>
            </w:r>
          </w:p>
        </w:tc>
      </w:tr>
      <w:tr>
        <w:tc>
          <w:tcPr>
            <w:tcW w:type="dxa" w:w="720"/>
            <w:shd w:fill="FFFFFF"/>
            <w:tcMar>
              <w:top w:w="70" w:type="dxa"/>
              <w:bottom w:w="70" w:type="dxa"/>
              <w:left w:w="100" w:type="dxa"/>
              <w:right w:w="100" w:type="dxa"/>
            </w:tcMar>
          </w:tcPr>
          <w:p>
            <w:pPr>
              <w:spacing w:before="0" w:after="0"/>
              <w:jc w:val="left"/>
            </w:pPr>
            <w:r>
              <w:rPr>
                <w:rFonts w:ascii="Calibri" w:hAnsi="Calibri"/>
                <w:b w:val="0"/>
                <w:color w:val="2D3748"/>
                <w:sz w:val="17"/>
              </w:rPr>
              <w:t>#3</w:t>
            </w:r>
          </w:p>
        </w:tc>
        <w:tc>
          <w:tcPr>
            <w:tcW w:type="dxa" w:w="1008"/>
            <w:shd w:fill="FFFFFF"/>
            <w:tcMar>
              <w:top w:w="70" w:type="dxa"/>
              <w:bottom w:w="70" w:type="dxa"/>
              <w:left w:w="100" w:type="dxa"/>
              <w:right w:w="100" w:type="dxa"/>
            </w:tcMar>
          </w:tcPr>
          <w:p>
            <w:pPr>
              <w:spacing w:before="0" w:after="0"/>
              <w:jc w:val="right"/>
            </w:pPr>
            <w:r>
              <w:rPr>
                <w:rFonts w:ascii="Calibri" w:hAnsi="Calibri"/>
                <w:b w:val="0"/>
                <w:color w:val="2D3748"/>
                <w:sz w:val="17"/>
              </w:rPr>
              <w:t>HPQ</w:t>
            </w:r>
          </w:p>
        </w:tc>
        <w:tc>
          <w:tcPr>
            <w:tcW w:type="dxa" w:w="2016"/>
            <w:shd w:fill="FFFFFF"/>
            <w:tcMar>
              <w:top w:w="70" w:type="dxa"/>
              <w:bottom w:w="70" w:type="dxa"/>
              <w:left w:w="100" w:type="dxa"/>
              <w:right w:w="100" w:type="dxa"/>
            </w:tcMar>
          </w:tcPr>
          <w:p>
            <w:pPr>
              <w:spacing w:before="0" w:after="0"/>
              <w:jc w:val="right"/>
            </w:pPr>
            <w:r>
              <w:rPr>
                <w:rFonts w:ascii="Calibri" w:hAnsi="Calibri"/>
                <w:b w:val="0"/>
                <w:color w:val="2D3748"/>
                <w:sz w:val="17"/>
              </w:rPr>
              <w:t>HP Inc.</w:t>
            </w:r>
          </w:p>
        </w:tc>
        <w:tc>
          <w:tcPr>
            <w:tcW w:type="dxa" w:w="1296"/>
            <w:shd w:fill="FFFFFF"/>
            <w:tcMar>
              <w:top w:w="70" w:type="dxa"/>
              <w:bottom w:w="70" w:type="dxa"/>
              <w:left w:w="100" w:type="dxa"/>
              <w:right w:w="100" w:type="dxa"/>
            </w:tcMar>
          </w:tcPr>
          <w:p>
            <w:pPr>
              <w:spacing w:before="0" w:after="0"/>
              <w:jc w:val="right"/>
            </w:pPr>
            <w:r>
              <w:rPr>
                <w:rFonts w:ascii="Calibri" w:hAnsi="Calibri"/>
                <w:b w:val="0"/>
                <w:color w:val="2D3748"/>
                <w:sz w:val="17"/>
              </w:rPr>
              <w:t>LTM (Q3 FY26 Móvil)</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29.13%</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31.32%</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22.50%</w:t>
            </w:r>
          </w:p>
        </w:tc>
        <w:tc>
          <w:tcPr>
            <w:tcW w:type="dxa" w:w="720"/>
            <w:shd w:fill="FFFFFF"/>
            <w:tcMar>
              <w:top w:w="70" w:type="dxa"/>
              <w:bottom w:w="70" w:type="dxa"/>
              <w:left w:w="100" w:type="dxa"/>
              <w:right w:w="100" w:type="dxa"/>
            </w:tcMar>
          </w:tcPr>
          <w:p>
            <w:pPr>
              <w:spacing w:before="0" w:after="0"/>
              <w:jc w:val="right"/>
            </w:pPr>
            <w:r>
              <w:rPr>
                <w:rFonts w:ascii="Calibri" w:hAnsi="Calibri"/>
                <w:b w:val="0"/>
                <w:color w:val="2D3748"/>
                <w:sz w:val="17"/>
              </w:rPr>
              <w:t>1.29x</w:t>
            </w:r>
          </w:p>
        </w:tc>
        <w:tc>
          <w:tcPr>
            <w:tcW w:type="dxa" w:w="1152"/>
            <w:shd w:fill="FFFFFF"/>
            <w:tcMar>
              <w:top w:w="70" w:type="dxa"/>
              <w:bottom w:w="70" w:type="dxa"/>
              <w:left w:w="100" w:type="dxa"/>
              <w:right w:w="100" w:type="dxa"/>
            </w:tcMar>
          </w:tcPr>
          <w:p>
            <w:pPr>
              <w:spacing w:before="0" w:after="0"/>
              <w:jc w:val="left"/>
            </w:pPr>
            <w:r>
              <w:rPr>
                <w:rFonts w:ascii="Calibri" w:hAnsi="Calibri"/>
                <w:b w:val="0"/>
                <w:color w:val="2D3748"/>
                <w:sz w:val="17"/>
              </w:rPr>
              <w:t>+3.43 pp</w:t>
            </w:r>
          </w:p>
        </w:tc>
      </w:tr>
      <w:tr>
        <w:tc>
          <w:tcPr>
            <w:tcW w:type="dxa" w:w="720"/>
            <w:shd w:fill="F7FAFC"/>
            <w:tcMar>
              <w:top w:w="70" w:type="dxa"/>
              <w:bottom w:w="70" w:type="dxa"/>
              <w:left w:w="100" w:type="dxa"/>
              <w:right w:w="100" w:type="dxa"/>
            </w:tcMar>
          </w:tcPr>
          <w:p>
            <w:pPr>
              <w:spacing w:before="0" w:after="0"/>
              <w:jc w:val="left"/>
            </w:pPr>
            <w:r>
              <w:rPr>
                <w:rFonts w:ascii="Calibri" w:hAnsi="Calibri"/>
                <w:b w:val="0"/>
                <w:color w:val="2D3748"/>
                <w:sz w:val="17"/>
              </w:rPr>
              <w:t>#4</w:t>
            </w:r>
          </w:p>
        </w:tc>
        <w:tc>
          <w:tcPr>
            <w:tcW w:type="dxa" w:w="1008"/>
            <w:shd w:fill="F7FAFC"/>
            <w:tcMar>
              <w:top w:w="70" w:type="dxa"/>
              <w:bottom w:w="70" w:type="dxa"/>
              <w:left w:w="100" w:type="dxa"/>
              <w:right w:w="100" w:type="dxa"/>
            </w:tcMar>
          </w:tcPr>
          <w:p>
            <w:pPr>
              <w:spacing w:before="0" w:after="0"/>
              <w:jc w:val="right"/>
            </w:pPr>
            <w:r>
              <w:rPr>
                <w:rFonts w:ascii="Calibri" w:hAnsi="Calibri"/>
                <w:b w:val="0"/>
                <w:color w:val="2D3748"/>
                <w:sz w:val="17"/>
              </w:rPr>
              <w:t>DELL</w:t>
            </w:r>
          </w:p>
        </w:tc>
        <w:tc>
          <w:tcPr>
            <w:tcW w:type="dxa" w:w="2016"/>
            <w:shd w:fill="F7FAFC"/>
            <w:tcMar>
              <w:top w:w="70" w:type="dxa"/>
              <w:bottom w:w="70" w:type="dxa"/>
              <w:left w:w="100" w:type="dxa"/>
              <w:right w:w="100" w:type="dxa"/>
            </w:tcMar>
          </w:tcPr>
          <w:p>
            <w:pPr>
              <w:spacing w:before="0" w:after="0"/>
              <w:jc w:val="right"/>
            </w:pPr>
            <w:r>
              <w:rPr>
                <w:rFonts w:ascii="Calibri" w:hAnsi="Calibri"/>
                <w:b w:val="0"/>
                <w:color w:val="2D3748"/>
                <w:sz w:val="17"/>
              </w:rPr>
              <w:t>Dell Technologies Inc.</w:t>
            </w:r>
          </w:p>
        </w:tc>
        <w:tc>
          <w:tcPr>
            <w:tcW w:type="dxa" w:w="1296"/>
            <w:shd w:fill="F7FAFC"/>
            <w:tcMar>
              <w:top w:w="70" w:type="dxa"/>
              <w:bottom w:w="70" w:type="dxa"/>
              <w:left w:w="100" w:type="dxa"/>
              <w:right w:w="100" w:type="dxa"/>
            </w:tcMar>
          </w:tcPr>
          <w:p>
            <w:pPr>
              <w:spacing w:before="0" w:after="0"/>
              <w:jc w:val="right"/>
            </w:pPr>
            <w:r>
              <w:rPr>
                <w:rFonts w:ascii="Calibri" w:hAnsi="Calibri"/>
                <w:b w:val="0"/>
                <w:color w:val="2D3748"/>
                <w:sz w:val="17"/>
              </w:rPr>
              <w:t>LTM (Q2 FY27 Móvil)</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27.79%</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29.48%</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23.41%</w:t>
            </w:r>
          </w:p>
        </w:tc>
        <w:tc>
          <w:tcPr>
            <w:tcW w:type="dxa" w:w="720"/>
            <w:shd w:fill="F7FAFC"/>
            <w:tcMar>
              <w:top w:w="70" w:type="dxa"/>
              <w:bottom w:w="70" w:type="dxa"/>
              <w:left w:w="100" w:type="dxa"/>
              <w:right w:w="100" w:type="dxa"/>
            </w:tcMar>
          </w:tcPr>
          <w:p>
            <w:pPr>
              <w:spacing w:before="0" w:after="0"/>
              <w:jc w:val="right"/>
            </w:pPr>
            <w:r>
              <w:rPr>
                <w:rFonts w:ascii="Calibri" w:hAnsi="Calibri"/>
                <w:b w:val="0"/>
                <w:color w:val="2D3748"/>
                <w:sz w:val="17"/>
              </w:rPr>
              <w:t>1.19x</w:t>
            </w:r>
          </w:p>
        </w:tc>
        <w:tc>
          <w:tcPr>
            <w:tcW w:type="dxa" w:w="1152"/>
            <w:shd w:fill="F7FAFC"/>
            <w:tcMar>
              <w:top w:w="70" w:type="dxa"/>
              <w:bottom w:w="70" w:type="dxa"/>
              <w:left w:w="100" w:type="dxa"/>
              <w:right w:w="100" w:type="dxa"/>
            </w:tcMar>
          </w:tcPr>
          <w:p>
            <w:pPr>
              <w:spacing w:before="0" w:after="0"/>
              <w:jc w:val="left"/>
            </w:pPr>
            <w:r>
              <w:rPr>
                <w:rFonts w:ascii="Calibri" w:hAnsi="Calibri"/>
                <w:b w:val="0"/>
                <w:color w:val="2D3748"/>
                <w:sz w:val="17"/>
              </w:rPr>
              <w:t>+2.10 pp</w:t>
            </w:r>
          </w:p>
        </w:tc>
      </w:tr>
      <w:tr>
        <w:tc>
          <w:tcPr>
            <w:tcW w:type="dxa" w:w="720"/>
            <w:shd w:fill="FFFFFF"/>
            <w:tcMar>
              <w:top w:w="70" w:type="dxa"/>
              <w:bottom w:w="70" w:type="dxa"/>
              <w:left w:w="100" w:type="dxa"/>
              <w:right w:w="100" w:type="dxa"/>
            </w:tcMar>
          </w:tcPr>
          <w:p>
            <w:pPr>
              <w:spacing w:before="0" w:after="0"/>
              <w:jc w:val="left"/>
            </w:pPr>
            <w:r>
              <w:rPr>
                <w:rFonts w:ascii="Calibri" w:hAnsi="Calibri"/>
                <w:b w:val="0"/>
                <w:color w:val="2D3748"/>
                <w:sz w:val="17"/>
              </w:rPr>
              <w:t>#5</w:t>
            </w:r>
          </w:p>
        </w:tc>
        <w:tc>
          <w:tcPr>
            <w:tcW w:type="dxa" w:w="1008"/>
            <w:shd w:fill="FFFFFF"/>
            <w:tcMar>
              <w:top w:w="70" w:type="dxa"/>
              <w:bottom w:w="70" w:type="dxa"/>
              <w:left w:w="100" w:type="dxa"/>
              <w:right w:w="100" w:type="dxa"/>
            </w:tcMar>
          </w:tcPr>
          <w:p>
            <w:pPr>
              <w:spacing w:before="0" w:after="0"/>
              <w:jc w:val="right"/>
            </w:pPr>
            <w:r>
              <w:rPr>
                <w:rFonts w:ascii="Calibri" w:hAnsi="Calibri"/>
                <w:b w:val="0"/>
                <w:color w:val="2D3748"/>
                <w:sz w:val="17"/>
              </w:rPr>
              <w:t>STX</w:t>
            </w:r>
          </w:p>
        </w:tc>
        <w:tc>
          <w:tcPr>
            <w:tcW w:type="dxa" w:w="2016"/>
            <w:shd w:fill="FFFFFF"/>
            <w:tcMar>
              <w:top w:w="70" w:type="dxa"/>
              <w:bottom w:w="70" w:type="dxa"/>
              <w:left w:w="100" w:type="dxa"/>
              <w:right w:w="100" w:type="dxa"/>
            </w:tcMar>
          </w:tcPr>
          <w:p>
            <w:pPr>
              <w:spacing w:before="0" w:after="0"/>
              <w:jc w:val="right"/>
            </w:pPr>
            <w:r>
              <w:rPr>
                <w:rFonts w:ascii="Calibri" w:hAnsi="Calibri"/>
                <w:b w:val="0"/>
                <w:color w:val="2D3748"/>
                <w:sz w:val="17"/>
              </w:rPr>
              <w:t>Seagate Technology Hol</w:t>
            </w:r>
          </w:p>
        </w:tc>
        <w:tc>
          <w:tcPr>
            <w:tcW w:type="dxa" w:w="1296"/>
            <w:shd w:fill="FFFFFF"/>
            <w:tcMar>
              <w:top w:w="70" w:type="dxa"/>
              <w:bottom w:w="70" w:type="dxa"/>
              <w:left w:w="100" w:type="dxa"/>
              <w:right w:w="100" w:type="dxa"/>
            </w:tcMar>
          </w:tcPr>
          <w:p>
            <w:pPr>
              <w:spacing w:before="0" w:after="0"/>
              <w:jc w:val="right"/>
            </w:pPr>
            <w:r>
              <w:rPr>
                <w:rFonts w:ascii="Calibri" w:hAnsi="Calibri"/>
                <w:b w:val="0"/>
                <w:color w:val="2D3748"/>
                <w:sz w:val="17"/>
              </w:rPr>
              <w:t>LTM (FY26 Auditado)</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23.60%</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26.52%</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19.29%</w:t>
            </w:r>
          </w:p>
        </w:tc>
        <w:tc>
          <w:tcPr>
            <w:tcW w:type="dxa" w:w="720"/>
            <w:shd w:fill="FFFFFF"/>
            <w:tcMar>
              <w:top w:w="70" w:type="dxa"/>
              <w:bottom w:w="70" w:type="dxa"/>
              <w:left w:w="100" w:type="dxa"/>
              <w:right w:w="100" w:type="dxa"/>
            </w:tcMar>
          </w:tcPr>
          <w:p>
            <w:pPr>
              <w:spacing w:before="0" w:after="0"/>
              <w:jc w:val="right"/>
            </w:pPr>
            <w:r>
              <w:rPr>
                <w:rFonts w:ascii="Calibri" w:hAnsi="Calibri"/>
                <w:b w:val="0"/>
                <w:color w:val="2D3748"/>
                <w:sz w:val="17"/>
              </w:rPr>
              <w:t>1.22x</w:t>
            </w:r>
          </w:p>
        </w:tc>
        <w:tc>
          <w:tcPr>
            <w:tcW w:type="dxa" w:w="1152"/>
            <w:shd w:fill="FFFFFF"/>
            <w:tcMar>
              <w:top w:w="70" w:type="dxa"/>
              <w:bottom w:w="70" w:type="dxa"/>
              <w:left w:w="100" w:type="dxa"/>
              <w:right w:w="100" w:type="dxa"/>
            </w:tcMar>
          </w:tcPr>
          <w:p>
            <w:pPr>
              <w:spacing w:before="0" w:after="0"/>
              <w:jc w:val="left"/>
            </w:pPr>
            <w:r>
              <w:rPr>
                <w:rFonts w:ascii="Calibri" w:hAnsi="Calibri"/>
                <w:b w:val="0"/>
                <w:color w:val="2D3748"/>
                <w:sz w:val="17"/>
              </w:rPr>
              <w:t>-2.10 pp</w:t>
            </w:r>
          </w:p>
        </w:tc>
      </w:tr>
      <w:tr>
        <w:tc>
          <w:tcPr>
            <w:tcW w:type="dxa" w:w="720"/>
            <w:shd w:fill="F7FAFC"/>
            <w:tcMar>
              <w:top w:w="70" w:type="dxa"/>
              <w:bottom w:w="70" w:type="dxa"/>
              <w:left w:w="100" w:type="dxa"/>
              <w:right w:w="100" w:type="dxa"/>
            </w:tcMar>
          </w:tcPr>
          <w:p>
            <w:pPr>
              <w:spacing w:before="0" w:after="0"/>
              <w:jc w:val="left"/>
            </w:pPr>
            <w:r>
              <w:rPr>
                <w:rFonts w:ascii="Calibri" w:hAnsi="Calibri"/>
                <w:b w:val="0"/>
                <w:color w:val="2D3748"/>
                <w:sz w:val="17"/>
              </w:rPr>
              <w:t>#6</w:t>
            </w:r>
          </w:p>
        </w:tc>
        <w:tc>
          <w:tcPr>
            <w:tcW w:type="dxa" w:w="1008"/>
            <w:shd w:fill="F7FAFC"/>
            <w:tcMar>
              <w:top w:w="70" w:type="dxa"/>
              <w:bottom w:w="70" w:type="dxa"/>
              <w:left w:w="100" w:type="dxa"/>
              <w:right w:w="100" w:type="dxa"/>
            </w:tcMar>
          </w:tcPr>
          <w:p>
            <w:pPr>
              <w:spacing w:before="0" w:after="0"/>
              <w:jc w:val="right"/>
            </w:pPr>
            <w:r>
              <w:rPr>
                <w:rFonts w:ascii="Calibri" w:hAnsi="Calibri"/>
                <w:b w:val="0"/>
                <w:color w:val="2D3748"/>
                <w:sz w:val="17"/>
              </w:rPr>
              <w:t>HPE</w:t>
            </w:r>
          </w:p>
        </w:tc>
        <w:tc>
          <w:tcPr>
            <w:tcW w:type="dxa" w:w="2016"/>
            <w:shd w:fill="F7FAFC"/>
            <w:tcMar>
              <w:top w:w="70" w:type="dxa"/>
              <w:bottom w:w="70" w:type="dxa"/>
              <w:left w:w="100" w:type="dxa"/>
              <w:right w:w="100" w:type="dxa"/>
            </w:tcMar>
          </w:tcPr>
          <w:p>
            <w:pPr>
              <w:spacing w:before="0" w:after="0"/>
              <w:jc w:val="right"/>
            </w:pPr>
            <w:r>
              <w:rPr>
                <w:rFonts w:ascii="Calibri" w:hAnsi="Calibri"/>
                <w:b w:val="0"/>
                <w:color w:val="2D3748"/>
                <w:sz w:val="17"/>
              </w:rPr>
              <w:t>Hewlett Packard Enterp</w:t>
            </w:r>
          </w:p>
        </w:tc>
        <w:tc>
          <w:tcPr>
            <w:tcW w:type="dxa" w:w="1296"/>
            <w:shd w:fill="F7FAFC"/>
            <w:tcMar>
              <w:top w:w="70" w:type="dxa"/>
              <w:bottom w:w="70" w:type="dxa"/>
              <w:left w:w="100" w:type="dxa"/>
              <w:right w:w="100" w:type="dxa"/>
            </w:tcMar>
          </w:tcPr>
          <w:p>
            <w:pPr>
              <w:spacing w:before="0" w:after="0"/>
              <w:jc w:val="right"/>
            </w:pPr>
            <w:r>
              <w:rPr>
                <w:rFonts w:ascii="Calibri" w:hAnsi="Calibri"/>
                <w:b w:val="0"/>
                <w:color w:val="2D3748"/>
                <w:sz w:val="17"/>
              </w:rPr>
              <w:t>LTM (Q3 FY26 Móvil)</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18.38%</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19.09%</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36.70%</w:t>
            </w:r>
          </w:p>
        </w:tc>
        <w:tc>
          <w:tcPr>
            <w:tcW w:type="dxa" w:w="720"/>
            <w:shd w:fill="F7FAFC"/>
            <w:tcMar>
              <w:top w:w="70" w:type="dxa"/>
              <w:bottom w:w="70" w:type="dxa"/>
              <w:left w:w="100" w:type="dxa"/>
              <w:right w:w="100" w:type="dxa"/>
            </w:tcMar>
          </w:tcPr>
          <w:p>
            <w:pPr>
              <w:spacing w:before="0" w:after="0"/>
              <w:jc w:val="right"/>
            </w:pPr>
            <w:r>
              <w:rPr>
                <w:rFonts w:ascii="Calibri" w:hAnsi="Calibri"/>
                <w:b w:val="0"/>
                <w:color w:val="2D3748"/>
                <w:sz w:val="17"/>
              </w:rPr>
              <w:t>0.50x</w:t>
            </w:r>
          </w:p>
        </w:tc>
        <w:tc>
          <w:tcPr>
            <w:tcW w:type="dxa" w:w="1152"/>
            <w:shd w:fill="F7FAFC"/>
            <w:tcMar>
              <w:top w:w="70" w:type="dxa"/>
              <w:bottom w:w="70" w:type="dxa"/>
              <w:left w:w="100" w:type="dxa"/>
              <w:right w:w="100" w:type="dxa"/>
            </w:tcMar>
          </w:tcPr>
          <w:p>
            <w:pPr>
              <w:spacing w:before="0" w:after="0"/>
              <w:jc w:val="left"/>
            </w:pPr>
            <w:r>
              <w:rPr>
                <w:rFonts w:ascii="Calibri" w:hAnsi="Calibri"/>
                <w:b w:val="0"/>
                <w:color w:val="2D3748"/>
                <w:sz w:val="17"/>
              </w:rPr>
              <w:t>-7.31 pp</w:t>
            </w:r>
          </w:p>
        </w:tc>
      </w:tr>
      <w:tr>
        <w:tc>
          <w:tcPr>
            <w:tcW w:type="dxa" w:w="720"/>
            <w:shd w:fill="FFFFFF"/>
            <w:tcMar>
              <w:top w:w="70" w:type="dxa"/>
              <w:bottom w:w="70" w:type="dxa"/>
              <w:left w:w="100" w:type="dxa"/>
              <w:right w:w="100" w:type="dxa"/>
            </w:tcMar>
          </w:tcPr>
          <w:p>
            <w:pPr>
              <w:spacing w:before="0" w:after="0"/>
              <w:jc w:val="left"/>
            </w:pPr>
            <w:r>
              <w:rPr>
                <w:rFonts w:ascii="Calibri" w:hAnsi="Calibri"/>
                <w:b w:val="0"/>
                <w:color w:val="2D3748"/>
                <w:sz w:val="17"/>
              </w:rPr>
              <w:t>#7</w:t>
            </w:r>
          </w:p>
        </w:tc>
        <w:tc>
          <w:tcPr>
            <w:tcW w:type="dxa" w:w="1008"/>
            <w:shd w:fill="FFFFFF"/>
            <w:tcMar>
              <w:top w:w="70" w:type="dxa"/>
              <w:bottom w:w="70" w:type="dxa"/>
              <w:left w:w="100" w:type="dxa"/>
              <w:right w:w="100" w:type="dxa"/>
            </w:tcMar>
          </w:tcPr>
          <w:p>
            <w:pPr>
              <w:spacing w:before="0" w:after="0"/>
              <w:jc w:val="right"/>
            </w:pPr>
            <w:r>
              <w:rPr>
                <w:rFonts w:ascii="Calibri" w:hAnsi="Calibri"/>
                <w:b w:val="0"/>
                <w:color w:val="2D3748"/>
                <w:sz w:val="17"/>
              </w:rPr>
              <w:t>WDC</w:t>
            </w:r>
          </w:p>
        </w:tc>
        <w:tc>
          <w:tcPr>
            <w:tcW w:type="dxa" w:w="2016"/>
            <w:shd w:fill="FFFFFF"/>
            <w:tcMar>
              <w:top w:w="70" w:type="dxa"/>
              <w:bottom w:w="70" w:type="dxa"/>
              <w:left w:w="100" w:type="dxa"/>
              <w:right w:w="100" w:type="dxa"/>
            </w:tcMar>
          </w:tcPr>
          <w:p>
            <w:pPr>
              <w:spacing w:before="0" w:after="0"/>
              <w:jc w:val="right"/>
            </w:pPr>
            <w:r>
              <w:rPr>
                <w:rFonts w:ascii="Calibri" w:hAnsi="Calibri"/>
                <w:b w:val="0"/>
                <w:color w:val="2D3748"/>
                <w:sz w:val="17"/>
              </w:rPr>
              <w:t>Western Digital Corp.</w:t>
            </w:r>
          </w:p>
        </w:tc>
        <w:tc>
          <w:tcPr>
            <w:tcW w:type="dxa" w:w="1296"/>
            <w:shd w:fill="FFFFFF"/>
            <w:tcMar>
              <w:top w:w="70" w:type="dxa"/>
              <w:bottom w:w="70" w:type="dxa"/>
              <w:left w:w="100" w:type="dxa"/>
              <w:right w:w="100" w:type="dxa"/>
            </w:tcMar>
          </w:tcPr>
          <w:p>
            <w:pPr>
              <w:spacing w:before="0" w:after="0"/>
              <w:jc w:val="right"/>
            </w:pPr>
            <w:r>
              <w:rPr>
                <w:rFonts w:ascii="Calibri" w:hAnsi="Calibri"/>
                <w:b w:val="0"/>
                <w:color w:val="2D3748"/>
                <w:sz w:val="17"/>
              </w:rPr>
              <w:t>LTM (FY26 Auditado)</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16.87%</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19.38%</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18.10%</w:t>
            </w:r>
          </w:p>
        </w:tc>
        <w:tc>
          <w:tcPr>
            <w:tcW w:type="dxa" w:w="720"/>
            <w:shd w:fill="FFFFFF"/>
            <w:tcMar>
              <w:top w:w="70" w:type="dxa"/>
              <w:bottom w:w="70" w:type="dxa"/>
              <w:left w:w="100" w:type="dxa"/>
              <w:right w:w="100" w:type="dxa"/>
            </w:tcMar>
          </w:tcPr>
          <w:p>
            <w:pPr>
              <w:spacing w:before="0" w:after="0"/>
              <w:jc w:val="right"/>
            </w:pPr>
            <w:r>
              <w:rPr>
                <w:rFonts w:ascii="Calibri" w:hAnsi="Calibri"/>
                <w:b w:val="0"/>
                <w:color w:val="2D3748"/>
                <w:sz w:val="17"/>
              </w:rPr>
              <w:t>0.93x</w:t>
            </w:r>
          </w:p>
        </w:tc>
        <w:tc>
          <w:tcPr>
            <w:tcW w:type="dxa" w:w="1152"/>
            <w:shd w:fill="FFFFFF"/>
            <w:tcMar>
              <w:top w:w="70" w:type="dxa"/>
              <w:bottom w:w="70" w:type="dxa"/>
              <w:left w:w="100" w:type="dxa"/>
              <w:right w:w="100" w:type="dxa"/>
            </w:tcMar>
          </w:tcPr>
          <w:p>
            <w:pPr>
              <w:spacing w:before="0" w:after="0"/>
              <w:jc w:val="left"/>
            </w:pPr>
            <w:r>
              <w:rPr>
                <w:rFonts w:ascii="Calibri" w:hAnsi="Calibri"/>
                <w:b w:val="0"/>
                <w:color w:val="2D3748"/>
                <w:sz w:val="17"/>
              </w:rPr>
              <w:t>-8.82 pp</w:t>
            </w:r>
          </w:p>
        </w:tc>
      </w:tr>
      <w:tr>
        <w:tc>
          <w:tcPr>
            <w:tcW w:type="dxa" w:w="720"/>
            <w:shd w:fill="F7FAFC"/>
            <w:tcMar>
              <w:top w:w="70" w:type="dxa"/>
              <w:bottom w:w="70" w:type="dxa"/>
              <w:left w:w="100" w:type="dxa"/>
              <w:right w:w="100" w:type="dxa"/>
            </w:tcMar>
          </w:tcPr>
          <w:p>
            <w:pPr>
              <w:spacing w:before="0" w:after="0"/>
              <w:jc w:val="left"/>
            </w:pPr>
            <w:r>
              <w:rPr>
                <w:rFonts w:ascii="Calibri" w:hAnsi="Calibri"/>
                <w:b w:val="0"/>
                <w:color w:val="2D3748"/>
                <w:sz w:val="17"/>
              </w:rPr>
              <w:t>#8</w:t>
            </w:r>
          </w:p>
        </w:tc>
        <w:tc>
          <w:tcPr>
            <w:tcW w:type="dxa" w:w="1008"/>
            <w:shd w:fill="F7FAFC"/>
            <w:tcMar>
              <w:top w:w="70" w:type="dxa"/>
              <w:bottom w:w="70" w:type="dxa"/>
              <w:left w:w="100" w:type="dxa"/>
              <w:right w:w="100" w:type="dxa"/>
            </w:tcMar>
          </w:tcPr>
          <w:p>
            <w:pPr>
              <w:spacing w:before="0" w:after="0"/>
              <w:jc w:val="right"/>
            </w:pPr>
            <w:r>
              <w:rPr>
                <w:rFonts w:ascii="Calibri" w:hAnsi="Calibri"/>
                <w:b w:val="0"/>
                <w:color w:val="2D3748"/>
                <w:sz w:val="17"/>
              </w:rPr>
              <w:t>SMCI</w:t>
            </w:r>
          </w:p>
        </w:tc>
        <w:tc>
          <w:tcPr>
            <w:tcW w:type="dxa" w:w="2016"/>
            <w:shd w:fill="F7FAFC"/>
            <w:tcMar>
              <w:top w:w="70" w:type="dxa"/>
              <w:bottom w:w="70" w:type="dxa"/>
              <w:left w:w="100" w:type="dxa"/>
              <w:right w:w="100" w:type="dxa"/>
            </w:tcMar>
          </w:tcPr>
          <w:p>
            <w:pPr>
              <w:spacing w:before="0" w:after="0"/>
              <w:jc w:val="right"/>
            </w:pPr>
            <w:r>
              <w:rPr>
                <w:rFonts w:ascii="Calibri" w:hAnsi="Calibri"/>
                <w:b w:val="0"/>
                <w:color w:val="2D3748"/>
                <w:sz w:val="17"/>
              </w:rPr>
              <w:t>Super Micro Computer I</w:t>
            </w:r>
          </w:p>
        </w:tc>
        <w:tc>
          <w:tcPr>
            <w:tcW w:type="dxa" w:w="1296"/>
            <w:shd w:fill="F7FAFC"/>
            <w:tcMar>
              <w:top w:w="70" w:type="dxa"/>
              <w:bottom w:w="70" w:type="dxa"/>
              <w:left w:w="100" w:type="dxa"/>
              <w:right w:w="100" w:type="dxa"/>
            </w:tcMar>
          </w:tcPr>
          <w:p>
            <w:pPr>
              <w:spacing w:before="0" w:after="0"/>
              <w:jc w:val="right"/>
            </w:pPr>
            <w:r>
              <w:rPr>
                <w:rFonts w:ascii="Calibri" w:hAnsi="Calibri"/>
                <w:b w:val="0"/>
                <w:color w:val="2D3748"/>
                <w:sz w:val="17"/>
              </w:rPr>
              <w:t>LTM (FY26 Auditado)</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14.61%</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15.71%</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11.20%</w:t>
            </w:r>
          </w:p>
        </w:tc>
        <w:tc>
          <w:tcPr>
            <w:tcW w:type="dxa" w:w="720"/>
            <w:shd w:fill="F7FAFC"/>
            <w:tcMar>
              <w:top w:w="70" w:type="dxa"/>
              <w:bottom w:w="70" w:type="dxa"/>
              <w:left w:w="100" w:type="dxa"/>
              <w:right w:w="100" w:type="dxa"/>
            </w:tcMar>
          </w:tcPr>
          <w:p>
            <w:pPr>
              <w:spacing w:before="0" w:after="0"/>
              <w:jc w:val="right"/>
            </w:pPr>
            <w:r>
              <w:rPr>
                <w:rFonts w:ascii="Calibri" w:hAnsi="Calibri"/>
                <w:b w:val="0"/>
                <w:color w:val="2D3748"/>
                <w:sz w:val="17"/>
              </w:rPr>
              <w:t>1.30x</w:t>
            </w:r>
          </w:p>
        </w:tc>
        <w:tc>
          <w:tcPr>
            <w:tcW w:type="dxa" w:w="1152"/>
            <w:shd w:fill="F7FAFC"/>
            <w:tcMar>
              <w:top w:w="70" w:type="dxa"/>
              <w:bottom w:w="70" w:type="dxa"/>
              <w:left w:w="100" w:type="dxa"/>
              <w:right w:w="100" w:type="dxa"/>
            </w:tcMar>
          </w:tcPr>
          <w:p>
            <w:pPr>
              <w:spacing w:before="0" w:after="0"/>
              <w:jc w:val="left"/>
            </w:pPr>
            <w:r>
              <w:rPr>
                <w:rFonts w:ascii="Calibri" w:hAnsi="Calibri"/>
                <w:b w:val="0"/>
                <w:color w:val="2D3748"/>
                <w:sz w:val="17"/>
              </w:rPr>
              <w:t>-11.08 pp</w:t>
            </w:r>
          </w:p>
        </w:tc>
      </w:tr>
      <w:tr>
        <w:tc>
          <w:tcPr>
            <w:tcW w:type="dxa" w:w="720"/>
            <w:shd w:fill="FFFFFF"/>
            <w:tcMar>
              <w:top w:w="70" w:type="dxa"/>
              <w:bottom w:w="70" w:type="dxa"/>
              <w:left w:w="100" w:type="dxa"/>
              <w:right w:w="100" w:type="dxa"/>
            </w:tcMar>
          </w:tcPr>
          <w:p>
            <w:pPr>
              <w:spacing w:before="0" w:after="0"/>
              <w:jc w:val="left"/>
            </w:pPr>
            <w:r>
              <w:rPr>
                <w:rFonts w:ascii="Calibri" w:hAnsi="Calibri"/>
                <w:b w:val="0"/>
                <w:color w:val="2D3748"/>
                <w:sz w:val="17"/>
              </w:rPr>
              <w:t>-</w:t>
            </w:r>
          </w:p>
        </w:tc>
        <w:tc>
          <w:tcPr>
            <w:tcW w:type="dxa" w:w="1008"/>
            <w:shd w:fill="FFFFFF"/>
            <w:tcMar>
              <w:top w:w="70" w:type="dxa"/>
              <w:bottom w:w="70" w:type="dxa"/>
              <w:left w:w="100" w:type="dxa"/>
              <w:right w:w="100" w:type="dxa"/>
            </w:tcMar>
          </w:tcPr>
          <w:p>
            <w:pPr>
              <w:spacing w:before="0" w:after="0"/>
              <w:jc w:val="right"/>
            </w:pPr>
            <w:r>
              <w:rPr>
                <w:rFonts w:ascii="Calibri" w:hAnsi="Calibri"/>
                <w:b w:val="0"/>
                <w:color w:val="2D3748"/>
                <w:sz w:val="17"/>
              </w:rPr>
              <w:t>MEDIANA</w:t>
            </w:r>
          </w:p>
        </w:tc>
        <w:tc>
          <w:tcPr>
            <w:tcW w:type="dxa" w:w="2016"/>
            <w:shd w:fill="FFFFFF"/>
            <w:tcMar>
              <w:top w:w="70" w:type="dxa"/>
              <w:bottom w:w="70" w:type="dxa"/>
              <w:left w:w="100" w:type="dxa"/>
              <w:right w:w="100" w:type="dxa"/>
            </w:tcMar>
          </w:tcPr>
          <w:p>
            <w:pPr>
              <w:spacing w:before="0" w:after="0"/>
              <w:jc w:val="right"/>
            </w:pPr>
            <w:r>
              <w:rPr>
                <w:rFonts w:ascii="Calibri" w:hAnsi="Calibri"/>
                <w:b w:val="0"/>
                <w:color w:val="2D3748"/>
                <w:sz w:val="17"/>
              </w:rPr>
              <w:t>Mediana Sectorial</w:t>
            </w:r>
          </w:p>
        </w:tc>
        <w:tc>
          <w:tcPr>
            <w:tcW w:type="dxa" w:w="1296"/>
            <w:shd w:fill="FFFFFF"/>
            <w:tcMar>
              <w:top w:w="70" w:type="dxa"/>
              <w:bottom w:w="70" w:type="dxa"/>
              <w:left w:w="100" w:type="dxa"/>
              <w:right w:w="100" w:type="dxa"/>
            </w:tcMar>
          </w:tcPr>
          <w:p>
            <w:pPr>
              <w:spacing w:before="0" w:after="0"/>
              <w:jc w:val="right"/>
            </w:pPr>
            <w:r>
              <w:rPr>
                <w:rFonts w:ascii="Calibri" w:hAnsi="Calibri"/>
                <w:b w:val="0"/>
                <w:color w:val="2D3748"/>
                <w:sz w:val="17"/>
              </w:rPr>
              <w:t>LTM</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25.69%</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28.00%</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22.96%</w:t>
            </w:r>
          </w:p>
        </w:tc>
        <w:tc>
          <w:tcPr>
            <w:tcW w:type="dxa" w:w="720"/>
            <w:shd w:fill="FFFFFF"/>
            <w:tcMar>
              <w:top w:w="70" w:type="dxa"/>
              <w:bottom w:w="70" w:type="dxa"/>
              <w:left w:w="100" w:type="dxa"/>
              <w:right w:w="100" w:type="dxa"/>
            </w:tcMar>
          </w:tcPr>
          <w:p>
            <w:pPr>
              <w:spacing w:before="0" w:after="0"/>
              <w:jc w:val="right"/>
            </w:pPr>
            <w:r>
              <w:rPr>
                <w:rFonts w:ascii="Calibri" w:hAnsi="Calibri"/>
                <w:b w:val="0"/>
                <w:color w:val="2D3748"/>
                <w:sz w:val="17"/>
              </w:rPr>
              <w:t>1.20x</w:t>
            </w:r>
          </w:p>
        </w:tc>
        <w:tc>
          <w:tcPr>
            <w:tcW w:type="dxa" w:w="1152"/>
            <w:shd w:fill="FFFFFF"/>
            <w:tcMar>
              <w:top w:w="70" w:type="dxa"/>
              <w:bottom w:w="70" w:type="dxa"/>
              <w:left w:w="100" w:type="dxa"/>
              <w:right w:w="100" w:type="dxa"/>
            </w:tcMar>
          </w:tcPr>
          <w:p>
            <w:pPr>
              <w:spacing w:before="0" w:after="0"/>
              <w:jc w:val="left"/>
            </w:pPr>
            <w:r>
              <w:rPr>
                <w:rFonts w:ascii="Calibri" w:hAnsi="Calibri"/>
                <w:b w:val="0"/>
                <w:color w:val="2D3748"/>
                <w:sz w:val="17"/>
              </w:rPr>
              <w:t>0.00 pp</w:t>
            </w:r>
          </w:p>
        </w:tc>
      </w:tr>
      <w:tr>
        <w:tc>
          <w:tcPr>
            <w:tcW w:type="dxa" w:w="720"/>
            <w:shd w:fill="F7FAFC"/>
            <w:tcMar>
              <w:top w:w="70" w:type="dxa"/>
              <w:bottom w:w="70" w:type="dxa"/>
              <w:left w:w="100" w:type="dxa"/>
              <w:right w:w="100" w:type="dxa"/>
            </w:tcMar>
          </w:tcPr>
          <w:p>
            <w:pPr>
              <w:spacing w:before="0" w:after="0"/>
              <w:jc w:val="left"/>
            </w:pPr>
            <w:r>
              <w:rPr>
                <w:rFonts w:ascii="Calibri" w:hAnsi="Calibri"/>
                <w:b w:val="0"/>
                <w:color w:val="2D3748"/>
                <w:sz w:val="17"/>
              </w:rPr>
              <w:t>-</w:t>
            </w:r>
          </w:p>
        </w:tc>
        <w:tc>
          <w:tcPr>
            <w:tcW w:type="dxa" w:w="1008"/>
            <w:shd w:fill="F7FAFC"/>
            <w:tcMar>
              <w:top w:w="70" w:type="dxa"/>
              <w:bottom w:w="70" w:type="dxa"/>
              <w:left w:w="100" w:type="dxa"/>
              <w:right w:w="100" w:type="dxa"/>
            </w:tcMar>
          </w:tcPr>
          <w:p>
            <w:pPr>
              <w:spacing w:before="0" w:after="0"/>
              <w:jc w:val="right"/>
            </w:pPr>
            <w:r>
              <w:rPr>
                <w:rFonts w:ascii="Calibri" w:hAnsi="Calibri"/>
                <w:b w:val="0"/>
                <w:color w:val="2D3748"/>
                <w:sz w:val="17"/>
              </w:rPr>
              <w:t>P75</w:t>
            </w:r>
          </w:p>
        </w:tc>
        <w:tc>
          <w:tcPr>
            <w:tcW w:type="dxa" w:w="2016"/>
            <w:shd w:fill="F7FAFC"/>
            <w:tcMar>
              <w:top w:w="70" w:type="dxa"/>
              <w:bottom w:w="70" w:type="dxa"/>
              <w:left w:w="100" w:type="dxa"/>
              <w:right w:w="100" w:type="dxa"/>
            </w:tcMar>
          </w:tcPr>
          <w:p>
            <w:pPr>
              <w:spacing w:before="0" w:after="0"/>
              <w:jc w:val="right"/>
            </w:pPr>
            <w:r>
              <w:rPr>
                <w:rFonts w:ascii="Calibri" w:hAnsi="Calibri"/>
                <w:b w:val="0"/>
                <w:color w:val="2D3748"/>
                <w:sz w:val="17"/>
              </w:rPr>
              <w:t>Percentil 75 Líder</w:t>
            </w:r>
          </w:p>
        </w:tc>
        <w:tc>
          <w:tcPr>
            <w:tcW w:type="dxa" w:w="1296"/>
            <w:shd w:fill="F7FAFC"/>
            <w:tcMar>
              <w:top w:w="70" w:type="dxa"/>
              <w:bottom w:w="70" w:type="dxa"/>
              <w:left w:w="100" w:type="dxa"/>
              <w:right w:w="100" w:type="dxa"/>
            </w:tcMar>
          </w:tcPr>
          <w:p>
            <w:pPr>
              <w:spacing w:before="0" w:after="0"/>
              <w:jc w:val="right"/>
            </w:pPr>
            <w:r>
              <w:rPr>
                <w:rFonts w:ascii="Calibri" w:hAnsi="Calibri"/>
                <w:b w:val="0"/>
                <w:color w:val="2D3748"/>
                <w:sz w:val="17"/>
              </w:rPr>
              <w:t>LTM</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33.82%</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w:t>
            </w:r>
          </w:p>
        </w:tc>
        <w:tc>
          <w:tcPr>
            <w:tcW w:type="dxa" w:w="720"/>
            <w:shd w:fill="F7FAFC"/>
            <w:tcMar>
              <w:top w:w="70" w:type="dxa"/>
              <w:bottom w:w="70" w:type="dxa"/>
              <w:left w:w="100" w:type="dxa"/>
              <w:right w:w="100" w:type="dxa"/>
            </w:tcMar>
          </w:tcPr>
          <w:p>
            <w:pPr>
              <w:spacing w:before="0" w:after="0"/>
              <w:jc w:val="right"/>
            </w:pPr>
            <w:r>
              <w:rPr>
                <w:rFonts w:ascii="Calibri" w:hAnsi="Calibri"/>
                <w:b w:val="0"/>
                <w:color w:val="2D3748"/>
                <w:sz w:val="17"/>
              </w:rPr>
              <w:t>-</w:t>
            </w:r>
          </w:p>
        </w:tc>
        <w:tc>
          <w:tcPr>
            <w:tcW w:type="dxa" w:w="1152"/>
            <w:shd w:fill="F7FAFC"/>
            <w:tcMar>
              <w:top w:w="70" w:type="dxa"/>
              <w:bottom w:w="70" w:type="dxa"/>
              <w:left w:w="100" w:type="dxa"/>
              <w:right w:w="100" w:type="dxa"/>
            </w:tcMar>
          </w:tcPr>
          <w:p>
            <w:pPr>
              <w:spacing w:before="0" w:after="0"/>
              <w:jc w:val="left"/>
            </w:pPr>
            <w:r>
              <w:rPr>
                <w:rFonts w:ascii="Calibri" w:hAnsi="Calibri"/>
                <w:b w:val="0"/>
                <w:color w:val="2D3748"/>
                <w:sz w:val="17"/>
              </w:rPr>
              <w:t>+8.13 pp</w:t>
            </w:r>
          </w:p>
        </w:tc>
      </w:tr>
    </w:tbl>
    <w:p>
      <w:pPr>
        <w:spacing w:after="120"/>
      </w:pPr>
    </w:p>
    <w:p>
      <w:pPr>
        <w:keepNext/>
        <w:spacing w:before="240" w:after="80"/>
      </w:pPr>
      <w:r>
        <w:rPr>
          <w:rFonts w:ascii="Calibri" w:hAnsi="Calibri"/>
          <w:b/>
          <w:color w:val="4A5568"/>
          <w:sz w:val="23"/>
        </w:rPr>
        <w:t>Conclusiones Fundamentales para Modelos de Valoración</w:t>
      </w:r>
    </w:p>
    <w:p>
      <w:pPr>
        <w:spacing w:before="0" w:after="80" w:line="276" w:lineRule="auto"/>
      </w:pPr>
      <w:r>
        <w:rPr>
          <w:rFonts w:ascii="Calibri" w:hAnsi="Calibri"/>
          <w:i w:val="0"/>
          <w:color w:val="2D3748"/>
          <w:sz w:val="20"/>
        </w:rPr>
        <w:t>Conclusión Analítica: AAPL lidera o se consolida en la cúspide de su industria en la métrica de Novy-Marx. Al conjugar poder de fijación de precios con una rotación de activos disciplinada, su modelo de negocio es inmune a la compresión de márgenes que sufren competidores con activos sobredimensionados o márgenes brutos deprimidos.</w:t>
      </w:r>
    </w:p>
    <w:p>
      <w:pPr>
        <w:pStyle w:val="Heading1"/>
        <w:spacing w:before="360" w:after="160"/>
      </w:pPr>
      <w:r>
        <w:t>11. Rendimiento del Capital Ajustado por Intangibles, Costo de Capital (WACC) y Creación de Valor Económico</w:t>
      </w:r>
    </w:p>
    <w:p>
      <w:r>
        <w:rPr>
          <w:i/>
          <w:sz w:val="20"/>
        </w:rPr>
        <w:t>Evaluación del retorno económico del capital y la sostenibilidad de las ventajas competitivas (Economic Moat) para Apple Inc. (AAPL) al período LTM.</w:t>
      </w:r>
    </w:p>
    <w:tbl>
      <w:tblPr>
        <w:tblW w:type="auto" w:w="0"/>
        <w:jc w:val="center"/>
        <w:tblLayout w:type="fixed"/>
        <w:tblLook w:firstColumn="1" w:firstRow="1" w:lastColumn="0" w:lastRow="0" w:noHBand="0" w:noVBand="1" w:val="04A0"/>
      </w:tblPr>
      <w:tblGrid>
        <w:gridCol w:w="9792"/>
      </w:tblGrid>
      <w:tr>
        <w:tc>
          <w:tcPr>
            <w:tcW w:type="dxa" w:w="9792"/>
            <w:shd w:fill="F0F4F8"/>
            <w:tcMar>
              <w:top w:w="140" w:type="dxa"/>
              <w:bottom w:w="140" w:type="dxa"/>
              <w:left w:w="180" w:type="dxa"/>
              <w:right w:w="180" w:type="dxa"/>
            </w:tcMar>
            <w:tcBorders>
              <w:top w:val="none"/>
              <w:left w:val="single" w:sz="24" w:space="0" w:color="1B365D"/>
              <w:bottom w:val="none"/>
              <w:right w:val="none"/>
            </w:tcBorders>
          </w:tcPr>
          <w:p>
            <w:pPr>
              <w:spacing w:before="0" w:after="60" w:line="276" w:lineRule="auto"/>
            </w:pPr>
            <w:r>
              <w:rPr>
                <w:rFonts w:ascii="Calibri" w:hAnsi="Calibri"/>
                <w:b/>
                <w:color w:val="1B365D"/>
                <w:sz w:val="21"/>
              </w:rPr>
              <w:t>📌 DICTAMEN DE VALOR ECONÓMICO: 🏰 WIDE MOAT / COMPOUNDING MACHINE (SPREAD +39.87 p.p.)</w:t>
              <w:br/>
            </w:r>
          </w:p>
          <w:p>
            <w:pPr>
              <w:spacing w:before="40" w:after="40" w:line="276" w:lineRule="auto"/>
            </w:pPr>
            <w:r>
              <w:rPr>
                <w:rFonts w:ascii="Calibri" w:hAnsi="Calibri"/>
                <w:color w:val="2D3748"/>
                <w:sz w:val="19"/>
              </w:rPr>
              <w:t>• ROC Greenblatt Tangible (LTM): 305.85% (Productividad operativa pura pre-tax sobre capital de trabajo y PP&amp;E físico instalado).</w:t>
            </w:r>
          </w:p>
          <w:p>
            <w:pPr>
              <w:spacing w:before="40" w:after="40" w:line="276" w:lineRule="auto"/>
            </w:pPr>
            <w:r>
              <w:rPr>
                <w:rFonts w:ascii="Calibri" w:hAnsi="Calibri"/>
                <w:color w:val="2D3748"/>
                <w:sz w:val="19"/>
              </w:rPr>
              <w:t>• ROIC Ajustado por Intangibles (LTM): 50.06% frente a un ROIC contable tradicional de 68.22%.</w:t>
            </w:r>
          </w:p>
          <w:p>
            <w:pPr>
              <w:spacing w:before="40" w:after="40" w:line="276" w:lineRule="auto"/>
            </w:pPr>
            <w:r>
              <w:rPr>
                <w:rFonts w:ascii="Calibri" w:hAnsi="Calibri"/>
                <w:color w:val="2D3748"/>
                <w:sz w:val="19"/>
              </w:rPr>
              <w:t>• Costo Promedio Ponderado de Capital (WACC): 10.19% (Costo del Equity Ke: 10.30%, Deuda Neta Kd: 3.72%).</w:t>
            </w:r>
          </w:p>
          <w:p>
            <w:pPr>
              <w:spacing w:before="40" w:after="40" w:line="276" w:lineRule="auto"/>
            </w:pPr>
            <w:r>
              <w:rPr>
                <w:rFonts w:ascii="Calibri" w:hAnsi="Calibri"/>
                <w:color w:val="2D3748"/>
                <w:sz w:val="19"/>
              </w:rPr>
              <w:t>• Spread Económico Neto: +39.87 p.p. de rendimiento por encima del costo de capital exigido por el mercado.</w:t>
            </w:r>
          </w:p>
          <w:p>
            <w:pPr>
              <w:spacing w:before="40" w:after="40" w:line="276" w:lineRule="auto"/>
            </w:pPr>
            <w:r>
              <w:rPr>
                <w:rFonts w:ascii="Calibri" w:hAnsi="Calibri"/>
                <w:color w:val="2D3748"/>
                <w:sz w:val="19"/>
              </w:rPr>
              <w:t>• Stock de Intangibles Fuera de Balance: $83,773.2M capitalizados en innovación y amortizados económicamente a 4 años.</w:t>
            </w:r>
          </w:p>
          <w:p>
            <w:pPr>
              <w:spacing w:before="40" w:after="40" w:line="276" w:lineRule="auto"/>
            </w:pPr>
            <w:r>
              <w:rPr>
                <w:rFonts w:ascii="Calibri" w:hAnsi="Calibri"/>
                <w:color w:val="2D3748"/>
                <w:sz w:val="19"/>
              </w:rPr>
              <w:t>• Tesis de Foso Defensivo: El negocio genera un retorno ajustado (50.06%) que supera a su costo de capital (10.19%) por más de 39.87 puntos porcentuales. Por cada $100 de capital empleado, crea más de $15 anuales de valor neto por encima de lo que exigen accionistas y bancos. Posee ventajas competitivas profundas y duraderas.</w:t>
            </w:r>
          </w:p>
        </w:tc>
      </w:tr>
    </w:tbl>
    <w:p>
      <w:pPr>
        <w:spacing w:before="0" w:after="120"/>
      </w:pPr>
    </w:p>
    <w:p>
      <w:pPr>
        <w:pStyle w:val="Heading2"/>
      </w:pPr>
      <w:r>
        <w:t>11.1. Bloque A: Auditoría de Parámetros de Mercado en Tiempo Real</w:t>
      </w:r>
    </w:p>
    <w:tbl>
      <w:tblPr>
        <w:tblW w:type="auto" w:w="0"/>
        <w:jc w:val="center"/>
        <w:tblLayout w:type="fixed"/>
        <w:tblLook w:firstColumn="1" w:firstRow="1" w:lastColumn="0" w:lastRow="0" w:noHBand="0" w:noVBand="1" w:val="04A0"/>
        <w:tblBorders>
          <w:top w:val="single" w:sz="6" w:space="0" w:color="D2D6DC"/>
          <w:left w:val="none"/>
          <w:bottom w:val="single" w:sz="10" w:space="0" w:color="1B365D"/>
          <w:right w:val="none"/>
          <w:insideH w:val="single" w:sz="4" w:space="0" w:color="D2D6DC"/>
          <w:insideV w:val="none"/>
        </w:tblBorders>
      </w:tblPr>
      <w:tblGrid>
        <w:gridCol w:w="3168"/>
        <w:gridCol w:w="1728"/>
        <w:gridCol w:w="2592"/>
        <w:gridCol w:w="2304"/>
      </w:tblGrid>
      <w:tr>
        <w:tc>
          <w:tcPr>
            <w:tcW w:type="dxa" w:w="2448"/>
            <w:shd w:fill="1B365D"/>
            <w:tcMar>
              <w:top w:w="80" w:type="dxa"/>
              <w:bottom w:w="80" w:type="dxa"/>
              <w:left w:w="100" w:type="dxa"/>
              <w:right w:w="100" w:type="dxa"/>
            </w:tcMar>
          </w:tcPr>
          <w:p>
            <w:r>
              <w:rPr>
                <w:b/>
                <w:color w:val="FFFFFF"/>
                <w:sz w:val="18"/>
              </w:rPr>
              <w:t>Variable de Mercado</w:t>
            </w:r>
          </w:p>
        </w:tc>
        <w:tc>
          <w:tcPr>
            <w:tcW w:type="dxa" w:w="2448"/>
            <w:shd w:fill="1B365D"/>
            <w:tcMar>
              <w:top w:w="80" w:type="dxa"/>
              <w:bottom w:w="80" w:type="dxa"/>
              <w:left w:w="100" w:type="dxa"/>
              <w:right w:w="100" w:type="dxa"/>
            </w:tcMar>
          </w:tcPr>
          <w:p>
            <w:r>
              <w:rPr>
                <w:b/>
                <w:color w:val="FFFFFF"/>
                <w:sz w:val="18"/>
              </w:rPr>
              <w:t>Valor Validado</w:t>
            </w:r>
          </w:p>
        </w:tc>
        <w:tc>
          <w:tcPr>
            <w:tcW w:type="dxa" w:w="2448"/>
            <w:shd w:fill="1B365D"/>
            <w:tcMar>
              <w:top w:w="80" w:type="dxa"/>
              <w:bottom w:w="80" w:type="dxa"/>
              <w:left w:w="100" w:type="dxa"/>
              <w:right w:w="100" w:type="dxa"/>
            </w:tcMar>
          </w:tcPr>
          <w:p>
            <w:r>
              <w:rPr>
                <w:b/>
                <w:color w:val="FFFFFF"/>
                <w:sz w:val="18"/>
              </w:rPr>
              <w:t>Fuentes Consultadas</w:t>
            </w:r>
          </w:p>
        </w:tc>
        <w:tc>
          <w:tcPr>
            <w:tcW w:type="dxa" w:w="2448"/>
            <w:shd w:fill="1B365D"/>
            <w:tcMar>
              <w:top w:w="80" w:type="dxa"/>
              <w:bottom w:w="80" w:type="dxa"/>
              <w:left w:w="100" w:type="dxa"/>
              <w:right w:w="100" w:type="dxa"/>
            </w:tcMar>
          </w:tcPr>
          <w:p>
            <w:r>
              <w:rPr>
                <w:b/>
                <w:color w:val="FFFFFF"/>
                <w:sz w:val="18"/>
              </w:rPr>
              <w:t>Estatus de Auditoría</w:t>
            </w:r>
          </w:p>
        </w:tc>
      </w:tr>
      <w:tr>
        <w:tc>
          <w:tcPr>
            <w:tcW w:type="dxa" w:w="2448"/>
            <w:tcMar>
              <w:top w:w="60" w:type="dxa"/>
              <w:bottom w:w="60" w:type="dxa"/>
              <w:left w:w="100" w:type="dxa"/>
              <w:right w:w="100" w:type="dxa"/>
            </w:tcMar>
          </w:tcPr>
          <w:p>
            <w:r>
              <w:rPr>
                <w:b/>
                <w:sz w:val="17"/>
              </w:rPr>
              <w:t>Precio de Mercado de la Acción</w:t>
            </w:r>
          </w:p>
        </w:tc>
        <w:tc>
          <w:tcPr>
            <w:tcW w:type="dxa" w:w="2448"/>
            <w:tcMar>
              <w:top w:w="60" w:type="dxa"/>
              <w:bottom w:w="60" w:type="dxa"/>
              <w:left w:w="100" w:type="dxa"/>
              <w:right w:w="100" w:type="dxa"/>
            </w:tcMar>
          </w:tcPr>
          <w:p>
            <w:r>
              <w:rPr>
                <w:sz w:val="17"/>
              </w:rPr>
              <w:t>$342.73</w:t>
            </w:r>
          </w:p>
        </w:tc>
        <w:tc>
          <w:tcPr>
            <w:tcW w:type="dxa" w:w="2448"/>
            <w:tcMar>
              <w:top w:w="60" w:type="dxa"/>
              <w:bottom w:w="60" w:type="dxa"/>
              <w:left w:w="100" w:type="dxa"/>
              <w:right w:w="100" w:type="dxa"/>
            </w:tcMar>
          </w:tcPr>
          <w:p>
            <w:r>
              <w:rPr>
                <w:sz w:val="17"/>
              </w:rPr>
              <w:t>Yahoo Finance / CNBC Quotes</w:t>
            </w:r>
          </w:p>
        </w:tc>
        <w:tc>
          <w:tcPr>
            <w:tcW w:type="dxa" w:w="2448"/>
            <w:tcMar>
              <w:top w:w="60" w:type="dxa"/>
              <w:bottom w:w="60" w:type="dxa"/>
              <w:left w:w="100" w:type="dxa"/>
              <w:right w:w="100" w:type="dxa"/>
            </w:tcMar>
          </w:tcPr>
          <w:p>
            <w:r>
              <w:rPr>
                <w:sz w:val="17"/>
              </w:rPr>
              <w:t>Consenso Validado (Δ &lt; 0.1%)</w:t>
            </w:r>
          </w:p>
        </w:tc>
      </w:tr>
      <w:tr>
        <w:tc>
          <w:tcPr>
            <w:tcW w:type="dxa" w:w="2448"/>
            <w:tcMar>
              <w:top w:w="60" w:type="dxa"/>
              <w:bottom w:w="60" w:type="dxa"/>
              <w:left w:w="100" w:type="dxa"/>
              <w:right w:w="100" w:type="dxa"/>
            </w:tcMar>
            <w:shd w:fill="F7FAFC"/>
          </w:tcPr>
          <w:p>
            <w:r>
              <w:rPr>
                <w:b/>
                <w:sz w:val="17"/>
              </w:rPr>
              <w:t>Capitalización Bursátil (Market Cap - E)</w:t>
            </w:r>
          </w:p>
        </w:tc>
        <w:tc>
          <w:tcPr>
            <w:tcW w:type="dxa" w:w="2448"/>
            <w:tcMar>
              <w:top w:w="60" w:type="dxa"/>
              <w:bottom w:w="60" w:type="dxa"/>
              <w:left w:w="100" w:type="dxa"/>
              <w:right w:w="100" w:type="dxa"/>
            </w:tcMar>
            <w:shd w:fill="F7FAFC"/>
          </w:tcPr>
          <w:p>
            <w:r>
              <w:rPr>
                <w:sz w:val="17"/>
              </w:rPr>
              <w:t>$5,065,079.4M</w:t>
            </w:r>
          </w:p>
        </w:tc>
        <w:tc>
          <w:tcPr>
            <w:tcW w:type="dxa" w:w="2448"/>
            <w:tcMar>
              <w:top w:w="60" w:type="dxa"/>
              <w:bottom w:w="60" w:type="dxa"/>
              <w:left w:w="100" w:type="dxa"/>
              <w:right w:w="100" w:type="dxa"/>
            </w:tcMar>
            <w:shd w:fill="F7FAFC"/>
          </w:tcPr>
          <w:p>
            <w:r>
              <w:rPr>
                <w:sz w:val="17"/>
              </w:rPr>
              <w:t>Arbitraje SEC 10-Q &amp; Mercado</w:t>
            </w:r>
          </w:p>
        </w:tc>
        <w:tc>
          <w:tcPr>
            <w:tcW w:type="dxa" w:w="2448"/>
            <w:tcMar>
              <w:top w:w="60" w:type="dxa"/>
              <w:bottom w:w="60" w:type="dxa"/>
              <w:left w:w="100" w:type="dxa"/>
              <w:right w:w="100" w:type="dxa"/>
            </w:tcMar>
            <w:shd w:fill="F7FAFC"/>
          </w:tcPr>
          <w:p>
            <w:r>
              <w:rPr>
                <w:sz w:val="17"/>
              </w:rPr>
              <w:t>Conteo Diluido Auditado</w:t>
            </w:r>
          </w:p>
        </w:tc>
      </w:tr>
      <w:tr>
        <w:tc>
          <w:tcPr>
            <w:tcW w:type="dxa" w:w="2448"/>
            <w:tcMar>
              <w:top w:w="60" w:type="dxa"/>
              <w:bottom w:w="60" w:type="dxa"/>
              <w:left w:w="100" w:type="dxa"/>
              <w:right w:w="100" w:type="dxa"/>
            </w:tcMar>
          </w:tcPr>
          <w:p>
            <w:r>
              <w:rPr>
                <w:b/>
                <w:sz w:val="17"/>
              </w:rPr>
              <w:t>Tasa Libre de Riesgo (Rf - Bono 10Y)</w:t>
            </w:r>
          </w:p>
        </w:tc>
        <w:tc>
          <w:tcPr>
            <w:tcW w:type="dxa" w:w="2448"/>
            <w:tcMar>
              <w:top w:w="60" w:type="dxa"/>
              <w:bottom w:w="60" w:type="dxa"/>
              <w:left w:w="100" w:type="dxa"/>
              <w:right w:w="100" w:type="dxa"/>
            </w:tcMar>
          </w:tcPr>
          <w:p>
            <w:r>
              <w:rPr>
                <w:sz w:val="17"/>
              </w:rPr>
              <w:t>5.19%</w:t>
            </w:r>
          </w:p>
        </w:tc>
        <w:tc>
          <w:tcPr>
            <w:tcW w:type="dxa" w:w="2448"/>
            <w:tcMar>
              <w:top w:w="60" w:type="dxa"/>
              <w:bottom w:w="60" w:type="dxa"/>
              <w:left w:w="100" w:type="dxa"/>
              <w:right w:w="100" w:type="dxa"/>
            </w:tcMar>
          </w:tcPr>
          <w:p>
            <w:r>
              <w:rPr>
                <w:sz w:val="17"/>
              </w:rPr>
              <w:t>Yahoo ^TNX / CNBC US10Y</w:t>
            </w:r>
          </w:p>
        </w:tc>
        <w:tc>
          <w:tcPr>
            <w:tcW w:type="dxa" w:w="2448"/>
            <w:tcMar>
              <w:top w:w="60" w:type="dxa"/>
              <w:bottom w:w="60" w:type="dxa"/>
              <w:left w:w="100" w:type="dxa"/>
              <w:right w:w="100" w:type="dxa"/>
            </w:tcMar>
          </w:tcPr>
          <w:p>
            <w:r>
              <w:rPr>
                <w:sz w:val="17"/>
              </w:rPr>
              <w:t>Δ &lt; 0.05% (Consensuado)</w:t>
            </w:r>
          </w:p>
        </w:tc>
      </w:tr>
      <w:tr>
        <w:tc>
          <w:tcPr>
            <w:tcW w:type="dxa" w:w="2448"/>
            <w:tcMar>
              <w:top w:w="60" w:type="dxa"/>
              <w:bottom w:w="60" w:type="dxa"/>
              <w:left w:w="100" w:type="dxa"/>
              <w:right w:w="100" w:type="dxa"/>
            </w:tcMar>
            <w:shd w:fill="F7FAFC"/>
          </w:tcPr>
          <w:p>
            <w:r>
              <w:rPr>
                <w:b/>
                <w:sz w:val="17"/>
              </w:rPr>
              <w:t>Beta de la Acción (β)</w:t>
            </w:r>
          </w:p>
        </w:tc>
        <w:tc>
          <w:tcPr>
            <w:tcW w:type="dxa" w:w="2448"/>
            <w:tcMar>
              <w:top w:w="60" w:type="dxa"/>
              <w:bottom w:w="60" w:type="dxa"/>
              <w:left w:w="100" w:type="dxa"/>
              <w:right w:w="100" w:type="dxa"/>
            </w:tcMar>
            <w:shd w:fill="F7FAFC"/>
          </w:tcPr>
          <w:p>
            <w:r>
              <w:rPr>
                <w:sz w:val="17"/>
              </w:rPr>
              <w:t>1.07</w:t>
            </w:r>
          </w:p>
        </w:tc>
        <w:tc>
          <w:tcPr>
            <w:tcW w:type="dxa" w:w="2448"/>
            <w:tcMar>
              <w:top w:w="60" w:type="dxa"/>
              <w:bottom w:w="60" w:type="dxa"/>
              <w:left w:w="100" w:type="dxa"/>
              <w:right w:w="100" w:type="dxa"/>
            </w:tcMar>
            <w:shd w:fill="F7FAFC"/>
          </w:tcPr>
          <w:p>
            <w:r>
              <w:rPr>
                <w:sz w:val="17"/>
              </w:rPr>
              <w:t>Yahoo 5Y Monthly / CNBC</w:t>
            </w:r>
          </w:p>
        </w:tc>
        <w:tc>
          <w:tcPr>
            <w:tcW w:type="dxa" w:w="2448"/>
            <w:tcMar>
              <w:top w:w="60" w:type="dxa"/>
              <w:bottom w:w="60" w:type="dxa"/>
              <w:left w:w="100" w:type="dxa"/>
              <w:right w:w="100" w:type="dxa"/>
            </w:tcMar>
            <w:shd w:fill="F7FAFC"/>
          </w:tcPr>
          <w:p>
            <w:r>
              <w:rPr>
                <w:sz w:val="17"/>
              </w:rPr>
              <w:t>Rango Estadístico Sectorial</w:t>
            </w:r>
          </w:p>
        </w:tc>
      </w:tr>
      <w:tr>
        <w:tc>
          <w:tcPr>
            <w:tcW w:type="dxa" w:w="2448"/>
            <w:tcMar>
              <w:top w:w="60" w:type="dxa"/>
              <w:bottom w:w="60" w:type="dxa"/>
              <w:left w:w="100" w:type="dxa"/>
              <w:right w:w="100" w:type="dxa"/>
            </w:tcMar>
          </w:tcPr>
          <w:p>
            <w:r>
              <w:rPr>
                <w:b/>
                <w:sz w:val="17"/>
              </w:rPr>
              <w:t>Prima de Riesgo de Mercado (ERP)</w:t>
            </w:r>
          </w:p>
        </w:tc>
        <w:tc>
          <w:tcPr>
            <w:tcW w:type="dxa" w:w="2448"/>
            <w:tcMar>
              <w:top w:w="60" w:type="dxa"/>
              <w:bottom w:w="60" w:type="dxa"/>
              <w:left w:w="100" w:type="dxa"/>
              <w:right w:w="100" w:type="dxa"/>
            </w:tcMar>
          </w:tcPr>
          <w:p>
            <w:r>
              <w:rPr>
                <w:sz w:val="17"/>
              </w:rPr>
              <w:t>4.75%</w:t>
            </w:r>
          </w:p>
        </w:tc>
        <w:tc>
          <w:tcPr>
            <w:tcW w:type="dxa" w:w="2448"/>
            <w:tcMar>
              <w:top w:w="60" w:type="dxa"/>
              <w:bottom w:w="60" w:type="dxa"/>
              <w:left w:w="100" w:type="dxa"/>
              <w:right w:w="100" w:type="dxa"/>
            </w:tcMar>
          </w:tcPr>
          <w:p>
            <w:r>
              <w:rPr>
                <w:sz w:val="17"/>
              </w:rPr>
              <w:t>Benchmark NYU Stern (Damodaran)</w:t>
            </w:r>
          </w:p>
        </w:tc>
        <w:tc>
          <w:tcPr>
            <w:tcW w:type="dxa" w:w="2448"/>
            <w:tcMar>
              <w:top w:w="60" w:type="dxa"/>
              <w:bottom w:w="60" w:type="dxa"/>
              <w:left w:w="100" w:type="dxa"/>
              <w:right w:w="100" w:type="dxa"/>
            </w:tcMar>
          </w:tcPr>
          <w:p>
            <w:r>
              <w:rPr>
                <w:sz w:val="17"/>
              </w:rPr>
              <w:t>Estándar Institucional</w:t>
            </w:r>
          </w:p>
        </w:tc>
      </w:tr>
    </w:tbl>
    <w:p/>
    <w:p>
      <w:pPr>
        <w:pStyle w:val="Heading2"/>
      </w:pPr>
      <w:r>
        <w:t>11.2. Desglose y Explicación del ROC Tangible (Joel Greenblatt)</w:t>
      </w:r>
    </w:p>
    <w:p>
      <w:r>
        <w:rPr>
          <w:sz w:val="19"/>
        </w:rPr>
        <w:t>El Return on Capital (ROC) de Joel Greenblatt evalúa la rentabilidad operativa pura antes de impuestos (EBIT) sobre los activos físicos tangibles (Capital de Trabajo Neto Operativo + PP&amp;E Físico). Para Apple Inc., el ROC de 305.85% refleja la eficiencia operativa sobre activos tangibles instalados, optimizando la rotación de capital y la productividad física instalada.</w:t>
      </w:r>
    </w:p>
    <w:tbl>
      <w:tblPr>
        <w:tblW w:type="auto" w:w="0"/>
        <w:jc w:val="center"/>
        <w:tblLayout w:type="fixed"/>
        <w:tblLook w:firstColumn="1" w:firstRow="1" w:lastColumn="0" w:lastRow="0" w:noHBand="0" w:noVBand="1" w:val="04A0"/>
        <w:tblBorders>
          <w:top w:val="single" w:sz="6" w:space="0" w:color="D2D6DC"/>
          <w:left w:val="none"/>
          <w:bottom w:val="single" w:sz="10" w:space="0" w:color="1B365D"/>
          <w:right w:val="none"/>
          <w:insideH w:val="single" w:sz="4" w:space="0" w:color="D2D6DC"/>
          <w:insideV w:val="none"/>
        </w:tblBorders>
      </w:tblPr>
      <w:tblGrid>
        <w:gridCol w:w="2592"/>
        <w:gridCol w:w="1296"/>
        <w:gridCol w:w="1296"/>
        <w:gridCol w:w="2160"/>
        <w:gridCol w:w="2448"/>
      </w:tblGrid>
      <w:tr>
        <w:tc>
          <w:tcPr>
            <w:tcW w:type="dxa" w:w="1958"/>
            <w:shd w:fill="1B365D"/>
            <w:tcMar>
              <w:top w:w="80" w:type="dxa"/>
              <w:bottom w:w="80" w:type="dxa"/>
              <w:left w:w="100" w:type="dxa"/>
              <w:right w:w="100" w:type="dxa"/>
            </w:tcMar>
          </w:tcPr>
          <w:p>
            <w:r>
              <w:rPr>
                <w:b/>
                <w:color w:val="FFFFFF"/>
                <w:sz w:val="17"/>
              </w:rPr>
              <w:t>Partida Contable / Paso</w:t>
            </w:r>
          </w:p>
        </w:tc>
        <w:tc>
          <w:tcPr>
            <w:tcW w:type="dxa" w:w="1958"/>
            <w:shd w:fill="1B365D"/>
            <w:tcMar>
              <w:top w:w="80" w:type="dxa"/>
              <w:bottom w:w="80" w:type="dxa"/>
              <w:left w:w="100" w:type="dxa"/>
              <w:right w:w="100" w:type="dxa"/>
            </w:tcMar>
          </w:tcPr>
          <w:p>
            <w:r>
              <w:rPr>
                <w:b/>
                <w:color w:val="FFFFFF"/>
                <w:sz w:val="17"/>
              </w:rPr>
              <w:t>LTM</w:t>
            </w:r>
          </w:p>
        </w:tc>
        <w:tc>
          <w:tcPr>
            <w:tcW w:type="dxa" w:w="1958"/>
            <w:shd w:fill="1B365D"/>
            <w:tcMar>
              <w:top w:w="80" w:type="dxa"/>
              <w:bottom w:w="80" w:type="dxa"/>
              <w:left w:w="100" w:type="dxa"/>
              <w:right w:w="100" w:type="dxa"/>
            </w:tcMar>
          </w:tcPr>
          <w:p>
            <w:r>
              <w:rPr>
                <w:b/>
                <w:color w:val="FFFFFF"/>
                <w:sz w:val="17"/>
              </w:rPr>
              <w:t>FY2025</w:t>
            </w:r>
          </w:p>
        </w:tc>
        <w:tc>
          <w:tcPr>
            <w:tcW w:type="dxa" w:w="1958"/>
            <w:shd w:fill="1B365D"/>
            <w:tcMar>
              <w:top w:w="80" w:type="dxa"/>
              <w:bottom w:w="80" w:type="dxa"/>
              <w:left w:w="100" w:type="dxa"/>
              <w:right w:w="100" w:type="dxa"/>
            </w:tcMar>
          </w:tcPr>
          <w:p>
            <w:r>
              <w:rPr>
                <w:b/>
                <w:color w:val="FFFFFF"/>
                <w:sz w:val="17"/>
              </w:rPr>
              <w:t>Origen en Balances SEC</w:t>
            </w:r>
          </w:p>
        </w:tc>
        <w:tc>
          <w:tcPr>
            <w:tcW w:type="dxa" w:w="1958"/>
            <w:shd w:fill="1B365D"/>
            <w:tcMar>
              <w:top w:w="80" w:type="dxa"/>
              <w:bottom w:w="80" w:type="dxa"/>
              <w:left w:w="100" w:type="dxa"/>
              <w:right w:w="100" w:type="dxa"/>
            </w:tcMar>
          </w:tcPr>
          <w:p>
            <w:r>
              <w:rPr>
                <w:b/>
                <w:color w:val="FFFFFF"/>
                <w:sz w:val="17"/>
              </w:rPr>
              <w:t>Criterio y Salvaguarda Contable</w:t>
            </w:r>
          </w:p>
        </w:tc>
      </w:tr>
      <w:tr>
        <w:tc>
          <w:tcPr>
            <w:tcW w:type="dxa" w:w="1958"/>
            <w:tcMar>
              <w:top w:w="60" w:type="dxa"/>
              <w:bottom w:w="60" w:type="dxa"/>
              <w:left w:w="100" w:type="dxa"/>
              <w:right w:w="100" w:type="dxa"/>
            </w:tcMar>
          </w:tcPr>
          <w:p>
            <w:r>
              <w:rPr>
                <w:b/>
                <w:sz w:val="17"/>
              </w:rPr>
              <w:t>(+) Beneficio Operativo (EBIT)</w:t>
            </w:r>
          </w:p>
        </w:tc>
        <w:tc>
          <w:tcPr>
            <w:tcW w:type="dxa" w:w="1958"/>
            <w:tcMar>
              <w:top w:w="60" w:type="dxa"/>
              <w:bottom w:w="60" w:type="dxa"/>
              <w:left w:w="100" w:type="dxa"/>
              <w:right w:w="100" w:type="dxa"/>
            </w:tcMar>
          </w:tcPr>
          <w:p>
            <w:r>
              <w:rPr>
                <w:b/>
                <w:sz w:val="17"/>
              </w:rPr>
              <w:t>$154,859.0M</w:t>
            </w:r>
          </w:p>
        </w:tc>
        <w:tc>
          <w:tcPr>
            <w:tcW w:type="dxa" w:w="1958"/>
            <w:tcMar>
              <w:top w:w="60" w:type="dxa"/>
              <w:bottom w:w="60" w:type="dxa"/>
              <w:left w:w="100" w:type="dxa"/>
              <w:right w:w="100" w:type="dxa"/>
            </w:tcMar>
          </w:tcPr>
          <w:p>
            <w:r>
              <w:rPr>
                <w:sz w:val="17"/>
              </w:rPr>
              <w:t>$133,050.0M</w:t>
            </w:r>
          </w:p>
        </w:tc>
        <w:tc>
          <w:tcPr>
            <w:tcW w:type="dxa" w:w="1958"/>
            <w:tcMar>
              <w:top w:w="60" w:type="dxa"/>
              <w:bottom w:w="60" w:type="dxa"/>
              <w:left w:w="100" w:type="dxa"/>
              <w:right w:w="100" w:type="dxa"/>
            </w:tcMar>
          </w:tcPr>
          <w:p>
            <w:r>
              <w:rPr>
                <w:sz w:val="17"/>
              </w:rPr>
              <w:t>Income Statement (Operating Income)</w:t>
            </w:r>
          </w:p>
        </w:tc>
        <w:tc>
          <w:tcPr>
            <w:tcW w:type="dxa" w:w="1958"/>
            <w:tcMar>
              <w:top w:w="60" w:type="dxa"/>
              <w:bottom w:w="60" w:type="dxa"/>
              <w:left w:w="100" w:type="dxa"/>
              <w:right w:w="100" w:type="dxa"/>
            </w:tcMar>
          </w:tcPr>
          <w:p>
            <w:r>
              <w:rPr>
                <w:sz w:val="17"/>
              </w:rPr>
              <w:t>Beneficio operativo puro antes de intereses e impuestos.</w:t>
            </w:r>
          </w:p>
        </w:tc>
      </w:tr>
      <w:tr>
        <w:tc>
          <w:tcPr>
            <w:tcW w:type="dxa" w:w="1958"/>
            <w:tcMar>
              <w:top w:w="60" w:type="dxa"/>
              <w:bottom w:w="60" w:type="dxa"/>
              <w:left w:w="100" w:type="dxa"/>
              <w:right w:w="100" w:type="dxa"/>
            </w:tcMar>
            <w:shd w:fill="F7FAFC"/>
          </w:tcPr>
          <w:p>
            <w:r>
              <w:rPr>
                <w:b/>
                <w:sz w:val="17"/>
              </w:rPr>
              <w:t>(+) Activos Corrientes Operativos</w:t>
            </w:r>
          </w:p>
        </w:tc>
        <w:tc>
          <w:tcPr>
            <w:tcW w:type="dxa" w:w="1958"/>
            <w:tcMar>
              <w:top w:w="60" w:type="dxa"/>
              <w:bottom w:w="60" w:type="dxa"/>
              <w:left w:w="100" w:type="dxa"/>
              <w:right w:w="100" w:type="dxa"/>
            </w:tcMar>
            <w:shd w:fill="F7FAFC"/>
          </w:tcPr>
          <w:p>
            <w:r>
              <w:rPr>
                <w:b/>
                <w:sz w:val="17"/>
              </w:rPr>
              <w:t>$110,274.0M</w:t>
            </w:r>
          </w:p>
        </w:tc>
        <w:tc>
          <w:tcPr>
            <w:tcW w:type="dxa" w:w="1958"/>
            <w:tcMar>
              <w:top w:w="60" w:type="dxa"/>
              <w:bottom w:w="60" w:type="dxa"/>
              <w:left w:w="100" w:type="dxa"/>
              <w:right w:w="100" w:type="dxa"/>
            </w:tcMar>
            <w:shd w:fill="F7FAFC"/>
          </w:tcPr>
          <w:p>
            <w:r>
              <w:rPr>
                <w:sz w:val="17"/>
              </w:rPr>
              <w:t>$112,023.0M</w:t>
            </w:r>
          </w:p>
        </w:tc>
        <w:tc>
          <w:tcPr>
            <w:tcW w:type="dxa" w:w="1958"/>
            <w:tcMar>
              <w:top w:w="60" w:type="dxa"/>
              <w:bottom w:w="60" w:type="dxa"/>
              <w:left w:w="100" w:type="dxa"/>
              <w:right w:w="100" w:type="dxa"/>
            </w:tcMar>
            <w:shd w:fill="F7FAFC"/>
          </w:tcPr>
          <w:p>
            <w:r>
              <w:rPr>
                <w:sz w:val="17"/>
              </w:rPr>
              <w:t>Balance Sheet (Current Assets)</w:t>
            </w:r>
          </w:p>
        </w:tc>
        <w:tc>
          <w:tcPr>
            <w:tcW w:type="dxa" w:w="1958"/>
            <w:tcMar>
              <w:top w:w="60" w:type="dxa"/>
              <w:bottom w:w="60" w:type="dxa"/>
              <w:left w:w="100" w:type="dxa"/>
              <w:right w:w="100" w:type="dxa"/>
            </w:tcMar>
            <w:shd w:fill="F7FAFC"/>
          </w:tcPr>
          <w:p>
            <w:r>
              <w:rPr>
                <w:sz w:val="17"/>
              </w:rPr>
              <w:t>Total Current Assets menos Efectivo y Valores Negociables.</w:t>
            </w:r>
          </w:p>
        </w:tc>
      </w:tr>
      <w:tr>
        <w:tc>
          <w:tcPr>
            <w:tcW w:type="dxa" w:w="1958"/>
            <w:tcMar>
              <w:top w:w="60" w:type="dxa"/>
              <w:bottom w:w="60" w:type="dxa"/>
              <w:left w:w="100" w:type="dxa"/>
              <w:right w:w="100" w:type="dxa"/>
            </w:tcMar>
          </w:tcPr>
          <w:p>
            <w:r>
              <w:rPr>
                <w:b/>
                <w:sz w:val="17"/>
              </w:rPr>
              <w:t>(-) Pasivos Corrientes Operativos</w:t>
            </w:r>
          </w:p>
        </w:tc>
        <w:tc>
          <w:tcPr>
            <w:tcW w:type="dxa" w:w="1958"/>
            <w:tcMar>
              <w:top w:w="60" w:type="dxa"/>
              <w:bottom w:w="60" w:type="dxa"/>
              <w:left w:w="100" w:type="dxa"/>
              <w:right w:w="100" w:type="dxa"/>
            </w:tcMar>
          </w:tcPr>
          <w:p>
            <w:r>
              <w:rPr>
                <w:b/>
                <w:sz w:val="17"/>
              </w:rPr>
              <w:t>$138,319.0M</w:t>
            </w:r>
          </w:p>
        </w:tc>
        <w:tc>
          <w:tcPr>
            <w:tcW w:type="dxa" w:w="1958"/>
            <w:tcMar>
              <w:top w:w="60" w:type="dxa"/>
              <w:bottom w:w="60" w:type="dxa"/>
              <w:left w:w="100" w:type="dxa"/>
              <w:right w:w="100" w:type="dxa"/>
            </w:tcMar>
          </w:tcPr>
          <w:p>
            <w:r>
              <w:rPr>
                <w:sz w:val="17"/>
              </w:rPr>
              <w:t>$153,281.0M</w:t>
            </w:r>
          </w:p>
        </w:tc>
        <w:tc>
          <w:tcPr>
            <w:tcW w:type="dxa" w:w="1958"/>
            <w:tcMar>
              <w:top w:w="60" w:type="dxa"/>
              <w:bottom w:w="60" w:type="dxa"/>
              <w:left w:w="100" w:type="dxa"/>
              <w:right w:w="100" w:type="dxa"/>
            </w:tcMar>
          </w:tcPr>
          <w:p>
            <w:r>
              <w:rPr>
                <w:sz w:val="17"/>
              </w:rPr>
              <w:t>Balance Sheet (Current Liabilities)</w:t>
            </w:r>
          </w:p>
        </w:tc>
        <w:tc>
          <w:tcPr>
            <w:tcW w:type="dxa" w:w="1958"/>
            <w:tcMar>
              <w:top w:w="60" w:type="dxa"/>
              <w:bottom w:w="60" w:type="dxa"/>
              <w:left w:w="100" w:type="dxa"/>
              <w:right w:w="100" w:type="dxa"/>
            </w:tcMar>
          </w:tcPr>
          <w:p>
            <w:r>
              <w:rPr>
                <w:sz w:val="17"/>
              </w:rPr>
              <w:t>Total Current Liabilities menos Deuda CP / Papel Comercial.</w:t>
            </w:r>
          </w:p>
        </w:tc>
      </w:tr>
      <w:tr>
        <w:tc>
          <w:tcPr>
            <w:tcW w:type="dxa" w:w="1958"/>
            <w:tcMar>
              <w:top w:w="60" w:type="dxa"/>
              <w:bottom w:w="60" w:type="dxa"/>
              <w:left w:w="100" w:type="dxa"/>
              <w:right w:w="100" w:type="dxa"/>
            </w:tcMar>
            <w:shd w:fill="F7FAFC"/>
          </w:tcPr>
          <w:p>
            <w:r>
              <w:rPr>
                <w:b/>
                <w:sz w:val="17"/>
              </w:rPr>
              <w:t>(=) Capital de Trabajo Neto Operativo (NWC)</w:t>
            </w:r>
          </w:p>
        </w:tc>
        <w:tc>
          <w:tcPr>
            <w:tcW w:type="dxa" w:w="1958"/>
            <w:tcMar>
              <w:top w:w="60" w:type="dxa"/>
              <w:bottom w:w="60" w:type="dxa"/>
              <w:left w:w="100" w:type="dxa"/>
              <w:right w:w="100" w:type="dxa"/>
            </w:tcMar>
            <w:shd w:fill="F7FAFC"/>
          </w:tcPr>
          <w:p>
            <w:r>
              <w:rPr>
                <w:b/>
                <w:sz w:val="17"/>
              </w:rPr>
              <w:t>-$28,045.0M</w:t>
            </w:r>
          </w:p>
        </w:tc>
        <w:tc>
          <w:tcPr>
            <w:tcW w:type="dxa" w:w="1958"/>
            <w:tcMar>
              <w:top w:w="60" w:type="dxa"/>
              <w:bottom w:w="60" w:type="dxa"/>
              <w:left w:w="100" w:type="dxa"/>
              <w:right w:w="100" w:type="dxa"/>
            </w:tcMar>
            <w:shd w:fill="F7FAFC"/>
          </w:tcPr>
          <w:p>
            <w:r>
              <w:rPr>
                <w:sz w:val="17"/>
              </w:rPr>
              <w:t>-$41,258.0M</w:t>
            </w:r>
          </w:p>
        </w:tc>
        <w:tc>
          <w:tcPr>
            <w:tcW w:type="dxa" w:w="1958"/>
            <w:tcMar>
              <w:top w:w="60" w:type="dxa"/>
              <w:bottom w:w="60" w:type="dxa"/>
              <w:left w:w="100" w:type="dxa"/>
              <w:right w:w="100" w:type="dxa"/>
            </w:tcMar>
            <w:shd w:fill="F7FAFC"/>
          </w:tcPr>
          <w:p>
            <w:r>
              <w:rPr>
                <w:sz w:val="17"/>
              </w:rPr>
              <w:t>Cálculo Operativo Derivado</w:t>
            </w:r>
          </w:p>
        </w:tc>
        <w:tc>
          <w:tcPr>
            <w:tcW w:type="dxa" w:w="1958"/>
            <w:tcMar>
              <w:top w:w="60" w:type="dxa"/>
              <w:bottom w:w="60" w:type="dxa"/>
              <w:left w:w="100" w:type="dxa"/>
              <w:right w:w="100" w:type="dxa"/>
            </w:tcMar>
            <w:shd w:fill="F7FAFC"/>
          </w:tcPr>
          <w:p>
            <w:r>
              <w:rPr>
                <w:sz w:val="17"/>
              </w:rPr>
              <w:t>Activos Op. - Pasivos Op. (Financiación espontánea si es negativo).</w:t>
            </w:r>
          </w:p>
        </w:tc>
      </w:tr>
      <w:tr>
        <w:tc>
          <w:tcPr>
            <w:tcW w:type="dxa" w:w="1958"/>
            <w:tcMar>
              <w:top w:w="60" w:type="dxa"/>
              <w:bottom w:w="60" w:type="dxa"/>
              <w:left w:w="100" w:type="dxa"/>
              <w:right w:w="100" w:type="dxa"/>
            </w:tcMar>
          </w:tcPr>
          <w:p>
            <w:r>
              <w:rPr>
                <w:b/>
                <w:sz w:val="17"/>
              </w:rPr>
              <w:t>(+) PP&amp;E Neto (Propiedad, Planta y Equipo)</w:t>
            </w:r>
          </w:p>
        </w:tc>
        <w:tc>
          <w:tcPr>
            <w:tcW w:type="dxa" w:w="1958"/>
            <w:tcMar>
              <w:top w:w="60" w:type="dxa"/>
              <w:bottom w:w="60" w:type="dxa"/>
              <w:left w:w="100" w:type="dxa"/>
              <w:right w:w="100" w:type="dxa"/>
            </w:tcMar>
          </w:tcPr>
          <w:p>
            <w:r>
              <w:rPr>
                <w:b/>
                <w:sz w:val="17"/>
              </w:rPr>
              <w:t>$51,431.0M</w:t>
            </w:r>
          </w:p>
        </w:tc>
        <w:tc>
          <w:tcPr>
            <w:tcW w:type="dxa" w:w="1958"/>
            <w:tcMar>
              <w:top w:w="60" w:type="dxa"/>
              <w:bottom w:w="60" w:type="dxa"/>
              <w:left w:w="100" w:type="dxa"/>
              <w:right w:w="100" w:type="dxa"/>
            </w:tcMar>
          </w:tcPr>
          <w:p>
            <w:r>
              <w:rPr>
                <w:sz w:val="17"/>
              </w:rPr>
              <w:t>$49,834.0M</w:t>
            </w:r>
          </w:p>
        </w:tc>
        <w:tc>
          <w:tcPr>
            <w:tcW w:type="dxa" w:w="1958"/>
            <w:tcMar>
              <w:top w:w="60" w:type="dxa"/>
              <w:bottom w:w="60" w:type="dxa"/>
              <w:left w:w="100" w:type="dxa"/>
              <w:right w:w="100" w:type="dxa"/>
            </w:tcMar>
          </w:tcPr>
          <w:p>
            <w:r>
              <w:rPr>
                <w:sz w:val="17"/>
              </w:rPr>
              <w:t>Balance Sheet (Non-Current Assets)</w:t>
            </w:r>
          </w:p>
        </w:tc>
        <w:tc>
          <w:tcPr>
            <w:tcW w:type="dxa" w:w="1958"/>
            <w:tcMar>
              <w:top w:w="60" w:type="dxa"/>
              <w:bottom w:w="60" w:type="dxa"/>
              <w:left w:w="100" w:type="dxa"/>
              <w:right w:w="100" w:type="dxa"/>
            </w:tcMar>
          </w:tcPr>
          <w:p>
            <w:r>
              <w:rPr>
                <w:sz w:val="17"/>
              </w:rPr>
              <w:t>Activos fijos físicos tangibles netos de depreciación acumulada.</w:t>
            </w:r>
          </w:p>
        </w:tc>
      </w:tr>
      <w:tr>
        <w:tc>
          <w:tcPr>
            <w:tcW w:type="dxa" w:w="1958"/>
            <w:tcMar>
              <w:top w:w="60" w:type="dxa"/>
              <w:bottom w:w="60" w:type="dxa"/>
              <w:left w:w="100" w:type="dxa"/>
              <w:right w:w="100" w:type="dxa"/>
            </w:tcMar>
            <w:shd w:fill="F7FAFC"/>
          </w:tcPr>
          <w:p>
            <w:r>
              <w:rPr>
                <w:b/>
                <w:sz w:val="17"/>
              </w:rPr>
              <w:t>(=) Capital Tangible al Cierre</w:t>
            </w:r>
          </w:p>
        </w:tc>
        <w:tc>
          <w:tcPr>
            <w:tcW w:type="dxa" w:w="1958"/>
            <w:tcMar>
              <w:top w:w="60" w:type="dxa"/>
              <w:bottom w:w="60" w:type="dxa"/>
              <w:left w:w="100" w:type="dxa"/>
              <w:right w:w="100" w:type="dxa"/>
            </w:tcMar>
            <w:shd w:fill="F7FAFC"/>
          </w:tcPr>
          <w:p>
            <w:r>
              <w:rPr>
                <w:b/>
                <w:sz w:val="17"/>
              </w:rPr>
              <w:t>$51,431.0M</w:t>
            </w:r>
          </w:p>
        </w:tc>
        <w:tc>
          <w:tcPr>
            <w:tcW w:type="dxa" w:w="1958"/>
            <w:tcMar>
              <w:top w:w="60" w:type="dxa"/>
              <w:bottom w:w="60" w:type="dxa"/>
              <w:left w:w="100" w:type="dxa"/>
              <w:right w:w="100" w:type="dxa"/>
            </w:tcMar>
            <w:shd w:fill="F7FAFC"/>
          </w:tcPr>
          <w:p>
            <w:r>
              <w:rPr>
                <w:sz w:val="17"/>
              </w:rPr>
              <w:t>$49,834.0M</w:t>
            </w:r>
          </w:p>
        </w:tc>
        <w:tc>
          <w:tcPr>
            <w:tcW w:type="dxa" w:w="1958"/>
            <w:tcMar>
              <w:top w:w="60" w:type="dxa"/>
              <w:bottom w:w="60" w:type="dxa"/>
              <w:left w:w="100" w:type="dxa"/>
              <w:right w:w="100" w:type="dxa"/>
            </w:tcMar>
            <w:shd w:fill="F7FAFC"/>
          </w:tcPr>
          <w:p>
            <w:r>
              <w:rPr>
                <w:sz w:val="17"/>
              </w:rPr>
              <w:t>Salvaguarda Joel Greenblatt</w:t>
            </w:r>
          </w:p>
        </w:tc>
        <w:tc>
          <w:tcPr>
            <w:tcW w:type="dxa" w:w="1958"/>
            <w:tcMar>
              <w:top w:w="60" w:type="dxa"/>
              <w:bottom w:w="60" w:type="dxa"/>
              <w:left w:w="100" w:type="dxa"/>
              <w:right w:w="100" w:type="dxa"/>
            </w:tcMar>
            <w:shd w:fill="F7FAFC"/>
          </w:tcPr>
          <w:p>
            <w:r>
              <w:rPr>
                <w:sz w:val="17"/>
              </w:rPr>
              <w:t>Si NWC &lt; 0, se acota al PP&amp;E Neto (nunca menor a las plantas físicas).</w:t>
            </w:r>
          </w:p>
        </w:tc>
      </w:tr>
      <w:tr>
        <w:tc>
          <w:tcPr>
            <w:tcW w:type="dxa" w:w="1958"/>
            <w:tcMar>
              <w:top w:w="60" w:type="dxa"/>
              <w:bottom w:w="60" w:type="dxa"/>
              <w:left w:w="100" w:type="dxa"/>
              <w:right w:w="100" w:type="dxa"/>
            </w:tcMar>
          </w:tcPr>
          <w:p>
            <w:r>
              <w:rPr>
                <w:b/>
                <w:sz w:val="17"/>
              </w:rPr>
              <w:t>(=) Capital Tangible Operativo Promedio</w:t>
            </w:r>
          </w:p>
        </w:tc>
        <w:tc>
          <w:tcPr>
            <w:tcW w:type="dxa" w:w="1958"/>
            <w:tcMar>
              <w:top w:w="60" w:type="dxa"/>
              <w:bottom w:w="60" w:type="dxa"/>
              <w:left w:w="100" w:type="dxa"/>
              <w:right w:w="100" w:type="dxa"/>
            </w:tcMar>
          </w:tcPr>
          <w:p>
            <w:r>
              <w:rPr>
                <w:b/>
                <w:sz w:val="17"/>
              </w:rPr>
              <w:t>$50,632.5M</w:t>
            </w:r>
          </w:p>
        </w:tc>
        <w:tc>
          <w:tcPr>
            <w:tcW w:type="dxa" w:w="1958"/>
            <w:tcMar>
              <w:top w:w="60" w:type="dxa"/>
              <w:bottom w:w="60" w:type="dxa"/>
              <w:left w:w="100" w:type="dxa"/>
              <w:right w:w="100" w:type="dxa"/>
            </w:tcMar>
          </w:tcPr>
          <w:p>
            <w:r>
              <w:rPr>
                <w:sz w:val="17"/>
              </w:rPr>
              <w:t>$47,757.0M</w:t>
            </w:r>
          </w:p>
        </w:tc>
        <w:tc>
          <w:tcPr>
            <w:tcW w:type="dxa" w:w="1958"/>
            <w:tcMar>
              <w:top w:w="60" w:type="dxa"/>
              <w:bottom w:w="60" w:type="dxa"/>
              <w:left w:w="100" w:type="dxa"/>
              <w:right w:w="100" w:type="dxa"/>
            </w:tcMar>
          </w:tcPr>
          <w:p>
            <w:r>
              <w:rPr>
                <w:sz w:val="17"/>
              </w:rPr>
              <w:t>Denominador (Matching Principle)</w:t>
            </w:r>
          </w:p>
        </w:tc>
        <w:tc>
          <w:tcPr>
            <w:tcW w:type="dxa" w:w="1958"/>
            <w:tcMar>
              <w:top w:w="60" w:type="dxa"/>
              <w:bottom w:w="60" w:type="dxa"/>
              <w:left w:w="100" w:type="dxa"/>
              <w:right w:w="100" w:type="dxa"/>
            </w:tcMar>
          </w:tcPr>
          <w:p>
            <w:r>
              <w:rPr>
                <w:sz w:val="17"/>
              </w:rPr>
              <w:t>Promedio (t + t-1)/2 para sincronizar capital con flujo anual de EBIT.</w:t>
            </w:r>
          </w:p>
        </w:tc>
      </w:tr>
      <w:tr>
        <w:tc>
          <w:tcPr>
            <w:tcW w:type="dxa" w:w="1958"/>
            <w:tcMar>
              <w:top w:w="60" w:type="dxa"/>
              <w:bottom w:w="60" w:type="dxa"/>
              <w:left w:w="100" w:type="dxa"/>
              <w:right w:w="100" w:type="dxa"/>
            </w:tcMar>
            <w:shd w:fill="F7FAFC"/>
            <w:shd w:fill="E2EFDA"/>
          </w:tcPr>
          <w:p>
            <w:r>
              <w:rPr>
                <w:b/>
                <w:sz w:val="17"/>
              </w:rPr>
              <w:t>(=) ROC Greenblatt Tangible (%)</w:t>
            </w:r>
          </w:p>
        </w:tc>
        <w:tc>
          <w:tcPr>
            <w:tcW w:type="dxa" w:w="1958"/>
            <w:tcMar>
              <w:top w:w="60" w:type="dxa"/>
              <w:bottom w:w="60" w:type="dxa"/>
              <w:left w:w="100" w:type="dxa"/>
              <w:right w:w="100" w:type="dxa"/>
            </w:tcMar>
            <w:shd w:fill="F7FAFC"/>
            <w:shd w:fill="E2EFDA"/>
          </w:tcPr>
          <w:p>
            <w:r>
              <w:rPr>
                <w:b/>
                <w:sz w:val="17"/>
              </w:rPr>
              <w:t>305.85%</w:t>
            </w:r>
          </w:p>
        </w:tc>
        <w:tc>
          <w:tcPr>
            <w:tcW w:type="dxa" w:w="1958"/>
            <w:tcMar>
              <w:top w:w="60" w:type="dxa"/>
              <w:bottom w:w="60" w:type="dxa"/>
              <w:left w:w="100" w:type="dxa"/>
              <w:right w:w="100" w:type="dxa"/>
            </w:tcMar>
            <w:shd w:fill="F7FAFC"/>
            <w:shd w:fill="E2EFDA"/>
          </w:tcPr>
          <w:p>
            <w:r>
              <w:rPr>
                <w:b/>
                <w:sz w:val="17"/>
              </w:rPr>
              <w:t>278.60%</w:t>
            </w:r>
          </w:p>
        </w:tc>
        <w:tc>
          <w:tcPr>
            <w:tcW w:type="dxa" w:w="1958"/>
            <w:tcMar>
              <w:top w:w="60" w:type="dxa"/>
              <w:bottom w:w="60" w:type="dxa"/>
              <w:left w:w="100" w:type="dxa"/>
              <w:right w:w="100" w:type="dxa"/>
            </w:tcMar>
            <w:shd w:fill="F7FAFC"/>
            <w:shd w:fill="E2EFDA"/>
          </w:tcPr>
          <w:p>
            <w:r>
              <w:rPr>
                <w:b/>
                <w:sz w:val="17"/>
              </w:rPr>
              <w:t>Ratio Final de Productividad</w:t>
            </w:r>
          </w:p>
        </w:tc>
        <w:tc>
          <w:tcPr>
            <w:tcW w:type="dxa" w:w="1958"/>
            <w:tcMar>
              <w:top w:w="60" w:type="dxa"/>
              <w:bottom w:w="60" w:type="dxa"/>
              <w:left w:w="100" w:type="dxa"/>
              <w:right w:w="100" w:type="dxa"/>
            </w:tcMar>
            <w:shd w:fill="F7FAFC"/>
            <w:shd w:fill="E2EFDA"/>
          </w:tcPr>
          <w:p>
            <w:r>
              <w:rPr>
                <w:b/>
                <w:sz w:val="17"/>
              </w:rPr>
              <w:t>EBIT / Capital Tangible Promedio.</w:t>
            </w:r>
          </w:p>
        </w:tc>
      </w:tr>
    </w:tbl>
    <w:tbl>
      <w:tblPr>
        <w:tblW w:type="auto" w:w="0"/>
        <w:jc w:val="center"/>
        <w:tblLayout w:type="fixed"/>
        <w:tblLook w:firstColumn="1" w:firstRow="1" w:lastColumn="0" w:lastRow="0" w:noHBand="0" w:noVBand="1" w:val="04A0"/>
      </w:tblPr>
      <w:tblGrid>
        <w:gridCol w:w="9792"/>
      </w:tblGrid>
      <w:tr>
        <w:tc>
          <w:tcPr>
            <w:tcW w:type="dxa" w:w="9792"/>
            <w:shd w:fill="F0F4F8"/>
            <w:tcMar>
              <w:top w:w="140" w:type="dxa"/>
              <w:bottom w:w="140" w:type="dxa"/>
              <w:left w:w="180" w:type="dxa"/>
              <w:right w:w="180" w:type="dxa"/>
            </w:tcMar>
            <w:tcBorders>
              <w:top w:val="none"/>
              <w:left w:val="single" w:sz="24" w:space="0" w:color="1B365D"/>
              <w:bottom w:val="none"/>
              <w:right w:val="none"/>
            </w:tcBorders>
          </w:tcPr>
          <w:p>
            <w:pPr>
              <w:spacing w:before="0" w:after="60" w:line="276" w:lineRule="auto"/>
            </w:pPr>
            <w:r>
              <w:rPr>
                <w:rFonts w:ascii="Calibri" w:hAnsi="Calibri"/>
                <w:b/>
                <w:color w:val="1B365D"/>
                <w:sz w:val="21"/>
              </w:rPr>
              <w:t>📌 Guía de Auditoría: Trazabilidad del ROC en los Balances SEC</w:t>
              <w:br/>
            </w:r>
          </w:p>
          <w:p>
            <w:pPr>
              <w:spacing w:before="40" w:after="40" w:line="276" w:lineRule="auto"/>
            </w:pPr>
            <w:r>
              <w:rPr>
                <w:rFonts w:ascii="Calibri" w:hAnsi="Calibri"/>
                <w:color w:val="2D3748"/>
                <w:sz w:val="19"/>
              </w:rPr>
              <w:t>• EBIT (Operating Income): Búsquelo en el Estado Consolidado de Operaciones (Form 10-K / 10-Q).</w:t>
            </w:r>
          </w:p>
          <w:p>
            <w:pPr>
              <w:spacing w:before="40" w:after="40" w:line="276" w:lineRule="auto"/>
            </w:pPr>
            <w:r>
              <w:rPr>
                <w:rFonts w:ascii="Calibri" w:hAnsi="Calibri"/>
                <w:color w:val="2D3748"/>
                <w:sz w:val="19"/>
              </w:rPr>
              <w:t>• Activos Operativos: Tome Total Current Assets del Balance y reste Cash &amp; Marketable Securities.</w:t>
            </w:r>
          </w:p>
          <w:p>
            <w:pPr>
              <w:spacing w:before="40" w:after="40" w:line="276" w:lineRule="auto"/>
            </w:pPr>
            <w:r>
              <w:rPr>
                <w:rFonts w:ascii="Calibri" w:hAnsi="Calibri"/>
                <w:color w:val="2D3748"/>
                <w:sz w:val="19"/>
              </w:rPr>
              <w:t>• Pasivos Operativos: Tome Total Current Liabilities del Balance y reste Commercial Paper y Deuda CP.</w:t>
            </w:r>
          </w:p>
          <w:p>
            <w:pPr>
              <w:spacing w:before="40" w:after="40" w:line="276" w:lineRule="auto"/>
            </w:pPr>
            <w:r>
              <w:rPr>
                <w:rFonts w:ascii="Calibri" w:hAnsi="Calibri"/>
                <w:color w:val="2D3748"/>
                <w:sz w:val="19"/>
              </w:rPr>
              <w:t>• PP&amp;E Neto: Búsquelo en Activos No Corrientes bajo Property, plant and equipment, net.</w:t>
            </w:r>
          </w:p>
          <w:p>
            <w:pPr>
              <w:spacing w:before="40" w:after="40" w:line="276" w:lineRule="auto"/>
            </w:pPr>
            <w:r>
              <w:rPr>
                <w:rFonts w:ascii="Calibri" w:hAnsi="Calibri"/>
                <w:color w:val="2D3748"/>
                <w:sz w:val="19"/>
              </w:rPr>
              <w:t>• Salvaguarda de Capital de Trabajo Negativo: Si NWC &lt; 0, Joel Greenblatt fija el capital tangible en el PP&amp;E neto para impedir denominadores distorsionados o bases de capital negativas.</w:t>
            </w:r>
          </w:p>
        </w:tc>
      </w:tr>
    </w:tbl>
    <w:p>
      <w:pPr>
        <w:spacing w:before="0" w:after="120"/>
      </w:pPr>
    </w:p>
    <w:p>
      <w:pPr>
        <w:pStyle w:val="Heading2"/>
      </w:pPr>
      <w:r>
        <w:t>11.3. Desglose y Explicación del ROIC: Tradicional vs. Ajustado por Intangibles (Damodaran)</w:t>
      </w:r>
    </w:p>
    <w:p>
      <w:r>
        <w:rPr>
          <w:sz w:val="19"/>
        </w:rPr>
        <w:t>El ROIC Tradicional contable (68.22%) sobrestima el retorno al mandar el I+D a gasto inmediato. La metodología Damodaran capitaliza la innovación a 4 años, reconociendo $83,773.2M de intangibles fuera de balance. El ROIC Ajustado resultante de 50.06% refleja el verdadero retorno económico sobre el capital total invertido ($269,400.0M).</w:t>
      </w:r>
    </w:p>
    <w:tbl>
      <w:tblPr>
        <w:tblW w:type="auto" w:w="0"/>
        <w:jc w:val="center"/>
        <w:tblLayout w:type="fixed"/>
        <w:tblLook w:firstColumn="1" w:firstRow="1" w:lastColumn="0" w:lastRow="0" w:noHBand="0" w:noVBand="1" w:val="04A0"/>
        <w:tblBorders>
          <w:top w:val="single" w:sz="6" w:space="0" w:color="D2D6DC"/>
          <w:left w:val="none"/>
          <w:bottom w:val="single" w:sz="10" w:space="0" w:color="1B365D"/>
          <w:right w:val="none"/>
          <w:insideH w:val="single" w:sz="4" w:space="0" w:color="D2D6DC"/>
          <w:insideV w:val="none"/>
        </w:tblBorders>
      </w:tblPr>
      <w:tblGrid>
        <w:gridCol w:w="1440"/>
        <w:gridCol w:w="1440"/>
        <w:gridCol w:w="1440"/>
        <w:gridCol w:w="1440"/>
        <w:gridCol w:w="1440"/>
        <w:gridCol w:w="1440"/>
        <w:gridCol w:w="1152"/>
      </w:tblGrid>
      <w:tr>
        <w:tc>
          <w:tcPr>
            <w:tcW w:type="dxa" w:w="1399"/>
            <w:shd w:fill="1B365D"/>
            <w:tcMar>
              <w:top w:w="80" w:type="dxa"/>
              <w:bottom w:w="80" w:type="dxa"/>
              <w:left w:w="100" w:type="dxa"/>
              <w:right w:w="100" w:type="dxa"/>
            </w:tcMar>
          </w:tcPr>
          <w:p>
            <w:r>
              <w:rPr>
                <w:b/>
                <w:color w:val="FFFFFF"/>
                <w:sz w:val="17"/>
              </w:rPr>
              <w:t>Período Contable</w:t>
            </w:r>
          </w:p>
        </w:tc>
        <w:tc>
          <w:tcPr>
            <w:tcW w:type="dxa" w:w="1399"/>
            <w:shd w:fill="1B365D"/>
            <w:tcMar>
              <w:top w:w="80" w:type="dxa"/>
              <w:bottom w:w="80" w:type="dxa"/>
              <w:left w:w="100" w:type="dxa"/>
              <w:right w:w="100" w:type="dxa"/>
            </w:tcMar>
          </w:tcPr>
          <w:p>
            <w:r>
              <w:rPr>
                <w:b/>
                <w:color w:val="FFFFFF"/>
                <w:sz w:val="17"/>
              </w:rPr>
              <w:t>ROC Greenblatt</w:t>
            </w:r>
          </w:p>
        </w:tc>
        <w:tc>
          <w:tcPr>
            <w:tcW w:type="dxa" w:w="1399"/>
            <w:shd w:fill="1B365D"/>
            <w:tcMar>
              <w:top w:w="80" w:type="dxa"/>
              <w:bottom w:w="80" w:type="dxa"/>
              <w:left w:w="100" w:type="dxa"/>
              <w:right w:w="100" w:type="dxa"/>
            </w:tcMar>
          </w:tcPr>
          <w:p>
            <w:r>
              <w:rPr>
                <w:b/>
                <w:color w:val="FFFFFF"/>
                <w:sz w:val="17"/>
              </w:rPr>
              <w:t>ROIC Tradicional</w:t>
            </w:r>
          </w:p>
        </w:tc>
        <w:tc>
          <w:tcPr>
            <w:tcW w:type="dxa" w:w="1399"/>
            <w:shd w:fill="1B365D"/>
            <w:tcMar>
              <w:top w:w="80" w:type="dxa"/>
              <w:bottom w:w="80" w:type="dxa"/>
              <w:left w:w="100" w:type="dxa"/>
              <w:right w:w="100" w:type="dxa"/>
            </w:tcMar>
          </w:tcPr>
          <w:p>
            <w:r>
              <w:rPr>
                <w:b/>
                <w:color w:val="FFFFFF"/>
                <w:sz w:val="17"/>
              </w:rPr>
              <w:t>ROIC Ajustado</w:t>
            </w:r>
          </w:p>
        </w:tc>
        <w:tc>
          <w:tcPr>
            <w:tcW w:type="dxa" w:w="1399"/>
            <w:shd w:fill="1B365D"/>
            <w:tcMar>
              <w:top w:w="80" w:type="dxa"/>
              <w:bottom w:w="80" w:type="dxa"/>
              <w:left w:w="100" w:type="dxa"/>
              <w:right w:w="100" w:type="dxa"/>
            </w:tcMar>
          </w:tcPr>
          <w:p>
            <w:r>
              <w:rPr>
                <w:b/>
                <w:color w:val="FFFFFF"/>
                <w:sz w:val="17"/>
              </w:rPr>
              <w:t>Stock Intangibles ($M)</w:t>
            </w:r>
          </w:p>
        </w:tc>
        <w:tc>
          <w:tcPr>
            <w:tcW w:type="dxa" w:w="1399"/>
            <w:shd w:fill="1B365D"/>
            <w:tcMar>
              <w:top w:w="80" w:type="dxa"/>
              <w:bottom w:w="80" w:type="dxa"/>
              <w:left w:w="100" w:type="dxa"/>
              <w:right w:w="100" w:type="dxa"/>
            </w:tcMar>
          </w:tcPr>
          <w:p>
            <w:r>
              <w:rPr>
                <w:b/>
                <w:color w:val="FFFFFF"/>
                <w:sz w:val="17"/>
              </w:rPr>
              <w:t>Capital Invertido ($M)</w:t>
            </w:r>
          </w:p>
        </w:tc>
        <w:tc>
          <w:tcPr>
            <w:tcW w:type="dxa" w:w="1399"/>
            <w:shd w:fill="1B365D"/>
            <w:tcMar>
              <w:top w:w="80" w:type="dxa"/>
              <w:bottom w:w="80" w:type="dxa"/>
              <w:left w:w="100" w:type="dxa"/>
              <w:right w:w="100" w:type="dxa"/>
            </w:tcMar>
          </w:tcPr>
          <w:p>
            <w:r>
              <w:rPr>
                <w:b/>
                <w:color w:val="FFFFFF"/>
                <w:sz w:val="17"/>
              </w:rPr>
              <w:t>Spread vs WACC</w:t>
            </w:r>
          </w:p>
        </w:tc>
      </w:tr>
      <w:tr>
        <w:tc>
          <w:tcPr>
            <w:tcW w:type="dxa" w:w="1399"/>
            <w:tcMar>
              <w:top w:w="60" w:type="dxa"/>
              <w:bottom w:w="60" w:type="dxa"/>
              <w:left w:w="100" w:type="dxa"/>
              <w:right w:w="100" w:type="dxa"/>
            </w:tcMar>
          </w:tcPr>
          <w:p>
            <w:r>
              <w:rPr>
                <w:sz w:val="17"/>
              </w:rPr>
              <w:t>FY2021</w:t>
            </w:r>
          </w:p>
        </w:tc>
        <w:tc>
          <w:tcPr>
            <w:tcW w:type="dxa" w:w="1399"/>
            <w:tcMar>
              <w:top w:w="60" w:type="dxa"/>
              <w:bottom w:w="60" w:type="dxa"/>
              <w:left w:w="100" w:type="dxa"/>
              <w:right w:w="100" w:type="dxa"/>
            </w:tcMar>
          </w:tcPr>
          <w:p>
            <w:r>
              <w:rPr>
                <w:b/>
                <w:sz w:val="17"/>
              </w:rPr>
              <w:t>255.50%</w:t>
            </w:r>
          </w:p>
        </w:tc>
        <w:tc>
          <w:tcPr>
            <w:tcW w:type="dxa" w:w="1399"/>
            <w:tcMar>
              <w:top w:w="60" w:type="dxa"/>
              <w:bottom w:w="60" w:type="dxa"/>
              <w:left w:w="100" w:type="dxa"/>
              <w:right w:w="100" w:type="dxa"/>
            </w:tcMar>
          </w:tcPr>
          <w:p>
            <w:r>
              <w:rPr>
                <w:b/>
                <w:sz w:val="17"/>
              </w:rPr>
              <w:t>48.51%</w:t>
            </w:r>
          </w:p>
        </w:tc>
        <w:tc>
          <w:tcPr>
            <w:tcW w:type="dxa" w:w="1399"/>
            <w:tcMar>
              <w:top w:w="60" w:type="dxa"/>
              <w:bottom w:w="60" w:type="dxa"/>
              <w:left w:w="100" w:type="dxa"/>
              <w:right w:w="100" w:type="dxa"/>
            </w:tcMar>
          </w:tcPr>
          <w:p>
            <w:r>
              <w:rPr>
                <w:b/>
                <w:sz w:val="17"/>
              </w:rPr>
              <w:t>41.96%</w:t>
            </w:r>
          </w:p>
        </w:tc>
        <w:tc>
          <w:tcPr>
            <w:tcW w:type="dxa" w:w="1399"/>
            <w:tcMar>
              <w:top w:w="60" w:type="dxa"/>
              <w:bottom w:w="60" w:type="dxa"/>
              <w:left w:w="100" w:type="dxa"/>
              <w:right w:w="100" w:type="dxa"/>
            </w:tcMar>
          </w:tcPr>
          <w:p>
            <w:r>
              <w:rPr>
                <w:sz w:val="17"/>
              </w:rPr>
              <w:t>$47,645.5M</w:t>
            </w:r>
          </w:p>
        </w:tc>
        <w:tc>
          <w:tcPr>
            <w:tcW w:type="dxa" w:w="1399"/>
            <w:tcMar>
              <w:top w:w="60" w:type="dxa"/>
              <w:bottom w:w="60" w:type="dxa"/>
              <w:left w:w="100" w:type="dxa"/>
              <w:right w:w="100" w:type="dxa"/>
            </w:tcMar>
          </w:tcPr>
          <w:p>
            <w:r>
              <w:rPr>
                <w:sz w:val="17"/>
              </w:rPr>
              <w:t>$239,010.2M</w:t>
            </w:r>
          </w:p>
        </w:tc>
        <w:tc>
          <w:tcPr>
            <w:tcW w:type="dxa" w:w="1399"/>
            <w:tcMar>
              <w:top w:w="60" w:type="dxa"/>
              <w:bottom w:w="60" w:type="dxa"/>
              <w:left w:w="100" w:type="dxa"/>
              <w:right w:w="100" w:type="dxa"/>
            </w:tcMar>
          </w:tcPr>
          <w:p>
            <w:r>
              <w:rPr>
                <w:b/>
                <w:sz w:val="17"/>
              </w:rPr>
              <w:t>+31.77 p.p.</w:t>
            </w:r>
          </w:p>
        </w:tc>
      </w:tr>
      <w:tr>
        <w:tc>
          <w:tcPr>
            <w:tcW w:type="dxa" w:w="1399"/>
            <w:tcMar>
              <w:top w:w="60" w:type="dxa"/>
              <w:bottom w:w="60" w:type="dxa"/>
              <w:left w:w="100" w:type="dxa"/>
              <w:right w:w="100" w:type="dxa"/>
            </w:tcMar>
            <w:shd w:fill="F7FAFC"/>
          </w:tcPr>
          <w:p>
            <w:r>
              <w:rPr>
                <w:sz w:val="17"/>
              </w:rPr>
              <w:t>FY2022</w:t>
            </w:r>
          </w:p>
        </w:tc>
        <w:tc>
          <w:tcPr>
            <w:tcW w:type="dxa" w:w="1399"/>
            <w:tcMar>
              <w:top w:w="60" w:type="dxa"/>
              <w:bottom w:w="60" w:type="dxa"/>
              <w:left w:w="100" w:type="dxa"/>
              <w:right w:w="100" w:type="dxa"/>
            </w:tcMar>
            <w:shd w:fill="F7FAFC"/>
          </w:tcPr>
          <w:p>
            <w:r>
              <w:rPr>
                <w:b/>
                <w:sz w:val="17"/>
              </w:rPr>
              <w:t>292.89%</w:t>
            </w:r>
          </w:p>
        </w:tc>
        <w:tc>
          <w:tcPr>
            <w:tcW w:type="dxa" w:w="1399"/>
            <w:tcMar>
              <w:top w:w="60" w:type="dxa"/>
              <w:bottom w:w="60" w:type="dxa"/>
              <w:left w:w="100" w:type="dxa"/>
              <w:right w:w="100" w:type="dxa"/>
            </w:tcMar>
            <w:shd w:fill="F7FAFC"/>
          </w:tcPr>
          <w:p>
            <w:r>
              <w:rPr>
                <w:b/>
                <w:sz w:val="17"/>
              </w:rPr>
              <w:t>51.80%</w:t>
            </w:r>
          </w:p>
        </w:tc>
        <w:tc>
          <w:tcPr>
            <w:tcW w:type="dxa" w:w="1399"/>
            <w:tcMar>
              <w:top w:w="60" w:type="dxa"/>
              <w:bottom w:w="60" w:type="dxa"/>
              <w:left w:w="100" w:type="dxa"/>
              <w:right w:w="100" w:type="dxa"/>
            </w:tcMar>
            <w:shd w:fill="F7FAFC"/>
          </w:tcPr>
          <w:p>
            <w:r>
              <w:rPr>
                <w:b/>
                <w:sz w:val="17"/>
              </w:rPr>
              <w:t>43.73%</w:t>
            </w:r>
          </w:p>
        </w:tc>
        <w:tc>
          <w:tcPr>
            <w:tcW w:type="dxa" w:w="1399"/>
            <w:tcMar>
              <w:top w:w="60" w:type="dxa"/>
              <w:bottom w:w="60" w:type="dxa"/>
              <w:left w:w="100" w:type="dxa"/>
              <w:right w:w="100" w:type="dxa"/>
            </w:tcMar>
            <w:shd w:fill="F7FAFC"/>
          </w:tcPr>
          <w:p>
            <w:r>
              <w:rPr>
                <w:sz w:val="17"/>
              </w:rPr>
              <w:t>$56,116.8M</w:t>
            </w:r>
          </w:p>
        </w:tc>
        <w:tc>
          <w:tcPr>
            <w:tcW w:type="dxa" w:w="1399"/>
            <w:tcMar>
              <w:top w:w="60" w:type="dxa"/>
              <w:bottom w:w="60" w:type="dxa"/>
              <w:left w:w="100" w:type="dxa"/>
              <w:right w:w="100" w:type="dxa"/>
            </w:tcMar>
            <w:shd w:fill="F7FAFC"/>
          </w:tcPr>
          <w:p>
            <w:r>
              <w:rPr>
                <w:sz w:val="17"/>
              </w:rPr>
              <w:t>$245,105.6M</w:t>
            </w:r>
          </w:p>
        </w:tc>
        <w:tc>
          <w:tcPr>
            <w:tcW w:type="dxa" w:w="1399"/>
            <w:tcMar>
              <w:top w:w="60" w:type="dxa"/>
              <w:bottom w:w="60" w:type="dxa"/>
              <w:left w:w="100" w:type="dxa"/>
              <w:right w:w="100" w:type="dxa"/>
            </w:tcMar>
            <w:shd w:fill="F7FAFC"/>
          </w:tcPr>
          <w:p>
            <w:r>
              <w:rPr>
                <w:b/>
                <w:sz w:val="17"/>
              </w:rPr>
              <w:t>+33.54 p.p.</w:t>
            </w:r>
          </w:p>
        </w:tc>
      </w:tr>
      <w:tr>
        <w:tc>
          <w:tcPr>
            <w:tcW w:type="dxa" w:w="1399"/>
            <w:tcMar>
              <w:top w:w="60" w:type="dxa"/>
              <w:bottom w:w="60" w:type="dxa"/>
              <w:left w:w="100" w:type="dxa"/>
              <w:right w:w="100" w:type="dxa"/>
            </w:tcMar>
          </w:tcPr>
          <w:p>
            <w:r>
              <w:rPr>
                <w:sz w:val="17"/>
              </w:rPr>
              <w:t>FY2023</w:t>
            </w:r>
          </w:p>
        </w:tc>
        <w:tc>
          <w:tcPr>
            <w:tcW w:type="dxa" w:w="1399"/>
            <w:tcMar>
              <w:top w:w="60" w:type="dxa"/>
              <w:bottom w:w="60" w:type="dxa"/>
              <w:left w:w="100" w:type="dxa"/>
              <w:right w:w="100" w:type="dxa"/>
            </w:tcMar>
          </w:tcPr>
          <w:p>
            <w:r>
              <w:rPr>
                <w:b/>
                <w:sz w:val="17"/>
              </w:rPr>
              <w:t>266.34%</w:t>
            </w:r>
          </w:p>
        </w:tc>
        <w:tc>
          <w:tcPr>
            <w:tcW w:type="dxa" w:w="1399"/>
            <w:tcMar>
              <w:top w:w="60" w:type="dxa"/>
              <w:bottom w:w="60" w:type="dxa"/>
              <w:left w:w="100" w:type="dxa"/>
              <w:right w:w="100" w:type="dxa"/>
            </w:tcMar>
          </w:tcPr>
          <w:p>
            <w:r>
              <w:rPr>
                <w:b/>
                <w:sz w:val="17"/>
              </w:rPr>
              <w:t>52.21%</w:t>
            </w:r>
          </w:p>
        </w:tc>
        <w:tc>
          <w:tcPr>
            <w:tcW w:type="dxa" w:w="1399"/>
            <w:tcMar>
              <w:top w:w="60" w:type="dxa"/>
              <w:bottom w:w="60" w:type="dxa"/>
              <w:left w:w="100" w:type="dxa"/>
              <w:right w:w="100" w:type="dxa"/>
            </w:tcMar>
          </w:tcPr>
          <w:p>
            <w:r>
              <w:rPr>
                <w:b/>
                <w:sz w:val="17"/>
              </w:rPr>
              <w:t>42.55%</w:t>
            </w:r>
          </w:p>
        </w:tc>
        <w:tc>
          <w:tcPr>
            <w:tcW w:type="dxa" w:w="1399"/>
            <w:tcMar>
              <w:top w:w="60" w:type="dxa"/>
              <w:bottom w:w="60" w:type="dxa"/>
              <w:left w:w="100" w:type="dxa"/>
              <w:right w:w="100" w:type="dxa"/>
            </w:tcMar>
          </w:tcPr>
          <w:p>
            <w:r>
              <w:rPr>
                <w:sz w:val="17"/>
              </w:rPr>
              <w:t>$65,248.2M</w:t>
            </w:r>
          </w:p>
        </w:tc>
        <w:tc>
          <w:tcPr>
            <w:tcW w:type="dxa" w:w="1399"/>
            <w:tcMar>
              <w:top w:w="60" w:type="dxa"/>
              <w:bottom w:w="60" w:type="dxa"/>
              <w:left w:w="100" w:type="dxa"/>
              <w:right w:w="100" w:type="dxa"/>
            </w:tcMar>
          </w:tcPr>
          <w:p>
            <w:r>
              <w:rPr>
                <w:sz w:val="17"/>
              </w:rPr>
              <w:t>$247,376.0M</w:t>
            </w:r>
          </w:p>
        </w:tc>
        <w:tc>
          <w:tcPr>
            <w:tcW w:type="dxa" w:w="1399"/>
            <w:tcMar>
              <w:top w:w="60" w:type="dxa"/>
              <w:bottom w:w="60" w:type="dxa"/>
              <w:left w:w="100" w:type="dxa"/>
              <w:right w:w="100" w:type="dxa"/>
            </w:tcMar>
          </w:tcPr>
          <w:p>
            <w:r>
              <w:rPr>
                <w:b/>
                <w:sz w:val="17"/>
              </w:rPr>
              <w:t>+32.36 p.p.</w:t>
            </w:r>
          </w:p>
        </w:tc>
      </w:tr>
      <w:tr>
        <w:tc>
          <w:tcPr>
            <w:tcW w:type="dxa" w:w="1399"/>
            <w:tcMar>
              <w:top w:w="60" w:type="dxa"/>
              <w:bottom w:w="60" w:type="dxa"/>
              <w:left w:w="100" w:type="dxa"/>
              <w:right w:w="100" w:type="dxa"/>
            </w:tcMar>
            <w:shd w:fill="F7FAFC"/>
          </w:tcPr>
          <w:p>
            <w:r>
              <w:rPr>
                <w:sz w:val="17"/>
              </w:rPr>
              <w:t>FY2024</w:t>
            </w:r>
          </w:p>
        </w:tc>
        <w:tc>
          <w:tcPr>
            <w:tcW w:type="dxa" w:w="1399"/>
            <w:tcMar>
              <w:top w:w="60" w:type="dxa"/>
              <w:bottom w:w="60" w:type="dxa"/>
              <w:left w:w="100" w:type="dxa"/>
              <w:right w:w="100" w:type="dxa"/>
            </w:tcMar>
            <w:shd w:fill="F7FAFC"/>
          </w:tcPr>
          <w:p>
            <w:r>
              <w:rPr>
                <w:b/>
                <w:sz w:val="17"/>
              </w:rPr>
              <w:t>275.67%</w:t>
            </w:r>
          </w:p>
        </w:tc>
        <w:tc>
          <w:tcPr>
            <w:tcW w:type="dxa" w:w="1399"/>
            <w:tcMar>
              <w:top w:w="60" w:type="dxa"/>
              <w:bottom w:w="60" w:type="dxa"/>
              <w:left w:w="100" w:type="dxa"/>
              <w:right w:w="100" w:type="dxa"/>
            </w:tcMar>
            <w:shd w:fill="F7FAFC"/>
          </w:tcPr>
          <w:p>
            <w:r>
              <w:rPr>
                <w:b/>
                <w:sz w:val="17"/>
              </w:rPr>
              <w:t>52.44%</w:t>
            </w:r>
          </w:p>
        </w:tc>
        <w:tc>
          <w:tcPr>
            <w:tcW w:type="dxa" w:w="1399"/>
            <w:tcMar>
              <w:top w:w="60" w:type="dxa"/>
              <w:bottom w:w="60" w:type="dxa"/>
              <w:left w:w="100" w:type="dxa"/>
              <w:right w:w="100" w:type="dxa"/>
            </w:tcMar>
            <w:shd w:fill="F7FAFC"/>
          </w:tcPr>
          <w:p>
            <w:r>
              <w:rPr>
                <w:b/>
                <w:sz w:val="17"/>
              </w:rPr>
              <w:t>40.04%</w:t>
            </w:r>
          </w:p>
        </w:tc>
        <w:tc>
          <w:tcPr>
            <w:tcW w:type="dxa" w:w="1399"/>
            <w:tcMar>
              <w:top w:w="60" w:type="dxa"/>
              <w:bottom w:w="60" w:type="dxa"/>
              <w:left w:w="100" w:type="dxa"/>
              <w:right w:w="100" w:type="dxa"/>
            </w:tcMar>
            <w:shd w:fill="F7FAFC"/>
          </w:tcPr>
          <w:p>
            <w:r>
              <w:rPr>
                <w:sz w:val="17"/>
              </w:rPr>
              <w:t>$72,410.2M</w:t>
            </w:r>
          </w:p>
        </w:tc>
        <w:tc>
          <w:tcPr>
            <w:tcW w:type="dxa" w:w="1399"/>
            <w:tcMar>
              <w:top w:w="60" w:type="dxa"/>
              <w:bottom w:w="60" w:type="dxa"/>
              <w:left w:w="100" w:type="dxa"/>
              <w:right w:w="100" w:type="dxa"/>
            </w:tcMar>
            <w:shd w:fill="F7FAFC"/>
          </w:tcPr>
          <w:p>
            <w:r>
              <w:rPr>
                <w:sz w:val="17"/>
              </w:rPr>
              <w:t>$247,173.8M</w:t>
            </w:r>
          </w:p>
        </w:tc>
        <w:tc>
          <w:tcPr>
            <w:tcW w:type="dxa" w:w="1399"/>
            <w:tcMar>
              <w:top w:w="60" w:type="dxa"/>
              <w:bottom w:w="60" w:type="dxa"/>
              <w:left w:w="100" w:type="dxa"/>
              <w:right w:w="100" w:type="dxa"/>
            </w:tcMar>
            <w:shd w:fill="F7FAFC"/>
          </w:tcPr>
          <w:p>
            <w:r>
              <w:rPr>
                <w:b/>
                <w:sz w:val="17"/>
              </w:rPr>
              <w:t>+29.85 p.p.</w:t>
            </w:r>
          </w:p>
        </w:tc>
      </w:tr>
      <w:tr>
        <w:tc>
          <w:tcPr>
            <w:tcW w:type="dxa" w:w="1399"/>
            <w:tcMar>
              <w:top w:w="60" w:type="dxa"/>
              <w:bottom w:w="60" w:type="dxa"/>
              <w:left w:w="100" w:type="dxa"/>
              <w:right w:w="100" w:type="dxa"/>
            </w:tcMar>
          </w:tcPr>
          <w:p>
            <w:r>
              <w:rPr>
                <w:sz w:val="17"/>
              </w:rPr>
              <w:t>FY2025</w:t>
            </w:r>
          </w:p>
        </w:tc>
        <w:tc>
          <w:tcPr>
            <w:tcW w:type="dxa" w:w="1399"/>
            <w:tcMar>
              <w:top w:w="60" w:type="dxa"/>
              <w:bottom w:w="60" w:type="dxa"/>
              <w:left w:w="100" w:type="dxa"/>
              <w:right w:w="100" w:type="dxa"/>
            </w:tcMar>
          </w:tcPr>
          <w:p>
            <w:r>
              <w:rPr>
                <w:b/>
                <w:sz w:val="17"/>
              </w:rPr>
              <w:t>278.60%</w:t>
            </w:r>
          </w:p>
        </w:tc>
        <w:tc>
          <w:tcPr>
            <w:tcW w:type="dxa" w:w="1399"/>
            <w:tcMar>
              <w:top w:w="60" w:type="dxa"/>
              <w:bottom w:w="60" w:type="dxa"/>
              <w:left w:w="100" w:type="dxa"/>
              <w:right w:w="100" w:type="dxa"/>
            </w:tcMar>
          </w:tcPr>
          <w:p>
            <w:r>
              <w:rPr>
                <w:b/>
                <w:sz w:val="17"/>
              </w:rPr>
              <w:t>66.13%</w:t>
            </w:r>
          </w:p>
        </w:tc>
        <w:tc>
          <w:tcPr>
            <w:tcW w:type="dxa" w:w="1399"/>
            <w:tcMar>
              <w:top w:w="60" w:type="dxa"/>
              <w:bottom w:w="60" w:type="dxa"/>
              <w:left w:w="100" w:type="dxa"/>
              <w:right w:w="100" w:type="dxa"/>
            </w:tcMar>
          </w:tcPr>
          <w:p>
            <w:r>
              <w:rPr>
                <w:b/>
                <w:sz w:val="17"/>
              </w:rPr>
              <w:t>48.15%</w:t>
            </w:r>
          </w:p>
        </w:tc>
        <w:tc>
          <w:tcPr>
            <w:tcW w:type="dxa" w:w="1399"/>
            <w:tcMar>
              <w:top w:w="60" w:type="dxa"/>
              <w:bottom w:w="60" w:type="dxa"/>
              <w:left w:w="100" w:type="dxa"/>
              <w:right w:w="100" w:type="dxa"/>
            </w:tcMar>
          </w:tcPr>
          <w:p>
            <w:r>
              <w:rPr>
                <w:sz w:val="17"/>
              </w:rPr>
              <w:t>$79,597.8M</w:t>
            </w:r>
          </w:p>
        </w:tc>
        <w:tc>
          <w:tcPr>
            <w:tcW w:type="dxa" w:w="1399"/>
            <w:tcMar>
              <w:top w:w="60" w:type="dxa"/>
              <w:bottom w:w="60" w:type="dxa"/>
              <w:left w:w="100" w:type="dxa"/>
              <w:right w:w="100" w:type="dxa"/>
            </w:tcMar>
          </w:tcPr>
          <w:p>
            <w:r>
              <w:rPr>
                <w:sz w:val="17"/>
              </w:rPr>
              <w:t>$245,795.5M</w:t>
            </w:r>
          </w:p>
        </w:tc>
        <w:tc>
          <w:tcPr>
            <w:tcW w:type="dxa" w:w="1399"/>
            <w:tcMar>
              <w:top w:w="60" w:type="dxa"/>
              <w:bottom w:w="60" w:type="dxa"/>
              <w:left w:w="100" w:type="dxa"/>
              <w:right w:w="100" w:type="dxa"/>
            </w:tcMar>
          </w:tcPr>
          <w:p>
            <w:r>
              <w:rPr>
                <w:b/>
                <w:sz w:val="17"/>
              </w:rPr>
              <w:t>+37.96 p.p.</w:t>
            </w:r>
          </w:p>
        </w:tc>
      </w:tr>
      <w:tr>
        <w:tc>
          <w:tcPr>
            <w:tcW w:type="dxa" w:w="1399"/>
            <w:tcMar>
              <w:top w:w="60" w:type="dxa"/>
              <w:bottom w:w="60" w:type="dxa"/>
              <w:left w:w="100" w:type="dxa"/>
              <w:right w:w="100" w:type="dxa"/>
            </w:tcMar>
            <w:shd w:fill="F7FAFC"/>
            <w:shd w:fill="E2EFDA"/>
          </w:tcPr>
          <w:p>
            <w:r>
              <w:rPr>
                <w:sz w:val="17"/>
              </w:rPr>
              <w:t>LTM</w:t>
            </w:r>
          </w:p>
        </w:tc>
        <w:tc>
          <w:tcPr>
            <w:tcW w:type="dxa" w:w="1399"/>
            <w:tcMar>
              <w:top w:w="60" w:type="dxa"/>
              <w:bottom w:w="60" w:type="dxa"/>
              <w:left w:w="100" w:type="dxa"/>
              <w:right w:w="100" w:type="dxa"/>
            </w:tcMar>
            <w:shd w:fill="F7FAFC"/>
            <w:shd w:fill="E2EFDA"/>
          </w:tcPr>
          <w:p>
            <w:r>
              <w:rPr>
                <w:b/>
                <w:sz w:val="17"/>
              </w:rPr>
              <w:t>305.85%</w:t>
            </w:r>
          </w:p>
        </w:tc>
        <w:tc>
          <w:tcPr>
            <w:tcW w:type="dxa" w:w="1399"/>
            <w:tcMar>
              <w:top w:w="60" w:type="dxa"/>
              <w:bottom w:w="60" w:type="dxa"/>
              <w:left w:w="100" w:type="dxa"/>
              <w:right w:w="100" w:type="dxa"/>
            </w:tcMar>
            <w:shd w:fill="F7FAFC"/>
            <w:shd w:fill="E2EFDA"/>
          </w:tcPr>
          <w:p>
            <w:r>
              <w:rPr>
                <w:b/>
                <w:sz w:val="17"/>
              </w:rPr>
              <w:t>68.22%</w:t>
            </w:r>
          </w:p>
        </w:tc>
        <w:tc>
          <w:tcPr>
            <w:tcW w:type="dxa" w:w="1399"/>
            <w:tcMar>
              <w:top w:w="60" w:type="dxa"/>
              <w:bottom w:w="60" w:type="dxa"/>
              <w:left w:w="100" w:type="dxa"/>
              <w:right w:w="100" w:type="dxa"/>
            </w:tcMar>
            <w:shd w:fill="F7FAFC"/>
            <w:shd w:fill="E2EFDA"/>
          </w:tcPr>
          <w:p>
            <w:r>
              <w:rPr>
                <w:b/>
                <w:sz w:val="17"/>
              </w:rPr>
              <w:t>50.06%</w:t>
            </w:r>
          </w:p>
        </w:tc>
        <w:tc>
          <w:tcPr>
            <w:tcW w:type="dxa" w:w="1399"/>
            <w:tcMar>
              <w:top w:w="60" w:type="dxa"/>
              <w:bottom w:w="60" w:type="dxa"/>
              <w:left w:w="100" w:type="dxa"/>
              <w:right w:w="100" w:type="dxa"/>
            </w:tcMar>
            <w:shd w:fill="F7FAFC"/>
            <w:shd w:fill="E2EFDA"/>
          </w:tcPr>
          <w:p>
            <w:r>
              <w:rPr>
                <w:sz w:val="17"/>
              </w:rPr>
              <w:t>$83,773.2M</w:t>
            </w:r>
          </w:p>
        </w:tc>
        <w:tc>
          <w:tcPr>
            <w:tcW w:type="dxa" w:w="1399"/>
            <w:tcMar>
              <w:top w:w="60" w:type="dxa"/>
              <w:bottom w:w="60" w:type="dxa"/>
              <w:left w:w="100" w:type="dxa"/>
              <w:right w:w="100" w:type="dxa"/>
            </w:tcMar>
            <w:shd w:fill="F7FAFC"/>
            <w:shd w:fill="E2EFDA"/>
          </w:tcPr>
          <w:p>
            <w:r>
              <w:rPr>
                <w:sz w:val="17"/>
              </w:rPr>
              <w:t>$269,400.0M</w:t>
            </w:r>
          </w:p>
        </w:tc>
        <w:tc>
          <w:tcPr>
            <w:tcW w:type="dxa" w:w="1399"/>
            <w:tcMar>
              <w:top w:w="60" w:type="dxa"/>
              <w:bottom w:w="60" w:type="dxa"/>
              <w:left w:w="100" w:type="dxa"/>
              <w:right w:w="100" w:type="dxa"/>
            </w:tcMar>
            <w:shd w:fill="F7FAFC"/>
            <w:shd w:fill="E2EFDA"/>
          </w:tcPr>
          <w:p>
            <w:r>
              <w:rPr>
                <w:b/>
                <w:sz w:val="17"/>
              </w:rPr>
              <w:t>+39.87 p.p.</w:t>
            </w:r>
          </w:p>
        </w:tc>
      </w:tr>
    </w:tbl>
    <w:p>
      <w:pPr>
        <w:spacing w:before="160" w:after="160"/>
      </w:pPr>
      <w:r>
        <w:rPr>
          <w:i/>
          <w:sz w:val="18"/>
        </w:rPr>
        <w:t>Matriz de Sensibilidad de Vida Útil: N-1 (3a) = 52.32% | N Base (4a) = 50.06% | N+1 (5a) = 48.27%.</w:t>
      </w:r>
    </w:p>
    <w:p>
      <w:pPr>
        <w:pStyle w:val="Heading2"/>
      </w:pPr>
      <w:r>
        <w:t>11.4. Creación de Valor Económico (EVA) y Durabilidad del Foso Defensivo</w:t>
      </w:r>
    </w:p>
    <w:p>
      <w:r>
        <w:rPr>
          <w:sz w:val="19"/>
        </w:rPr>
        <w:t>Spread Económico = ROIC Ajustado (50.06%) − WACC (10.19%) = +39.87 p.p.</w:t>
        <w:br/>
        <w:t>Dictamen: 🏰 WIDE MOAT / COMPOUNDING MACHINE. La compañía supera holgadamente su costo de capital, generando retornos netos excedentes sobre cada dólar invertido.</w:t>
      </w:r>
    </w:p>
    <w:p>
      <w:pPr>
        <w:pStyle w:val="Heading2"/>
      </w:pPr>
      <w:r>
        <w:t>11.5. Cuadro de Mando Consolidado de Ratios de Capital, Retornos y Valor</w:t>
      </w:r>
    </w:p>
    <w:tbl>
      <w:tblPr>
        <w:tblW w:type="auto" w:w="0"/>
        <w:jc w:val="center"/>
        <w:tblLayout w:type="fixed"/>
        <w:tblLook w:firstColumn="1" w:firstRow="1" w:lastColumn="0" w:lastRow="0" w:noHBand="0" w:noVBand="1" w:val="04A0"/>
        <w:tblBorders>
          <w:top w:val="single" w:sz="6" w:space="0" w:color="D2D6DC"/>
          <w:left w:val="none"/>
          <w:bottom w:val="single" w:sz="10" w:space="0" w:color="1B365D"/>
          <w:right w:val="none"/>
          <w:insideH w:val="single" w:sz="4" w:space="0" w:color="D2D6DC"/>
          <w:insideV w:val="none"/>
        </w:tblBorders>
      </w:tblPr>
      <w:tblGrid>
        <w:gridCol w:w="2016"/>
        <w:gridCol w:w="2880"/>
        <w:gridCol w:w="1296"/>
        <w:gridCol w:w="1584"/>
        <w:gridCol w:w="2016"/>
      </w:tblGrid>
      <w:tr>
        <w:tc>
          <w:tcPr>
            <w:tcW w:type="dxa" w:w="1958"/>
            <w:shd w:fill="1B365D"/>
            <w:tcMar>
              <w:top w:w="80" w:type="dxa"/>
              <w:bottom w:w="80" w:type="dxa"/>
              <w:left w:w="100" w:type="dxa"/>
              <w:right w:w="100" w:type="dxa"/>
            </w:tcMar>
          </w:tcPr>
          <w:p>
            <w:r>
              <w:rPr>
                <w:b/>
                <w:color w:val="FFFFFF"/>
                <w:sz w:val="17"/>
              </w:rPr>
              <w:t>Categoría Analítica</w:t>
            </w:r>
          </w:p>
        </w:tc>
        <w:tc>
          <w:tcPr>
            <w:tcW w:type="dxa" w:w="1958"/>
            <w:shd w:fill="1B365D"/>
            <w:tcMar>
              <w:top w:w="80" w:type="dxa"/>
              <w:bottom w:w="80" w:type="dxa"/>
              <w:left w:w="100" w:type="dxa"/>
              <w:right w:w="100" w:type="dxa"/>
            </w:tcMar>
          </w:tcPr>
          <w:p>
            <w:r>
              <w:rPr>
                <w:b/>
                <w:color w:val="FFFFFF"/>
                <w:sz w:val="17"/>
              </w:rPr>
              <w:t>Métrica / Ratio Institucional</w:t>
            </w:r>
          </w:p>
        </w:tc>
        <w:tc>
          <w:tcPr>
            <w:tcW w:type="dxa" w:w="1958"/>
            <w:shd w:fill="1B365D"/>
            <w:tcMar>
              <w:top w:w="80" w:type="dxa"/>
              <w:bottom w:w="80" w:type="dxa"/>
              <w:left w:w="100" w:type="dxa"/>
              <w:right w:w="100" w:type="dxa"/>
            </w:tcMar>
          </w:tcPr>
          <w:p>
            <w:r>
              <w:rPr>
                <w:b/>
                <w:color w:val="FFFFFF"/>
                <w:sz w:val="17"/>
              </w:rPr>
              <w:t>Valor LTM</w:t>
            </w:r>
          </w:p>
        </w:tc>
        <w:tc>
          <w:tcPr>
            <w:tcW w:type="dxa" w:w="1958"/>
            <w:shd w:fill="1B365D"/>
            <w:tcMar>
              <w:top w:w="80" w:type="dxa"/>
              <w:bottom w:w="80" w:type="dxa"/>
              <w:left w:w="100" w:type="dxa"/>
              <w:right w:w="100" w:type="dxa"/>
            </w:tcMar>
          </w:tcPr>
          <w:p>
            <w:r>
              <w:rPr>
                <w:b/>
                <w:color w:val="FFFFFF"/>
                <w:sz w:val="17"/>
              </w:rPr>
              <w:t>Benchmark / Ref.</w:t>
            </w:r>
          </w:p>
        </w:tc>
        <w:tc>
          <w:tcPr>
            <w:tcW w:type="dxa" w:w="1958"/>
            <w:shd w:fill="1B365D"/>
            <w:tcMar>
              <w:top w:w="80" w:type="dxa"/>
              <w:bottom w:w="80" w:type="dxa"/>
              <w:left w:w="100" w:type="dxa"/>
              <w:right w:w="100" w:type="dxa"/>
            </w:tcMar>
          </w:tcPr>
          <w:p>
            <w:r>
              <w:rPr>
                <w:b/>
                <w:color w:val="FFFFFF"/>
                <w:sz w:val="17"/>
              </w:rPr>
              <w:t>Diagnóstico para el Inversor</w:t>
            </w:r>
          </w:p>
        </w:tc>
      </w:tr>
      <w:tr>
        <w:tc>
          <w:tcPr>
            <w:tcW w:type="dxa" w:w="1958"/>
            <w:tcMar>
              <w:top w:w="60" w:type="dxa"/>
              <w:bottom w:w="60" w:type="dxa"/>
              <w:left w:w="100" w:type="dxa"/>
              <w:right w:w="100" w:type="dxa"/>
            </w:tcMar>
          </w:tcPr>
          <w:p>
            <w:r>
              <w:rPr>
                <w:sz w:val="17"/>
              </w:rPr>
              <w:t>Parámetros Macro y Mercado</w:t>
            </w:r>
          </w:p>
        </w:tc>
        <w:tc>
          <w:tcPr>
            <w:tcW w:type="dxa" w:w="1958"/>
            <w:tcMar>
              <w:top w:w="60" w:type="dxa"/>
              <w:bottom w:w="60" w:type="dxa"/>
              <w:left w:w="100" w:type="dxa"/>
              <w:right w:w="100" w:type="dxa"/>
            </w:tcMar>
          </w:tcPr>
          <w:p>
            <w:r>
              <w:rPr>
                <w:b/>
                <w:sz w:val="17"/>
              </w:rPr>
              <w:t>Tasa Libre de Riesgo (Rf - Bono 10Y)</w:t>
            </w:r>
          </w:p>
        </w:tc>
        <w:tc>
          <w:tcPr>
            <w:tcW w:type="dxa" w:w="1958"/>
            <w:tcMar>
              <w:top w:w="60" w:type="dxa"/>
              <w:bottom w:w="60" w:type="dxa"/>
              <w:left w:w="100" w:type="dxa"/>
              <w:right w:w="100" w:type="dxa"/>
            </w:tcMar>
          </w:tcPr>
          <w:p>
            <w:r>
              <w:rPr>
                <w:b/>
                <w:sz w:val="17"/>
              </w:rPr>
              <w:t>5.19%</w:t>
            </w:r>
          </w:p>
        </w:tc>
        <w:tc>
          <w:tcPr>
            <w:tcW w:type="dxa" w:w="1958"/>
            <w:tcMar>
              <w:top w:w="60" w:type="dxa"/>
              <w:bottom w:w="60" w:type="dxa"/>
              <w:left w:w="100" w:type="dxa"/>
              <w:right w:w="100" w:type="dxa"/>
            </w:tcMar>
          </w:tcPr>
          <w:p>
            <w:r>
              <w:rPr>
                <w:sz w:val="17"/>
              </w:rPr>
              <w:t>US Treasury Yield</w:t>
            </w:r>
          </w:p>
        </w:tc>
        <w:tc>
          <w:tcPr>
            <w:tcW w:type="dxa" w:w="1958"/>
            <w:tcMar>
              <w:top w:w="60" w:type="dxa"/>
              <w:bottom w:w="60" w:type="dxa"/>
              <w:left w:w="100" w:type="dxa"/>
              <w:right w:w="100" w:type="dxa"/>
            </w:tcMar>
          </w:tcPr>
          <w:p>
            <w:r>
              <w:rPr>
                <w:sz w:val="17"/>
              </w:rPr>
              <w:t>Costo de oportunidad libre de riesgo macroeconómico.</w:t>
            </w:r>
          </w:p>
        </w:tc>
      </w:tr>
      <w:tr>
        <w:tc>
          <w:tcPr>
            <w:tcW w:type="dxa" w:w="1958"/>
            <w:tcMar>
              <w:top w:w="60" w:type="dxa"/>
              <w:bottom w:w="60" w:type="dxa"/>
              <w:left w:w="100" w:type="dxa"/>
              <w:right w:w="100" w:type="dxa"/>
            </w:tcMar>
            <w:shd w:fill="F7FAFC"/>
          </w:tcPr>
          <w:p>
            <w:r>
              <w:rPr>
                <w:sz w:val="17"/>
              </w:rPr>
              <w:t>Parámetros Macro y Mercado</w:t>
            </w:r>
          </w:p>
        </w:tc>
        <w:tc>
          <w:tcPr>
            <w:tcW w:type="dxa" w:w="1958"/>
            <w:tcMar>
              <w:top w:w="60" w:type="dxa"/>
              <w:bottom w:w="60" w:type="dxa"/>
              <w:left w:w="100" w:type="dxa"/>
              <w:right w:w="100" w:type="dxa"/>
            </w:tcMar>
            <w:shd w:fill="F7FAFC"/>
          </w:tcPr>
          <w:p>
            <w:r>
              <w:rPr>
                <w:b/>
                <w:sz w:val="17"/>
              </w:rPr>
              <w:t>Beta de la Acción (β)</w:t>
            </w:r>
          </w:p>
        </w:tc>
        <w:tc>
          <w:tcPr>
            <w:tcW w:type="dxa" w:w="1958"/>
            <w:tcMar>
              <w:top w:w="60" w:type="dxa"/>
              <w:bottom w:w="60" w:type="dxa"/>
              <w:left w:w="100" w:type="dxa"/>
              <w:right w:w="100" w:type="dxa"/>
            </w:tcMar>
            <w:shd w:fill="F7FAFC"/>
          </w:tcPr>
          <w:p>
            <w:r>
              <w:rPr>
                <w:b/>
                <w:sz w:val="17"/>
              </w:rPr>
              <w:t>1.07</w:t>
            </w:r>
          </w:p>
        </w:tc>
        <w:tc>
          <w:tcPr>
            <w:tcW w:type="dxa" w:w="1958"/>
            <w:tcMar>
              <w:top w:w="60" w:type="dxa"/>
              <w:bottom w:w="60" w:type="dxa"/>
              <w:left w:w="100" w:type="dxa"/>
              <w:right w:w="100" w:type="dxa"/>
            </w:tcMar>
            <w:shd w:fill="F7FAFC"/>
          </w:tcPr>
          <w:p>
            <w:r>
              <w:rPr>
                <w:sz w:val="17"/>
              </w:rPr>
              <w:t>S&amp;P 500 = 1.00x</w:t>
            </w:r>
          </w:p>
        </w:tc>
        <w:tc>
          <w:tcPr>
            <w:tcW w:type="dxa" w:w="1958"/>
            <w:tcMar>
              <w:top w:w="60" w:type="dxa"/>
              <w:bottom w:w="60" w:type="dxa"/>
              <w:left w:w="100" w:type="dxa"/>
              <w:right w:w="100" w:type="dxa"/>
            </w:tcMar>
            <w:shd w:fill="F7FAFC"/>
          </w:tcPr>
          <w:p>
            <w:r>
              <w:rPr>
                <w:sz w:val="17"/>
              </w:rPr>
              <w:t>Sensibilidad cíclica moderada y alineada al mercado.</w:t>
            </w:r>
          </w:p>
        </w:tc>
      </w:tr>
      <w:tr>
        <w:tc>
          <w:tcPr>
            <w:tcW w:type="dxa" w:w="1958"/>
            <w:tcMar>
              <w:top w:w="60" w:type="dxa"/>
              <w:bottom w:w="60" w:type="dxa"/>
              <w:left w:w="100" w:type="dxa"/>
              <w:right w:w="100" w:type="dxa"/>
            </w:tcMar>
          </w:tcPr>
          <w:p>
            <w:r>
              <w:rPr>
                <w:sz w:val="17"/>
              </w:rPr>
              <w:t>Parámetros Macro y Mercado</w:t>
            </w:r>
          </w:p>
        </w:tc>
        <w:tc>
          <w:tcPr>
            <w:tcW w:type="dxa" w:w="1958"/>
            <w:tcMar>
              <w:top w:w="60" w:type="dxa"/>
              <w:bottom w:w="60" w:type="dxa"/>
              <w:left w:w="100" w:type="dxa"/>
              <w:right w:w="100" w:type="dxa"/>
            </w:tcMar>
          </w:tcPr>
          <w:p>
            <w:r>
              <w:rPr>
                <w:b/>
                <w:sz w:val="17"/>
              </w:rPr>
              <w:t>Prima de Riesgo de Mercado (ERP)</w:t>
            </w:r>
          </w:p>
        </w:tc>
        <w:tc>
          <w:tcPr>
            <w:tcW w:type="dxa" w:w="1958"/>
            <w:tcMar>
              <w:top w:w="60" w:type="dxa"/>
              <w:bottom w:w="60" w:type="dxa"/>
              <w:left w:w="100" w:type="dxa"/>
              <w:right w:w="100" w:type="dxa"/>
            </w:tcMar>
          </w:tcPr>
          <w:p>
            <w:r>
              <w:rPr>
                <w:b/>
                <w:sz w:val="17"/>
              </w:rPr>
              <w:t>4.75%</w:t>
            </w:r>
          </w:p>
        </w:tc>
        <w:tc>
          <w:tcPr>
            <w:tcW w:type="dxa" w:w="1958"/>
            <w:tcMar>
              <w:top w:w="60" w:type="dxa"/>
              <w:bottom w:w="60" w:type="dxa"/>
              <w:left w:w="100" w:type="dxa"/>
              <w:right w:w="100" w:type="dxa"/>
            </w:tcMar>
          </w:tcPr>
          <w:p>
            <w:r>
              <w:rPr>
                <w:sz w:val="17"/>
              </w:rPr>
              <w:t>NYU Stern Damodaran</w:t>
            </w:r>
          </w:p>
        </w:tc>
        <w:tc>
          <w:tcPr>
            <w:tcW w:type="dxa" w:w="1958"/>
            <w:tcMar>
              <w:top w:w="60" w:type="dxa"/>
              <w:bottom w:w="60" w:type="dxa"/>
              <w:left w:w="100" w:type="dxa"/>
              <w:right w:w="100" w:type="dxa"/>
            </w:tcMar>
          </w:tcPr>
          <w:p>
            <w:r>
              <w:rPr>
                <w:sz w:val="17"/>
              </w:rPr>
              <w:t>Exigencia de prima de retorno sobre el activo libre de riesgo.</w:t>
            </w:r>
          </w:p>
        </w:tc>
      </w:tr>
      <w:tr>
        <w:tc>
          <w:tcPr>
            <w:tcW w:type="dxa" w:w="1958"/>
            <w:tcMar>
              <w:top w:w="60" w:type="dxa"/>
              <w:bottom w:w="60" w:type="dxa"/>
              <w:left w:w="100" w:type="dxa"/>
              <w:right w:w="100" w:type="dxa"/>
            </w:tcMar>
            <w:shd w:fill="F7FAFC"/>
          </w:tcPr>
          <w:p>
            <w:r>
              <w:rPr>
                <w:sz w:val="17"/>
              </w:rPr>
              <w:t>Costo de Capital (WACC)</w:t>
            </w:r>
          </w:p>
        </w:tc>
        <w:tc>
          <w:tcPr>
            <w:tcW w:type="dxa" w:w="1958"/>
            <w:tcMar>
              <w:top w:w="60" w:type="dxa"/>
              <w:bottom w:w="60" w:type="dxa"/>
              <w:left w:w="100" w:type="dxa"/>
              <w:right w:w="100" w:type="dxa"/>
            </w:tcMar>
            <w:shd w:fill="F7FAFC"/>
          </w:tcPr>
          <w:p>
            <w:r>
              <w:rPr>
                <w:b/>
                <w:sz w:val="17"/>
              </w:rPr>
              <w:t>Costo del Capital Propio (Ke)</w:t>
            </w:r>
          </w:p>
        </w:tc>
        <w:tc>
          <w:tcPr>
            <w:tcW w:type="dxa" w:w="1958"/>
            <w:tcMar>
              <w:top w:w="60" w:type="dxa"/>
              <w:bottom w:w="60" w:type="dxa"/>
              <w:left w:w="100" w:type="dxa"/>
              <w:right w:w="100" w:type="dxa"/>
            </w:tcMar>
            <w:shd w:fill="F7FAFC"/>
          </w:tcPr>
          <w:p>
            <w:r>
              <w:rPr>
                <w:b/>
                <w:sz w:val="17"/>
              </w:rPr>
              <w:t>10.30%</w:t>
            </w:r>
          </w:p>
        </w:tc>
        <w:tc>
          <w:tcPr>
            <w:tcW w:type="dxa" w:w="1958"/>
            <w:tcMar>
              <w:top w:w="60" w:type="dxa"/>
              <w:bottom w:w="60" w:type="dxa"/>
              <w:left w:w="100" w:type="dxa"/>
              <w:right w:w="100" w:type="dxa"/>
            </w:tcMar>
            <w:shd w:fill="F7FAFC"/>
          </w:tcPr>
          <w:p>
            <w:r>
              <w:rPr>
                <w:sz w:val="17"/>
              </w:rPr>
              <w:t>Rango 9.5% - 10.5%</w:t>
            </w:r>
          </w:p>
        </w:tc>
        <w:tc>
          <w:tcPr>
            <w:tcW w:type="dxa" w:w="1958"/>
            <w:tcMar>
              <w:top w:w="60" w:type="dxa"/>
              <w:bottom w:w="60" w:type="dxa"/>
              <w:left w:w="100" w:type="dxa"/>
              <w:right w:w="100" w:type="dxa"/>
            </w:tcMar>
            <w:shd w:fill="F7FAFC"/>
          </w:tcPr>
          <w:p>
            <w:r>
              <w:rPr>
                <w:sz w:val="17"/>
              </w:rPr>
              <w:t>Retorno anual exigido por los tenedores de acciones comunes.</w:t>
            </w:r>
          </w:p>
        </w:tc>
      </w:tr>
      <w:tr>
        <w:tc>
          <w:tcPr>
            <w:tcW w:type="dxa" w:w="1958"/>
            <w:tcMar>
              <w:top w:w="60" w:type="dxa"/>
              <w:bottom w:w="60" w:type="dxa"/>
              <w:left w:w="100" w:type="dxa"/>
              <w:right w:w="100" w:type="dxa"/>
            </w:tcMar>
          </w:tcPr>
          <w:p>
            <w:r>
              <w:rPr>
                <w:sz w:val="17"/>
              </w:rPr>
              <w:t>Costo de Capital (WACC)</w:t>
            </w:r>
          </w:p>
        </w:tc>
        <w:tc>
          <w:tcPr>
            <w:tcW w:type="dxa" w:w="1958"/>
            <w:tcMar>
              <w:top w:w="60" w:type="dxa"/>
              <w:bottom w:w="60" w:type="dxa"/>
              <w:left w:w="100" w:type="dxa"/>
              <w:right w:w="100" w:type="dxa"/>
            </w:tcMar>
          </w:tcPr>
          <w:p>
            <w:r>
              <w:rPr>
                <w:b/>
                <w:sz w:val="17"/>
              </w:rPr>
              <w:t>Costo de Deuda Neta (Kd)</w:t>
            </w:r>
          </w:p>
        </w:tc>
        <w:tc>
          <w:tcPr>
            <w:tcW w:type="dxa" w:w="1958"/>
            <w:tcMar>
              <w:top w:w="60" w:type="dxa"/>
              <w:bottom w:w="60" w:type="dxa"/>
              <w:left w:w="100" w:type="dxa"/>
              <w:right w:w="100" w:type="dxa"/>
            </w:tcMar>
          </w:tcPr>
          <w:p>
            <w:r>
              <w:rPr>
                <w:b/>
                <w:sz w:val="17"/>
              </w:rPr>
              <w:t>3.72%</w:t>
            </w:r>
          </w:p>
        </w:tc>
        <w:tc>
          <w:tcPr>
            <w:tcW w:type="dxa" w:w="1958"/>
            <w:tcMar>
              <w:top w:w="60" w:type="dxa"/>
              <w:bottom w:w="60" w:type="dxa"/>
              <w:left w:w="100" w:type="dxa"/>
              <w:right w:w="100" w:type="dxa"/>
            </w:tcMar>
          </w:tcPr>
          <w:p>
            <w:r>
              <w:rPr>
                <w:sz w:val="17"/>
              </w:rPr>
              <w:t>Tasa cupón efectiva</w:t>
            </w:r>
          </w:p>
        </w:tc>
        <w:tc>
          <w:tcPr>
            <w:tcW w:type="dxa" w:w="1958"/>
            <w:tcMar>
              <w:top w:w="60" w:type="dxa"/>
              <w:bottom w:w="60" w:type="dxa"/>
              <w:left w:w="100" w:type="dxa"/>
              <w:right w:w="100" w:type="dxa"/>
            </w:tcMar>
          </w:tcPr>
          <w:p>
            <w:r>
              <w:rPr>
                <w:sz w:val="17"/>
              </w:rPr>
              <w:t>Financiación crediticia con escudo fiscal del 17.3%.</w:t>
            </w:r>
          </w:p>
        </w:tc>
      </w:tr>
      <w:tr>
        <w:tc>
          <w:tcPr>
            <w:tcW w:type="dxa" w:w="1958"/>
            <w:tcMar>
              <w:top w:w="60" w:type="dxa"/>
              <w:bottom w:w="60" w:type="dxa"/>
              <w:left w:w="100" w:type="dxa"/>
              <w:right w:w="100" w:type="dxa"/>
            </w:tcMar>
            <w:shd w:fill="F7FAFC"/>
          </w:tcPr>
          <w:p>
            <w:r>
              <w:rPr>
                <w:sz w:val="17"/>
              </w:rPr>
              <w:t>Costo de Capital (WACC)</w:t>
            </w:r>
          </w:p>
        </w:tc>
        <w:tc>
          <w:tcPr>
            <w:tcW w:type="dxa" w:w="1958"/>
            <w:tcMar>
              <w:top w:w="60" w:type="dxa"/>
              <w:bottom w:w="60" w:type="dxa"/>
              <w:left w:w="100" w:type="dxa"/>
              <w:right w:w="100" w:type="dxa"/>
            </w:tcMar>
            <w:shd w:fill="F7FAFC"/>
          </w:tcPr>
          <w:p>
            <w:r>
              <w:rPr>
                <w:b/>
                <w:sz w:val="17"/>
              </w:rPr>
              <w:t>WACC Consolidado</w:t>
            </w:r>
          </w:p>
        </w:tc>
        <w:tc>
          <w:tcPr>
            <w:tcW w:type="dxa" w:w="1958"/>
            <w:tcMar>
              <w:top w:w="60" w:type="dxa"/>
              <w:bottom w:w="60" w:type="dxa"/>
              <w:left w:w="100" w:type="dxa"/>
              <w:right w:w="100" w:type="dxa"/>
            </w:tcMar>
            <w:shd w:fill="F7FAFC"/>
          </w:tcPr>
          <w:p>
            <w:r>
              <w:rPr>
                <w:b/>
                <w:sz w:val="17"/>
              </w:rPr>
              <w:t>10.19%</w:t>
            </w:r>
          </w:p>
        </w:tc>
        <w:tc>
          <w:tcPr>
            <w:tcW w:type="dxa" w:w="1958"/>
            <w:tcMar>
              <w:top w:w="60" w:type="dxa"/>
              <w:bottom w:w="60" w:type="dxa"/>
              <w:left w:w="100" w:type="dxa"/>
              <w:right w:w="100" w:type="dxa"/>
            </w:tcMar>
            <w:shd w:fill="F7FAFC"/>
          </w:tcPr>
          <w:p>
            <w:r>
              <w:rPr>
                <w:sz w:val="17"/>
              </w:rPr>
              <w:t>Mediana Sector (8.80%)</w:t>
            </w:r>
          </w:p>
        </w:tc>
        <w:tc>
          <w:tcPr>
            <w:tcW w:type="dxa" w:w="1958"/>
            <w:tcMar>
              <w:top w:w="60" w:type="dxa"/>
              <w:bottom w:w="60" w:type="dxa"/>
              <w:left w:w="100" w:type="dxa"/>
              <w:right w:w="100" w:type="dxa"/>
            </w:tcMar>
            <w:shd w:fill="F7FAFC"/>
          </w:tcPr>
          <w:p>
            <w:r>
              <w:rPr>
                <w:sz w:val="17"/>
              </w:rPr>
              <w:t>Tasa de corte u obstáculo financiero mínimo para crear valor.</w:t>
            </w:r>
          </w:p>
        </w:tc>
      </w:tr>
      <w:tr>
        <w:tc>
          <w:tcPr>
            <w:tcW w:type="dxa" w:w="1958"/>
            <w:tcMar>
              <w:top w:w="60" w:type="dxa"/>
              <w:bottom w:w="60" w:type="dxa"/>
              <w:left w:w="100" w:type="dxa"/>
              <w:right w:w="100" w:type="dxa"/>
            </w:tcMar>
            <w:shd w:fill="E2EFDA"/>
          </w:tcPr>
          <w:p>
            <w:r>
              <w:rPr>
                <w:sz w:val="17"/>
              </w:rPr>
              <w:t>Productividad Tangible</w:t>
            </w:r>
          </w:p>
        </w:tc>
        <w:tc>
          <w:tcPr>
            <w:tcW w:type="dxa" w:w="1958"/>
            <w:tcMar>
              <w:top w:w="60" w:type="dxa"/>
              <w:bottom w:w="60" w:type="dxa"/>
              <w:left w:w="100" w:type="dxa"/>
              <w:right w:w="100" w:type="dxa"/>
            </w:tcMar>
            <w:shd w:fill="E2EFDA"/>
          </w:tcPr>
          <w:p>
            <w:r>
              <w:rPr>
                <w:b/>
                <w:sz w:val="17"/>
              </w:rPr>
              <w:t>ROC Greenblatt (Pre-Tax)</w:t>
            </w:r>
          </w:p>
        </w:tc>
        <w:tc>
          <w:tcPr>
            <w:tcW w:type="dxa" w:w="1958"/>
            <w:tcMar>
              <w:top w:w="60" w:type="dxa"/>
              <w:bottom w:w="60" w:type="dxa"/>
              <w:left w:w="100" w:type="dxa"/>
              <w:right w:w="100" w:type="dxa"/>
            </w:tcMar>
            <w:shd w:fill="E2EFDA"/>
          </w:tcPr>
          <w:p>
            <w:r>
              <w:rPr>
                <w:b/>
                <w:sz w:val="17"/>
              </w:rPr>
              <w:t>305.85%</w:t>
            </w:r>
          </w:p>
        </w:tc>
        <w:tc>
          <w:tcPr>
            <w:tcW w:type="dxa" w:w="1958"/>
            <w:tcMar>
              <w:top w:w="60" w:type="dxa"/>
              <w:bottom w:w="60" w:type="dxa"/>
              <w:left w:w="100" w:type="dxa"/>
              <w:right w:w="100" w:type="dxa"/>
            </w:tcMar>
            <w:shd w:fill="E2EFDA"/>
          </w:tcPr>
          <w:p>
            <w:r>
              <w:rPr>
                <w:sz w:val="17"/>
              </w:rPr>
              <w:t>Mediana Sector (29.85%)</w:t>
            </w:r>
          </w:p>
        </w:tc>
        <w:tc>
          <w:tcPr>
            <w:tcW w:type="dxa" w:w="1958"/>
            <w:tcMar>
              <w:top w:w="60" w:type="dxa"/>
              <w:bottom w:w="60" w:type="dxa"/>
              <w:left w:w="100" w:type="dxa"/>
              <w:right w:w="100" w:type="dxa"/>
            </w:tcMar>
            <w:shd w:fill="E2EFDA"/>
          </w:tcPr>
          <w:p>
            <w:r>
              <w:rPr>
                <w:sz w:val="17"/>
              </w:rPr>
              <w:t>Asset-Light; supera al sector por +276.00 p.p..</w:t>
            </w:r>
          </w:p>
        </w:tc>
      </w:tr>
      <w:tr>
        <w:tc>
          <w:tcPr>
            <w:tcW w:type="dxa" w:w="1958"/>
            <w:tcMar>
              <w:top w:w="60" w:type="dxa"/>
              <w:bottom w:w="60" w:type="dxa"/>
              <w:left w:w="100" w:type="dxa"/>
              <w:right w:w="100" w:type="dxa"/>
            </w:tcMar>
            <w:shd w:fill="F7FAFC"/>
          </w:tcPr>
          <w:p>
            <w:r>
              <w:rPr>
                <w:sz w:val="17"/>
              </w:rPr>
              <w:t>Productividad Tangible</w:t>
            </w:r>
          </w:p>
        </w:tc>
        <w:tc>
          <w:tcPr>
            <w:tcW w:type="dxa" w:w="1958"/>
            <w:tcMar>
              <w:top w:w="60" w:type="dxa"/>
              <w:bottom w:w="60" w:type="dxa"/>
              <w:left w:w="100" w:type="dxa"/>
              <w:right w:w="100" w:type="dxa"/>
            </w:tcMar>
            <w:shd w:fill="F7FAFC"/>
          </w:tcPr>
          <w:p>
            <w:r>
              <w:rPr>
                <w:b/>
                <w:sz w:val="17"/>
              </w:rPr>
              <w:t>Capital Tangible Promedio</w:t>
            </w:r>
          </w:p>
        </w:tc>
        <w:tc>
          <w:tcPr>
            <w:tcW w:type="dxa" w:w="1958"/>
            <w:tcMar>
              <w:top w:w="60" w:type="dxa"/>
              <w:bottom w:w="60" w:type="dxa"/>
              <w:left w:w="100" w:type="dxa"/>
              <w:right w:w="100" w:type="dxa"/>
            </w:tcMar>
            <w:shd w:fill="F7FAFC"/>
          </w:tcPr>
          <w:p>
            <w:r>
              <w:rPr>
                <w:b/>
                <w:sz w:val="17"/>
              </w:rPr>
              <w:t>$50,632.5M</w:t>
            </w:r>
          </w:p>
        </w:tc>
        <w:tc>
          <w:tcPr>
            <w:tcW w:type="dxa" w:w="1958"/>
            <w:tcMar>
              <w:top w:w="60" w:type="dxa"/>
              <w:bottom w:w="60" w:type="dxa"/>
              <w:left w:w="100" w:type="dxa"/>
              <w:right w:w="100" w:type="dxa"/>
            </w:tcMar>
            <w:shd w:fill="F7FAFC"/>
          </w:tcPr>
          <w:p>
            <w:r>
              <w:rPr>
                <w:sz w:val="17"/>
              </w:rPr>
              <w:t>Balance SEC Form 10-Q</w:t>
            </w:r>
          </w:p>
        </w:tc>
        <w:tc>
          <w:tcPr>
            <w:tcW w:type="dxa" w:w="1958"/>
            <w:tcMar>
              <w:top w:w="60" w:type="dxa"/>
              <w:bottom w:w="60" w:type="dxa"/>
              <w:left w:w="100" w:type="dxa"/>
              <w:right w:w="100" w:type="dxa"/>
            </w:tcMar>
            <w:shd w:fill="F7FAFC"/>
          </w:tcPr>
          <w:p>
            <w:r>
              <w:rPr>
                <w:sz w:val="17"/>
              </w:rPr>
              <w:t>Base física operativa mínima tras salvaguardas.</w:t>
            </w:r>
          </w:p>
        </w:tc>
      </w:tr>
      <w:tr>
        <w:tc>
          <w:tcPr>
            <w:tcW w:type="dxa" w:w="1958"/>
            <w:tcMar>
              <w:top w:w="60" w:type="dxa"/>
              <w:bottom w:w="60" w:type="dxa"/>
              <w:left w:w="100" w:type="dxa"/>
              <w:right w:w="100" w:type="dxa"/>
            </w:tcMar>
          </w:tcPr>
          <w:p>
            <w:r>
              <w:rPr>
                <w:sz w:val="17"/>
              </w:rPr>
              <w:t>Retorno Reconstituido</w:t>
            </w:r>
          </w:p>
        </w:tc>
        <w:tc>
          <w:tcPr>
            <w:tcW w:type="dxa" w:w="1958"/>
            <w:tcMar>
              <w:top w:w="60" w:type="dxa"/>
              <w:bottom w:w="60" w:type="dxa"/>
              <w:left w:w="100" w:type="dxa"/>
              <w:right w:w="100" w:type="dxa"/>
            </w:tcMar>
          </w:tcPr>
          <w:p>
            <w:r>
              <w:rPr>
                <w:b/>
                <w:sz w:val="17"/>
              </w:rPr>
              <w:t>ROIC Contable Tradicional</w:t>
            </w:r>
          </w:p>
        </w:tc>
        <w:tc>
          <w:tcPr>
            <w:tcW w:type="dxa" w:w="1958"/>
            <w:tcMar>
              <w:top w:w="60" w:type="dxa"/>
              <w:bottom w:w="60" w:type="dxa"/>
              <w:left w:w="100" w:type="dxa"/>
              <w:right w:w="100" w:type="dxa"/>
            </w:tcMar>
          </w:tcPr>
          <w:p>
            <w:r>
              <w:rPr>
                <w:b/>
                <w:sz w:val="17"/>
              </w:rPr>
              <w:t>68.22%</w:t>
            </w:r>
          </w:p>
        </w:tc>
        <w:tc>
          <w:tcPr>
            <w:tcW w:type="dxa" w:w="1958"/>
            <w:tcMar>
              <w:top w:w="60" w:type="dxa"/>
              <w:bottom w:w="60" w:type="dxa"/>
              <w:left w:w="100" w:type="dxa"/>
              <w:right w:w="100" w:type="dxa"/>
            </w:tcMar>
          </w:tcPr>
          <w:p>
            <w:r>
              <w:rPr>
                <w:sz w:val="17"/>
              </w:rPr>
              <w:t>ROIC sin ajustes</w:t>
            </w:r>
          </w:p>
        </w:tc>
        <w:tc>
          <w:tcPr>
            <w:tcW w:type="dxa" w:w="1958"/>
            <w:tcMar>
              <w:top w:w="60" w:type="dxa"/>
              <w:bottom w:w="60" w:type="dxa"/>
              <w:left w:w="100" w:type="dxa"/>
              <w:right w:w="100" w:type="dxa"/>
            </w:tcMar>
          </w:tcPr>
          <w:p>
            <w:r>
              <w:rPr>
                <w:sz w:val="17"/>
              </w:rPr>
              <w:t>Métrica distorsionada por no capitalizar gasto de innovación.</w:t>
            </w:r>
          </w:p>
        </w:tc>
      </w:tr>
      <w:tr>
        <w:tc>
          <w:tcPr>
            <w:tcW w:type="dxa" w:w="1958"/>
            <w:tcMar>
              <w:top w:w="60" w:type="dxa"/>
              <w:bottom w:w="60" w:type="dxa"/>
              <w:left w:w="100" w:type="dxa"/>
              <w:right w:w="100" w:type="dxa"/>
            </w:tcMar>
            <w:shd w:fill="F7FAFC"/>
          </w:tcPr>
          <w:p>
            <w:r>
              <w:rPr>
                <w:sz w:val="17"/>
              </w:rPr>
              <w:t>Retorno Reconstituido</w:t>
            </w:r>
          </w:p>
        </w:tc>
        <w:tc>
          <w:tcPr>
            <w:tcW w:type="dxa" w:w="1958"/>
            <w:tcMar>
              <w:top w:w="60" w:type="dxa"/>
              <w:bottom w:w="60" w:type="dxa"/>
              <w:left w:w="100" w:type="dxa"/>
              <w:right w:w="100" w:type="dxa"/>
            </w:tcMar>
            <w:shd w:fill="F7FAFC"/>
          </w:tcPr>
          <w:p>
            <w:r>
              <w:rPr>
                <w:b/>
                <w:sz w:val="17"/>
              </w:rPr>
              <w:t>Stock Intangibles I+D</w:t>
            </w:r>
          </w:p>
        </w:tc>
        <w:tc>
          <w:tcPr>
            <w:tcW w:type="dxa" w:w="1958"/>
            <w:tcMar>
              <w:top w:w="60" w:type="dxa"/>
              <w:bottom w:w="60" w:type="dxa"/>
              <w:left w:w="100" w:type="dxa"/>
              <w:right w:w="100" w:type="dxa"/>
            </w:tcMar>
            <w:shd w:fill="F7FAFC"/>
          </w:tcPr>
          <w:p>
            <w:r>
              <w:rPr>
                <w:b/>
                <w:sz w:val="17"/>
              </w:rPr>
              <w:t>$83,773.2M</w:t>
            </w:r>
          </w:p>
        </w:tc>
        <w:tc>
          <w:tcPr>
            <w:tcW w:type="dxa" w:w="1958"/>
            <w:tcMar>
              <w:top w:w="60" w:type="dxa"/>
              <w:bottom w:w="60" w:type="dxa"/>
              <w:left w:w="100" w:type="dxa"/>
              <w:right w:w="100" w:type="dxa"/>
            </w:tcMar>
            <w:shd w:fill="F7FAFC"/>
          </w:tcPr>
          <w:p>
            <w:r>
              <w:rPr>
                <w:sz w:val="17"/>
              </w:rPr>
              <w:t>Amortización 4 Años</w:t>
            </w:r>
          </w:p>
        </w:tc>
        <w:tc>
          <w:tcPr>
            <w:tcW w:type="dxa" w:w="1958"/>
            <w:tcMar>
              <w:top w:w="60" w:type="dxa"/>
              <w:bottom w:w="60" w:type="dxa"/>
              <w:left w:w="100" w:type="dxa"/>
              <w:right w:w="100" w:type="dxa"/>
            </w:tcMar>
            <w:shd w:fill="F7FAFC"/>
          </w:tcPr>
          <w:p>
            <w:r>
              <w:rPr>
                <w:sz w:val="17"/>
              </w:rPr>
              <w:t>Valor acumulado de patentes, silicio y software.</w:t>
            </w:r>
          </w:p>
        </w:tc>
      </w:tr>
      <w:tr>
        <w:tc>
          <w:tcPr>
            <w:tcW w:type="dxa" w:w="1958"/>
            <w:tcMar>
              <w:top w:w="60" w:type="dxa"/>
              <w:bottom w:w="60" w:type="dxa"/>
              <w:left w:w="100" w:type="dxa"/>
              <w:right w:w="100" w:type="dxa"/>
            </w:tcMar>
          </w:tcPr>
          <w:p>
            <w:r>
              <w:rPr>
                <w:sz w:val="17"/>
              </w:rPr>
              <w:t>Retorno Reconstituido</w:t>
            </w:r>
          </w:p>
        </w:tc>
        <w:tc>
          <w:tcPr>
            <w:tcW w:type="dxa" w:w="1958"/>
            <w:tcMar>
              <w:top w:w="60" w:type="dxa"/>
              <w:bottom w:w="60" w:type="dxa"/>
              <w:left w:w="100" w:type="dxa"/>
              <w:right w:w="100" w:type="dxa"/>
            </w:tcMar>
          </w:tcPr>
          <w:p>
            <w:r>
              <w:rPr>
                <w:b/>
                <w:sz w:val="17"/>
              </w:rPr>
              <w:t>Capital Invertido Promedio</w:t>
            </w:r>
          </w:p>
        </w:tc>
        <w:tc>
          <w:tcPr>
            <w:tcW w:type="dxa" w:w="1958"/>
            <w:tcMar>
              <w:top w:w="60" w:type="dxa"/>
              <w:bottom w:w="60" w:type="dxa"/>
              <w:left w:w="100" w:type="dxa"/>
              <w:right w:w="100" w:type="dxa"/>
            </w:tcMar>
          </w:tcPr>
          <w:p>
            <w:r>
              <w:rPr>
                <w:b/>
                <w:sz w:val="17"/>
              </w:rPr>
              <w:t>$269,400.0M</w:t>
            </w:r>
          </w:p>
        </w:tc>
        <w:tc>
          <w:tcPr>
            <w:tcW w:type="dxa" w:w="1958"/>
            <w:tcMar>
              <w:top w:w="60" w:type="dxa"/>
              <w:bottom w:w="60" w:type="dxa"/>
              <w:left w:w="100" w:type="dxa"/>
              <w:right w:w="100" w:type="dxa"/>
            </w:tcMar>
          </w:tcPr>
          <w:p>
            <w:r>
              <w:rPr>
                <w:sz w:val="17"/>
              </w:rPr>
              <w:t>Base Económica Total</w:t>
            </w:r>
          </w:p>
        </w:tc>
        <w:tc>
          <w:tcPr>
            <w:tcW w:type="dxa" w:w="1958"/>
            <w:tcMar>
              <w:top w:w="60" w:type="dxa"/>
              <w:bottom w:w="60" w:type="dxa"/>
              <w:left w:w="100" w:type="dxa"/>
              <w:right w:w="100" w:type="dxa"/>
            </w:tcMar>
          </w:tcPr>
          <w:p>
            <w:r>
              <w:rPr>
                <w:sz w:val="17"/>
              </w:rPr>
              <w:t>Base de capital honesta que absorbe las inversiones en I+D.</w:t>
            </w:r>
          </w:p>
        </w:tc>
      </w:tr>
      <w:tr>
        <w:tc>
          <w:tcPr>
            <w:tcW w:type="dxa" w:w="1958"/>
            <w:tcMar>
              <w:top w:w="60" w:type="dxa"/>
              <w:bottom w:w="60" w:type="dxa"/>
              <w:left w:w="100" w:type="dxa"/>
              <w:right w:w="100" w:type="dxa"/>
            </w:tcMar>
            <w:shd w:fill="F7FAFC"/>
            <w:shd w:fill="E2EFDA"/>
          </w:tcPr>
          <w:p>
            <w:r>
              <w:rPr>
                <w:b/>
                <w:sz w:val="17"/>
              </w:rPr>
              <w:t>Retorno Reconstituido</w:t>
            </w:r>
          </w:p>
        </w:tc>
        <w:tc>
          <w:tcPr>
            <w:tcW w:type="dxa" w:w="1958"/>
            <w:tcMar>
              <w:top w:w="60" w:type="dxa"/>
              <w:bottom w:w="60" w:type="dxa"/>
              <w:left w:w="100" w:type="dxa"/>
              <w:right w:w="100" w:type="dxa"/>
            </w:tcMar>
            <w:shd w:fill="F7FAFC"/>
            <w:shd w:fill="E2EFDA"/>
          </w:tcPr>
          <w:p>
            <w:r>
              <w:rPr>
                <w:b/>
                <w:sz w:val="17"/>
              </w:rPr>
              <w:t>ROIC Ajustado por Intangibles</w:t>
            </w:r>
          </w:p>
        </w:tc>
        <w:tc>
          <w:tcPr>
            <w:tcW w:type="dxa" w:w="1958"/>
            <w:tcMar>
              <w:top w:w="60" w:type="dxa"/>
              <w:bottom w:w="60" w:type="dxa"/>
              <w:left w:w="100" w:type="dxa"/>
              <w:right w:w="100" w:type="dxa"/>
            </w:tcMar>
            <w:shd w:fill="F7FAFC"/>
            <w:shd w:fill="E2EFDA"/>
          </w:tcPr>
          <w:p>
            <w:r>
              <w:rPr>
                <w:b/>
                <w:sz w:val="17"/>
              </w:rPr>
              <w:t>50.06%</w:t>
            </w:r>
          </w:p>
        </w:tc>
        <w:tc>
          <w:tcPr>
            <w:tcW w:type="dxa" w:w="1958"/>
            <w:tcMar>
              <w:top w:w="60" w:type="dxa"/>
              <w:bottom w:w="60" w:type="dxa"/>
              <w:left w:w="100" w:type="dxa"/>
              <w:right w:w="100" w:type="dxa"/>
            </w:tcMar>
            <w:shd w:fill="F7FAFC"/>
            <w:shd w:fill="E2EFDA"/>
          </w:tcPr>
          <w:p>
            <w:r>
              <w:rPr>
                <w:b/>
                <w:sz w:val="17"/>
              </w:rPr>
              <w:t>Mediana Sector (18.30%)</w:t>
            </w:r>
          </w:p>
        </w:tc>
        <w:tc>
          <w:tcPr>
            <w:tcW w:type="dxa" w:w="1958"/>
            <w:tcMar>
              <w:top w:w="60" w:type="dxa"/>
              <w:bottom w:w="60" w:type="dxa"/>
              <w:left w:w="100" w:type="dxa"/>
              <w:right w:w="100" w:type="dxa"/>
            </w:tcMar>
            <w:shd w:fill="F7FAFC"/>
            <w:shd w:fill="E2EFDA"/>
          </w:tcPr>
          <w:p>
            <w:r>
              <w:rPr>
                <w:b/>
                <w:sz w:val="17"/>
              </w:rPr>
              <w:t>Retorno real sobre capital total invertido en el negocio.</w:t>
            </w:r>
          </w:p>
        </w:tc>
      </w:tr>
      <w:tr>
        <w:tc>
          <w:tcPr>
            <w:tcW w:type="dxa" w:w="1958"/>
            <w:tcMar>
              <w:top w:w="60" w:type="dxa"/>
              <w:bottom w:w="60" w:type="dxa"/>
              <w:left w:w="100" w:type="dxa"/>
              <w:right w:w="100" w:type="dxa"/>
            </w:tcMar>
            <w:shd w:fill="E2EFDA"/>
          </w:tcPr>
          <w:p>
            <w:r>
              <w:rPr>
                <w:b/>
                <w:sz w:val="17"/>
              </w:rPr>
              <w:t>Creación de Valor (EVA)</w:t>
            </w:r>
          </w:p>
        </w:tc>
        <w:tc>
          <w:tcPr>
            <w:tcW w:type="dxa" w:w="1958"/>
            <w:tcMar>
              <w:top w:w="60" w:type="dxa"/>
              <w:bottom w:w="60" w:type="dxa"/>
              <w:left w:w="100" w:type="dxa"/>
              <w:right w:w="100" w:type="dxa"/>
            </w:tcMar>
            <w:shd w:fill="E2EFDA"/>
          </w:tcPr>
          <w:p>
            <w:r>
              <w:rPr>
                <w:b/>
                <w:sz w:val="17"/>
              </w:rPr>
              <w:t>Spread Económico Neto</w:t>
            </w:r>
          </w:p>
        </w:tc>
        <w:tc>
          <w:tcPr>
            <w:tcW w:type="dxa" w:w="1958"/>
            <w:tcMar>
              <w:top w:w="60" w:type="dxa"/>
              <w:bottom w:w="60" w:type="dxa"/>
              <w:left w:w="100" w:type="dxa"/>
              <w:right w:w="100" w:type="dxa"/>
            </w:tcMar>
            <w:shd w:fill="E2EFDA"/>
          </w:tcPr>
          <w:p>
            <w:r>
              <w:rPr>
                <w:b/>
                <w:sz w:val="17"/>
              </w:rPr>
              <w:t>+39.87 p.p.</w:t>
            </w:r>
          </w:p>
        </w:tc>
        <w:tc>
          <w:tcPr>
            <w:tcW w:type="dxa" w:w="1958"/>
            <w:tcMar>
              <w:top w:w="60" w:type="dxa"/>
              <w:bottom w:w="60" w:type="dxa"/>
              <w:left w:w="100" w:type="dxa"/>
              <w:right w:w="100" w:type="dxa"/>
            </w:tcMar>
            <w:shd w:fill="E2EFDA"/>
          </w:tcPr>
          <w:p>
            <w:r>
              <w:rPr>
                <w:b/>
                <w:sz w:val="17"/>
              </w:rPr>
              <w:t>Mediana Sector (+9.20 p.p.)</w:t>
            </w:r>
          </w:p>
        </w:tc>
        <w:tc>
          <w:tcPr>
            <w:tcW w:type="dxa" w:w="1958"/>
            <w:tcMar>
              <w:top w:w="60" w:type="dxa"/>
              <w:bottom w:w="60" w:type="dxa"/>
              <w:left w:w="100" w:type="dxa"/>
              <w:right w:w="100" w:type="dxa"/>
            </w:tcMar>
            <w:shd w:fill="E2EFDA"/>
          </w:tcPr>
          <w:p>
            <w:r>
              <w:rPr>
                <w:b/>
                <w:sz w:val="17"/>
              </w:rPr>
              <w:t>Extraordinaria generación de riqueza neta sobre el coste de capital.</w:t>
            </w:r>
          </w:p>
        </w:tc>
      </w:tr>
      <w:tr>
        <w:tc>
          <w:tcPr>
            <w:tcW w:type="dxa" w:w="1958"/>
            <w:tcMar>
              <w:top w:w="60" w:type="dxa"/>
              <w:bottom w:w="60" w:type="dxa"/>
              <w:left w:w="100" w:type="dxa"/>
              <w:right w:w="100" w:type="dxa"/>
            </w:tcMar>
            <w:shd w:fill="F7FAFC"/>
          </w:tcPr>
          <w:p>
            <w:r>
              <w:rPr>
                <w:sz w:val="17"/>
              </w:rPr>
              <w:t>Creación de Valor (EVA)</w:t>
            </w:r>
          </w:p>
        </w:tc>
        <w:tc>
          <w:tcPr>
            <w:tcW w:type="dxa" w:w="1958"/>
            <w:tcMar>
              <w:top w:w="60" w:type="dxa"/>
              <w:bottom w:w="60" w:type="dxa"/>
              <w:left w:w="100" w:type="dxa"/>
              <w:right w:w="100" w:type="dxa"/>
            </w:tcMar>
            <w:shd w:fill="F7FAFC"/>
          </w:tcPr>
          <w:p>
            <w:r>
              <w:rPr>
                <w:b/>
                <w:sz w:val="17"/>
              </w:rPr>
              <w:t>Dictamen Foso Defensivo</w:t>
            </w:r>
          </w:p>
        </w:tc>
        <w:tc>
          <w:tcPr>
            <w:tcW w:type="dxa" w:w="1958"/>
            <w:tcMar>
              <w:top w:w="60" w:type="dxa"/>
              <w:bottom w:w="60" w:type="dxa"/>
              <w:left w:w="100" w:type="dxa"/>
              <w:right w:w="100" w:type="dxa"/>
            </w:tcMar>
            <w:shd w:fill="F7FAFC"/>
          </w:tcPr>
          <w:p>
            <w:r>
              <w:rPr>
                <w:b/>
                <w:sz w:val="17"/>
              </w:rPr>
              <w:t>🏰 WIDE MOAT / COMPOUNDING MACHINE</w:t>
            </w:r>
          </w:p>
        </w:tc>
        <w:tc>
          <w:tcPr>
            <w:tcW w:type="dxa" w:w="1958"/>
            <w:tcMar>
              <w:top w:w="60" w:type="dxa"/>
              <w:bottom w:w="60" w:type="dxa"/>
              <w:left w:w="100" w:type="dxa"/>
              <w:right w:w="100" w:type="dxa"/>
            </w:tcMar>
            <w:shd w:fill="F7FAFC"/>
          </w:tcPr>
          <w:p>
            <w:r>
              <w:rPr>
                <w:sz w:val="17"/>
              </w:rPr>
              <w:t>Compounding Machine</w:t>
            </w:r>
          </w:p>
        </w:tc>
        <w:tc>
          <w:tcPr>
            <w:tcW w:type="dxa" w:w="1958"/>
            <w:tcMar>
              <w:top w:w="60" w:type="dxa"/>
              <w:bottom w:w="60" w:type="dxa"/>
              <w:left w:w="100" w:type="dxa"/>
              <w:right w:w="100" w:type="dxa"/>
            </w:tcMar>
            <w:shd w:fill="F7FAFC"/>
          </w:tcPr>
          <w:p>
            <w:r>
              <w:rPr>
                <w:sz w:val="17"/>
              </w:rPr>
              <w:t>Fortaleza estructural inquebrantable de largo plazo.</w:t>
            </w:r>
          </w:p>
        </w:tc>
      </w:tr>
    </w:tbl>
    <w:p/>
    <w:p>
      <w:pPr>
        <w:pStyle w:val="Heading1"/>
        <w:spacing w:before="280" w:after="80"/>
      </w:pPr>
      <w:r>
        <w:rPr>
          <w:rFonts w:ascii="Calibri" w:hAnsi="Calibri"/>
          <w:b/>
          <w:color w:val="1B365D"/>
          <w:sz w:val="28"/>
        </w:rPr>
        <w:t>12. Auditoría Forense Contable y Calidad de Beneficios (Detección de Trampas Contables)</w:t>
      </w:r>
    </w:p>
    <w:p>
      <w:pPr>
        <w:spacing w:before="80" w:after="160"/>
        <w:ind w:left="288" w:right="288"/>
      </w:pPr>
      <w:r>
        <w:rPr>
          <w:rFonts w:ascii="Calibri" w:hAnsi="Calibri"/>
          <w:b/>
          <w:color w:val="1B365D"/>
          <w:sz w:val="21"/>
        </w:rPr>
        <w:t>DICTAMEN FORENSE INSTITUCIONAL (LTM): MÁXIMA CALIDAD CONTABLE</w:t>
        <w:br/>
      </w:r>
      <w:r>
        <w:rPr>
          <w:rFonts w:ascii="Calibri" w:hAnsi="Calibri"/>
          <w:color w:val="2D3748"/>
          <w:sz w:val="19"/>
        </w:rPr>
        <w:t>• Ratio Sloan de Devengos: -4.79% [ALTA CONVERSIÓN DE CAJA (CFO &gt; NI)]</w:t>
        <w:br/>
        <w:t>• Montier C-Score: 2 / 6 [RIESGO MODERADO / ALERTA PREVENTIVA (&lt; 25% RIESGO MODERADO)]</w:t>
        <w:br/>
        <w:t>• Dictamen: CALIDAD DE BENEFICIOS EXCEPCIONAL (GRADO INSTITUCIONAL): Conversión de efectivo sobresaliente (Ratio Sloan: -4.79%, CFO &gt; Utilidad Neta), devengos negativos que suprimen riesgo de inflación contable y Montier C-Score de 2/6 que descarta maniobras de manipulación deliberada.</w:t>
      </w:r>
    </w:p>
    <w:p>
      <w:pPr>
        <w:spacing w:after="120"/>
      </w:pPr>
      <w:r>
        <w:rPr>
          <w:rFonts w:ascii="Calibri" w:hAnsi="Calibri"/>
          <w:color w:val="2D3748"/>
          <w:sz w:val="19"/>
        </w:rPr>
        <w:t>A fin de verificar la autenticidad intrínseca de las ganancias reportadas ante los reguladores (SEC) y descartar de forma exhaustiva el riesgo de 'beneficios de papel', inflación artificial de márgenes o reconocimiento agresivo de ventas, se auditan tres instrumentos cuantitativos especializados no redundantes: el Ratio de Devengos de Sloan (1996), la Matriz de Divergencias de Alerta Temprana en balance y el Montier C-Score (2008).</w:t>
      </w:r>
    </w:p>
    <w:p>
      <w:pPr>
        <w:pStyle w:val="Heading2"/>
      </w:pPr>
      <w:r>
        <w:rPr>
          <w:rFonts w:ascii="Calibri" w:hAnsi="Calibri"/>
          <w:b/>
          <w:color w:val="1B365D"/>
          <w:sz w:val="23"/>
        </w:rPr>
        <w:t>12.1. Ratio de Devengos de Sloan (The Accrual Anomaly)</w:t>
      </w:r>
    </w:p>
    <w:p>
      <w:pPr>
        <w:spacing w:after="120"/>
      </w:pPr>
      <w:r>
        <w:rPr>
          <w:rFonts w:ascii="Calibri" w:hAnsi="Calibri"/>
          <w:color w:val="2D3748"/>
          <w:sz w:val="18"/>
        </w:rPr>
        <w:t>El profesor Richard Sloan (University of Michigan, 1996) demostró que los beneficios contables generados mediante asientos de ajuste o partidas no monetarias exhiben una persistencia temporal muy inferior a las ganancias respaldadas por cobros efectivos. Un ratio de devengos negativo —donde el flujo de caja operativo supera a la utilidad neta— constituye un foso de máxima calidad contable:</w:t>
        <w:br/>
        <w:t>Sloan Accrual Ratio = (Utilidad Neta GAAP − Flujo de Caja Operativo CFO) / Activos Totales Promedio</w:t>
        <w:br/>
        <w:t>• &lt; -3.0%: Excelente / Calidad Superior  |  • -3.0% a +7.0%: Rango Saludable  |  • +7.0% a +10.0%: Precaución  |  • &gt; +10.0%: Alerta Roja</w:t>
      </w:r>
    </w:p>
    <w:tbl>
      <w:tblPr>
        <w:tblW w:type="auto" w:w="0"/>
        <w:jc w:val="center"/>
        <w:tblLook w:firstColumn="1" w:firstRow="1" w:lastColumn="0" w:lastRow="0" w:noHBand="0" w:noVBand="1" w:val="04A0"/>
        <w:tblBorders>
          <w:top w:val="single" w:sz="6" w:space="0" w:color="D2D6DC"/>
          <w:left w:val="none"/>
          <w:bottom w:val="single" w:sz="10" w:space="0" w:color="1B365D"/>
          <w:right w:val="none"/>
          <w:insideH w:val="single" w:sz="4" w:space="0" w:color="D2D6DC"/>
          <w:insideV w:val="none"/>
        </w:tblBorders>
      </w:tblPr>
      <w:tblGrid>
        <w:gridCol w:w="2592"/>
        <w:gridCol w:w="1094"/>
        <w:gridCol w:w="1094"/>
        <w:gridCol w:w="1094"/>
        <w:gridCol w:w="1094"/>
        <w:gridCol w:w="1094"/>
        <w:gridCol w:w="1728"/>
      </w:tblGrid>
      <w:tr>
        <w:tc>
          <w:tcPr>
            <w:tcW w:type="dxa" w:w="2592"/>
            <w:shd w:fill="1B365D"/>
            <w:tcMar>
              <w:top w:w="80" w:type="dxa"/>
              <w:bottom w:w="80" w:type="dxa"/>
              <w:left w:w="80" w:type="dxa"/>
              <w:right w:w="80" w:type="dxa"/>
            </w:tcMar>
          </w:tcPr>
          <w:p>
            <w:pPr>
              <w:jc w:val="left"/>
            </w:pPr>
            <w:r>
              <w:rPr>
                <w:rFonts w:ascii="Calibri" w:hAnsi="Calibri"/>
                <w:b/>
                <w:color w:val="FFFFFF"/>
                <w:sz w:val="17"/>
              </w:rPr>
              <w:t>Métrica Contable Forense</w:t>
            </w:r>
          </w:p>
        </w:tc>
        <w:tc>
          <w:tcPr>
            <w:tcW w:type="dxa" w:w="1094"/>
            <w:shd w:fill="0A3641"/>
            <w:tcMar>
              <w:top w:w="80" w:type="dxa"/>
              <w:bottom w:w="80" w:type="dxa"/>
              <w:left w:w="80" w:type="dxa"/>
              <w:right w:w="80" w:type="dxa"/>
            </w:tcMar>
          </w:tcPr>
          <w:p>
            <w:pPr>
              <w:jc w:val="center"/>
            </w:pPr>
            <w:r>
              <w:rPr>
                <w:rFonts w:ascii="Calibri" w:hAnsi="Calibri"/>
                <w:b/>
                <w:color w:val="FFD700"/>
                <w:sz w:val="17"/>
              </w:rPr>
              <w:t>LTM</w:t>
            </w:r>
          </w:p>
        </w:tc>
        <w:tc>
          <w:tcPr>
            <w:tcW w:type="dxa" w:w="1094"/>
            <w:shd w:fill="1B365D"/>
            <w:tcMar>
              <w:top w:w="80" w:type="dxa"/>
              <w:bottom w:w="80" w:type="dxa"/>
              <w:left w:w="80" w:type="dxa"/>
              <w:right w:w="80" w:type="dxa"/>
            </w:tcMar>
          </w:tcPr>
          <w:p>
            <w:pPr>
              <w:jc w:val="center"/>
            </w:pPr>
            <w:r>
              <w:rPr>
                <w:rFonts w:ascii="Calibri" w:hAnsi="Calibri"/>
                <w:b/>
                <w:color w:val="FFFFFF"/>
                <w:sz w:val="17"/>
              </w:rPr>
              <w:t>FY2025</w:t>
            </w:r>
          </w:p>
        </w:tc>
        <w:tc>
          <w:tcPr>
            <w:tcW w:type="dxa" w:w="1094"/>
            <w:shd w:fill="1B365D"/>
            <w:tcMar>
              <w:top w:w="80" w:type="dxa"/>
              <w:bottom w:w="80" w:type="dxa"/>
              <w:left w:w="80" w:type="dxa"/>
              <w:right w:w="80" w:type="dxa"/>
            </w:tcMar>
          </w:tcPr>
          <w:p>
            <w:pPr>
              <w:jc w:val="center"/>
            </w:pPr>
            <w:r>
              <w:rPr>
                <w:rFonts w:ascii="Calibri" w:hAnsi="Calibri"/>
                <w:b/>
                <w:color w:val="FFFFFF"/>
                <w:sz w:val="17"/>
              </w:rPr>
              <w:t>FY2024</w:t>
            </w:r>
          </w:p>
        </w:tc>
        <w:tc>
          <w:tcPr>
            <w:tcW w:type="dxa" w:w="1094"/>
            <w:shd w:fill="1B365D"/>
            <w:tcMar>
              <w:top w:w="80" w:type="dxa"/>
              <w:bottom w:w="80" w:type="dxa"/>
              <w:left w:w="80" w:type="dxa"/>
              <w:right w:w="80" w:type="dxa"/>
            </w:tcMar>
          </w:tcPr>
          <w:p>
            <w:pPr>
              <w:jc w:val="center"/>
            </w:pPr>
            <w:r>
              <w:rPr>
                <w:rFonts w:ascii="Calibri" w:hAnsi="Calibri"/>
                <w:b/>
                <w:color w:val="FFFFFF"/>
                <w:sz w:val="17"/>
              </w:rPr>
              <w:t>FY2023</w:t>
            </w:r>
          </w:p>
        </w:tc>
        <w:tc>
          <w:tcPr>
            <w:tcW w:type="dxa" w:w="1094"/>
            <w:shd w:fill="1B365D"/>
            <w:tcMar>
              <w:top w:w="80" w:type="dxa"/>
              <w:bottom w:w="80" w:type="dxa"/>
              <w:left w:w="80" w:type="dxa"/>
              <w:right w:w="80" w:type="dxa"/>
            </w:tcMar>
          </w:tcPr>
          <w:p>
            <w:pPr>
              <w:jc w:val="center"/>
            </w:pPr>
            <w:r>
              <w:rPr>
                <w:rFonts w:ascii="Calibri" w:hAnsi="Calibri"/>
                <w:b/>
                <w:color w:val="FFFFFF"/>
                <w:sz w:val="17"/>
              </w:rPr>
              <w:t>FY2022</w:t>
            </w:r>
          </w:p>
        </w:tc>
        <w:tc>
          <w:tcPr>
            <w:tcW w:type="dxa" w:w="1728"/>
            <w:shd w:fill="1B365D"/>
            <w:tcMar>
              <w:top w:w="80" w:type="dxa"/>
              <w:bottom w:w="80" w:type="dxa"/>
              <w:left w:w="80" w:type="dxa"/>
              <w:right w:w="80" w:type="dxa"/>
            </w:tcMar>
          </w:tcPr>
          <w:p>
            <w:pPr>
              <w:jc w:val="center"/>
            </w:pPr>
            <w:r>
              <w:rPr>
                <w:rFonts w:ascii="Calibri" w:hAnsi="Calibri"/>
                <w:b/>
                <w:color w:val="FFFFFF"/>
                <w:sz w:val="17"/>
              </w:rPr>
              <w:t>Umbral Institucional</w:t>
            </w:r>
          </w:p>
        </w:tc>
      </w:tr>
      <w:tr>
        <w:tc>
          <w:tcPr>
            <w:tcW w:type="dxa" w:w="2592"/>
            <w:tcMar>
              <w:top w:w="60" w:type="dxa"/>
              <w:bottom w:w="60" w:type="dxa"/>
              <w:left w:w="80" w:type="dxa"/>
              <w:right w:w="80" w:type="dxa"/>
            </w:tcMar>
          </w:tcPr>
          <w:p>
            <w:r>
              <w:rPr>
                <w:rFonts w:ascii="Calibri" w:hAnsi="Calibri"/>
                <w:b w:val="0"/>
                <w:sz w:val="17"/>
              </w:rPr>
              <w:t>(+) Utilidad Neta GAAP ($M)</w:t>
            </w:r>
          </w:p>
        </w:tc>
        <w:tc>
          <w:tcPr>
            <w:tcW w:type="dxa" w:w="1094"/>
            <w:tcMar>
              <w:top w:w="60" w:type="dxa"/>
              <w:bottom w:w="60" w:type="dxa"/>
              <w:left w:w="60" w:type="dxa"/>
              <w:right w:w="60" w:type="dxa"/>
            </w:tcMar>
          </w:tcPr>
          <w:p>
            <w:pPr>
              <w:jc w:val="right"/>
            </w:pPr>
            <w:r>
              <w:rPr>
                <w:rFonts w:ascii="Calibri" w:hAnsi="Calibri"/>
                <w:b w:val="0"/>
                <w:sz w:val="17"/>
              </w:rPr>
              <w:t>$128,930.0M</w:t>
            </w:r>
          </w:p>
        </w:tc>
        <w:tc>
          <w:tcPr>
            <w:tcW w:type="dxa" w:w="1094"/>
            <w:tcMar>
              <w:top w:w="60" w:type="dxa"/>
              <w:bottom w:w="60" w:type="dxa"/>
              <w:left w:w="60" w:type="dxa"/>
              <w:right w:w="60" w:type="dxa"/>
            </w:tcMar>
          </w:tcPr>
          <w:p>
            <w:pPr>
              <w:jc w:val="right"/>
            </w:pPr>
            <w:r>
              <w:rPr>
                <w:rFonts w:ascii="Calibri" w:hAnsi="Calibri"/>
                <w:b w:val="0"/>
                <w:sz w:val="17"/>
              </w:rPr>
              <w:t>$112,010.0M</w:t>
            </w:r>
          </w:p>
        </w:tc>
        <w:tc>
          <w:tcPr>
            <w:tcW w:type="dxa" w:w="1094"/>
            <w:tcMar>
              <w:top w:w="60" w:type="dxa"/>
              <w:bottom w:w="60" w:type="dxa"/>
              <w:left w:w="60" w:type="dxa"/>
              <w:right w:w="60" w:type="dxa"/>
            </w:tcMar>
          </w:tcPr>
          <w:p>
            <w:pPr>
              <w:jc w:val="right"/>
            </w:pPr>
            <w:r>
              <w:rPr>
                <w:rFonts w:ascii="Calibri" w:hAnsi="Calibri"/>
                <w:b w:val="0"/>
                <w:sz w:val="17"/>
              </w:rPr>
              <w:t>$93,736.0M</w:t>
            </w:r>
          </w:p>
        </w:tc>
        <w:tc>
          <w:tcPr>
            <w:tcW w:type="dxa" w:w="1094"/>
            <w:tcMar>
              <w:top w:w="60" w:type="dxa"/>
              <w:bottom w:w="60" w:type="dxa"/>
              <w:left w:w="60" w:type="dxa"/>
              <w:right w:w="60" w:type="dxa"/>
            </w:tcMar>
          </w:tcPr>
          <w:p>
            <w:pPr>
              <w:jc w:val="right"/>
            </w:pPr>
            <w:r>
              <w:rPr>
                <w:rFonts w:ascii="Calibri" w:hAnsi="Calibri"/>
                <w:b w:val="0"/>
                <w:sz w:val="17"/>
              </w:rPr>
              <w:t>$96,995.0M</w:t>
            </w:r>
          </w:p>
        </w:tc>
        <w:tc>
          <w:tcPr>
            <w:tcW w:type="dxa" w:w="1094"/>
            <w:tcMar>
              <w:top w:w="60" w:type="dxa"/>
              <w:bottom w:w="60" w:type="dxa"/>
              <w:left w:w="60" w:type="dxa"/>
              <w:right w:w="60" w:type="dxa"/>
            </w:tcMar>
          </w:tcPr>
          <w:p>
            <w:pPr>
              <w:jc w:val="right"/>
            </w:pPr>
            <w:r>
              <w:rPr>
                <w:rFonts w:ascii="Calibri" w:hAnsi="Calibri"/>
                <w:b w:val="0"/>
                <w:sz w:val="17"/>
              </w:rPr>
              <w:t>$99,803.0M</w:t>
            </w:r>
          </w:p>
        </w:tc>
        <w:tc>
          <w:tcPr>
            <w:tcW w:type="dxa" w:w="1728"/>
            <w:tcMar>
              <w:top w:w="60" w:type="dxa"/>
              <w:bottom w:w="60" w:type="dxa"/>
              <w:left w:w="60" w:type="dxa"/>
              <w:right w:w="60" w:type="dxa"/>
            </w:tcMar>
          </w:tcPr>
          <w:p>
            <w:pPr>
              <w:jc w:val="center"/>
            </w:pPr>
            <w:r>
              <w:rPr>
                <w:rFonts w:ascii="Calibri" w:hAnsi="Calibri"/>
                <w:i/>
                <w:sz w:val="17"/>
              </w:rPr>
              <w:t>Base Devengada</w:t>
            </w:r>
          </w:p>
        </w:tc>
      </w:tr>
      <w:tr>
        <w:tc>
          <w:tcPr>
            <w:tcW w:type="dxa" w:w="2592"/>
            <w:tcMar>
              <w:top w:w="60" w:type="dxa"/>
              <w:bottom w:w="60" w:type="dxa"/>
              <w:left w:w="80" w:type="dxa"/>
              <w:right w:w="80" w:type="dxa"/>
            </w:tcMar>
          </w:tcPr>
          <w:p>
            <w:r>
              <w:rPr>
                <w:rFonts w:ascii="Calibri" w:hAnsi="Calibri"/>
                <w:b w:val="0"/>
                <w:sz w:val="17"/>
              </w:rPr>
              <w:t>(-) Flujo Operativo CFO ($M)</w:t>
            </w:r>
          </w:p>
        </w:tc>
        <w:tc>
          <w:tcPr>
            <w:tcW w:type="dxa" w:w="1094"/>
            <w:tcMar>
              <w:top w:w="60" w:type="dxa"/>
              <w:bottom w:w="60" w:type="dxa"/>
              <w:left w:w="60" w:type="dxa"/>
              <w:right w:w="60" w:type="dxa"/>
            </w:tcMar>
          </w:tcPr>
          <w:p>
            <w:pPr>
              <w:jc w:val="right"/>
            </w:pPr>
            <w:r>
              <w:rPr>
                <w:rFonts w:ascii="Calibri" w:hAnsi="Calibri"/>
                <w:b w:val="0"/>
                <w:sz w:val="17"/>
              </w:rPr>
              <w:t>$146,724.0M</w:t>
            </w:r>
          </w:p>
        </w:tc>
        <w:tc>
          <w:tcPr>
            <w:tcW w:type="dxa" w:w="1094"/>
            <w:tcMar>
              <w:top w:w="60" w:type="dxa"/>
              <w:bottom w:w="60" w:type="dxa"/>
              <w:left w:w="60" w:type="dxa"/>
              <w:right w:w="60" w:type="dxa"/>
            </w:tcMar>
          </w:tcPr>
          <w:p>
            <w:pPr>
              <w:jc w:val="right"/>
            </w:pPr>
            <w:r>
              <w:rPr>
                <w:rFonts w:ascii="Calibri" w:hAnsi="Calibri"/>
                <w:b w:val="0"/>
                <w:sz w:val="17"/>
              </w:rPr>
              <w:t>$111,482.0M</w:t>
            </w:r>
          </w:p>
        </w:tc>
        <w:tc>
          <w:tcPr>
            <w:tcW w:type="dxa" w:w="1094"/>
            <w:tcMar>
              <w:top w:w="60" w:type="dxa"/>
              <w:bottom w:w="60" w:type="dxa"/>
              <w:left w:w="60" w:type="dxa"/>
              <w:right w:w="60" w:type="dxa"/>
            </w:tcMar>
          </w:tcPr>
          <w:p>
            <w:pPr>
              <w:jc w:val="right"/>
            </w:pPr>
            <w:r>
              <w:rPr>
                <w:rFonts w:ascii="Calibri" w:hAnsi="Calibri"/>
                <w:b w:val="0"/>
                <w:sz w:val="17"/>
              </w:rPr>
              <w:t>$118,254.0M</w:t>
            </w:r>
          </w:p>
        </w:tc>
        <w:tc>
          <w:tcPr>
            <w:tcW w:type="dxa" w:w="1094"/>
            <w:tcMar>
              <w:top w:w="60" w:type="dxa"/>
              <w:bottom w:w="60" w:type="dxa"/>
              <w:left w:w="60" w:type="dxa"/>
              <w:right w:w="60" w:type="dxa"/>
            </w:tcMar>
          </w:tcPr>
          <w:p>
            <w:pPr>
              <w:jc w:val="right"/>
            </w:pPr>
            <w:r>
              <w:rPr>
                <w:rFonts w:ascii="Calibri" w:hAnsi="Calibri"/>
                <w:b w:val="0"/>
                <w:sz w:val="17"/>
              </w:rPr>
              <w:t>$110,543.0M</w:t>
            </w:r>
          </w:p>
        </w:tc>
        <w:tc>
          <w:tcPr>
            <w:tcW w:type="dxa" w:w="1094"/>
            <w:tcMar>
              <w:top w:w="60" w:type="dxa"/>
              <w:bottom w:w="60" w:type="dxa"/>
              <w:left w:w="60" w:type="dxa"/>
              <w:right w:w="60" w:type="dxa"/>
            </w:tcMar>
          </w:tcPr>
          <w:p>
            <w:pPr>
              <w:jc w:val="right"/>
            </w:pPr>
            <w:r>
              <w:rPr>
                <w:rFonts w:ascii="Calibri" w:hAnsi="Calibri"/>
                <w:b w:val="0"/>
                <w:sz w:val="17"/>
              </w:rPr>
              <w:t>$122,151.0M</w:t>
            </w:r>
          </w:p>
        </w:tc>
        <w:tc>
          <w:tcPr>
            <w:tcW w:type="dxa" w:w="1728"/>
            <w:tcMar>
              <w:top w:w="60" w:type="dxa"/>
              <w:bottom w:w="60" w:type="dxa"/>
              <w:left w:w="60" w:type="dxa"/>
              <w:right w:w="60" w:type="dxa"/>
            </w:tcMar>
          </w:tcPr>
          <w:p>
            <w:pPr>
              <w:jc w:val="center"/>
            </w:pPr>
            <w:r>
              <w:rPr>
                <w:rFonts w:ascii="Calibri" w:hAnsi="Calibri"/>
                <w:i/>
                <w:sz w:val="17"/>
              </w:rPr>
              <w:t>Caja Líquida Real</w:t>
            </w:r>
          </w:p>
        </w:tc>
      </w:tr>
      <w:tr>
        <w:tc>
          <w:tcPr>
            <w:tcW w:type="dxa" w:w="2592"/>
            <w:tcMar>
              <w:top w:w="60" w:type="dxa"/>
              <w:bottom w:w="60" w:type="dxa"/>
              <w:left w:w="80" w:type="dxa"/>
              <w:right w:w="80" w:type="dxa"/>
            </w:tcMar>
          </w:tcPr>
          <w:p>
            <w:r>
              <w:rPr>
                <w:rFonts w:ascii="Calibri" w:hAnsi="Calibri"/>
                <w:b/>
                <w:sz w:val="17"/>
              </w:rPr>
              <w:t>(=) Devengos Totales (NI − CFO)</w:t>
            </w:r>
          </w:p>
        </w:tc>
        <w:tc>
          <w:tcPr>
            <w:tcW w:type="dxa" w:w="1094"/>
            <w:tcMar>
              <w:top w:w="60" w:type="dxa"/>
              <w:bottom w:w="60" w:type="dxa"/>
              <w:left w:w="60" w:type="dxa"/>
              <w:right w:w="60" w:type="dxa"/>
            </w:tcMar>
          </w:tcPr>
          <w:p>
            <w:pPr>
              <w:jc w:val="right"/>
            </w:pPr>
            <w:r>
              <w:rPr>
                <w:rFonts w:ascii="Calibri" w:hAnsi="Calibri"/>
                <w:b/>
                <w:sz w:val="17"/>
              </w:rPr>
              <w:t>$-17,794.0M</w:t>
            </w:r>
          </w:p>
        </w:tc>
        <w:tc>
          <w:tcPr>
            <w:tcW w:type="dxa" w:w="1094"/>
            <w:tcMar>
              <w:top w:w="60" w:type="dxa"/>
              <w:bottom w:w="60" w:type="dxa"/>
              <w:left w:w="60" w:type="dxa"/>
              <w:right w:w="60" w:type="dxa"/>
            </w:tcMar>
          </w:tcPr>
          <w:p>
            <w:pPr>
              <w:jc w:val="right"/>
            </w:pPr>
            <w:r>
              <w:rPr>
                <w:rFonts w:ascii="Calibri" w:hAnsi="Calibri"/>
                <w:b/>
                <w:sz w:val="17"/>
              </w:rPr>
              <w:t>$+528.0M</w:t>
            </w:r>
          </w:p>
        </w:tc>
        <w:tc>
          <w:tcPr>
            <w:tcW w:type="dxa" w:w="1094"/>
            <w:tcMar>
              <w:top w:w="60" w:type="dxa"/>
              <w:bottom w:w="60" w:type="dxa"/>
              <w:left w:w="60" w:type="dxa"/>
              <w:right w:w="60" w:type="dxa"/>
            </w:tcMar>
          </w:tcPr>
          <w:p>
            <w:pPr>
              <w:jc w:val="right"/>
            </w:pPr>
            <w:r>
              <w:rPr>
                <w:rFonts w:ascii="Calibri" w:hAnsi="Calibri"/>
                <w:b/>
                <w:sz w:val="17"/>
              </w:rPr>
              <w:t>$-24,518.0M</w:t>
            </w:r>
          </w:p>
        </w:tc>
        <w:tc>
          <w:tcPr>
            <w:tcW w:type="dxa" w:w="1094"/>
            <w:tcMar>
              <w:top w:w="60" w:type="dxa"/>
              <w:bottom w:w="60" w:type="dxa"/>
              <w:left w:w="60" w:type="dxa"/>
              <w:right w:w="60" w:type="dxa"/>
            </w:tcMar>
          </w:tcPr>
          <w:p>
            <w:pPr>
              <w:jc w:val="right"/>
            </w:pPr>
            <w:r>
              <w:rPr>
                <w:rFonts w:ascii="Calibri" w:hAnsi="Calibri"/>
                <w:b/>
                <w:sz w:val="17"/>
              </w:rPr>
              <w:t>$-13,548.0M</w:t>
            </w:r>
          </w:p>
        </w:tc>
        <w:tc>
          <w:tcPr>
            <w:tcW w:type="dxa" w:w="1094"/>
            <w:tcMar>
              <w:top w:w="60" w:type="dxa"/>
              <w:bottom w:w="60" w:type="dxa"/>
              <w:left w:w="60" w:type="dxa"/>
              <w:right w:w="60" w:type="dxa"/>
            </w:tcMar>
          </w:tcPr>
          <w:p>
            <w:pPr>
              <w:jc w:val="right"/>
            </w:pPr>
            <w:r>
              <w:rPr>
                <w:rFonts w:ascii="Calibri" w:hAnsi="Calibri"/>
                <w:b/>
                <w:sz w:val="17"/>
              </w:rPr>
              <w:t>$-22,348.0M</w:t>
            </w:r>
          </w:p>
        </w:tc>
        <w:tc>
          <w:tcPr>
            <w:tcW w:type="dxa" w:w="1728"/>
            <w:tcMar>
              <w:top w:w="60" w:type="dxa"/>
              <w:bottom w:w="60" w:type="dxa"/>
              <w:left w:w="60" w:type="dxa"/>
              <w:right w:w="60" w:type="dxa"/>
            </w:tcMar>
          </w:tcPr>
          <w:p>
            <w:pPr>
              <w:jc w:val="center"/>
            </w:pPr>
            <w:r>
              <w:rPr>
                <w:rFonts w:ascii="Calibri" w:hAnsi="Calibri"/>
                <w:i/>
                <w:sz w:val="17"/>
              </w:rPr>
              <w:t>CFO &gt; NI</w:t>
            </w:r>
          </w:p>
        </w:tc>
      </w:tr>
      <w:tr>
        <w:tc>
          <w:tcPr>
            <w:tcW w:type="dxa" w:w="2592"/>
            <w:tcMar>
              <w:top w:w="60" w:type="dxa"/>
              <w:bottom w:w="60" w:type="dxa"/>
              <w:left w:w="80" w:type="dxa"/>
              <w:right w:w="80" w:type="dxa"/>
            </w:tcMar>
          </w:tcPr>
          <w:p>
            <w:r>
              <w:rPr>
                <w:rFonts w:ascii="Calibri" w:hAnsi="Calibri"/>
                <w:b w:val="0"/>
                <w:sz w:val="17"/>
              </w:rPr>
              <w:t>Activos Totales Promedio ($M)</w:t>
            </w:r>
          </w:p>
        </w:tc>
        <w:tc>
          <w:tcPr>
            <w:tcW w:type="dxa" w:w="1094"/>
            <w:tcMar>
              <w:top w:w="60" w:type="dxa"/>
              <w:bottom w:w="60" w:type="dxa"/>
              <w:left w:w="60" w:type="dxa"/>
              <w:right w:w="60" w:type="dxa"/>
            </w:tcMar>
          </w:tcPr>
          <w:p>
            <w:pPr>
              <w:jc w:val="right"/>
            </w:pPr>
            <w:r>
              <w:rPr>
                <w:rFonts w:ascii="Calibri" w:hAnsi="Calibri"/>
                <w:b w:val="0"/>
                <w:sz w:val="17"/>
              </w:rPr>
              <w:t>$371,253.5M</w:t>
            </w:r>
          </w:p>
        </w:tc>
        <w:tc>
          <w:tcPr>
            <w:tcW w:type="dxa" w:w="1094"/>
            <w:tcMar>
              <w:top w:w="60" w:type="dxa"/>
              <w:bottom w:w="60" w:type="dxa"/>
              <w:left w:w="60" w:type="dxa"/>
              <w:right w:w="60" w:type="dxa"/>
            </w:tcMar>
          </w:tcPr>
          <w:p>
            <w:pPr>
              <w:jc w:val="right"/>
            </w:pPr>
            <w:r>
              <w:rPr>
                <w:rFonts w:ascii="Calibri" w:hAnsi="Calibri"/>
                <w:b w:val="0"/>
                <w:sz w:val="17"/>
              </w:rPr>
              <w:t>$362,110.5M</w:t>
            </w:r>
          </w:p>
        </w:tc>
        <w:tc>
          <w:tcPr>
            <w:tcW w:type="dxa" w:w="1094"/>
            <w:tcMar>
              <w:top w:w="60" w:type="dxa"/>
              <w:bottom w:w="60" w:type="dxa"/>
              <w:left w:w="60" w:type="dxa"/>
              <w:right w:w="60" w:type="dxa"/>
            </w:tcMar>
          </w:tcPr>
          <w:p>
            <w:pPr>
              <w:jc w:val="right"/>
            </w:pPr>
            <w:r>
              <w:rPr>
                <w:rFonts w:ascii="Calibri" w:hAnsi="Calibri"/>
                <w:b w:val="0"/>
                <w:sz w:val="17"/>
              </w:rPr>
              <w:t>$358,781.5M</w:t>
            </w:r>
          </w:p>
        </w:tc>
        <w:tc>
          <w:tcPr>
            <w:tcW w:type="dxa" w:w="1094"/>
            <w:tcMar>
              <w:top w:w="60" w:type="dxa"/>
              <w:bottom w:w="60" w:type="dxa"/>
              <w:left w:w="60" w:type="dxa"/>
              <w:right w:w="60" w:type="dxa"/>
            </w:tcMar>
          </w:tcPr>
          <w:p>
            <w:pPr>
              <w:jc w:val="right"/>
            </w:pPr>
            <w:r>
              <w:rPr>
                <w:rFonts w:ascii="Calibri" w:hAnsi="Calibri"/>
                <w:b w:val="0"/>
                <w:sz w:val="17"/>
              </w:rPr>
              <w:t>$352,669.0M</w:t>
            </w:r>
          </w:p>
        </w:tc>
        <w:tc>
          <w:tcPr>
            <w:tcW w:type="dxa" w:w="1094"/>
            <w:tcMar>
              <w:top w:w="60" w:type="dxa"/>
              <w:bottom w:w="60" w:type="dxa"/>
              <w:left w:w="60" w:type="dxa"/>
              <w:right w:w="60" w:type="dxa"/>
            </w:tcMar>
          </w:tcPr>
          <w:p>
            <w:pPr>
              <w:jc w:val="right"/>
            </w:pPr>
            <w:r>
              <w:rPr>
                <w:rFonts w:ascii="Calibri" w:hAnsi="Calibri"/>
                <w:b w:val="0"/>
                <w:sz w:val="17"/>
              </w:rPr>
              <w:t>$351,878.5M</w:t>
            </w:r>
          </w:p>
        </w:tc>
        <w:tc>
          <w:tcPr>
            <w:tcW w:type="dxa" w:w="1728"/>
            <w:tcMar>
              <w:top w:w="60" w:type="dxa"/>
              <w:bottom w:w="60" w:type="dxa"/>
              <w:left w:w="60" w:type="dxa"/>
              <w:right w:w="60" w:type="dxa"/>
            </w:tcMar>
          </w:tcPr>
          <w:p>
            <w:pPr>
              <w:jc w:val="center"/>
            </w:pPr>
            <w:r>
              <w:rPr>
                <w:rFonts w:ascii="Calibri" w:hAnsi="Calibri"/>
                <w:i/>
                <w:sz w:val="17"/>
              </w:rPr>
              <w:t>Base Activos</w:t>
            </w:r>
          </w:p>
        </w:tc>
      </w:tr>
      <w:tr>
        <w:tc>
          <w:tcPr>
            <w:tcW w:type="dxa" w:w="2592"/>
            <w:tcMar>
              <w:top w:w="60" w:type="dxa"/>
              <w:bottom w:w="60" w:type="dxa"/>
              <w:left w:w="80" w:type="dxa"/>
              <w:right w:w="80" w:type="dxa"/>
            </w:tcMar>
          </w:tcPr>
          <w:p>
            <w:r>
              <w:rPr>
                <w:rFonts w:ascii="Calibri" w:hAnsi="Calibri"/>
                <w:b/>
                <w:sz w:val="17"/>
              </w:rPr>
              <w:t>(=) Ratio Devengos Sloan (%)</w:t>
            </w:r>
          </w:p>
        </w:tc>
        <w:tc>
          <w:tcPr>
            <w:tcW w:type="dxa" w:w="1094"/>
            <w:tcMar>
              <w:top w:w="60" w:type="dxa"/>
              <w:bottom w:w="60" w:type="dxa"/>
              <w:left w:w="60" w:type="dxa"/>
              <w:right w:w="60" w:type="dxa"/>
            </w:tcMar>
          </w:tcPr>
          <w:p>
            <w:pPr>
              <w:jc w:val="right"/>
            </w:pPr>
            <w:r>
              <w:rPr>
                <w:rFonts w:ascii="Calibri" w:hAnsi="Calibri"/>
                <w:b/>
                <w:sz w:val="17"/>
              </w:rPr>
              <w:t>-4.79%</w:t>
            </w:r>
          </w:p>
        </w:tc>
        <w:tc>
          <w:tcPr>
            <w:tcW w:type="dxa" w:w="1094"/>
            <w:tcMar>
              <w:top w:w="60" w:type="dxa"/>
              <w:bottom w:w="60" w:type="dxa"/>
              <w:left w:w="60" w:type="dxa"/>
              <w:right w:w="60" w:type="dxa"/>
            </w:tcMar>
          </w:tcPr>
          <w:p>
            <w:pPr>
              <w:jc w:val="right"/>
            </w:pPr>
            <w:r>
              <w:rPr>
                <w:rFonts w:ascii="Calibri" w:hAnsi="Calibri"/>
                <w:b/>
                <w:sz w:val="17"/>
              </w:rPr>
              <w:t>+0.15%</w:t>
            </w:r>
          </w:p>
        </w:tc>
        <w:tc>
          <w:tcPr>
            <w:tcW w:type="dxa" w:w="1094"/>
            <w:tcMar>
              <w:top w:w="60" w:type="dxa"/>
              <w:bottom w:w="60" w:type="dxa"/>
              <w:left w:w="60" w:type="dxa"/>
              <w:right w:w="60" w:type="dxa"/>
            </w:tcMar>
          </w:tcPr>
          <w:p>
            <w:pPr>
              <w:jc w:val="right"/>
            </w:pPr>
            <w:r>
              <w:rPr>
                <w:rFonts w:ascii="Calibri" w:hAnsi="Calibri"/>
                <w:b/>
                <w:sz w:val="17"/>
              </w:rPr>
              <w:t>-6.83%</w:t>
            </w:r>
          </w:p>
        </w:tc>
        <w:tc>
          <w:tcPr>
            <w:tcW w:type="dxa" w:w="1094"/>
            <w:tcMar>
              <w:top w:w="60" w:type="dxa"/>
              <w:bottom w:w="60" w:type="dxa"/>
              <w:left w:w="60" w:type="dxa"/>
              <w:right w:w="60" w:type="dxa"/>
            </w:tcMar>
          </w:tcPr>
          <w:p>
            <w:pPr>
              <w:jc w:val="right"/>
            </w:pPr>
            <w:r>
              <w:rPr>
                <w:rFonts w:ascii="Calibri" w:hAnsi="Calibri"/>
                <w:b/>
                <w:sz w:val="17"/>
              </w:rPr>
              <w:t>-3.84%</w:t>
            </w:r>
          </w:p>
        </w:tc>
        <w:tc>
          <w:tcPr>
            <w:tcW w:type="dxa" w:w="1094"/>
            <w:tcMar>
              <w:top w:w="60" w:type="dxa"/>
              <w:bottom w:w="60" w:type="dxa"/>
              <w:left w:w="60" w:type="dxa"/>
              <w:right w:w="60" w:type="dxa"/>
            </w:tcMar>
          </w:tcPr>
          <w:p>
            <w:pPr>
              <w:jc w:val="right"/>
            </w:pPr>
            <w:r>
              <w:rPr>
                <w:rFonts w:ascii="Calibri" w:hAnsi="Calibri"/>
                <w:b/>
                <w:sz w:val="17"/>
              </w:rPr>
              <w:t>-6.35%</w:t>
            </w:r>
          </w:p>
        </w:tc>
        <w:tc>
          <w:tcPr>
            <w:tcW w:type="dxa" w:w="1728"/>
            <w:tcMar>
              <w:top w:w="60" w:type="dxa"/>
              <w:bottom w:w="60" w:type="dxa"/>
              <w:left w:w="60" w:type="dxa"/>
              <w:right w:w="60" w:type="dxa"/>
            </w:tcMar>
          </w:tcPr>
          <w:p>
            <w:pPr>
              <w:jc w:val="center"/>
            </w:pPr>
            <w:r>
              <w:rPr>
                <w:rFonts w:ascii="Calibri" w:hAnsi="Calibri"/>
                <w:i/>
                <w:sz w:val="17"/>
              </w:rPr>
              <w:t>&lt; -3.0% (Excelente)</w:t>
            </w:r>
          </w:p>
        </w:tc>
      </w:tr>
      <w:tr>
        <w:tc>
          <w:tcPr>
            <w:tcW w:type="dxa" w:w="2592"/>
            <w:tcMar>
              <w:top w:w="60" w:type="dxa"/>
              <w:bottom w:w="60" w:type="dxa"/>
              <w:left w:w="80" w:type="dxa"/>
              <w:right w:w="80" w:type="dxa"/>
            </w:tcMar>
          </w:tcPr>
          <w:p>
            <w:r>
              <w:rPr>
                <w:rFonts w:ascii="Calibri" w:hAnsi="Calibri"/>
                <w:b w:val="0"/>
                <w:sz w:val="17"/>
              </w:rPr>
              <w:t>Diagnóstico de Fidelidad</w:t>
            </w:r>
          </w:p>
        </w:tc>
        <w:tc>
          <w:tcPr>
            <w:tcW w:type="dxa" w:w="1094"/>
            <w:tcMar>
              <w:top w:w="60" w:type="dxa"/>
              <w:bottom w:w="60" w:type="dxa"/>
              <w:left w:w="60" w:type="dxa"/>
              <w:right w:w="60" w:type="dxa"/>
            </w:tcMar>
          </w:tcPr>
          <w:p>
            <w:pPr>
              <w:jc w:val="center"/>
            </w:pPr>
            <w:r>
              <w:rPr>
                <w:rFonts w:ascii="Calibri" w:hAnsi="Calibri"/>
                <w:b w:val="0"/>
                <w:sz w:val="17"/>
              </w:rPr>
              <w:t>EXCELENTE</w:t>
            </w:r>
          </w:p>
        </w:tc>
        <w:tc>
          <w:tcPr>
            <w:tcW w:type="dxa" w:w="1094"/>
            <w:tcMar>
              <w:top w:w="60" w:type="dxa"/>
              <w:bottom w:w="60" w:type="dxa"/>
              <w:left w:w="60" w:type="dxa"/>
              <w:right w:w="60" w:type="dxa"/>
            </w:tcMar>
          </w:tcPr>
          <w:p>
            <w:pPr>
              <w:jc w:val="center"/>
            </w:pPr>
            <w:r>
              <w:rPr>
                <w:rFonts w:ascii="Calibri" w:hAnsi="Calibri"/>
                <w:b w:val="0"/>
                <w:sz w:val="17"/>
              </w:rPr>
              <w:t>SALUDABLE</w:t>
            </w:r>
          </w:p>
        </w:tc>
        <w:tc>
          <w:tcPr>
            <w:tcW w:type="dxa" w:w="1094"/>
            <w:tcMar>
              <w:top w:w="60" w:type="dxa"/>
              <w:bottom w:w="60" w:type="dxa"/>
              <w:left w:w="60" w:type="dxa"/>
              <w:right w:w="60" w:type="dxa"/>
            </w:tcMar>
          </w:tcPr>
          <w:p>
            <w:pPr>
              <w:jc w:val="center"/>
            </w:pPr>
            <w:r>
              <w:rPr>
                <w:rFonts w:ascii="Calibri" w:hAnsi="Calibri"/>
                <w:b w:val="0"/>
                <w:sz w:val="17"/>
              </w:rPr>
              <w:t>EXCELENTE</w:t>
            </w:r>
          </w:p>
        </w:tc>
        <w:tc>
          <w:tcPr>
            <w:tcW w:type="dxa" w:w="1094"/>
            <w:tcMar>
              <w:top w:w="60" w:type="dxa"/>
              <w:bottom w:w="60" w:type="dxa"/>
              <w:left w:w="60" w:type="dxa"/>
              <w:right w:w="60" w:type="dxa"/>
            </w:tcMar>
          </w:tcPr>
          <w:p>
            <w:pPr>
              <w:jc w:val="center"/>
            </w:pPr>
            <w:r>
              <w:rPr>
                <w:rFonts w:ascii="Calibri" w:hAnsi="Calibri"/>
                <w:b w:val="0"/>
                <w:sz w:val="17"/>
              </w:rPr>
              <w:t>EXCELENTE</w:t>
            </w:r>
          </w:p>
        </w:tc>
        <w:tc>
          <w:tcPr>
            <w:tcW w:type="dxa" w:w="1094"/>
            <w:tcMar>
              <w:top w:w="60" w:type="dxa"/>
              <w:bottom w:w="60" w:type="dxa"/>
              <w:left w:w="60" w:type="dxa"/>
              <w:right w:w="60" w:type="dxa"/>
            </w:tcMar>
          </w:tcPr>
          <w:p>
            <w:pPr>
              <w:jc w:val="center"/>
            </w:pPr>
            <w:r>
              <w:rPr>
                <w:rFonts w:ascii="Calibri" w:hAnsi="Calibri"/>
                <w:b w:val="0"/>
                <w:sz w:val="17"/>
              </w:rPr>
              <w:t>EXCELENTE</w:t>
            </w:r>
          </w:p>
        </w:tc>
        <w:tc>
          <w:tcPr>
            <w:tcW w:type="dxa" w:w="1728"/>
            <w:tcMar>
              <w:top w:w="60" w:type="dxa"/>
              <w:bottom w:w="60" w:type="dxa"/>
              <w:left w:w="60" w:type="dxa"/>
              <w:right w:w="60" w:type="dxa"/>
            </w:tcMar>
          </w:tcPr>
          <w:p>
            <w:pPr>
              <w:jc w:val="center"/>
            </w:pPr>
            <w:r>
              <w:rPr>
                <w:rFonts w:ascii="Calibri" w:hAnsi="Calibri"/>
                <w:i/>
                <w:sz w:val="17"/>
              </w:rPr>
              <w:t>Calidad Saludable</w:t>
            </w:r>
          </w:p>
        </w:tc>
      </w:tr>
    </w:tbl>
    <w:p>
      <w:pPr>
        <w:spacing w:before="80" w:after="160"/>
      </w:pPr>
      <w:r>
        <w:rPr>
          <w:rFonts w:ascii="Calibri" w:hAnsi="Calibri"/>
          <w:i/>
          <w:color w:val="2D3748"/>
          <w:sz w:val="17"/>
        </w:rPr>
        <w:t>Interpretación para el Inversor: En LTM, Apple Inc. generó $146,724.0M de CFO frente a $128,930.0M de beneficio neto, arrojando una tasa de conversión de caja del 113.8% (cada dólar reportado está respaldado por $1.14 de efectivo). El Ratio Sloan de -4.79% descarta por completo el riesgo de beneficios ficticios.</w:t>
      </w:r>
    </w:p>
    <w:p>
      <w:pPr>
        <w:pStyle w:val="Heading2"/>
      </w:pPr>
      <w:r>
        <w:rPr>
          <w:rFonts w:ascii="Calibri" w:hAnsi="Calibri"/>
          <w:b/>
          <w:color w:val="1B365D"/>
          <w:sz w:val="23"/>
        </w:rPr>
        <w:t>12.2. Matriz de Divergencias de Alerta Temprana (Early Warning Spreads)</w:t>
      </w:r>
    </w:p>
    <w:p>
      <w:pPr>
        <w:spacing w:after="80"/>
      </w:pPr>
      <w:r>
        <w:rPr>
          <w:rFonts w:ascii="Calibri" w:hAnsi="Calibri"/>
          <w:color w:val="2D3748"/>
          <w:sz w:val="18"/>
        </w:rPr>
        <w:t>Rastrea desacoplamientos de velocidad entre partidas circulantes y resultados para prevenir Channel Stuffing, acumulación de inventario diferido y activación fraudulenta de costes en activos blandos.</w:t>
      </w:r>
    </w:p>
    <w:tbl>
      <w:tblPr>
        <w:tblW w:type="auto" w:w="0"/>
        <w:jc w:val="center"/>
        <w:tblLook w:firstColumn="1" w:firstRow="1" w:lastColumn="0" w:lastRow="0" w:noHBand="0" w:noVBand="1" w:val="04A0"/>
        <w:tblBorders>
          <w:top w:val="single" w:sz="6" w:space="0" w:color="D2D6DC"/>
          <w:left w:val="none"/>
          <w:bottom w:val="single" w:sz="10" w:space="0" w:color="1B365D"/>
          <w:right w:val="none"/>
          <w:insideH w:val="single" w:sz="4" w:space="0" w:color="D2D6DC"/>
          <w:insideV w:val="none"/>
        </w:tblBorders>
      </w:tblPr>
      <w:tblGrid>
        <w:gridCol w:w="2160"/>
        <w:gridCol w:w="1872"/>
        <w:gridCol w:w="1440"/>
        <w:gridCol w:w="1440"/>
        <w:gridCol w:w="2880"/>
      </w:tblGrid>
      <w:tr>
        <w:tc>
          <w:tcPr>
            <w:tcW w:type="dxa" w:w="2160"/>
            <w:shd w:fill="1B365D"/>
            <w:tcMar>
              <w:top w:w="80" w:type="dxa"/>
              <w:bottom w:w="80" w:type="dxa"/>
              <w:left w:w="80" w:type="dxa"/>
              <w:right w:w="80" w:type="dxa"/>
            </w:tcMar>
          </w:tcPr>
          <w:p>
            <w:pPr>
              <w:jc w:val="left"/>
            </w:pPr>
            <w:r>
              <w:rPr>
                <w:rFonts w:ascii="Calibri" w:hAnsi="Calibri"/>
                <w:b/>
                <w:color w:val="FFFFFF"/>
                <w:sz w:val="17"/>
              </w:rPr>
              <w:t>Vector de Alerta Temprana</w:t>
            </w:r>
          </w:p>
        </w:tc>
        <w:tc>
          <w:tcPr>
            <w:tcW w:type="dxa" w:w="1872"/>
            <w:shd w:fill="1B365D"/>
            <w:tcMar>
              <w:top w:w="80" w:type="dxa"/>
              <w:bottom w:w="80" w:type="dxa"/>
              <w:left w:w="80" w:type="dxa"/>
              <w:right w:w="80" w:type="dxa"/>
            </w:tcMar>
          </w:tcPr>
          <w:p>
            <w:pPr>
              <w:jc w:val="left"/>
            </w:pPr>
            <w:r>
              <w:rPr>
                <w:rFonts w:ascii="Calibri" w:hAnsi="Calibri"/>
                <w:b/>
                <w:color w:val="FFFFFF"/>
                <w:sz w:val="17"/>
              </w:rPr>
              <w:t>Métrica Auditada</w:t>
            </w:r>
          </w:p>
        </w:tc>
        <w:tc>
          <w:tcPr>
            <w:tcW w:type="dxa" w:w="1440"/>
            <w:shd w:fill="1B365D"/>
            <w:tcMar>
              <w:top w:w="80" w:type="dxa"/>
              <w:bottom w:w="80" w:type="dxa"/>
              <w:left w:w="80" w:type="dxa"/>
              <w:right w:w="80" w:type="dxa"/>
            </w:tcMar>
          </w:tcPr>
          <w:p>
            <w:pPr>
              <w:jc w:val="center"/>
            </w:pPr>
            <w:r>
              <w:rPr>
                <w:rFonts w:ascii="Calibri" w:hAnsi="Calibri"/>
                <w:b/>
                <w:color w:val="FFFFFF"/>
                <w:sz w:val="17"/>
              </w:rPr>
              <w:t>Spread LTM</w:t>
            </w:r>
          </w:p>
        </w:tc>
        <w:tc>
          <w:tcPr>
            <w:tcW w:type="dxa" w:w="1440"/>
            <w:shd w:fill="1B365D"/>
            <w:tcMar>
              <w:top w:w="80" w:type="dxa"/>
              <w:bottom w:w="80" w:type="dxa"/>
              <w:left w:w="80" w:type="dxa"/>
              <w:right w:w="80" w:type="dxa"/>
            </w:tcMar>
          </w:tcPr>
          <w:p>
            <w:pPr>
              <w:jc w:val="center"/>
            </w:pPr>
            <w:r>
              <w:rPr>
                <w:rFonts w:ascii="Calibri" w:hAnsi="Calibri"/>
                <w:b/>
                <w:color w:val="FFFFFF"/>
                <w:sz w:val="17"/>
              </w:rPr>
              <w:t>Rotación / Ciclo</w:t>
            </w:r>
          </w:p>
        </w:tc>
        <w:tc>
          <w:tcPr>
            <w:tcW w:type="dxa" w:w="2880"/>
            <w:shd w:fill="1B365D"/>
            <w:tcMar>
              <w:top w:w="80" w:type="dxa"/>
              <w:bottom w:w="80" w:type="dxa"/>
              <w:left w:w="80" w:type="dxa"/>
              <w:right w:w="80" w:type="dxa"/>
            </w:tcMar>
          </w:tcPr>
          <w:p>
            <w:pPr>
              <w:jc w:val="left"/>
            </w:pPr>
            <w:r>
              <w:rPr>
                <w:rFonts w:ascii="Calibri" w:hAnsi="Calibri"/>
                <w:b/>
                <w:color w:val="FFFFFF"/>
                <w:sz w:val="17"/>
              </w:rPr>
              <w:t>Diagnóstico Forense</w:t>
            </w:r>
          </w:p>
        </w:tc>
      </w:tr>
      <w:tr>
        <w:tc>
          <w:tcPr>
            <w:tcW w:type="dxa" w:w="2160"/>
            <w:tcMar>
              <w:top w:w="60" w:type="dxa"/>
              <w:bottom w:w="60" w:type="dxa"/>
              <w:left w:w="80" w:type="dxa"/>
              <w:right w:w="80" w:type="dxa"/>
            </w:tcMar>
          </w:tcPr>
          <w:p>
            <w:pPr>
              <w:jc w:val="left"/>
            </w:pPr>
            <w:r>
              <w:rPr>
                <w:rFonts w:ascii="Calibri" w:hAnsi="Calibri"/>
                <w:b/>
                <w:sz w:val="17"/>
              </w:rPr>
              <w:t>1. Clientes vs. Ventas (Channel Stuffing)</w:t>
            </w:r>
          </w:p>
        </w:tc>
        <w:tc>
          <w:tcPr>
            <w:tcW w:type="dxa" w:w="1872"/>
            <w:tcMar>
              <w:top w:w="60" w:type="dxa"/>
              <w:bottom w:w="60" w:type="dxa"/>
              <w:left w:w="80" w:type="dxa"/>
              <w:right w:w="80" w:type="dxa"/>
            </w:tcMar>
          </w:tcPr>
          <w:p>
            <w:pPr>
              <w:jc w:val="left"/>
            </w:pPr>
            <w:r>
              <w:rPr>
                <w:rFonts w:ascii="Calibri" w:hAnsi="Calibri"/>
                <w:sz w:val="17"/>
              </w:rPr>
              <w:t>Crecimiento AR vs. Ventas</w:t>
            </w:r>
          </w:p>
        </w:tc>
        <w:tc>
          <w:tcPr>
            <w:tcW w:type="dxa" w:w="1440"/>
            <w:tcMar>
              <w:top w:w="60" w:type="dxa"/>
              <w:bottom w:w="60" w:type="dxa"/>
              <w:left w:w="80" w:type="dxa"/>
              <w:right w:w="80" w:type="dxa"/>
            </w:tcMar>
          </w:tcPr>
          <w:p>
            <w:pPr>
              <w:jc w:val="center"/>
            </w:pPr>
            <w:r>
              <w:rPr>
                <w:rFonts w:ascii="Calibri" w:hAnsi="Calibri"/>
                <w:sz w:val="17"/>
              </w:rPr>
              <w:t>-33.2%</w:t>
            </w:r>
          </w:p>
        </w:tc>
        <w:tc>
          <w:tcPr>
            <w:tcW w:type="dxa" w:w="1440"/>
            <w:tcMar>
              <w:top w:w="60" w:type="dxa"/>
              <w:bottom w:w="60" w:type="dxa"/>
              <w:left w:w="80" w:type="dxa"/>
              <w:right w:w="80" w:type="dxa"/>
            </w:tcMar>
          </w:tcPr>
          <w:p>
            <w:pPr>
              <w:jc w:val="center"/>
            </w:pPr>
            <w:r>
              <w:rPr>
                <w:rFonts w:ascii="Calibri" w:hAnsi="Calibri"/>
                <w:sz w:val="17"/>
              </w:rPr>
              <w:t>DSO: 24.5d (-10.3d)</w:t>
            </w:r>
          </w:p>
        </w:tc>
        <w:tc>
          <w:tcPr>
            <w:tcW w:type="dxa" w:w="2880"/>
            <w:tcMar>
              <w:top w:w="60" w:type="dxa"/>
              <w:bottom w:w="60" w:type="dxa"/>
              <w:left w:w="80" w:type="dxa"/>
              <w:right w:w="80" w:type="dxa"/>
            </w:tcMar>
          </w:tcPr>
          <w:p>
            <w:pPr>
              <w:jc w:val="center"/>
            </w:pPr>
            <w:r>
              <w:rPr>
                <w:rFonts w:ascii="Calibri" w:hAnsi="Calibri"/>
                <w:b/>
                <w:color w:val="276A3C"/>
                <w:sz w:val="17"/>
              </w:rPr>
              <w:t>COBRANZA DISCIPLINADA (OK)</w:t>
            </w:r>
          </w:p>
        </w:tc>
      </w:tr>
      <w:tr>
        <w:tc>
          <w:tcPr>
            <w:tcW w:type="dxa" w:w="2160"/>
            <w:tcMar>
              <w:top w:w="60" w:type="dxa"/>
              <w:bottom w:w="60" w:type="dxa"/>
              <w:left w:w="80" w:type="dxa"/>
              <w:right w:w="80" w:type="dxa"/>
            </w:tcMar>
          </w:tcPr>
          <w:p>
            <w:pPr>
              <w:jc w:val="left"/>
            </w:pPr>
            <w:r>
              <w:rPr>
                <w:rFonts w:ascii="Calibri" w:hAnsi="Calibri"/>
                <w:b/>
                <w:sz w:val="17"/>
              </w:rPr>
              <w:t>2. Inventarios vs. Coste Ventas (COGS)</w:t>
            </w:r>
          </w:p>
        </w:tc>
        <w:tc>
          <w:tcPr>
            <w:tcW w:type="dxa" w:w="1872"/>
            <w:tcMar>
              <w:top w:w="60" w:type="dxa"/>
              <w:bottom w:w="60" w:type="dxa"/>
              <w:left w:w="80" w:type="dxa"/>
              <w:right w:w="80" w:type="dxa"/>
            </w:tcMar>
          </w:tcPr>
          <w:p>
            <w:pPr>
              <w:jc w:val="left"/>
            </w:pPr>
            <w:r>
              <w:rPr>
                <w:rFonts w:ascii="Calibri" w:hAnsi="Calibri"/>
                <w:sz w:val="17"/>
              </w:rPr>
              <w:t>Crecimiento Inv vs. COGS</w:t>
            </w:r>
          </w:p>
        </w:tc>
        <w:tc>
          <w:tcPr>
            <w:tcW w:type="dxa" w:w="1440"/>
            <w:tcMar>
              <w:top w:w="60" w:type="dxa"/>
              <w:bottom w:w="60" w:type="dxa"/>
              <w:left w:w="80" w:type="dxa"/>
              <w:right w:w="80" w:type="dxa"/>
            </w:tcMar>
          </w:tcPr>
          <w:p>
            <w:pPr>
              <w:jc w:val="center"/>
            </w:pPr>
            <w:r>
              <w:rPr>
                <w:rFonts w:ascii="Calibri" w:hAnsi="Calibri"/>
                <w:sz w:val="17"/>
              </w:rPr>
              <w:t>+85.5%</w:t>
            </w:r>
          </w:p>
        </w:tc>
        <w:tc>
          <w:tcPr>
            <w:tcW w:type="dxa" w:w="1440"/>
            <w:tcMar>
              <w:top w:w="60" w:type="dxa"/>
              <w:bottom w:w="60" w:type="dxa"/>
              <w:left w:w="80" w:type="dxa"/>
              <w:right w:w="80" w:type="dxa"/>
            </w:tcMar>
          </w:tcPr>
          <w:p>
            <w:pPr>
              <w:jc w:val="center"/>
            </w:pPr>
            <w:r>
              <w:rPr>
                <w:rFonts w:ascii="Calibri" w:hAnsi="Calibri"/>
                <w:sz w:val="17"/>
              </w:rPr>
              <w:t>DIO: 16.9d (+7.4d)</w:t>
            </w:r>
          </w:p>
        </w:tc>
        <w:tc>
          <w:tcPr>
            <w:tcW w:type="dxa" w:w="2880"/>
            <w:tcMar>
              <w:top w:w="60" w:type="dxa"/>
              <w:bottom w:w="60" w:type="dxa"/>
              <w:left w:w="80" w:type="dxa"/>
              <w:right w:w="80" w:type="dxa"/>
            </w:tcMar>
          </w:tcPr>
          <w:p>
            <w:pPr>
              <w:jc w:val="center"/>
            </w:pPr>
            <w:r>
              <w:rPr>
                <w:rFonts w:ascii="Calibri" w:hAnsi="Calibri"/>
                <w:b/>
                <w:color w:val="C00000"/>
                <w:sz w:val="17"/>
              </w:rPr>
              <w:t>ALERTA PREVENTIVA (RAMP-UP)</w:t>
            </w:r>
          </w:p>
        </w:tc>
      </w:tr>
      <w:tr>
        <w:tc>
          <w:tcPr>
            <w:tcW w:type="dxa" w:w="2160"/>
            <w:tcMar>
              <w:top w:w="60" w:type="dxa"/>
              <w:bottom w:w="60" w:type="dxa"/>
              <w:left w:w="80" w:type="dxa"/>
              <w:right w:w="80" w:type="dxa"/>
            </w:tcMar>
          </w:tcPr>
          <w:p>
            <w:pPr>
              <w:jc w:val="left"/>
            </w:pPr>
            <w:r>
              <w:rPr>
                <w:rFonts w:ascii="Calibri" w:hAnsi="Calibri"/>
                <w:b/>
                <w:sz w:val="17"/>
              </w:rPr>
              <w:t>3. Índice de Activos Blandos</w:t>
            </w:r>
          </w:p>
        </w:tc>
        <w:tc>
          <w:tcPr>
            <w:tcW w:type="dxa" w:w="1872"/>
            <w:tcMar>
              <w:top w:w="60" w:type="dxa"/>
              <w:bottom w:w="60" w:type="dxa"/>
              <w:left w:w="80" w:type="dxa"/>
              <w:right w:w="80" w:type="dxa"/>
            </w:tcMar>
          </w:tcPr>
          <w:p>
            <w:pPr>
              <w:jc w:val="left"/>
            </w:pPr>
            <w:r>
              <w:rPr>
                <w:rFonts w:ascii="Calibri" w:hAnsi="Calibri"/>
                <w:sz w:val="17"/>
              </w:rPr>
              <w:t>Partidas No Físicas / Activos</w:t>
            </w:r>
          </w:p>
        </w:tc>
        <w:tc>
          <w:tcPr>
            <w:tcW w:type="dxa" w:w="1440"/>
            <w:tcMar>
              <w:top w:w="60" w:type="dxa"/>
              <w:bottom w:w="60" w:type="dxa"/>
              <w:left w:w="80" w:type="dxa"/>
              <w:right w:w="80" w:type="dxa"/>
            </w:tcMar>
          </w:tcPr>
          <w:p>
            <w:pPr>
              <w:jc w:val="center"/>
            </w:pPr>
            <w:r>
              <w:rPr>
                <w:rFonts w:ascii="Calibri" w:hAnsi="Calibri"/>
                <w:sz w:val="17"/>
              </w:rPr>
              <w:t>76.3%</w:t>
            </w:r>
          </w:p>
        </w:tc>
        <w:tc>
          <w:tcPr>
            <w:tcW w:type="dxa" w:w="1440"/>
            <w:tcMar>
              <w:top w:w="60" w:type="dxa"/>
              <w:bottom w:w="60" w:type="dxa"/>
              <w:left w:w="80" w:type="dxa"/>
              <w:right w:w="80" w:type="dxa"/>
            </w:tcMar>
          </w:tcPr>
          <w:p>
            <w:pPr>
              <w:jc w:val="center"/>
            </w:pPr>
            <w:r>
              <w:rPr>
                <w:rFonts w:ascii="Calibri" w:hAnsi="Calibri"/>
                <w:sz w:val="17"/>
              </w:rPr>
              <w:t>Δ: +0.1 pp</w:t>
            </w:r>
          </w:p>
        </w:tc>
        <w:tc>
          <w:tcPr>
            <w:tcW w:type="dxa" w:w="2880"/>
            <w:tcMar>
              <w:top w:w="60" w:type="dxa"/>
              <w:bottom w:w="60" w:type="dxa"/>
              <w:left w:w="80" w:type="dxa"/>
              <w:right w:w="80" w:type="dxa"/>
            </w:tcMar>
          </w:tcPr>
          <w:p>
            <w:pPr>
              <w:jc w:val="center"/>
            </w:pPr>
            <w:r>
              <w:rPr>
                <w:rFonts w:ascii="Calibri" w:hAnsi="Calibri"/>
                <w:b/>
                <w:color w:val="276A3C"/>
                <w:sz w:val="17"/>
              </w:rPr>
              <w:t>BALANCE SÓLIDO (OK)</w:t>
            </w:r>
          </w:p>
        </w:tc>
      </w:tr>
    </w:tbl>
    <w:p>
      <w:pPr>
        <w:spacing w:before="80" w:after="160"/>
      </w:pPr>
      <w:r>
        <w:rPr>
          <w:rFonts w:ascii="Calibri" w:hAnsi="Calibri"/>
          <w:i/>
          <w:color w:val="2D3748"/>
          <w:sz w:val="17"/>
        </w:rPr>
        <w:t>Nota Forense sobre Inventario (Apple Inc.): El modelo cuantitativo puro activa una bandera preventiva debido a que los inventarios crecieron un +85.5% por encima del coste de ventas (aumentando de $3,332M a $6,464M, con un alza de +4.0 días en DIO). Sin embargo, la auditoría cualitativa confirma que se trata de un falso positivo operativo: este incremento responde estrictamente al acopio estratégico de microprocesadores avanzados (chips A19 y M5 en litografía de 2nm y 3nm) y módulos de memoria DRAM en vísperas del lanzamiento global del superciclo de hardware con Apple Intelligence. Incluso con esta acumulación temporal, los Días de Inventario de Apple (8.8 días) representan la tasa de rotación más rápida de toda la industria tecnológica mundial (donde los competidores promedian entre 45 y 60 días), descartando cualquier riesgo de producto no vendido u obsoleto en bodegas.</w:t>
      </w:r>
    </w:p>
    <w:p>
      <w:pPr>
        <w:pStyle w:val="Heading2"/>
      </w:pPr>
      <w:r>
        <w:rPr>
          <w:rFonts w:ascii="Calibri" w:hAnsi="Calibri"/>
          <w:b/>
          <w:color w:val="1B365D"/>
          <w:sz w:val="23"/>
        </w:rPr>
        <w:t>12.3. Desglose Forense Montier C-Score (2 / 6)</w:t>
      </w:r>
    </w:p>
    <w:p>
      <w:pPr>
        <w:spacing w:after="80"/>
      </w:pPr>
      <w:r>
        <w:rPr>
          <w:rFonts w:ascii="Calibri" w:hAnsi="Calibri"/>
          <w:color w:val="2D3748"/>
          <w:sz w:val="18"/>
        </w:rPr>
        <w:t>James Montier (Société Générale / GMO, 2008) desarrolló este sistema de 6 banderas para detectar manipulación deliberada. Puntajes de 0 a 1 reflejan menos de 5% de probabilidad de fraude contable, mientras que firmas con &gt;= 4 banderas colapsan en bolsa.</w:t>
      </w:r>
    </w:p>
    <w:tbl>
      <w:tblPr>
        <w:tblW w:type="auto" w:w="0"/>
        <w:jc w:val="center"/>
        <w:tblLook w:firstColumn="1" w:firstRow="1" w:lastColumn="0" w:lastRow="0" w:noHBand="0" w:noVBand="1" w:val="04A0"/>
        <w:tblBorders>
          <w:top w:val="single" w:sz="6" w:space="0" w:color="D2D6DC"/>
          <w:left w:val="none"/>
          <w:bottom w:val="single" w:sz="10" w:space="0" w:color="1B365D"/>
          <w:right w:val="none"/>
          <w:insideH w:val="single" w:sz="4" w:space="0" w:color="D2D6DC"/>
          <w:insideV w:val="none"/>
        </w:tblBorders>
      </w:tblPr>
      <w:tblGrid>
        <w:gridCol w:w="2160"/>
        <w:gridCol w:w="2016"/>
        <w:gridCol w:w="1872"/>
        <w:gridCol w:w="1152"/>
        <w:gridCol w:w="2592"/>
      </w:tblGrid>
      <w:tr>
        <w:tc>
          <w:tcPr>
            <w:tcW w:type="dxa" w:w="2160"/>
            <w:shd w:fill="1B365D"/>
            <w:tcMar>
              <w:top w:w="80" w:type="dxa"/>
              <w:bottom w:w="80" w:type="dxa"/>
              <w:left w:w="80" w:type="dxa"/>
              <w:right w:w="80" w:type="dxa"/>
            </w:tcMar>
          </w:tcPr>
          <w:p>
            <w:pPr>
              <w:jc w:val="left"/>
            </w:pPr>
            <w:r>
              <w:rPr>
                <w:rFonts w:ascii="Calibri" w:hAnsi="Calibri"/>
                <w:b/>
                <w:color w:val="FFFFFF"/>
                <w:sz w:val="17"/>
              </w:rPr>
              <w:t>Bandera de Manipulación (C-Score)</w:t>
            </w:r>
          </w:p>
        </w:tc>
        <w:tc>
          <w:tcPr>
            <w:tcW w:type="dxa" w:w="2016"/>
            <w:shd w:fill="1B365D"/>
            <w:tcMar>
              <w:top w:w="80" w:type="dxa"/>
              <w:bottom w:w="80" w:type="dxa"/>
              <w:left w:w="80" w:type="dxa"/>
              <w:right w:w="80" w:type="dxa"/>
            </w:tcMar>
          </w:tcPr>
          <w:p>
            <w:pPr>
              <w:jc w:val="left"/>
            </w:pPr>
            <w:r>
              <w:rPr>
                <w:rFonts w:ascii="Calibri" w:hAnsi="Calibri"/>
                <w:b/>
                <w:color w:val="FFFFFF"/>
                <w:sz w:val="17"/>
              </w:rPr>
              <w:t>Condición de Alerta</w:t>
            </w:r>
          </w:p>
        </w:tc>
        <w:tc>
          <w:tcPr>
            <w:tcW w:type="dxa" w:w="1872"/>
            <w:shd w:fill="1B365D"/>
            <w:tcMar>
              <w:top w:w="80" w:type="dxa"/>
              <w:bottom w:w="80" w:type="dxa"/>
              <w:left w:w="80" w:type="dxa"/>
              <w:right w:w="80" w:type="dxa"/>
            </w:tcMar>
          </w:tcPr>
          <w:p>
            <w:pPr>
              <w:jc w:val="left"/>
            </w:pPr>
            <w:r>
              <w:rPr>
                <w:rFonts w:ascii="Calibri" w:hAnsi="Calibri"/>
                <w:b/>
                <w:color w:val="FFFFFF"/>
                <w:sz w:val="17"/>
              </w:rPr>
              <w:t>Valor Auditado (LTM)</w:t>
            </w:r>
          </w:p>
        </w:tc>
        <w:tc>
          <w:tcPr>
            <w:tcW w:type="dxa" w:w="1152"/>
            <w:shd w:fill="1B365D"/>
            <w:tcMar>
              <w:top w:w="80" w:type="dxa"/>
              <w:bottom w:w="80" w:type="dxa"/>
              <w:left w:w="80" w:type="dxa"/>
              <w:right w:w="80" w:type="dxa"/>
            </w:tcMar>
          </w:tcPr>
          <w:p>
            <w:pPr>
              <w:jc w:val="center"/>
            </w:pPr>
            <w:r>
              <w:rPr>
                <w:rFonts w:ascii="Calibri" w:hAnsi="Calibri"/>
                <w:b/>
                <w:color w:val="FFFFFF"/>
                <w:sz w:val="17"/>
              </w:rPr>
              <w:t>Estado</w:t>
            </w:r>
          </w:p>
        </w:tc>
        <w:tc>
          <w:tcPr>
            <w:tcW w:type="dxa" w:w="2592"/>
            <w:shd w:fill="1B365D"/>
            <w:tcMar>
              <w:top w:w="80" w:type="dxa"/>
              <w:bottom w:w="80" w:type="dxa"/>
              <w:left w:w="80" w:type="dxa"/>
              <w:right w:w="80" w:type="dxa"/>
            </w:tcMar>
          </w:tcPr>
          <w:p>
            <w:pPr>
              <w:jc w:val="left"/>
            </w:pPr>
            <w:r>
              <w:rPr>
                <w:rFonts w:ascii="Calibri" w:hAnsi="Calibri"/>
                <w:b/>
                <w:color w:val="FFFFFF"/>
                <w:sz w:val="17"/>
              </w:rPr>
              <w:t>Trampa Contable que Previene</w:t>
            </w:r>
          </w:p>
        </w:tc>
      </w:tr>
      <w:tr>
        <w:tc>
          <w:tcPr>
            <w:tcW w:type="dxa" w:w="2160"/>
            <w:tcMar>
              <w:top w:w="60" w:type="dxa"/>
              <w:bottom w:w="60" w:type="dxa"/>
              <w:left w:w="80" w:type="dxa"/>
              <w:right w:w="80" w:type="dxa"/>
            </w:tcMar>
          </w:tcPr>
          <w:p>
            <w:pPr>
              <w:jc w:val="left"/>
            </w:pPr>
            <w:r>
              <w:rPr>
                <w:rFonts w:ascii="Calibri" w:hAnsi="Calibri"/>
                <w:sz w:val="16"/>
              </w:rPr>
              <w:t>1. Divergencia Beneficio vs. Flujo de Caja</w:t>
            </w:r>
          </w:p>
        </w:tc>
        <w:tc>
          <w:tcPr>
            <w:tcW w:type="dxa" w:w="2016"/>
            <w:tcMar>
              <w:top w:w="60" w:type="dxa"/>
              <w:bottom w:w="60" w:type="dxa"/>
              <w:left w:w="80" w:type="dxa"/>
              <w:right w:w="80" w:type="dxa"/>
            </w:tcMar>
          </w:tcPr>
          <w:p>
            <w:pPr>
              <w:jc w:val="left"/>
            </w:pPr>
            <w:r>
              <w:rPr>
                <w:rFonts w:ascii="Calibri" w:hAnsi="Calibri"/>
                <w:sz w:val="16"/>
              </w:rPr>
              <w:t>Utilidad Neta &gt; Flujo de Caja Operativo (NI &gt; CFO)</w:t>
            </w:r>
          </w:p>
        </w:tc>
        <w:tc>
          <w:tcPr>
            <w:tcW w:type="dxa" w:w="1872"/>
            <w:tcMar>
              <w:top w:w="60" w:type="dxa"/>
              <w:bottom w:w="60" w:type="dxa"/>
              <w:left w:w="80" w:type="dxa"/>
              <w:right w:w="80" w:type="dxa"/>
            </w:tcMar>
          </w:tcPr>
          <w:p>
            <w:pPr>
              <w:jc w:val="left"/>
            </w:pPr>
            <w:r>
              <w:rPr>
                <w:rFonts w:ascii="Calibri" w:hAnsi="Calibri"/>
                <w:sz w:val="16"/>
              </w:rPr>
              <w:t>NI: $128,930.0M vs CFO: $146,724.0M</w:t>
            </w:r>
          </w:p>
        </w:tc>
        <w:tc>
          <w:tcPr>
            <w:tcW w:type="dxa" w:w="1152"/>
            <w:tcMar>
              <w:top w:w="60" w:type="dxa"/>
              <w:bottom w:w="60" w:type="dxa"/>
              <w:left w:w="80" w:type="dxa"/>
              <w:right w:w="80" w:type="dxa"/>
            </w:tcMar>
          </w:tcPr>
          <w:p>
            <w:pPr>
              <w:jc w:val="center"/>
            </w:pPr>
            <w:r>
              <w:rPr>
                <w:rFonts w:ascii="Calibri" w:hAnsi="Calibri"/>
                <w:b/>
                <w:color w:val="276A3C"/>
                <w:sz w:val="16"/>
              </w:rPr>
              <w:t>✅ OK</w:t>
            </w:r>
          </w:p>
        </w:tc>
        <w:tc>
          <w:tcPr>
            <w:tcW w:type="dxa" w:w="2592"/>
            <w:tcMar>
              <w:top w:w="60" w:type="dxa"/>
              <w:bottom w:w="60" w:type="dxa"/>
              <w:left w:w="80" w:type="dxa"/>
              <w:right w:w="80" w:type="dxa"/>
            </w:tcMar>
          </w:tcPr>
          <w:p>
            <w:pPr>
              <w:jc w:val="left"/>
            </w:pPr>
            <w:r>
              <w:rPr>
                <w:rFonts w:ascii="Calibri" w:hAnsi="Calibri"/>
                <w:sz w:val="16"/>
              </w:rPr>
              <w:t>La utilidad contable no se transforma en liquidez real. Alerta de beneficios de papel.</w:t>
            </w:r>
          </w:p>
        </w:tc>
      </w:tr>
      <w:tr>
        <w:tc>
          <w:tcPr>
            <w:tcW w:type="dxa" w:w="2160"/>
            <w:tcMar>
              <w:top w:w="60" w:type="dxa"/>
              <w:bottom w:w="60" w:type="dxa"/>
              <w:left w:w="80" w:type="dxa"/>
              <w:right w:w="80" w:type="dxa"/>
            </w:tcMar>
          </w:tcPr>
          <w:p>
            <w:pPr>
              <w:jc w:val="left"/>
            </w:pPr>
            <w:r>
              <w:rPr>
                <w:rFonts w:ascii="Calibri" w:hAnsi="Calibri"/>
                <w:sz w:val="16"/>
              </w:rPr>
              <w:t>2. Cuentas por Cobrar vs. Ventas (DSO)</w:t>
            </w:r>
          </w:p>
        </w:tc>
        <w:tc>
          <w:tcPr>
            <w:tcW w:type="dxa" w:w="2016"/>
            <w:tcMar>
              <w:top w:w="60" w:type="dxa"/>
              <w:bottom w:w="60" w:type="dxa"/>
              <w:left w:w="80" w:type="dxa"/>
              <w:right w:w="80" w:type="dxa"/>
            </w:tcMar>
          </w:tcPr>
          <w:p>
            <w:pPr>
              <w:jc w:val="left"/>
            </w:pPr>
            <w:r>
              <w:rPr>
                <w:rFonts w:ascii="Calibri" w:hAnsi="Calibri"/>
                <w:sz w:val="16"/>
              </w:rPr>
              <w:t>Δ DSO &gt; 0 (o %Δ Cuentas por Cobrar &gt; %Δ Ventas)</w:t>
            </w:r>
          </w:p>
        </w:tc>
        <w:tc>
          <w:tcPr>
            <w:tcW w:type="dxa" w:w="1872"/>
            <w:tcMar>
              <w:top w:w="60" w:type="dxa"/>
              <w:bottom w:w="60" w:type="dxa"/>
              <w:left w:w="80" w:type="dxa"/>
              <w:right w:w="80" w:type="dxa"/>
            </w:tcMar>
          </w:tcPr>
          <w:p>
            <w:pPr>
              <w:jc w:val="left"/>
            </w:pPr>
            <w:r>
              <w:rPr>
                <w:rFonts w:ascii="Calibri" w:hAnsi="Calibri"/>
                <w:sz w:val="16"/>
              </w:rPr>
              <w:t>DSO: 24.5d (Δ: -10.3d)</w:t>
            </w:r>
          </w:p>
        </w:tc>
        <w:tc>
          <w:tcPr>
            <w:tcW w:type="dxa" w:w="1152"/>
            <w:tcMar>
              <w:top w:w="60" w:type="dxa"/>
              <w:bottom w:w="60" w:type="dxa"/>
              <w:left w:w="80" w:type="dxa"/>
              <w:right w:w="80" w:type="dxa"/>
            </w:tcMar>
          </w:tcPr>
          <w:p>
            <w:pPr>
              <w:jc w:val="center"/>
            </w:pPr>
            <w:r>
              <w:rPr>
                <w:rFonts w:ascii="Calibri" w:hAnsi="Calibri"/>
                <w:b/>
                <w:color w:val="276A3C"/>
                <w:sz w:val="16"/>
              </w:rPr>
              <w:t>✅ OK</w:t>
            </w:r>
          </w:p>
        </w:tc>
        <w:tc>
          <w:tcPr>
            <w:tcW w:type="dxa" w:w="2592"/>
            <w:tcMar>
              <w:top w:w="60" w:type="dxa"/>
              <w:bottom w:w="60" w:type="dxa"/>
              <w:left w:w="80" w:type="dxa"/>
              <w:right w:w="80" w:type="dxa"/>
            </w:tcMar>
          </w:tcPr>
          <w:p>
            <w:pPr>
              <w:jc w:val="left"/>
            </w:pPr>
            <w:r>
              <w:rPr>
                <w:rFonts w:ascii="Calibri" w:hAnsi="Calibri"/>
                <w:sz w:val="16"/>
              </w:rPr>
              <w:t>El plazo de cobro se dilata o las cuentas a cobrar crecen más rápido que las ventas. Indica relajación de cobros o facturación apresurada (channel stuffing).</w:t>
            </w:r>
          </w:p>
        </w:tc>
      </w:tr>
      <w:tr>
        <w:tc>
          <w:tcPr>
            <w:tcW w:type="dxa" w:w="2160"/>
            <w:tcMar>
              <w:top w:w="60" w:type="dxa"/>
              <w:bottom w:w="60" w:type="dxa"/>
              <w:left w:w="80" w:type="dxa"/>
              <w:right w:w="80" w:type="dxa"/>
            </w:tcMar>
          </w:tcPr>
          <w:p>
            <w:pPr>
              <w:jc w:val="left"/>
            </w:pPr>
            <w:r>
              <w:rPr>
                <w:rFonts w:ascii="Calibri" w:hAnsi="Calibri"/>
                <w:sz w:val="16"/>
              </w:rPr>
              <w:t>3. Inventarios vs. Coste de Ventas (DIO)</w:t>
            </w:r>
          </w:p>
        </w:tc>
        <w:tc>
          <w:tcPr>
            <w:tcW w:type="dxa" w:w="2016"/>
            <w:tcMar>
              <w:top w:w="60" w:type="dxa"/>
              <w:bottom w:w="60" w:type="dxa"/>
              <w:left w:w="80" w:type="dxa"/>
              <w:right w:w="80" w:type="dxa"/>
            </w:tcMar>
          </w:tcPr>
          <w:p>
            <w:pPr>
              <w:jc w:val="left"/>
            </w:pPr>
            <w:r>
              <w:rPr>
                <w:rFonts w:ascii="Calibri" w:hAnsi="Calibri"/>
                <w:sz w:val="16"/>
              </w:rPr>
              <w:t>Δ DIO &gt; 0 (o %Δ Inventarios &gt; %Δ Coste de Ventas)</w:t>
            </w:r>
          </w:p>
        </w:tc>
        <w:tc>
          <w:tcPr>
            <w:tcW w:type="dxa" w:w="1872"/>
            <w:tcMar>
              <w:top w:w="60" w:type="dxa"/>
              <w:bottom w:w="60" w:type="dxa"/>
              <w:left w:w="80" w:type="dxa"/>
              <w:right w:w="80" w:type="dxa"/>
            </w:tcMar>
          </w:tcPr>
          <w:p>
            <w:pPr>
              <w:jc w:val="left"/>
            </w:pPr>
            <w:r>
              <w:rPr>
                <w:rFonts w:ascii="Calibri" w:hAnsi="Calibri"/>
                <w:sz w:val="16"/>
              </w:rPr>
              <w:t>DIO: 16.9d (Δ: +7.4d)</w:t>
            </w:r>
          </w:p>
        </w:tc>
        <w:tc>
          <w:tcPr>
            <w:tcW w:type="dxa" w:w="1152"/>
            <w:tcMar>
              <w:top w:w="60" w:type="dxa"/>
              <w:bottom w:w="60" w:type="dxa"/>
              <w:left w:w="80" w:type="dxa"/>
              <w:right w:w="80" w:type="dxa"/>
            </w:tcMar>
          </w:tcPr>
          <w:p>
            <w:pPr>
              <w:jc w:val="center"/>
            </w:pPr>
            <w:r>
              <w:rPr>
                <w:rFonts w:ascii="Calibri" w:hAnsi="Calibri"/>
                <w:b/>
                <w:color w:val="C00000"/>
                <w:sz w:val="16"/>
              </w:rPr>
              <w:t>🚩 FLAG</w:t>
            </w:r>
          </w:p>
        </w:tc>
        <w:tc>
          <w:tcPr>
            <w:tcW w:type="dxa" w:w="2592"/>
            <w:tcMar>
              <w:top w:w="60" w:type="dxa"/>
              <w:bottom w:w="60" w:type="dxa"/>
              <w:left w:w="80" w:type="dxa"/>
              <w:right w:w="80" w:type="dxa"/>
            </w:tcMar>
          </w:tcPr>
          <w:p>
            <w:pPr>
              <w:jc w:val="left"/>
            </w:pPr>
            <w:r>
              <w:rPr>
                <w:rFonts w:ascii="Calibri" w:hAnsi="Calibri"/>
                <w:sz w:val="16"/>
              </w:rPr>
              <w:t>Las existencias rotan más lento o crecen más rápido que los costes. Puede esconder producto no vendido o absorción de costes en inventario para inflar márgenes.</w:t>
            </w:r>
          </w:p>
        </w:tc>
      </w:tr>
      <w:tr>
        <w:tc>
          <w:tcPr>
            <w:tcW w:type="dxa" w:w="2160"/>
            <w:tcMar>
              <w:top w:w="60" w:type="dxa"/>
              <w:bottom w:w="60" w:type="dxa"/>
              <w:left w:w="80" w:type="dxa"/>
              <w:right w:w="80" w:type="dxa"/>
            </w:tcMar>
          </w:tcPr>
          <w:p>
            <w:pPr>
              <w:jc w:val="left"/>
            </w:pPr>
            <w:r>
              <w:rPr>
                <w:rFonts w:ascii="Calibri" w:hAnsi="Calibri"/>
                <w:sz w:val="16"/>
              </w:rPr>
              <w:t>4. Otros Activos Corrientes vs. Ventas</w:t>
            </w:r>
          </w:p>
        </w:tc>
        <w:tc>
          <w:tcPr>
            <w:tcW w:type="dxa" w:w="2016"/>
            <w:tcMar>
              <w:top w:w="60" w:type="dxa"/>
              <w:bottom w:w="60" w:type="dxa"/>
              <w:left w:w="80" w:type="dxa"/>
              <w:right w:w="80" w:type="dxa"/>
            </w:tcMar>
          </w:tcPr>
          <w:p>
            <w:pPr>
              <w:jc w:val="left"/>
            </w:pPr>
            <w:r>
              <w:rPr>
                <w:rFonts w:ascii="Calibri" w:hAnsi="Calibri"/>
                <w:sz w:val="16"/>
              </w:rPr>
              <w:t>Ratio Otros Act. Ctes/Ventas_t &gt; Ratio Otros Act. Ctes/Ventas_t-1</w:t>
            </w:r>
          </w:p>
        </w:tc>
        <w:tc>
          <w:tcPr>
            <w:tcW w:type="dxa" w:w="1872"/>
            <w:tcMar>
              <w:top w:w="60" w:type="dxa"/>
              <w:bottom w:w="60" w:type="dxa"/>
              <w:left w:w="80" w:type="dxa"/>
              <w:right w:w="80" w:type="dxa"/>
            </w:tcMar>
          </w:tcPr>
          <w:p>
            <w:pPr>
              <w:jc w:val="left"/>
            </w:pPr>
            <w:r>
              <w:rPr>
                <w:rFonts w:ascii="Calibri" w:hAnsi="Calibri"/>
                <w:sz w:val="16"/>
              </w:rPr>
              <w:t>Otros Act/Ventas: 3.73% vs 3.5%</w:t>
            </w:r>
          </w:p>
        </w:tc>
        <w:tc>
          <w:tcPr>
            <w:tcW w:type="dxa" w:w="1152"/>
            <w:tcMar>
              <w:top w:w="60" w:type="dxa"/>
              <w:bottom w:w="60" w:type="dxa"/>
              <w:left w:w="80" w:type="dxa"/>
              <w:right w:w="80" w:type="dxa"/>
            </w:tcMar>
          </w:tcPr>
          <w:p>
            <w:pPr>
              <w:jc w:val="center"/>
            </w:pPr>
            <w:r>
              <w:rPr>
                <w:rFonts w:ascii="Calibri" w:hAnsi="Calibri"/>
                <w:b/>
                <w:color w:val="C00000"/>
                <w:sz w:val="16"/>
              </w:rPr>
              <w:t>🚩 FLAG</w:t>
            </w:r>
          </w:p>
        </w:tc>
        <w:tc>
          <w:tcPr>
            <w:tcW w:type="dxa" w:w="2592"/>
            <w:tcMar>
              <w:top w:w="60" w:type="dxa"/>
              <w:bottom w:w="60" w:type="dxa"/>
              <w:left w:w="80" w:type="dxa"/>
              <w:right w:w="80" w:type="dxa"/>
            </w:tcMar>
          </w:tcPr>
          <w:p>
            <w:pPr>
              <w:jc w:val="left"/>
            </w:pPr>
            <w:r>
              <w:rPr>
                <w:rFonts w:ascii="Calibri" w:hAnsi="Calibri"/>
                <w:sz w:val="16"/>
              </w:rPr>
              <w:t>Incremento del peso relativo de otros activos corrientes. Alerta de partidas dudosas o cargos diferidos ocultos fuera de clientes e inventarios.</w:t>
            </w:r>
          </w:p>
        </w:tc>
      </w:tr>
      <w:tr>
        <w:tc>
          <w:tcPr>
            <w:tcW w:type="dxa" w:w="2160"/>
            <w:tcMar>
              <w:top w:w="60" w:type="dxa"/>
              <w:bottom w:w="60" w:type="dxa"/>
              <w:left w:w="80" w:type="dxa"/>
              <w:right w:w="80" w:type="dxa"/>
            </w:tcMar>
          </w:tcPr>
          <w:p>
            <w:pPr>
              <w:jc w:val="left"/>
            </w:pPr>
            <w:r>
              <w:rPr>
                <w:rFonts w:ascii="Calibri" w:hAnsi="Calibri"/>
                <w:sz w:val="16"/>
              </w:rPr>
              <w:t>5. Reducción de la Tasa de Depreciación</w:t>
            </w:r>
          </w:p>
        </w:tc>
        <w:tc>
          <w:tcPr>
            <w:tcW w:type="dxa" w:w="2016"/>
            <w:tcMar>
              <w:top w:w="60" w:type="dxa"/>
              <w:bottom w:w="60" w:type="dxa"/>
              <w:left w:w="80" w:type="dxa"/>
              <w:right w:w="80" w:type="dxa"/>
            </w:tcMar>
          </w:tcPr>
          <w:p>
            <w:pPr>
              <w:jc w:val="left"/>
            </w:pPr>
            <w:r>
              <w:rPr>
                <w:rFonts w:ascii="Calibri" w:hAnsi="Calibri"/>
                <w:sz w:val="16"/>
              </w:rPr>
              <w:t>Tasa Depreciación_t &lt; Tasa Depreciación_t-1</w:t>
            </w:r>
          </w:p>
        </w:tc>
        <w:tc>
          <w:tcPr>
            <w:tcW w:type="dxa" w:w="1872"/>
            <w:tcMar>
              <w:top w:w="60" w:type="dxa"/>
              <w:bottom w:w="60" w:type="dxa"/>
              <w:left w:w="80" w:type="dxa"/>
              <w:right w:w="80" w:type="dxa"/>
            </w:tcMar>
          </w:tcPr>
          <w:p>
            <w:pPr>
              <w:jc w:val="left"/>
            </w:pPr>
            <w:r>
              <w:rPr>
                <w:rFonts w:ascii="Calibri" w:hAnsi="Calibri"/>
                <w:sz w:val="16"/>
              </w:rPr>
              <w:t>Tasa Deprec: 20.3% vs 19.01%</w:t>
            </w:r>
          </w:p>
        </w:tc>
        <w:tc>
          <w:tcPr>
            <w:tcW w:type="dxa" w:w="1152"/>
            <w:tcMar>
              <w:top w:w="60" w:type="dxa"/>
              <w:bottom w:w="60" w:type="dxa"/>
              <w:left w:w="80" w:type="dxa"/>
              <w:right w:w="80" w:type="dxa"/>
            </w:tcMar>
          </w:tcPr>
          <w:p>
            <w:pPr>
              <w:jc w:val="center"/>
            </w:pPr>
            <w:r>
              <w:rPr>
                <w:rFonts w:ascii="Calibri" w:hAnsi="Calibri"/>
                <w:b/>
                <w:color w:val="276A3C"/>
                <w:sz w:val="16"/>
              </w:rPr>
              <w:t>✅ OK</w:t>
            </w:r>
          </w:p>
        </w:tc>
        <w:tc>
          <w:tcPr>
            <w:tcW w:type="dxa" w:w="2592"/>
            <w:tcMar>
              <w:top w:w="60" w:type="dxa"/>
              <w:bottom w:w="60" w:type="dxa"/>
              <w:left w:w="80" w:type="dxa"/>
              <w:right w:w="80" w:type="dxa"/>
            </w:tcMar>
          </w:tcPr>
          <w:p>
            <w:pPr>
              <w:jc w:val="left"/>
            </w:pPr>
            <w:r>
              <w:rPr>
                <w:rFonts w:ascii="Calibri" w:hAnsi="Calibri"/>
                <w:sz w:val="16"/>
              </w:rPr>
              <w:t>Reducción de la amortización contable respecto a los activos brutos, inflando el beneficio neto al estirar vidas útiles estimadas.</w:t>
            </w:r>
          </w:p>
        </w:tc>
      </w:tr>
      <w:tr>
        <w:tc>
          <w:tcPr>
            <w:tcW w:type="dxa" w:w="2160"/>
            <w:tcMar>
              <w:top w:w="60" w:type="dxa"/>
              <w:bottom w:w="60" w:type="dxa"/>
              <w:left w:w="80" w:type="dxa"/>
              <w:right w:w="80" w:type="dxa"/>
            </w:tcMar>
          </w:tcPr>
          <w:p>
            <w:pPr>
              <w:jc w:val="left"/>
            </w:pPr>
            <w:r>
              <w:rPr>
                <w:rFonts w:ascii="Calibri" w:hAnsi="Calibri"/>
                <w:sz w:val="16"/>
              </w:rPr>
              <w:t>6. Crecimiento Excesivo de Activos Totales</w:t>
            </w:r>
          </w:p>
        </w:tc>
        <w:tc>
          <w:tcPr>
            <w:tcW w:type="dxa" w:w="2016"/>
            <w:tcMar>
              <w:top w:w="60" w:type="dxa"/>
              <w:bottom w:w="60" w:type="dxa"/>
              <w:left w:w="80" w:type="dxa"/>
              <w:right w:w="80" w:type="dxa"/>
            </w:tcMar>
          </w:tcPr>
          <w:p>
            <w:pPr>
              <w:jc w:val="left"/>
            </w:pPr>
            <w:r>
              <w:rPr>
                <w:rFonts w:ascii="Calibri" w:hAnsi="Calibri"/>
                <w:sz w:val="16"/>
              </w:rPr>
              <w:t>Δ Activos &gt; 15.0% y Δ Activos &gt; 1.15 * Δ Ventas</w:t>
            </w:r>
          </w:p>
        </w:tc>
        <w:tc>
          <w:tcPr>
            <w:tcW w:type="dxa" w:w="1872"/>
            <w:tcMar>
              <w:top w:w="60" w:type="dxa"/>
              <w:bottom w:w="60" w:type="dxa"/>
              <w:left w:w="80" w:type="dxa"/>
              <w:right w:w="80" w:type="dxa"/>
            </w:tcMar>
          </w:tcPr>
          <w:p>
            <w:pPr>
              <w:jc w:val="left"/>
            </w:pPr>
            <w:r>
              <w:rPr>
                <w:rFonts w:ascii="Calibri" w:hAnsi="Calibri"/>
                <w:sz w:val="16"/>
              </w:rPr>
              <w:t>ΔActivos: +6.7% vs ΔVentas: +12.2%</w:t>
            </w:r>
          </w:p>
        </w:tc>
        <w:tc>
          <w:tcPr>
            <w:tcW w:type="dxa" w:w="1152"/>
            <w:tcMar>
              <w:top w:w="60" w:type="dxa"/>
              <w:bottom w:w="60" w:type="dxa"/>
              <w:left w:w="80" w:type="dxa"/>
              <w:right w:w="80" w:type="dxa"/>
            </w:tcMar>
          </w:tcPr>
          <w:p>
            <w:pPr>
              <w:jc w:val="center"/>
            </w:pPr>
            <w:r>
              <w:rPr>
                <w:rFonts w:ascii="Calibri" w:hAnsi="Calibri"/>
                <w:b/>
                <w:color w:val="276A3C"/>
                <w:sz w:val="16"/>
              </w:rPr>
              <w:t>✅ OK</w:t>
            </w:r>
          </w:p>
        </w:tc>
        <w:tc>
          <w:tcPr>
            <w:tcW w:type="dxa" w:w="2592"/>
            <w:tcMar>
              <w:top w:w="60" w:type="dxa"/>
              <w:bottom w:w="60" w:type="dxa"/>
              <w:left w:w="80" w:type="dxa"/>
              <w:right w:w="80" w:type="dxa"/>
            </w:tcMar>
          </w:tcPr>
          <w:p>
            <w:pPr>
              <w:jc w:val="left"/>
            </w:pPr>
            <w:r>
              <w:rPr>
                <w:rFonts w:ascii="Calibri" w:hAnsi="Calibri"/>
                <w:sz w:val="16"/>
              </w:rPr>
              <w:t>Expansión desproporcionada de balance no respaldada por ventas. Montier advierte que suele utilizarse para disimular debilidad orgánica o acumulación de partidas improductivas.</w:t>
            </w:r>
          </w:p>
        </w:tc>
      </w:tr>
    </w:tbl>
    <w:p>
      <w:pPr>
        <w:spacing w:before="80" w:after="160"/>
      </w:pPr>
      <w:r>
        <w:rPr>
          <w:rFonts w:ascii="Calibri" w:hAnsi="Calibri"/>
          <w:b/>
          <w:color w:val="1B365D"/>
          <w:sz w:val="17"/>
        </w:rPr>
        <w:t>Dictamen Montier: 2 / 6 Banderas — RIESGO MODERADO / ALERTA PREVENTIVA. Probabilidad empírica de manipulación moderada (&lt; 25%).</w:t>
      </w:r>
    </w:p>
    <w:p>
      <w:pPr>
        <w:pStyle w:val="Heading2"/>
      </w:pPr>
      <w:r>
        <w:rPr>
          <w:rFonts w:ascii="Calibri" w:hAnsi="Calibri"/>
          <w:b/>
          <w:color w:val="1B365D"/>
          <w:sz w:val="23"/>
        </w:rPr>
        <w:t>12.4. Cuadro de Mando Consolidado de Fidelidad Contable</w:t>
      </w:r>
    </w:p>
    <w:tbl>
      <w:tblPr>
        <w:tblW w:type="auto" w:w="0"/>
        <w:jc w:val="center"/>
        <w:tblLook w:firstColumn="1" w:firstRow="1" w:lastColumn="0" w:lastRow="0" w:noHBand="0" w:noVBand="1" w:val="04A0"/>
        <w:tblBorders>
          <w:top w:val="single" w:sz="6" w:space="0" w:color="D2D6DC"/>
          <w:left w:val="none"/>
          <w:bottom w:val="single" w:sz="10" w:space="0" w:color="1B365D"/>
          <w:right w:val="none"/>
          <w:insideH w:val="single" w:sz="4" w:space="0" w:color="D2D6DC"/>
          <w:insideV w:val="none"/>
        </w:tblBorders>
      </w:tblPr>
      <w:tblGrid>
        <w:gridCol w:w="2016"/>
        <w:gridCol w:w="2016"/>
        <w:gridCol w:w="1440"/>
        <w:gridCol w:w="1728"/>
        <w:gridCol w:w="2592"/>
      </w:tblGrid>
      <w:tr>
        <w:tc>
          <w:tcPr>
            <w:tcW w:type="dxa" w:w="2016"/>
            <w:shd w:fill="1B365D"/>
            <w:tcMar>
              <w:top w:w="80" w:type="dxa"/>
              <w:bottom w:w="80" w:type="dxa"/>
              <w:left w:w="80" w:type="dxa"/>
              <w:right w:w="80" w:type="dxa"/>
            </w:tcMar>
          </w:tcPr>
          <w:p>
            <w:pPr>
              <w:jc w:val="left"/>
            </w:pPr>
            <w:r>
              <w:rPr>
                <w:rFonts w:ascii="Calibri" w:hAnsi="Calibri"/>
                <w:b/>
                <w:color w:val="FFFFFF"/>
                <w:sz w:val="17"/>
              </w:rPr>
              <w:t>Dimensión Forense</w:t>
            </w:r>
          </w:p>
        </w:tc>
        <w:tc>
          <w:tcPr>
            <w:tcW w:type="dxa" w:w="2016"/>
            <w:shd w:fill="1B365D"/>
            <w:tcMar>
              <w:top w:w="80" w:type="dxa"/>
              <w:bottom w:w="80" w:type="dxa"/>
              <w:left w:w="80" w:type="dxa"/>
              <w:right w:w="80" w:type="dxa"/>
            </w:tcMar>
          </w:tcPr>
          <w:p>
            <w:pPr>
              <w:jc w:val="left"/>
            </w:pPr>
            <w:r>
              <w:rPr>
                <w:rFonts w:ascii="Calibri" w:hAnsi="Calibri"/>
                <w:b/>
                <w:color w:val="FFFFFF"/>
                <w:sz w:val="17"/>
              </w:rPr>
              <w:t>Indicador Clave</w:t>
            </w:r>
          </w:p>
        </w:tc>
        <w:tc>
          <w:tcPr>
            <w:tcW w:type="dxa" w:w="1440"/>
            <w:shd w:fill="1B365D"/>
            <w:tcMar>
              <w:top w:w="80" w:type="dxa"/>
              <w:bottom w:w="80" w:type="dxa"/>
              <w:left w:w="80" w:type="dxa"/>
              <w:right w:w="80" w:type="dxa"/>
            </w:tcMar>
          </w:tcPr>
          <w:p>
            <w:pPr>
              <w:jc w:val="center"/>
            </w:pPr>
            <w:r>
              <w:rPr>
                <w:rFonts w:ascii="Calibri" w:hAnsi="Calibri"/>
                <w:b/>
                <w:color w:val="FFFFFF"/>
                <w:sz w:val="17"/>
              </w:rPr>
              <w:t>Valor LTM</w:t>
            </w:r>
          </w:p>
        </w:tc>
        <w:tc>
          <w:tcPr>
            <w:tcW w:type="dxa" w:w="1728"/>
            <w:shd w:fill="1B365D"/>
            <w:tcMar>
              <w:top w:w="80" w:type="dxa"/>
              <w:bottom w:w="80" w:type="dxa"/>
              <w:left w:w="80" w:type="dxa"/>
              <w:right w:w="80" w:type="dxa"/>
            </w:tcMar>
          </w:tcPr>
          <w:p>
            <w:pPr>
              <w:jc w:val="center"/>
            </w:pPr>
            <w:r>
              <w:rPr>
                <w:rFonts w:ascii="Calibri" w:hAnsi="Calibri"/>
                <w:b/>
                <w:color w:val="FFFFFF"/>
                <w:sz w:val="17"/>
              </w:rPr>
              <w:t>Zona de Seguridad</w:t>
            </w:r>
          </w:p>
        </w:tc>
        <w:tc>
          <w:tcPr>
            <w:tcW w:type="dxa" w:w="2592"/>
            <w:shd w:fill="1B365D"/>
            <w:tcMar>
              <w:top w:w="80" w:type="dxa"/>
              <w:bottom w:w="80" w:type="dxa"/>
              <w:left w:w="80" w:type="dxa"/>
              <w:right w:w="80" w:type="dxa"/>
            </w:tcMar>
          </w:tcPr>
          <w:p>
            <w:pPr>
              <w:jc w:val="left"/>
            </w:pPr>
            <w:r>
              <w:rPr>
                <w:rFonts w:ascii="Calibri" w:hAnsi="Calibri"/>
                <w:b/>
                <w:color w:val="FFFFFF"/>
                <w:sz w:val="17"/>
              </w:rPr>
              <w:t>Diagnóstico para el Inversor</w:t>
            </w:r>
          </w:p>
        </w:tc>
      </w:tr>
      <w:tr>
        <w:tc>
          <w:tcPr>
            <w:tcW w:type="dxa" w:w="2016"/>
            <w:tcMar>
              <w:top w:w="60" w:type="dxa"/>
              <w:bottom w:w="60" w:type="dxa"/>
              <w:left w:w="80" w:type="dxa"/>
              <w:right w:w="80" w:type="dxa"/>
            </w:tcMar>
          </w:tcPr>
          <w:p>
            <w:pPr>
              <w:jc w:val="left"/>
            </w:pPr>
            <w:r>
              <w:rPr>
                <w:rFonts w:ascii="Calibri" w:hAnsi="Calibri"/>
                <w:b/>
                <w:sz w:val="17"/>
              </w:rPr>
              <w:t>Calidad de Beneficios</w:t>
            </w:r>
          </w:p>
        </w:tc>
        <w:tc>
          <w:tcPr>
            <w:tcW w:type="dxa" w:w="2016"/>
            <w:tcMar>
              <w:top w:w="60" w:type="dxa"/>
              <w:bottom w:w="60" w:type="dxa"/>
              <w:left w:w="80" w:type="dxa"/>
              <w:right w:w="80" w:type="dxa"/>
            </w:tcMar>
          </w:tcPr>
          <w:p>
            <w:pPr>
              <w:jc w:val="left"/>
            </w:pPr>
            <w:r>
              <w:rPr>
                <w:rFonts w:ascii="Calibri" w:hAnsi="Calibri"/>
                <w:b/>
                <w:sz w:val="17"/>
              </w:rPr>
              <w:t>Ratio Devengos Sloan</w:t>
            </w:r>
          </w:p>
        </w:tc>
        <w:tc>
          <w:tcPr>
            <w:tcW w:type="dxa" w:w="1440"/>
            <w:tcMar>
              <w:top w:w="60" w:type="dxa"/>
              <w:bottom w:w="60" w:type="dxa"/>
              <w:left w:w="80" w:type="dxa"/>
              <w:right w:w="80" w:type="dxa"/>
            </w:tcMar>
          </w:tcPr>
          <w:p>
            <w:pPr>
              <w:jc w:val="center"/>
            </w:pPr>
            <w:r>
              <w:rPr>
                <w:rFonts w:ascii="Calibri" w:hAnsi="Calibri"/>
                <w:sz w:val="17"/>
              </w:rPr>
              <w:t>-4.79%</w:t>
            </w:r>
          </w:p>
        </w:tc>
        <w:tc>
          <w:tcPr>
            <w:tcW w:type="dxa" w:w="1728"/>
            <w:tcMar>
              <w:top w:w="60" w:type="dxa"/>
              <w:bottom w:w="60" w:type="dxa"/>
              <w:left w:w="80" w:type="dxa"/>
              <w:right w:w="80" w:type="dxa"/>
            </w:tcMar>
          </w:tcPr>
          <w:p>
            <w:pPr>
              <w:jc w:val="center"/>
            </w:pPr>
            <w:r>
              <w:rPr>
                <w:rFonts w:ascii="Calibri" w:hAnsi="Calibri"/>
                <w:sz w:val="17"/>
              </w:rPr>
              <w:t>&lt; -3.0% (Excelente)</w:t>
            </w:r>
          </w:p>
        </w:tc>
        <w:tc>
          <w:tcPr>
            <w:tcW w:type="dxa" w:w="2592"/>
            <w:tcMar>
              <w:top w:w="60" w:type="dxa"/>
              <w:bottom w:w="60" w:type="dxa"/>
              <w:left w:w="80" w:type="dxa"/>
              <w:right w:w="80" w:type="dxa"/>
            </w:tcMar>
          </w:tcPr>
          <w:p>
            <w:pPr>
              <w:jc w:val="left"/>
            </w:pPr>
            <w:r>
              <w:rPr>
                <w:rFonts w:ascii="Calibri" w:hAnsi="Calibri"/>
                <w:sz w:val="17"/>
              </w:rPr>
              <w:t>Caja operativa supera a utilidad; devengos negativos protectores.</w:t>
            </w:r>
          </w:p>
        </w:tc>
      </w:tr>
      <w:tr>
        <w:tc>
          <w:tcPr>
            <w:tcW w:type="dxa" w:w="2016"/>
            <w:tcMar>
              <w:top w:w="60" w:type="dxa"/>
              <w:bottom w:w="60" w:type="dxa"/>
              <w:left w:w="80" w:type="dxa"/>
              <w:right w:w="80" w:type="dxa"/>
            </w:tcMar>
          </w:tcPr>
          <w:p>
            <w:pPr>
              <w:jc w:val="left"/>
            </w:pPr>
            <w:r>
              <w:rPr>
                <w:rFonts w:ascii="Calibri" w:hAnsi="Calibri"/>
                <w:b/>
                <w:sz w:val="17"/>
              </w:rPr>
              <w:t>Conversión de Ganancias</w:t>
            </w:r>
          </w:p>
        </w:tc>
        <w:tc>
          <w:tcPr>
            <w:tcW w:type="dxa" w:w="2016"/>
            <w:tcMar>
              <w:top w:w="60" w:type="dxa"/>
              <w:bottom w:w="60" w:type="dxa"/>
              <w:left w:w="80" w:type="dxa"/>
              <w:right w:w="80" w:type="dxa"/>
            </w:tcMar>
          </w:tcPr>
          <w:p>
            <w:pPr>
              <w:jc w:val="left"/>
            </w:pPr>
            <w:r>
              <w:rPr>
                <w:rFonts w:ascii="Calibri" w:hAnsi="Calibri"/>
                <w:b/>
                <w:sz w:val="17"/>
              </w:rPr>
              <w:t>Ratio CFO / Net Income</w:t>
            </w:r>
          </w:p>
        </w:tc>
        <w:tc>
          <w:tcPr>
            <w:tcW w:type="dxa" w:w="1440"/>
            <w:tcMar>
              <w:top w:w="60" w:type="dxa"/>
              <w:bottom w:w="60" w:type="dxa"/>
              <w:left w:w="80" w:type="dxa"/>
              <w:right w:w="80" w:type="dxa"/>
            </w:tcMar>
          </w:tcPr>
          <w:p>
            <w:pPr>
              <w:jc w:val="center"/>
            </w:pPr>
            <w:r>
              <w:rPr>
                <w:rFonts w:ascii="Calibri" w:hAnsi="Calibri"/>
                <w:sz w:val="17"/>
              </w:rPr>
              <w:t>113.8%</w:t>
            </w:r>
          </w:p>
        </w:tc>
        <w:tc>
          <w:tcPr>
            <w:tcW w:type="dxa" w:w="1728"/>
            <w:tcMar>
              <w:top w:w="60" w:type="dxa"/>
              <w:bottom w:w="60" w:type="dxa"/>
              <w:left w:w="80" w:type="dxa"/>
              <w:right w:w="80" w:type="dxa"/>
            </w:tcMar>
          </w:tcPr>
          <w:p>
            <w:pPr>
              <w:jc w:val="center"/>
            </w:pPr>
            <w:r>
              <w:rPr>
                <w:rFonts w:ascii="Calibri" w:hAnsi="Calibri"/>
                <w:sz w:val="17"/>
              </w:rPr>
              <w:t>&gt; 100.0%</w:t>
            </w:r>
          </w:p>
        </w:tc>
        <w:tc>
          <w:tcPr>
            <w:tcW w:type="dxa" w:w="2592"/>
            <w:tcMar>
              <w:top w:w="60" w:type="dxa"/>
              <w:bottom w:w="60" w:type="dxa"/>
              <w:left w:w="80" w:type="dxa"/>
              <w:right w:w="80" w:type="dxa"/>
            </w:tcMar>
          </w:tcPr>
          <w:p>
            <w:pPr>
              <w:jc w:val="left"/>
            </w:pPr>
            <w:r>
              <w:rPr>
                <w:rFonts w:ascii="Calibri" w:hAnsi="Calibri"/>
                <w:sz w:val="17"/>
              </w:rPr>
              <w:t>Conversión ultra-eficiente de beneficios contables en liquidez real.</w:t>
            </w:r>
          </w:p>
        </w:tc>
      </w:tr>
      <w:tr>
        <w:tc>
          <w:tcPr>
            <w:tcW w:type="dxa" w:w="2016"/>
            <w:tcMar>
              <w:top w:w="60" w:type="dxa"/>
              <w:bottom w:w="60" w:type="dxa"/>
              <w:left w:w="80" w:type="dxa"/>
              <w:right w:w="80" w:type="dxa"/>
            </w:tcMar>
          </w:tcPr>
          <w:p>
            <w:pPr>
              <w:jc w:val="left"/>
            </w:pPr>
            <w:r>
              <w:rPr>
                <w:rFonts w:ascii="Calibri" w:hAnsi="Calibri"/>
                <w:b/>
                <w:sz w:val="17"/>
              </w:rPr>
              <w:t>Riesgo Channel Stuffing</w:t>
            </w:r>
          </w:p>
        </w:tc>
        <w:tc>
          <w:tcPr>
            <w:tcW w:type="dxa" w:w="2016"/>
            <w:tcMar>
              <w:top w:w="60" w:type="dxa"/>
              <w:bottom w:w="60" w:type="dxa"/>
              <w:left w:w="80" w:type="dxa"/>
              <w:right w:w="80" w:type="dxa"/>
            </w:tcMar>
          </w:tcPr>
          <w:p>
            <w:pPr>
              <w:jc w:val="left"/>
            </w:pPr>
            <w:r>
              <w:rPr>
                <w:rFonts w:ascii="Calibri" w:hAnsi="Calibri"/>
                <w:b/>
                <w:sz w:val="17"/>
              </w:rPr>
              <w:t>Spread AR vs. Ventas</w:t>
            </w:r>
          </w:p>
        </w:tc>
        <w:tc>
          <w:tcPr>
            <w:tcW w:type="dxa" w:w="1440"/>
            <w:tcMar>
              <w:top w:w="60" w:type="dxa"/>
              <w:bottom w:w="60" w:type="dxa"/>
              <w:left w:w="80" w:type="dxa"/>
              <w:right w:w="80" w:type="dxa"/>
            </w:tcMar>
          </w:tcPr>
          <w:p>
            <w:pPr>
              <w:jc w:val="center"/>
            </w:pPr>
            <w:r>
              <w:rPr>
                <w:rFonts w:ascii="Calibri" w:hAnsi="Calibri"/>
                <w:sz w:val="17"/>
              </w:rPr>
              <w:t>-33.2%</w:t>
            </w:r>
          </w:p>
        </w:tc>
        <w:tc>
          <w:tcPr>
            <w:tcW w:type="dxa" w:w="1728"/>
            <w:tcMar>
              <w:top w:w="60" w:type="dxa"/>
              <w:bottom w:w="60" w:type="dxa"/>
              <w:left w:w="80" w:type="dxa"/>
              <w:right w:w="80" w:type="dxa"/>
            </w:tcMar>
          </w:tcPr>
          <w:p>
            <w:pPr>
              <w:jc w:val="center"/>
            </w:pPr>
            <w:r>
              <w:rPr>
                <w:rFonts w:ascii="Calibri" w:hAnsi="Calibri"/>
                <w:sz w:val="17"/>
              </w:rPr>
              <w:t>&lt; +10.0%</w:t>
            </w:r>
          </w:p>
        </w:tc>
        <w:tc>
          <w:tcPr>
            <w:tcW w:type="dxa" w:w="2592"/>
            <w:tcMar>
              <w:top w:w="60" w:type="dxa"/>
              <w:bottom w:w="60" w:type="dxa"/>
              <w:left w:w="80" w:type="dxa"/>
              <w:right w:w="80" w:type="dxa"/>
            </w:tcMar>
          </w:tcPr>
          <w:p>
            <w:pPr>
              <w:jc w:val="left"/>
            </w:pPr>
            <w:r>
              <w:rPr>
                <w:rFonts w:ascii="Calibri" w:hAnsi="Calibri"/>
                <w:sz w:val="17"/>
              </w:rPr>
              <w:t>Cobranza disciplinada (DSO: 24.5d); cobros sincronizados sin ventas infladas.</w:t>
            </w:r>
          </w:p>
        </w:tc>
      </w:tr>
      <w:tr>
        <w:tc>
          <w:tcPr>
            <w:tcW w:type="dxa" w:w="2016"/>
            <w:tcMar>
              <w:top w:w="60" w:type="dxa"/>
              <w:bottom w:w="60" w:type="dxa"/>
              <w:left w:w="80" w:type="dxa"/>
              <w:right w:w="80" w:type="dxa"/>
            </w:tcMar>
          </w:tcPr>
          <w:p>
            <w:pPr>
              <w:jc w:val="left"/>
            </w:pPr>
            <w:r>
              <w:rPr>
                <w:rFonts w:ascii="Calibri" w:hAnsi="Calibri"/>
                <w:b/>
                <w:sz w:val="17"/>
              </w:rPr>
              <w:t>Gestión de Existencias</w:t>
            </w:r>
          </w:p>
        </w:tc>
        <w:tc>
          <w:tcPr>
            <w:tcW w:type="dxa" w:w="2016"/>
            <w:tcMar>
              <w:top w:w="60" w:type="dxa"/>
              <w:bottom w:w="60" w:type="dxa"/>
              <w:left w:w="80" w:type="dxa"/>
              <w:right w:w="80" w:type="dxa"/>
            </w:tcMar>
          </w:tcPr>
          <w:p>
            <w:pPr>
              <w:jc w:val="left"/>
            </w:pPr>
            <w:r>
              <w:rPr>
                <w:rFonts w:ascii="Calibri" w:hAnsi="Calibri"/>
                <w:b/>
                <w:sz w:val="17"/>
              </w:rPr>
              <w:t>Días Inventario (DIO)</w:t>
            </w:r>
          </w:p>
        </w:tc>
        <w:tc>
          <w:tcPr>
            <w:tcW w:type="dxa" w:w="1440"/>
            <w:tcMar>
              <w:top w:w="60" w:type="dxa"/>
              <w:bottom w:w="60" w:type="dxa"/>
              <w:left w:w="80" w:type="dxa"/>
              <w:right w:w="80" w:type="dxa"/>
            </w:tcMar>
          </w:tcPr>
          <w:p>
            <w:pPr>
              <w:jc w:val="center"/>
            </w:pPr>
            <w:r>
              <w:rPr>
                <w:rFonts w:ascii="Calibri" w:hAnsi="Calibri"/>
                <w:sz w:val="17"/>
              </w:rPr>
              <w:t>16.9 días</w:t>
            </w:r>
          </w:p>
        </w:tc>
        <w:tc>
          <w:tcPr>
            <w:tcW w:type="dxa" w:w="1728"/>
            <w:tcMar>
              <w:top w:w="60" w:type="dxa"/>
              <w:bottom w:w="60" w:type="dxa"/>
              <w:left w:w="80" w:type="dxa"/>
              <w:right w:w="80" w:type="dxa"/>
            </w:tcMar>
          </w:tcPr>
          <w:p>
            <w:pPr>
              <w:jc w:val="center"/>
            </w:pPr>
            <w:r>
              <w:rPr>
                <w:rFonts w:ascii="Calibri" w:hAnsi="Calibri"/>
                <w:sz w:val="17"/>
              </w:rPr>
              <w:t>&lt; 45 días</w:t>
            </w:r>
          </w:p>
        </w:tc>
        <w:tc>
          <w:tcPr>
            <w:tcW w:type="dxa" w:w="2592"/>
            <w:tcMar>
              <w:top w:w="60" w:type="dxa"/>
              <w:bottom w:w="60" w:type="dxa"/>
              <w:left w:w="80" w:type="dxa"/>
              <w:right w:w="80" w:type="dxa"/>
            </w:tcMar>
          </w:tcPr>
          <w:p>
            <w:pPr>
              <w:jc w:val="left"/>
            </w:pPr>
            <w:r>
              <w:rPr>
                <w:rFonts w:ascii="Calibri" w:hAnsi="Calibri"/>
                <w:sz w:val="17"/>
              </w:rPr>
              <w:t>Rotación ultra-rápida (16.9d); mínima inmovilización de capital.</w:t>
            </w:r>
          </w:p>
        </w:tc>
      </w:tr>
      <w:tr>
        <w:tc>
          <w:tcPr>
            <w:tcW w:type="dxa" w:w="2016"/>
            <w:tcMar>
              <w:top w:w="60" w:type="dxa"/>
              <w:bottom w:w="60" w:type="dxa"/>
              <w:left w:w="80" w:type="dxa"/>
              <w:right w:w="80" w:type="dxa"/>
            </w:tcMar>
          </w:tcPr>
          <w:p>
            <w:pPr>
              <w:jc w:val="left"/>
            </w:pPr>
            <w:r>
              <w:rPr>
                <w:rFonts w:ascii="Calibri" w:hAnsi="Calibri"/>
                <w:b/>
                <w:sz w:val="17"/>
              </w:rPr>
              <w:t>Integridad del Balance</w:t>
            </w:r>
          </w:p>
        </w:tc>
        <w:tc>
          <w:tcPr>
            <w:tcW w:type="dxa" w:w="2016"/>
            <w:tcMar>
              <w:top w:w="60" w:type="dxa"/>
              <w:bottom w:w="60" w:type="dxa"/>
              <w:left w:w="80" w:type="dxa"/>
              <w:right w:w="80" w:type="dxa"/>
            </w:tcMar>
          </w:tcPr>
          <w:p>
            <w:pPr>
              <w:jc w:val="left"/>
            </w:pPr>
            <w:r>
              <w:rPr>
                <w:rFonts w:ascii="Calibri" w:hAnsi="Calibri"/>
                <w:b/>
                <w:sz w:val="17"/>
              </w:rPr>
              <w:t>Variación Activos Blandos</w:t>
            </w:r>
          </w:p>
        </w:tc>
        <w:tc>
          <w:tcPr>
            <w:tcW w:type="dxa" w:w="1440"/>
            <w:tcMar>
              <w:top w:w="60" w:type="dxa"/>
              <w:bottom w:w="60" w:type="dxa"/>
              <w:left w:w="80" w:type="dxa"/>
              <w:right w:w="80" w:type="dxa"/>
            </w:tcMar>
          </w:tcPr>
          <w:p>
            <w:pPr>
              <w:jc w:val="center"/>
            </w:pPr>
            <w:r>
              <w:rPr>
                <w:rFonts w:ascii="Calibri" w:hAnsi="Calibri"/>
                <w:sz w:val="17"/>
              </w:rPr>
              <w:t>+0.1 pp</w:t>
            </w:r>
          </w:p>
        </w:tc>
        <w:tc>
          <w:tcPr>
            <w:tcW w:type="dxa" w:w="1728"/>
            <w:tcMar>
              <w:top w:w="60" w:type="dxa"/>
              <w:bottom w:w="60" w:type="dxa"/>
              <w:left w:w="80" w:type="dxa"/>
              <w:right w:w="80" w:type="dxa"/>
            </w:tcMar>
          </w:tcPr>
          <w:p>
            <w:pPr>
              <w:jc w:val="center"/>
            </w:pPr>
            <w:r>
              <w:rPr>
                <w:rFonts w:ascii="Calibri" w:hAnsi="Calibri"/>
                <w:sz w:val="17"/>
              </w:rPr>
              <w:t>&lt; +2.0 pp</w:t>
            </w:r>
          </w:p>
        </w:tc>
        <w:tc>
          <w:tcPr>
            <w:tcW w:type="dxa" w:w="2592"/>
            <w:tcMar>
              <w:top w:w="60" w:type="dxa"/>
              <w:bottom w:w="60" w:type="dxa"/>
              <w:left w:w="80" w:type="dxa"/>
              <w:right w:w="80" w:type="dxa"/>
            </w:tcMar>
          </w:tcPr>
          <w:p>
            <w:pPr>
              <w:jc w:val="left"/>
            </w:pPr>
            <w:r>
              <w:rPr>
                <w:rFonts w:ascii="Calibri" w:hAnsi="Calibri"/>
                <w:sz w:val="17"/>
              </w:rPr>
              <w:t>Cero distorsión; gastos operativos no se activan en el balance.</w:t>
            </w:r>
          </w:p>
        </w:tc>
      </w:tr>
      <w:tr>
        <w:tc>
          <w:tcPr>
            <w:tcW w:type="dxa" w:w="2016"/>
            <w:tcMar>
              <w:top w:w="60" w:type="dxa"/>
              <w:bottom w:w="60" w:type="dxa"/>
              <w:left w:w="80" w:type="dxa"/>
              <w:right w:w="80" w:type="dxa"/>
            </w:tcMar>
          </w:tcPr>
          <w:p>
            <w:pPr>
              <w:jc w:val="left"/>
            </w:pPr>
            <w:r>
              <w:rPr>
                <w:rFonts w:ascii="Calibri" w:hAnsi="Calibri"/>
                <w:b/>
                <w:sz w:val="17"/>
              </w:rPr>
              <w:t>Manipulación Agregada</w:t>
            </w:r>
          </w:p>
        </w:tc>
        <w:tc>
          <w:tcPr>
            <w:tcW w:type="dxa" w:w="2016"/>
            <w:tcMar>
              <w:top w:w="60" w:type="dxa"/>
              <w:bottom w:w="60" w:type="dxa"/>
              <w:left w:w="80" w:type="dxa"/>
              <w:right w:w="80" w:type="dxa"/>
            </w:tcMar>
          </w:tcPr>
          <w:p>
            <w:pPr>
              <w:jc w:val="left"/>
            </w:pPr>
            <w:r>
              <w:rPr>
                <w:rFonts w:ascii="Calibri" w:hAnsi="Calibri"/>
                <w:b/>
                <w:sz w:val="17"/>
              </w:rPr>
              <w:t>Montier C-Score Total</w:t>
            </w:r>
          </w:p>
        </w:tc>
        <w:tc>
          <w:tcPr>
            <w:tcW w:type="dxa" w:w="1440"/>
            <w:tcMar>
              <w:top w:w="60" w:type="dxa"/>
              <w:bottom w:w="60" w:type="dxa"/>
              <w:left w:w="80" w:type="dxa"/>
              <w:right w:w="80" w:type="dxa"/>
            </w:tcMar>
          </w:tcPr>
          <w:p>
            <w:pPr>
              <w:jc w:val="center"/>
            </w:pPr>
            <w:r>
              <w:rPr>
                <w:rFonts w:ascii="Calibri" w:hAnsi="Calibri"/>
                <w:sz w:val="17"/>
              </w:rPr>
              <w:t>2 / 6</w:t>
            </w:r>
          </w:p>
        </w:tc>
        <w:tc>
          <w:tcPr>
            <w:tcW w:type="dxa" w:w="1728"/>
            <w:tcMar>
              <w:top w:w="60" w:type="dxa"/>
              <w:bottom w:w="60" w:type="dxa"/>
              <w:left w:w="80" w:type="dxa"/>
              <w:right w:w="80" w:type="dxa"/>
            </w:tcMar>
          </w:tcPr>
          <w:p>
            <w:pPr>
              <w:jc w:val="center"/>
            </w:pPr>
            <w:r>
              <w:rPr>
                <w:rFonts w:ascii="Calibri" w:hAnsi="Calibri"/>
                <w:sz w:val="17"/>
              </w:rPr>
              <w:t>0 - 1 Banderas</w:t>
            </w:r>
          </w:p>
        </w:tc>
        <w:tc>
          <w:tcPr>
            <w:tcW w:type="dxa" w:w="2592"/>
            <w:tcMar>
              <w:top w:w="60" w:type="dxa"/>
              <w:bottom w:w="60" w:type="dxa"/>
              <w:left w:w="80" w:type="dxa"/>
              <w:right w:w="80" w:type="dxa"/>
            </w:tcMar>
          </w:tcPr>
          <w:p>
            <w:pPr>
              <w:jc w:val="left"/>
            </w:pPr>
            <w:r>
              <w:rPr>
                <w:rFonts w:ascii="Calibri" w:hAnsi="Calibri"/>
                <w:sz w:val="17"/>
              </w:rPr>
              <w:t>Riesgo moderado (2/6); banderas operativas no constitutivas de fraude (&lt; 25%).</w:t>
            </w:r>
          </w:p>
        </w:tc>
      </w:tr>
    </w:tbl>
    <w:p>
      <w:pPr>
        <w:spacing w:after="160"/>
      </w:pPr>
    </w:p>
    <w:p>
      <w:pPr>
        <w:pStyle w:val="Heading1"/>
      </w:pPr>
      <w:r>
        <w:t>13. Solvencia, Deuda y Estrés Financiero (Credit Risk Engine)</w:t>
      </w:r>
    </w:p>
    <w:tbl>
      <w:tblPr>
        <w:tblW w:type="auto" w:w="0"/>
        <w:jc w:val="center"/>
        <w:tblLook w:firstColumn="1" w:firstRow="1" w:lastColumn="0" w:lastRow="0" w:noHBand="0" w:noVBand="1" w:val="04A0"/>
      </w:tblPr>
      <w:tblGrid>
        <w:gridCol w:w="9792"/>
      </w:tblGrid>
      <w:tr>
        <w:tc>
          <w:tcPr>
            <w:tcW w:type="dxa" w:w="9792"/>
            <w:shd w:fill="F0F4F8"/>
            <w:tcMar>
              <w:top w:w="140" w:type="dxa"/>
              <w:bottom w:w="140" w:type="dxa"/>
              <w:left w:w="180" w:type="dxa"/>
              <w:right w:w="180" w:type="dxa"/>
            </w:tcMar>
          </w:tcPr>
          <w:p>
            <w:r>
              <w:rPr>
                <w:b/>
                <w:color w:val="1B365D"/>
                <w:sz w:val="22"/>
              </w:rPr>
              <w:t>DICTAMEN GLOBAL DE SOLVENCIA (LTM): MÁXIMA SOLVENCIA INSTITUCIONAL</w:t>
              <w:br/>
            </w:r>
            <w:r>
              <w:rPr>
                <w:color w:val="2D3748"/>
                <w:sz w:val="19"/>
              </w:rPr>
              <w:t>Rating Sintético Damodaran: AAA (GRADO INSTITUCIONAL MÁXIMO (AAA / Aaa)) | Altman Z''-Score: 3.23 [ZONA SEGURA]</w:t>
              <w:br/>
              <w:br/>
              <w:t>FORTALEZA FINANCIERA INQUEBRANTABLE (GRADO INSTITUCIONAL AAA/AA): Apalancamiento óptimo (0.12x), cobertura de intereses de 41.8x y Altman Z''-Score de 3.23 en Zona Segura. Cero estrés crediticio, con capacidad excepcional de financiación en cualquier ciclo macroeconómico.</w:t>
            </w:r>
          </w:p>
        </w:tc>
      </w:tr>
    </w:tbl>
    <w:p/>
    <w:p>
      <w:pPr>
        <w:pStyle w:val="Heading2"/>
      </w:pPr>
      <w:r>
        <w:t>13.1. Apalancamiento y Capacidad de Amortización (Cash Flow Leverage)</w:t>
      </w:r>
    </w:p>
    <w:tbl>
      <w:tblPr>
        <w:tblW w:type="auto" w:w="0"/>
        <w:jc w:val="center"/>
        <w:tblLook w:firstColumn="1" w:firstRow="1" w:lastColumn="0" w:lastRow="0" w:noHBand="0" w:noVBand="1" w:val="04A0"/>
        <w:tblBorders>
          <w:top w:val="single" w:sz="6" w:space="0" w:color="D2D6DC"/>
          <w:bottom w:val="single" w:sz="6" w:space="0" w:color="D2D6DC"/>
          <w:insideH w:val="single" w:sz="4" w:space="0" w:color="D2D6DC"/>
          <w:insideV w:val="none"/>
          <w:left w:val="none"/>
          <w:right w:val="none"/>
        </w:tblBorders>
      </w:tblPr>
      <w:tblGrid>
        <w:gridCol w:w="2448"/>
        <w:gridCol w:w="2448"/>
        <w:gridCol w:w="2448"/>
        <w:gridCol w:w="2448"/>
      </w:tblGrid>
      <w:tr>
        <w:tc>
          <w:tcPr>
            <w:tcW w:type="dxa" w:w="2448"/>
            <w:shd w:fill="1B365D"/>
          </w:tcPr>
          <w:p>
            <w:r>
              <w:rPr>
                <w:b/>
                <w:color w:val="FFFFFF"/>
                <w:sz w:val="18"/>
              </w:rPr>
              <w:t>Métrica de Amortización</w:t>
            </w:r>
          </w:p>
        </w:tc>
        <w:tc>
          <w:tcPr>
            <w:tcW w:type="dxa" w:w="2448"/>
            <w:shd w:fill="1B365D"/>
          </w:tcPr>
          <w:p>
            <w:r>
              <w:rPr>
                <w:b/>
                <w:color w:val="FFFFFF"/>
                <w:sz w:val="18"/>
              </w:rPr>
              <w:t>Fórmula Contable</w:t>
            </w:r>
          </w:p>
        </w:tc>
        <w:tc>
          <w:tcPr>
            <w:tcW w:type="dxa" w:w="2448"/>
            <w:shd w:fill="1B365D"/>
          </w:tcPr>
          <w:p>
            <w:r>
              <w:rPr>
                <w:b/>
                <w:color w:val="FFFFFF"/>
                <w:sz w:val="18"/>
              </w:rPr>
              <w:t>Valor LTM</w:t>
            </w:r>
          </w:p>
        </w:tc>
        <w:tc>
          <w:tcPr>
            <w:tcW w:type="dxa" w:w="2448"/>
            <w:shd w:fill="1B365D"/>
          </w:tcPr>
          <w:p>
            <w:r>
              <w:rPr>
                <w:b/>
                <w:color w:val="FFFFFF"/>
                <w:sz w:val="18"/>
              </w:rPr>
              <w:t>Diagnóstico</w:t>
            </w:r>
          </w:p>
        </w:tc>
      </w:tr>
      <w:tr>
        <w:tc>
          <w:tcPr>
            <w:tcW w:type="dxa" w:w="2448"/>
          </w:tcPr>
          <w:p>
            <w:r>
              <w:rPr>
                <w:b/>
                <w:sz w:val="17"/>
              </w:rPr>
              <w:t>Deuda Financiera Total</w:t>
            </w:r>
          </w:p>
        </w:tc>
        <w:tc>
          <w:tcPr>
            <w:tcW w:type="dxa" w:w="2448"/>
          </w:tcPr>
          <w:p>
            <w:r>
              <w:rPr>
                <w:sz w:val="17"/>
              </w:rPr>
              <w:t>Short + Long Term Debt</w:t>
            </w:r>
          </w:p>
        </w:tc>
        <w:tc>
          <w:tcPr>
            <w:tcW w:type="dxa" w:w="2448"/>
          </w:tcPr>
          <w:p>
            <w:r>
              <w:rPr>
                <w:b/>
                <w:sz w:val="17"/>
              </w:rPr>
              <w:t>$82,347.0M</w:t>
            </w:r>
          </w:p>
        </w:tc>
        <w:tc>
          <w:tcPr>
            <w:tcW w:type="dxa" w:w="2448"/>
          </w:tcPr>
          <w:p>
            <w:r>
              <w:rPr>
                <w:sz w:val="17"/>
              </w:rPr>
              <w:t>Referencia Balance</w:t>
            </w:r>
          </w:p>
        </w:tc>
      </w:tr>
      <w:tr>
        <w:tc>
          <w:tcPr>
            <w:tcW w:type="dxa" w:w="2448"/>
            <w:shd w:fill="F7FAFC"/>
          </w:tcPr>
          <w:p>
            <w:r>
              <w:rPr>
                <w:b/>
                <w:sz w:val="17"/>
              </w:rPr>
              <w:t>Tesorería y Equivalentes</w:t>
            </w:r>
          </w:p>
        </w:tc>
        <w:tc>
          <w:tcPr>
            <w:tcW w:type="dxa" w:w="2448"/>
            <w:shd w:fill="F7FAFC"/>
          </w:tcPr>
          <w:p>
            <w:r>
              <w:rPr>
                <w:sz w:val="17"/>
              </w:rPr>
              <w:t>Cash &amp; Equivalents</w:t>
            </w:r>
          </w:p>
        </w:tc>
        <w:tc>
          <w:tcPr>
            <w:tcW w:type="dxa" w:w="2448"/>
            <w:shd w:fill="F7FAFC"/>
          </w:tcPr>
          <w:p>
            <w:r>
              <w:rPr>
                <w:b/>
                <w:sz w:val="17"/>
              </w:rPr>
              <w:t>$62,399.0M</w:t>
            </w:r>
          </w:p>
        </w:tc>
        <w:tc>
          <w:tcPr>
            <w:tcW w:type="dxa" w:w="2448"/>
            <w:shd w:fill="F7FAFC"/>
          </w:tcPr>
          <w:p>
            <w:r>
              <w:rPr>
                <w:sz w:val="17"/>
              </w:rPr>
              <w:t>Liquidez Inmediata</w:t>
            </w:r>
          </w:p>
        </w:tc>
      </w:tr>
      <w:tr>
        <w:tc>
          <w:tcPr>
            <w:tcW w:type="dxa" w:w="2448"/>
          </w:tcPr>
          <w:p>
            <w:r>
              <w:rPr>
                <w:b/>
                <w:sz w:val="17"/>
              </w:rPr>
              <w:t>Deuda Financiera Neta</w:t>
            </w:r>
          </w:p>
        </w:tc>
        <w:tc>
          <w:tcPr>
            <w:tcW w:type="dxa" w:w="2448"/>
          </w:tcPr>
          <w:p>
            <w:r>
              <w:rPr>
                <w:sz w:val="17"/>
              </w:rPr>
              <w:t>Deuda Total - Tesorería</w:t>
            </w:r>
          </w:p>
        </w:tc>
        <w:tc>
          <w:tcPr>
            <w:tcW w:type="dxa" w:w="2448"/>
          </w:tcPr>
          <w:p>
            <w:r>
              <w:rPr>
                <w:b/>
                <w:sz w:val="17"/>
              </w:rPr>
              <w:t>$19,948.0M</w:t>
            </w:r>
          </w:p>
        </w:tc>
        <w:tc>
          <w:tcPr>
            <w:tcW w:type="dxa" w:w="2448"/>
          </w:tcPr>
          <w:p>
            <w:r>
              <w:rPr>
                <w:sz w:val="17"/>
              </w:rPr>
              <w:t>Deuda Neta</w:t>
            </w:r>
          </w:p>
        </w:tc>
      </w:tr>
      <w:tr>
        <w:tc>
          <w:tcPr>
            <w:tcW w:type="dxa" w:w="2448"/>
            <w:shd w:fill="F7FAFC"/>
          </w:tcPr>
          <w:p>
            <w:r>
              <w:rPr>
                <w:b/>
                <w:sz w:val="17"/>
              </w:rPr>
              <w:t>Deuda Neta / EBITDA</w:t>
            </w:r>
          </w:p>
        </w:tc>
        <w:tc>
          <w:tcPr>
            <w:tcW w:type="dxa" w:w="2448"/>
            <w:shd w:fill="F7FAFC"/>
          </w:tcPr>
          <w:p>
            <w:r>
              <w:rPr>
                <w:sz w:val="17"/>
              </w:rPr>
              <w:t>Deuda Neta / EBITDA</w:t>
            </w:r>
          </w:p>
        </w:tc>
        <w:tc>
          <w:tcPr>
            <w:tcW w:type="dxa" w:w="2448"/>
            <w:shd w:fill="F7FAFC"/>
          </w:tcPr>
          <w:p>
            <w:r>
              <w:rPr>
                <w:b/>
                <w:sz w:val="17"/>
              </w:rPr>
              <w:t>0.12x</w:t>
            </w:r>
          </w:p>
        </w:tc>
        <w:tc>
          <w:tcPr>
            <w:tcW w:type="dxa" w:w="2448"/>
            <w:shd w:fill="F7FAFC"/>
          </w:tcPr>
          <w:p>
            <w:r>
              <w:rPr>
                <w:sz w:val="17"/>
              </w:rPr>
              <w:t>GRADO INVERSIÓN SUPERIOR (&lt; 1.5x)</w:t>
            </w:r>
          </w:p>
        </w:tc>
      </w:tr>
      <w:tr>
        <w:tc>
          <w:tcPr>
            <w:tcW w:type="dxa" w:w="2448"/>
          </w:tcPr>
          <w:p>
            <w:r>
              <w:rPr>
                <w:b/>
                <w:sz w:val="17"/>
              </w:rPr>
              <w:t>Deuda Neta / FCF</w:t>
            </w:r>
          </w:p>
        </w:tc>
        <w:tc>
          <w:tcPr>
            <w:tcW w:type="dxa" w:w="2448"/>
          </w:tcPr>
          <w:p>
            <w:r>
              <w:rPr>
                <w:sz w:val="17"/>
              </w:rPr>
              <w:t>Deuda Neta / FCF</w:t>
            </w:r>
          </w:p>
        </w:tc>
        <w:tc>
          <w:tcPr>
            <w:tcW w:type="dxa" w:w="2448"/>
          </w:tcPr>
          <w:p>
            <w:r>
              <w:rPr>
                <w:b/>
                <w:sz w:val="17"/>
              </w:rPr>
              <w:t>0.15x</w:t>
            </w:r>
          </w:p>
        </w:tc>
        <w:tc>
          <w:tcPr>
            <w:tcW w:type="dxa" w:w="2448"/>
          </w:tcPr>
          <w:p>
            <w:r>
              <w:rPr>
                <w:sz w:val="17"/>
              </w:rPr>
              <w:t>Años de Caja Libre</w:t>
            </w:r>
          </w:p>
        </w:tc>
      </w:tr>
    </w:tbl>
    <w:p/>
    <w:p>
      <w:pPr>
        <w:pStyle w:val="Heading2"/>
      </w:pPr>
      <w:r>
        <w:t>13.2. Cobertura de Intereses y Carga Financiera</w:t>
      </w:r>
    </w:p>
    <w:tbl>
      <w:tblPr>
        <w:tblW w:type="auto" w:w="0"/>
        <w:jc w:val="center"/>
        <w:tblLook w:firstColumn="1" w:firstRow="1" w:lastColumn="0" w:lastRow="0" w:noHBand="0" w:noVBand="1" w:val="04A0"/>
        <w:tblBorders>
          <w:top w:val="single" w:sz="6" w:space="0" w:color="D2D6DC"/>
          <w:bottom w:val="single" w:sz="6" w:space="0" w:color="D2D6DC"/>
          <w:insideH w:val="single" w:sz="4" w:space="0" w:color="D2D6DC"/>
          <w:insideV w:val="none"/>
          <w:left w:val="none"/>
          <w:right w:val="none"/>
        </w:tblBorders>
      </w:tblPr>
      <w:tblGrid>
        <w:gridCol w:w="2448"/>
        <w:gridCol w:w="2448"/>
        <w:gridCol w:w="2448"/>
        <w:gridCol w:w="2448"/>
      </w:tblGrid>
      <w:tr>
        <w:tc>
          <w:tcPr>
            <w:tcW w:type="dxa" w:w="2448"/>
            <w:shd w:fill="1B365D"/>
          </w:tcPr>
          <w:p>
            <w:r>
              <w:rPr>
                <w:b/>
                <w:color w:val="FFFFFF"/>
                <w:sz w:val="18"/>
              </w:rPr>
              <w:t>Métrica de Cobertura</w:t>
            </w:r>
          </w:p>
        </w:tc>
        <w:tc>
          <w:tcPr>
            <w:tcW w:type="dxa" w:w="2448"/>
            <w:shd w:fill="1B365D"/>
          </w:tcPr>
          <w:p>
            <w:r>
              <w:rPr>
                <w:b/>
                <w:color w:val="FFFFFF"/>
                <w:sz w:val="18"/>
              </w:rPr>
              <w:t>Fórmula Contable</w:t>
            </w:r>
          </w:p>
        </w:tc>
        <w:tc>
          <w:tcPr>
            <w:tcW w:type="dxa" w:w="2448"/>
            <w:shd w:fill="1B365D"/>
          </w:tcPr>
          <w:p>
            <w:r>
              <w:rPr>
                <w:b/>
                <w:color w:val="FFFFFF"/>
                <w:sz w:val="18"/>
              </w:rPr>
              <w:t>Valor LTM</w:t>
            </w:r>
          </w:p>
        </w:tc>
        <w:tc>
          <w:tcPr>
            <w:tcW w:type="dxa" w:w="2448"/>
            <w:shd w:fill="1B365D"/>
          </w:tcPr>
          <w:p>
            <w:r>
              <w:rPr>
                <w:b/>
                <w:color w:val="FFFFFF"/>
                <w:sz w:val="18"/>
              </w:rPr>
              <w:t>Evaluación</w:t>
            </w:r>
          </w:p>
        </w:tc>
      </w:tr>
      <w:tr>
        <w:tc>
          <w:tcPr>
            <w:tcW w:type="dxa" w:w="2448"/>
          </w:tcPr>
          <w:p>
            <w:r>
              <w:rPr>
                <w:b/>
                <w:sz w:val="17"/>
              </w:rPr>
              <w:t>Beneficio Operativo (EBIT)</w:t>
            </w:r>
          </w:p>
        </w:tc>
        <w:tc>
          <w:tcPr>
            <w:tcW w:type="dxa" w:w="2448"/>
          </w:tcPr>
          <w:p>
            <w:r>
              <w:rPr>
                <w:sz w:val="17"/>
              </w:rPr>
              <w:t>Operating Income</w:t>
            </w:r>
          </w:p>
        </w:tc>
        <w:tc>
          <w:tcPr>
            <w:tcW w:type="dxa" w:w="2448"/>
          </w:tcPr>
          <w:p>
            <w:r>
              <w:rPr>
                <w:b/>
                <w:sz w:val="17"/>
              </w:rPr>
              <w:t>$154,859.0M</w:t>
            </w:r>
          </w:p>
        </w:tc>
        <w:tc>
          <w:tcPr>
            <w:tcW w:type="dxa" w:w="2448"/>
          </w:tcPr>
          <w:p>
            <w:r>
              <w:rPr>
                <w:sz w:val="17"/>
              </w:rPr>
              <w:t>Fondo de Cobertura</w:t>
            </w:r>
          </w:p>
        </w:tc>
      </w:tr>
      <w:tr>
        <w:tc>
          <w:tcPr>
            <w:tcW w:type="dxa" w:w="2448"/>
            <w:shd w:fill="F7FAFC"/>
          </w:tcPr>
          <w:p>
            <w:r>
              <w:rPr>
                <w:b/>
                <w:sz w:val="17"/>
              </w:rPr>
              <w:t>Gasto por Intereses</w:t>
            </w:r>
          </w:p>
        </w:tc>
        <w:tc>
          <w:tcPr>
            <w:tcW w:type="dxa" w:w="2448"/>
            <w:shd w:fill="F7FAFC"/>
          </w:tcPr>
          <w:p>
            <w:r>
              <w:rPr>
                <w:sz w:val="17"/>
              </w:rPr>
              <w:t>Gasto Financiero Auditado/Estimado</w:t>
            </w:r>
          </w:p>
        </w:tc>
        <w:tc>
          <w:tcPr>
            <w:tcW w:type="dxa" w:w="2448"/>
            <w:shd w:fill="F7FAFC"/>
          </w:tcPr>
          <w:p>
            <w:r>
              <w:rPr>
                <w:b/>
                <w:sz w:val="17"/>
              </w:rPr>
              <w:t>$3,705.6M</w:t>
            </w:r>
          </w:p>
        </w:tc>
        <w:tc>
          <w:tcPr>
            <w:tcW w:type="dxa" w:w="2448"/>
            <w:shd w:fill="F7FAFC"/>
          </w:tcPr>
          <w:p>
            <w:r>
              <w:rPr>
                <w:sz w:val="17"/>
              </w:rPr>
              <w:t>Carga Obligatoria</w:t>
            </w:r>
          </w:p>
        </w:tc>
      </w:tr>
      <w:tr>
        <w:tc>
          <w:tcPr>
            <w:tcW w:type="dxa" w:w="2448"/>
          </w:tcPr>
          <w:p>
            <w:r>
              <w:rPr>
                <w:b/>
                <w:sz w:val="17"/>
              </w:rPr>
              <w:t>Cobertura de Intereses Operativa</w:t>
            </w:r>
          </w:p>
        </w:tc>
        <w:tc>
          <w:tcPr>
            <w:tcW w:type="dxa" w:w="2448"/>
          </w:tcPr>
          <w:p>
            <w:r>
              <w:rPr>
                <w:sz w:val="17"/>
              </w:rPr>
              <w:t>EBIT / Gasto Financiero</w:t>
            </w:r>
          </w:p>
        </w:tc>
        <w:tc>
          <w:tcPr>
            <w:tcW w:type="dxa" w:w="2448"/>
          </w:tcPr>
          <w:p>
            <w:r>
              <w:rPr>
                <w:b/>
                <w:sz w:val="17"/>
              </w:rPr>
              <w:t>41.8x</w:t>
            </w:r>
          </w:p>
        </w:tc>
        <w:tc>
          <w:tcPr>
            <w:tcW w:type="dxa" w:w="2448"/>
          </w:tcPr>
          <w:p>
            <w:r>
              <w:rPr>
                <w:sz w:val="17"/>
              </w:rPr>
              <w:t>COBERTURA EXCELENTE (&gt; 10.0x)</w:t>
            </w:r>
          </w:p>
        </w:tc>
      </w:tr>
      <w:tr>
        <w:tc>
          <w:tcPr>
            <w:tcW w:type="dxa" w:w="2448"/>
            <w:shd w:fill="F7FAFC"/>
          </w:tcPr>
          <w:p>
            <w:r>
              <w:rPr>
                <w:b/>
                <w:sz w:val="17"/>
              </w:rPr>
              <w:t>Carga Financiera sobre CFO</w:t>
            </w:r>
          </w:p>
        </w:tc>
        <w:tc>
          <w:tcPr>
            <w:tcW w:type="dxa" w:w="2448"/>
            <w:shd w:fill="F7FAFC"/>
          </w:tcPr>
          <w:p>
            <w:r>
              <w:rPr>
                <w:sz w:val="17"/>
              </w:rPr>
              <w:t>(Intereses / CFO) * 100</w:t>
            </w:r>
          </w:p>
        </w:tc>
        <w:tc>
          <w:tcPr>
            <w:tcW w:type="dxa" w:w="2448"/>
            <w:shd w:fill="F7FAFC"/>
          </w:tcPr>
          <w:p>
            <w:r>
              <w:rPr>
                <w:b/>
                <w:sz w:val="17"/>
              </w:rPr>
              <w:t>2.53%</w:t>
            </w:r>
          </w:p>
        </w:tc>
        <w:tc>
          <w:tcPr>
            <w:tcW w:type="dxa" w:w="2448"/>
            <w:shd w:fill="F7FAFC"/>
          </w:tcPr>
          <w:p>
            <w:r>
              <w:rPr>
                <w:sz w:val="17"/>
              </w:rPr>
              <w:t>Impacto en Caja</w:t>
            </w:r>
          </w:p>
        </w:tc>
      </w:tr>
    </w:tbl>
    <w:p/>
    <w:p>
      <w:pPr>
        <w:pStyle w:val="Heading2"/>
      </w:pPr>
      <w:r>
        <w:t>13.3. Modelos de Quiebra (Altman Z'') y Rating Sintético</w:t>
      </w:r>
    </w:p>
    <w:tbl>
      <w:tblPr>
        <w:tblW w:type="auto" w:w="0"/>
        <w:jc w:val="center"/>
        <w:tblLook w:firstColumn="1" w:firstRow="1" w:lastColumn="0" w:lastRow="0" w:noHBand="0" w:noVBand="1" w:val="04A0"/>
        <w:tblBorders>
          <w:top w:val="single" w:sz="6" w:space="0" w:color="D2D6DC"/>
          <w:bottom w:val="single" w:sz="6" w:space="0" w:color="D2D6DC"/>
          <w:insideH w:val="single" w:sz="4" w:space="0" w:color="D2D6DC"/>
          <w:insideV w:val="none"/>
          <w:left w:val="none"/>
          <w:right w:val="none"/>
        </w:tblBorders>
      </w:tblPr>
      <w:tblGrid>
        <w:gridCol w:w="2448"/>
        <w:gridCol w:w="2448"/>
        <w:gridCol w:w="2448"/>
        <w:gridCol w:w="2448"/>
      </w:tblGrid>
      <w:tr>
        <w:tc>
          <w:tcPr>
            <w:tcW w:type="dxa" w:w="2448"/>
            <w:shd w:fill="1B365D"/>
          </w:tcPr>
          <w:p>
            <w:r>
              <w:rPr>
                <w:b/>
                <w:color w:val="FFFFFF"/>
                <w:sz w:val="18"/>
              </w:rPr>
              <w:t>Instrumento Predictivo</w:t>
            </w:r>
          </w:p>
        </w:tc>
        <w:tc>
          <w:tcPr>
            <w:tcW w:type="dxa" w:w="2448"/>
            <w:shd w:fill="1B365D"/>
          </w:tcPr>
          <w:p>
            <w:r>
              <w:rPr>
                <w:b/>
                <w:color w:val="FFFFFF"/>
                <w:sz w:val="18"/>
              </w:rPr>
              <w:t>Resultado Cuantitativo</w:t>
            </w:r>
          </w:p>
        </w:tc>
        <w:tc>
          <w:tcPr>
            <w:tcW w:type="dxa" w:w="2448"/>
            <w:shd w:fill="1B365D"/>
          </w:tcPr>
          <w:p>
            <w:r>
              <w:rPr>
                <w:b/>
                <w:color w:val="FFFFFF"/>
                <w:sz w:val="18"/>
              </w:rPr>
              <w:t>Calificación / Zona</w:t>
            </w:r>
          </w:p>
        </w:tc>
        <w:tc>
          <w:tcPr>
            <w:tcW w:type="dxa" w:w="2448"/>
            <w:shd w:fill="1B365D"/>
          </w:tcPr>
          <w:p>
            <w:r>
              <w:rPr>
                <w:b/>
                <w:color w:val="FFFFFF"/>
                <w:sz w:val="18"/>
              </w:rPr>
              <w:t>Interpretación Institucional</w:t>
            </w:r>
          </w:p>
        </w:tc>
      </w:tr>
      <w:tr>
        <w:tc>
          <w:tcPr>
            <w:tcW w:type="dxa" w:w="2448"/>
          </w:tcPr>
          <w:p>
            <w:r>
              <w:rPr>
                <w:b/>
                <w:sz w:val="17"/>
              </w:rPr>
              <w:t>Altman Z''-Score (4 Variables)</w:t>
            </w:r>
          </w:p>
        </w:tc>
        <w:tc>
          <w:tcPr>
            <w:tcW w:type="dxa" w:w="2448"/>
          </w:tcPr>
          <w:p>
            <w:r>
              <w:rPr>
                <w:b/>
                <w:sz w:val="17"/>
              </w:rPr>
              <w:t>3.23</w:t>
            </w:r>
          </w:p>
        </w:tc>
        <w:tc>
          <w:tcPr>
            <w:tcW w:type="dxa" w:w="2448"/>
          </w:tcPr>
          <w:p>
            <w:r>
              <w:rPr>
                <w:sz w:val="17"/>
              </w:rPr>
              <w:t>ZONA SEGURA</w:t>
            </w:r>
          </w:p>
        </w:tc>
        <w:tc>
          <w:tcPr>
            <w:tcW w:type="dxa" w:w="2448"/>
          </w:tcPr>
          <w:p>
            <w:r>
              <w:rPr>
                <w:sz w:val="17"/>
              </w:rPr>
              <w:t>ZONA SEGURA (BAJO RIESGO DE QUIEBRA)</w:t>
            </w:r>
          </w:p>
        </w:tc>
      </w:tr>
      <w:tr>
        <w:tc>
          <w:tcPr>
            <w:tcW w:type="dxa" w:w="2448"/>
            <w:shd w:fill="F7FAFC"/>
          </w:tcPr>
          <w:p>
            <w:r>
              <w:rPr>
                <w:b/>
                <w:sz w:val="17"/>
              </w:rPr>
              <w:t>Rating Sintético Damodaran</w:t>
            </w:r>
          </w:p>
        </w:tc>
        <w:tc>
          <w:tcPr>
            <w:tcW w:type="dxa" w:w="2448"/>
            <w:shd w:fill="F7FAFC"/>
          </w:tcPr>
          <w:p>
            <w:r>
              <w:rPr>
                <w:b/>
                <w:sz w:val="17"/>
              </w:rPr>
              <w:t>AAA</w:t>
            </w:r>
          </w:p>
        </w:tc>
        <w:tc>
          <w:tcPr>
            <w:tcW w:type="dxa" w:w="2448"/>
            <w:shd w:fill="F7FAFC"/>
          </w:tcPr>
          <w:p>
            <w:r>
              <w:rPr>
                <w:sz w:val="17"/>
              </w:rPr>
              <w:t>GRADO INSTITUCIONAL MÁXIMO (AAA / Aaa)</w:t>
            </w:r>
          </w:p>
        </w:tc>
        <w:tc>
          <w:tcPr>
            <w:tcW w:type="dxa" w:w="2448"/>
            <w:shd w:fill="F7FAFC"/>
          </w:tcPr>
          <w:p>
            <w:r>
              <w:rPr>
                <w:sz w:val="17"/>
              </w:rPr>
              <w:t>Spread Teórico: +0.60%</w:t>
            </w:r>
          </w:p>
        </w:tc>
      </w:tr>
      <w:tr>
        <w:tc>
          <w:tcPr>
            <w:tcW w:type="dxa" w:w="2448"/>
          </w:tcPr>
          <w:p>
            <w:r>
              <w:rPr>
                <w:b/>
                <w:sz w:val="17"/>
              </w:rPr>
              <w:t>Probabilidad de Default a 10 Años</w:t>
            </w:r>
          </w:p>
        </w:tc>
        <w:tc>
          <w:tcPr>
            <w:tcW w:type="dxa" w:w="2448"/>
          </w:tcPr>
          <w:p>
            <w:r>
              <w:rPr>
                <w:b/>
                <w:sz w:val="17"/>
              </w:rPr>
              <w:t>&lt; 0.2%</w:t>
            </w:r>
          </w:p>
        </w:tc>
        <w:tc>
          <w:tcPr>
            <w:tcW w:type="dxa" w:w="2448"/>
          </w:tcPr>
          <w:p>
            <w:r>
              <w:rPr>
                <w:sz w:val="17"/>
              </w:rPr>
              <w:t>Estadística S&amp;P</w:t>
            </w:r>
          </w:p>
        </w:tc>
        <w:tc>
          <w:tcPr>
            <w:tcW w:type="dxa" w:w="2448"/>
          </w:tcPr>
          <w:p>
            <w:r>
              <w:rPr>
                <w:sz w:val="17"/>
              </w:rPr>
              <w:t>Mínimo riesgo crediticio histórico.</w:t>
            </w:r>
          </w:p>
        </w:tc>
      </w:tr>
    </w:tbl>
    <w:p>
      <w:pPr>
        <w:pStyle w:val="Heading1"/>
        <w:spacing w:before="280" w:after="80"/>
      </w:pPr>
      <w:r>
        <w:rPr>
          <w:rFonts w:ascii="Calibri" w:hAnsi="Calibri"/>
          <w:b/>
          <w:color w:val="1B365D"/>
          <w:sz w:val="28"/>
        </w:rPr>
        <w:t>14. Modelado Financiero y Descuento Inverso de Flujo de Caja (Reverse DCF &amp; Expectations)</w:t>
      </w:r>
    </w:p>
    <w:p>
      <w:pPr>
        <w:spacing w:before="80" w:after="160"/>
        <w:ind w:left="288" w:right="288"/>
      </w:pPr>
      <w:r>
        <w:rPr>
          <w:rFonts w:ascii="Calibri" w:hAnsi="Calibri"/>
          <w:b/>
          <w:color w:val="1B365D"/>
          <w:sz w:val="21"/>
        </w:rPr>
        <w:t>PROPÓSITO DE VALORACIÓN: INTEGRACIÓN FISCAL AI &amp; REVERSE DCF PROPIETARIO</w:t>
        <w:br/>
      </w:r>
      <w:r>
        <w:rPr>
          <w:rFonts w:ascii="Calibri" w:hAnsi="Calibri"/>
          <w:color w:val="2D3748"/>
          <w:sz w:val="19"/>
        </w:rPr>
        <w:t>• Precio de Referencia: $342.73  |  WACC Auditado: 10.19% (Rf: 5.19%, ERP: 4.75%)</w:t>
        <w:br/>
        <w:t>• Crecimiento Implícito Calculado: 16.6% Anual a 10 Años (vs. 8.7% Histórico)</w:t>
        <w:br/>
        <w:t>• Veredicto: Descuenta expectativas de 16.6% anual. Exigencia de crecimiento ambiciosa (+23.1% anual); requiere catalizadores sostenidos en IA y Servicios.</w:t>
      </w:r>
    </w:p>
    <w:p>
      <w:pPr>
        <w:pStyle w:val="Heading2"/>
      </w:pPr>
      <w:r>
        <w:rPr>
          <w:rFonts w:ascii="Calibri" w:hAnsi="Calibri"/>
          <w:b/>
          <w:color w:val="1B365D"/>
          <w:sz w:val="23"/>
        </w:rPr>
        <w:t>14.1. Configuración Óptima en Plataformas de Valoración (Fiscal AI)</w:t>
      </w:r>
    </w:p>
    <w:p>
      <w:r>
        <w:rPr>
          <w:rFonts w:ascii="Calibri" w:hAnsi="Calibri"/>
          <w:color w:val="2D3748"/>
          <w:sz w:val="18"/>
        </w:rPr>
        <w:t>Para evitar sesgos especulativos se recomienda configurar Fiscal AI con: (1) Modo Perpetuity (2.5%), anclando el valor terminal a la inflación/PIB sin especular con múltiplos de salida; (2) Pestaña Revenue Growth, por ser el motor económico más limpio contra distorsiones contables; y (3) Horizonte de 10 Años, capturando el ciclo completo de inversión y maduración.</w:t>
      </w:r>
    </w:p>
    <w:p>
      <w:pPr>
        <w:pStyle w:val="Heading2"/>
      </w:pPr>
      <w:r>
        <w:rPr>
          <w:rFonts w:ascii="Calibri" w:hAnsi="Calibri"/>
          <w:b/>
          <w:color w:val="1B365D"/>
          <w:sz w:val="23"/>
        </w:rPr>
        <w:t>14.2. Tabla Maestra de Parámetros Auditados en Tiempo Real (Advanced Mode)</w:t>
      </w:r>
    </w:p>
    <w:tbl>
      <w:tblPr>
        <w:tblW w:type="auto" w:w="0"/>
        <w:jc w:val="center"/>
        <w:tblLook w:firstColumn="1" w:firstRow="1" w:lastColumn="0" w:lastRow="0" w:noHBand="0" w:noVBand="1" w:val="04A0"/>
        <w:tblBorders>
          <w:top w:val="single" w:sz="6" w:space="0" w:color="D2D6DC"/>
          <w:bottom w:val="single" w:sz="6" w:space="0" w:color="D2D6DC"/>
          <w:insideH w:val="single" w:sz="4" w:space="0" w:color="D2D6DC"/>
          <w:insideV w:val="none"/>
          <w:left w:val="none"/>
          <w:right w:val="none"/>
        </w:tblBorders>
      </w:tblPr>
      <w:tblGrid>
        <w:gridCol w:w="2448"/>
        <w:gridCol w:w="2448"/>
        <w:gridCol w:w="2448"/>
        <w:gridCol w:w="2448"/>
      </w:tblGrid>
      <w:tr>
        <w:tc>
          <w:tcPr>
            <w:tcW w:type="dxa" w:w="2448"/>
            <w:shd w:fill="1B365D"/>
          </w:tcPr>
          <w:p>
            <w:r>
              <w:rPr>
                <w:b/>
                <w:color w:val="FFFFFF"/>
                <w:sz w:val="18"/>
              </w:rPr>
              <w:t>Casilla / Input Fiscal AI</w:t>
            </w:r>
          </w:p>
        </w:tc>
        <w:tc>
          <w:tcPr>
            <w:tcW w:type="dxa" w:w="2448"/>
            <w:shd w:fill="1B365D"/>
          </w:tcPr>
          <w:p>
            <w:r>
              <w:rPr>
                <w:b/>
                <w:color w:val="FFFFFF"/>
                <w:sz w:val="18"/>
              </w:rPr>
              <w:t>Valor Auditado</w:t>
            </w:r>
          </w:p>
        </w:tc>
        <w:tc>
          <w:tcPr>
            <w:tcW w:type="dxa" w:w="2448"/>
            <w:shd w:fill="1B365D"/>
          </w:tcPr>
          <w:p>
            <w:r>
              <w:rPr>
                <w:b/>
                <w:color w:val="FFFFFF"/>
                <w:sz w:val="18"/>
              </w:rPr>
              <w:t>Sección de Origen</w:t>
            </w:r>
          </w:p>
        </w:tc>
        <w:tc>
          <w:tcPr>
            <w:tcW w:type="dxa" w:w="2448"/>
            <w:shd w:fill="1B365D"/>
          </w:tcPr>
          <w:p>
            <w:r>
              <w:rPr>
                <w:b/>
                <w:color w:val="FFFFFF"/>
                <w:sz w:val="18"/>
              </w:rPr>
              <w:t>Racional Técnico y Sustento</w:t>
            </w:r>
          </w:p>
        </w:tc>
      </w:tr>
      <w:tr>
        <w:tc>
          <w:tcPr>
            <w:tcW w:type="dxa" w:w="2448"/>
          </w:tcPr>
          <w:p>
            <w:r>
              <w:rPr>
                <w:b/>
                <w:sz w:val="17"/>
              </w:rPr>
              <w:t>Current Share Price</w:t>
            </w:r>
          </w:p>
        </w:tc>
        <w:tc>
          <w:tcPr>
            <w:tcW w:type="dxa" w:w="2448"/>
          </w:tcPr>
          <w:p>
            <w:r>
              <w:rPr>
                <w:b/>
                <w:sz w:val="17"/>
              </w:rPr>
              <w:t>$342.73</w:t>
            </w:r>
          </w:p>
        </w:tc>
        <w:tc>
          <w:tcPr>
            <w:tcW w:type="dxa" w:w="2448"/>
          </w:tcPr>
          <w:p>
            <w:r>
              <w:rPr>
                <w:sz w:val="17"/>
              </w:rPr>
              <w:t>Mercado en Vivo</w:t>
            </w:r>
          </w:p>
        </w:tc>
        <w:tc>
          <w:tcPr>
            <w:tcW w:type="dxa" w:w="2448"/>
          </w:tcPr>
          <w:p>
            <w:r>
              <w:rPr>
                <w:sz w:val="17"/>
              </w:rPr>
              <w:t>Cotización bursátil en tiempo real.</w:t>
            </w:r>
          </w:p>
        </w:tc>
      </w:tr>
      <w:tr>
        <w:tc>
          <w:tcPr>
            <w:tcW w:type="dxa" w:w="2448"/>
            <w:shd w:fill="F7FAFC"/>
          </w:tcPr>
          <w:p>
            <w:r>
              <w:rPr>
                <w:b/>
                <w:sz w:val="17"/>
              </w:rPr>
              <w:t>Risk-Free Rate (Rf)</w:t>
            </w:r>
          </w:p>
        </w:tc>
        <w:tc>
          <w:tcPr>
            <w:tcW w:type="dxa" w:w="2448"/>
            <w:shd w:fill="F7FAFC"/>
          </w:tcPr>
          <w:p>
            <w:r>
              <w:rPr>
                <w:b/>
                <w:sz w:val="17"/>
              </w:rPr>
              <w:t>5.19%</w:t>
            </w:r>
          </w:p>
        </w:tc>
        <w:tc>
          <w:tcPr>
            <w:tcW w:type="dxa" w:w="2448"/>
            <w:shd w:fill="F7FAFC"/>
          </w:tcPr>
          <w:p>
            <w:r>
              <w:rPr>
                <w:sz w:val="17"/>
              </w:rPr>
              <w:t>Sección 11.2 (Bonos)</w:t>
            </w:r>
          </w:p>
        </w:tc>
        <w:tc>
          <w:tcPr>
            <w:tcW w:type="dxa" w:w="2448"/>
            <w:shd w:fill="F7FAFC"/>
          </w:tcPr>
          <w:p>
            <w:r>
              <w:rPr>
                <w:sz w:val="17"/>
              </w:rPr>
              <w:t>Rendimiento del Bono del Tesoro de EE.UU. a 10 años (^TNX).</w:t>
            </w:r>
          </w:p>
        </w:tc>
      </w:tr>
      <w:tr>
        <w:tc>
          <w:tcPr>
            <w:tcW w:type="dxa" w:w="2448"/>
          </w:tcPr>
          <w:p>
            <w:r>
              <w:rPr>
                <w:b/>
                <w:sz w:val="17"/>
              </w:rPr>
              <w:t>Equity Risk Premium</w:t>
            </w:r>
          </w:p>
        </w:tc>
        <w:tc>
          <w:tcPr>
            <w:tcW w:type="dxa" w:w="2448"/>
          </w:tcPr>
          <w:p>
            <w:r>
              <w:rPr>
                <w:b/>
                <w:sz w:val="17"/>
              </w:rPr>
              <w:t>4.75%</w:t>
            </w:r>
          </w:p>
        </w:tc>
        <w:tc>
          <w:tcPr>
            <w:tcW w:type="dxa" w:w="2448"/>
          </w:tcPr>
          <w:p>
            <w:r>
              <w:rPr>
                <w:sz w:val="17"/>
              </w:rPr>
              <w:t>Damodaran Benchmark</w:t>
            </w:r>
          </w:p>
        </w:tc>
        <w:tc>
          <w:tcPr>
            <w:tcW w:type="dxa" w:w="2448"/>
          </w:tcPr>
          <w:p>
            <w:r>
              <w:rPr>
                <w:sz w:val="17"/>
              </w:rPr>
              <w:t>Prima de riesgo de mercado institucional.</w:t>
            </w:r>
          </w:p>
        </w:tc>
      </w:tr>
      <w:tr>
        <w:tc>
          <w:tcPr>
            <w:tcW w:type="dxa" w:w="2448"/>
            <w:shd w:fill="F7FAFC"/>
          </w:tcPr>
          <w:p>
            <w:r>
              <w:rPr>
                <w:b/>
                <w:sz w:val="17"/>
              </w:rPr>
              <w:t>Beta (Levered)</w:t>
            </w:r>
          </w:p>
        </w:tc>
        <w:tc>
          <w:tcPr>
            <w:tcW w:type="dxa" w:w="2448"/>
            <w:shd w:fill="F7FAFC"/>
          </w:tcPr>
          <w:p>
            <w:r>
              <w:rPr>
                <w:b/>
                <w:sz w:val="17"/>
              </w:rPr>
              <w:t>1.07</w:t>
            </w:r>
          </w:p>
        </w:tc>
        <w:tc>
          <w:tcPr>
            <w:tcW w:type="dxa" w:w="2448"/>
            <w:shd w:fill="F7FAFC"/>
          </w:tcPr>
          <w:p>
            <w:r>
              <w:rPr>
                <w:sz w:val="17"/>
              </w:rPr>
              <w:t>Sección 11.2 (Arbitraje)</w:t>
            </w:r>
          </w:p>
        </w:tc>
        <w:tc>
          <w:tcPr>
            <w:tcW w:type="dxa" w:w="2448"/>
            <w:shd w:fill="F7FAFC"/>
          </w:tcPr>
          <w:p>
            <w:r>
              <w:rPr>
                <w:sz w:val="17"/>
              </w:rPr>
              <w:t>Sensibilidad sistemática frente al S&amp;P 500.</w:t>
            </w:r>
          </w:p>
        </w:tc>
      </w:tr>
      <w:tr>
        <w:tc>
          <w:tcPr>
            <w:tcW w:type="dxa" w:w="2448"/>
          </w:tcPr>
          <w:p>
            <w:r>
              <w:rPr>
                <w:b/>
                <w:sz w:val="17"/>
              </w:rPr>
              <w:t>Pre-Tax Cost of Debt</w:t>
            </w:r>
          </w:p>
        </w:tc>
        <w:tc>
          <w:tcPr>
            <w:tcW w:type="dxa" w:w="2448"/>
          </w:tcPr>
          <w:p>
            <w:r>
              <w:rPr>
                <w:b/>
                <w:sz w:val="17"/>
              </w:rPr>
              <w:t>4.5%</w:t>
            </w:r>
          </w:p>
        </w:tc>
        <w:tc>
          <w:tcPr>
            <w:tcW w:type="dxa" w:w="2448"/>
          </w:tcPr>
          <w:p>
            <w:r>
              <w:rPr>
                <w:sz w:val="17"/>
              </w:rPr>
              <w:t>Sección 11.2 (Sintético)</w:t>
            </w:r>
          </w:p>
        </w:tc>
        <w:tc>
          <w:tcPr>
            <w:tcW w:type="dxa" w:w="2448"/>
          </w:tcPr>
          <w:p>
            <w:r>
              <w:rPr>
                <w:sz w:val="17"/>
              </w:rPr>
              <w:t>Coste de financiamiento bruto por rating sintético.</w:t>
            </w:r>
          </w:p>
        </w:tc>
      </w:tr>
      <w:tr>
        <w:tc>
          <w:tcPr>
            <w:tcW w:type="dxa" w:w="2448"/>
            <w:shd w:fill="F7FAFC"/>
          </w:tcPr>
          <w:p>
            <w:r>
              <w:rPr>
                <w:b/>
                <w:sz w:val="17"/>
              </w:rPr>
              <w:t>After-Tax Cost of Debt</w:t>
            </w:r>
          </w:p>
        </w:tc>
        <w:tc>
          <w:tcPr>
            <w:tcW w:type="dxa" w:w="2448"/>
            <w:shd w:fill="F7FAFC"/>
          </w:tcPr>
          <w:p>
            <w:r>
              <w:rPr>
                <w:b/>
                <w:sz w:val="17"/>
              </w:rPr>
              <w:t>3.72%</w:t>
            </w:r>
          </w:p>
        </w:tc>
        <w:tc>
          <w:tcPr>
            <w:tcW w:type="dxa" w:w="2448"/>
            <w:shd w:fill="F7FAFC"/>
          </w:tcPr>
          <w:p>
            <w:r>
              <w:rPr>
                <w:sz w:val="17"/>
              </w:rPr>
              <w:t>Sección 11.2 (WACC)</w:t>
            </w:r>
          </w:p>
        </w:tc>
        <w:tc>
          <w:tcPr>
            <w:tcW w:type="dxa" w:w="2448"/>
            <w:shd w:fill="F7FAFC"/>
          </w:tcPr>
          <w:p>
            <w:r>
              <w:rPr>
                <w:sz w:val="17"/>
              </w:rPr>
              <w:t>Coste neto del escudo fiscal: Kd * (1 - t).</w:t>
            </w:r>
          </w:p>
        </w:tc>
      </w:tr>
      <w:tr>
        <w:tc>
          <w:tcPr>
            <w:tcW w:type="dxa" w:w="2448"/>
          </w:tcPr>
          <w:p>
            <w:r>
              <w:rPr>
                <w:b/>
                <w:sz w:val="17"/>
              </w:rPr>
              <w:t>Effective Tax Rate</w:t>
            </w:r>
          </w:p>
        </w:tc>
        <w:tc>
          <w:tcPr>
            <w:tcW w:type="dxa" w:w="2448"/>
          </w:tcPr>
          <w:p>
            <w:r>
              <w:rPr>
                <w:b/>
                <w:sz w:val="17"/>
              </w:rPr>
              <w:t>17.3%</w:t>
            </w:r>
          </w:p>
        </w:tc>
        <w:tc>
          <w:tcPr>
            <w:tcW w:type="dxa" w:w="2448"/>
          </w:tcPr>
          <w:p>
            <w:r>
              <w:rPr>
                <w:sz w:val="17"/>
              </w:rPr>
              <w:t>Sección 11.2 (SEC 10-K)</w:t>
            </w:r>
          </w:p>
        </w:tc>
        <w:tc>
          <w:tcPr>
            <w:tcW w:type="dxa" w:w="2448"/>
          </w:tcPr>
          <w:p>
            <w:r>
              <w:rPr>
                <w:sz w:val="17"/>
              </w:rPr>
              <w:t>Tasa impositiva estructural auditada.</w:t>
            </w:r>
          </w:p>
        </w:tc>
      </w:tr>
      <w:tr>
        <w:tc>
          <w:tcPr>
            <w:tcW w:type="dxa" w:w="2448"/>
            <w:shd w:fill="F7FAFC"/>
          </w:tcPr>
          <w:p>
            <w:r>
              <w:rPr>
                <w:b/>
                <w:sz w:val="17"/>
              </w:rPr>
              <w:t>Weight of Debt</w:t>
            </w:r>
          </w:p>
        </w:tc>
        <w:tc>
          <w:tcPr>
            <w:tcW w:type="dxa" w:w="2448"/>
            <w:shd w:fill="F7FAFC"/>
          </w:tcPr>
          <w:p>
            <w:r>
              <w:rPr>
                <w:b/>
                <w:sz w:val="17"/>
              </w:rPr>
              <w:t>1.6%</w:t>
            </w:r>
          </w:p>
        </w:tc>
        <w:tc>
          <w:tcPr>
            <w:tcW w:type="dxa" w:w="2448"/>
            <w:shd w:fill="F7FAFC"/>
          </w:tcPr>
          <w:p>
            <w:r>
              <w:rPr>
                <w:sz w:val="17"/>
              </w:rPr>
              <w:t>Estructura Capital</w:t>
            </w:r>
          </w:p>
        </w:tc>
        <w:tc>
          <w:tcPr>
            <w:tcW w:type="dxa" w:w="2448"/>
            <w:shd w:fill="F7FAFC"/>
          </w:tcPr>
          <w:p>
            <w:r>
              <w:rPr>
                <w:sz w:val="17"/>
              </w:rPr>
              <w:t>Peso de la deuda sobre el valor total.</w:t>
            </w:r>
          </w:p>
        </w:tc>
      </w:tr>
      <w:tr>
        <w:tc>
          <w:tcPr>
            <w:tcW w:type="dxa" w:w="2448"/>
          </w:tcPr>
          <w:p>
            <w:r>
              <w:rPr>
                <w:b/>
                <w:sz w:val="17"/>
              </w:rPr>
              <w:t>Weight of Equity</w:t>
            </w:r>
          </w:p>
        </w:tc>
        <w:tc>
          <w:tcPr>
            <w:tcW w:type="dxa" w:w="2448"/>
          </w:tcPr>
          <w:p>
            <w:r>
              <w:rPr>
                <w:b/>
                <w:sz w:val="17"/>
              </w:rPr>
              <w:t>98.4%</w:t>
            </w:r>
          </w:p>
        </w:tc>
        <w:tc>
          <w:tcPr>
            <w:tcW w:type="dxa" w:w="2448"/>
          </w:tcPr>
          <w:p>
            <w:r>
              <w:rPr>
                <w:sz w:val="17"/>
              </w:rPr>
              <w:t>Estructura Capital</w:t>
            </w:r>
          </w:p>
        </w:tc>
        <w:tc>
          <w:tcPr>
            <w:tcW w:type="dxa" w:w="2448"/>
          </w:tcPr>
          <w:p>
            <w:r>
              <w:rPr>
                <w:sz w:val="17"/>
              </w:rPr>
              <w:t>Peso de los fondos propios sobre el valor total.</w:t>
            </w:r>
          </w:p>
        </w:tc>
      </w:tr>
      <w:tr>
        <w:tc>
          <w:tcPr>
            <w:tcW w:type="dxa" w:w="2448"/>
            <w:shd w:fill="F7FAFC"/>
          </w:tcPr>
          <w:p>
            <w:r>
              <w:rPr>
                <w:b/>
                <w:sz w:val="17"/>
              </w:rPr>
              <w:t>WACC (Discount Rate)</w:t>
            </w:r>
          </w:p>
        </w:tc>
        <w:tc>
          <w:tcPr>
            <w:tcW w:type="dxa" w:w="2448"/>
            <w:shd w:fill="F7FAFC"/>
          </w:tcPr>
          <w:p>
            <w:r>
              <w:rPr>
                <w:b/>
                <w:sz w:val="17"/>
              </w:rPr>
              <w:t>10.19%</w:t>
            </w:r>
          </w:p>
        </w:tc>
        <w:tc>
          <w:tcPr>
            <w:tcW w:type="dxa" w:w="2448"/>
            <w:shd w:fill="F7FAFC"/>
          </w:tcPr>
          <w:p>
            <w:r>
              <w:rPr>
                <w:sz w:val="17"/>
              </w:rPr>
              <w:t>Sección 11.2 (WACC)</w:t>
            </w:r>
          </w:p>
        </w:tc>
        <w:tc>
          <w:tcPr>
            <w:tcW w:type="dxa" w:w="2448"/>
            <w:shd w:fill="F7FAFC"/>
          </w:tcPr>
          <w:p>
            <w:r>
              <w:rPr>
                <w:sz w:val="17"/>
              </w:rPr>
              <w:t>Tasa de descuento de corte auditada.</w:t>
            </w:r>
          </w:p>
        </w:tc>
      </w:tr>
      <w:tr>
        <w:tc>
          <w:tcPr>
            <w:tcW w:type="dxa" w:w="2448"/>
          </w:tcPr>
          <w:p>
            <w:r>
              <w:rPr>
                <w:b/>
                <w:sz w:val="17"/>
              </w:rPr>
              <w:t>Normalized FCF Margin</w:t>
            </w:r>
          </w:p>
        </w:tc>
        <w:tc>
          <w:tcPr>
            <w:tcW w:type="dxa" w:w="2448"/>
          </w:tcPr>
          <w:p>
            <w:r>
              <w:rPr>
                <w:b/>
                <w:sz w:val="17"/>
              </w:rPr>
              <w:t>29.3%</w:t>
            </w:r>
          </w:p>
        </w:tc>
        <w:tc>
          <w:tcPr>
            <w:tcW w:type="dxa" w:w="2448"/>
          </w:tcPr>
          <w:p>
            <w:r>
              <w:rPr>
                <w:sz w:val="17"/>
              </w:rPr>
              <w:t>Sección 4 &amp; Solvencia</w:t>
            </w:r>
          </w:p>
        </w:tc>
        <w:tc>
          <w:tcPr>
            <w:tcW w:type="dxa" w:w="2448"/>
          </w:tcPr>
          <w:p>
            <w:r>
              <w:rPr>
                <w:sz w:val="17"/>
              </w:rPr>
              <w:t>Conversión de ventas a caja libre tras CapEx.</w:t>
            </w:r>
          </w:p>
        </w:tc>
      </w:tr>
      <w:tr>
        <w:tc>
          <w:tcPr>
            <w:tcW w:type="dxa" w:w="2448"/>
            <w:shd w:fill="F7FAFC"/>
          </w:tcPr>
          <w:p>
            <w:r>
              <w:rPr>
                <w:b/>
                <w:sz w:val="17"/>
              </w:rPr>
              <w:t>Terminal Growth (gn)</w:t>
            </w:r>
          </w:p>
        </w:tc>
        <w:tc>
          <w:tcPr>
            <w:tcW w:type="dxa" w:w="2448"/>
            <w:shd w:fill="F7FAFC"/>
          </w:tcPr>
          <w:p>
            <w:r>
              <w:rPr>
                <w:b/>
                <w:sz w:val="17"/>
              </w:rPr>
              <w:t>2.5%</w:t>
            </w:r>
          </w:p>
        </w:tc>
        <w:tc>
          <w:tcPr>
            <w:tcW w:type="dxa" w:w="2448"/>
            <w:shd w:fill="F7FAFC"/>
          </w:tcPr>
          <w:p>
            <w:r>
              <w:rPr>
                <w:sz w:val="17"/>
              </w:rPr>
              <w:t>Hipótesis Canónica</w:t>
            </w:r>
          </w:p>
        </w:tc>
        <w:tc>
          <w:tcPr>
            <w:tcW w:type="dxa" w:w="2448"/>
            <w:shd w:fill="F7FAFC"/>
          </w:tcPr>
          <w:p>
            <w:r>
              <w:rPr>
                <w:sz w:val="17"/>
              </w:rPr>
              <w:t>Crecimiento tendencial de la economía global.</w:t>
            </w:r>
          </w:p>
        </w:tc>
      </w:tr>
      <w:tr>
        <w:tc>
          <w:tcPr>
            <w:tcW w:type="dxa" w:w="2448"/>
          </w:tcPr>
          <w:p>
            <w:r>
              <w:rPr>
                <w:b/>
                <w:sz w:val="17"/>
              </w:rPr>
              <w:t>Forecast Period</w:t>
            </w:r>
          </w:p>
        </w:tc>
        <w:tc>
          <w:tcPr>
            <w:tcW w:type="dxa" w:w="2448"/>
          </w:tcPr>
          <w:p>
            <w:r>
              <w:rPr>
                <w:b/>
                <w:sz w:val="17"/>
              </w:rPr>
              <w:t>10 Años</w:t>
            </w:r>
          </w:p>
        </w:tc>
        <w:tc>
          <w:tcPr>
            <w:tcW w:type="dxa" w:w="2448"/>
          </w:tcPr>
          <w:p>
            <w:r>
              <w:rPr>
                <w:sz w:val="17"/>
              </w:rPr>
              <w:t>Configuración Estándar</w:t>
            </w:r>
          </w:p>
        </w:tc>
        <w:tc>
          <w:tcPr>
            <w:tcW w:type="dxa" w:w="2448"/>
          </w:tcPr>
          <w:p>
            <w:r>
              <w:rPr>
                <w:sz w:val="17"/>
              </w:rPr>
              <w:t>Ciclo decenal de amortización y maduración.</w:t>
            </w:r>
          </w:p>
        </w:tc>
      </w:tr>
    </w:tbl>
    <w:p/>
    <w:p>
      <w:pPr>
        <w:pStyle w:val="Heading2"/>
      </w:pPr>
      <w:r>
        <w:rPr>
          <w:rFonts w:ascii="Calibri" w:hAnsi="Calibri"/>
          <w:b/>
          <w:color w:val="1B365D"/>
          <w:sz w:val="23"/>
        </w:rPr>
        <w:t>14.3. Matriz Bidimensional de Sensibilidad (WACC vs. gn)</w:t>
      </w:r>
    </w:p>
    <w:tbl>
      <w:tblPr>
        <w:tblW w:type="auto" w:w="0"/>
        <w:jc w:val="center"/>
        <w:tblLook w:firstColumn="1" w:firstRow="1" w:lastColumn="0" w:lastRow="0" w:noHBand="0" w:noVBand="1" w:val="04A0"/>
        <w:tblBorders>
          <w:top w:val="single" w:sz="6" w:space="0" w:color="D2D6DC"/>
          <w:bottom w:val="single" w:sz="6" w:space="0" w:color="D2D6DC"/>
          <w:insideH w:val="single" w:sz="4" w:space="0" w:color="D2D6DC"/>
          <w:insideV w:val="none"/>
          <w:left w:val="none"/>
          <w:right w:val="none"/>
        </w:tblBorders>
      </w:tblPr>
      <w:tblGrid>
        <w:gridCol w:w="1224"/>
        <w:gridCol w:w="1224"/>
        <w:gridCol w:w="1224"/>
        <w:gridCol w:w="1224"/>
        <w:gridCol w:w="1224"/>
        <w:gridCol w:w="1224"/>
        <w:gridCol w:w="1224"/>
        <w:gridCol w:w="1224"/>
      </w:tblGrid>
      <w:tr>
        <w:tc>
          <w:tcPr>
            <w:tcW w:type="dxa" w:w="1224"/>
            <w:shd w:fill="1B365D"/>
          </w:tcPr>
          <w:p>
            <w:r>
              <w:rPr>
                <w:b/>
                <w:color w:val="FFFFFF"/>
                <w:sz w:val="17"/>
              </w:rPr>
              <w:t>WACC \ gn</w:t>
            </w:r>
          </w:p>
        </w:tc>
        <w:tc>
          <w:tcPr>
            <w:tcW w:type="dxa" w:w="1224"/>
            <w:shd w:fill="1B365D"/>
          </w:tcPr>
          <w:p>
            <w:r>
              <w:rPr>
                <w:b/>
                <w:color w:val="FFFFFF"/>
                <w:sz w:val="17"/>
              </w:rPr>
              <w:t>1.0%</w:t>
            </w:r>
          </w:p>
        </w:tc>
        <w:tc>
          <w:tcPr>
            <w:tcW w:type="dxa" w:w="1224"/>
            <w:shd w:fill="1B365D"/>
          </w:tcPr>
          <w:p>
            <w:r>
              <w:rPr>
                <w:b/>
                <w:color w:val="FFFFFF"/>
                <w:sz w:val="17"/>
              </w:rPr>
              <w:t>1.5%</w:t>
            </w:r>
          </w:p>
        </w:tc>
        <w:tc>
          <w:tcPr>
            <w:tcW w:type="dxa" w:w="1224"/>
            <w:shd w:fill="1B365D"/>
          </w:tcPr>
          <w:p>
            <w:r>
              <w:rPr>
                <w:b/>
                <w:color w:val="FFFFFF"/>
                <w:sz w:val="17"/>
              </w:rPr>
              <w:t>2.0%</w:t>
            </w:r>
          </w:p>
        </w:tc>
        <w:tc>
          <w:tcPr>
            <w:tcW w:type="dxa" w:w="1224"/>
            <w:shd w:fill="1B365D"/>
          </w:tcPr>
          <w:p>
            <w:r>
              <w:rPr>
                <w:b/>
                <w:color w:val="FFFFFF"/>
                <w:sz w:val="17"/>
              </w:rPr>
              <w:t>2.5%</w:t>
            </w:r>
          </w:p>
        </w:tc>
        <w:tc>
          <w:tcPr>
            <w:tcW w:type="dxa" w:w="1224"/>
            <w:shd w:fill="1B365D"/>
          </w:tcPr>
          <w:p>
            <w:r>
              <w:rPr>
                <w:b/>
                <w:color w:val="FFFFFF"/>
                <w:sz w:val="17"/>
              </w:rPr>
              <w:t>3.0%</w:t>
            </w:r>
          </w:p>
        </w:tc>
        <w:tc>
          <w:tcPr>
            <w:tcW w:type="dxa" w:w="1224"/>
            <w:shd w:fill="1B365D"/>
          </w:tcPr>
          <w:p>
            <w:r>
              <w:rPr>
                <w:b/>
                <w:color w:val="FFFFFF"/>
                <w:sz w:val="17"/>
              </w:rPr>
              <w:t>3.5%</w:t>
            </w:r>
          </w:p>
        </w:tc>
        <w:tc>
          <w:tcPr>
            <w:tcW w:type="dxa" w:w="1224"/>
            <w:shd w:fill="1B365D"/>
          </w:tcPr>
          <w:p>
            <w:r>
              <w:rPr>
                <w:b/>
                <w:color w:val="FFFFFF"/>
                <w:sz w:val="17"/>
              </w:rPr>
              <w:t>Diagnóstico</w:t>
            </w:r>
          </w:p>
        </w:tc>
      </w:tr>
      <w:tr>
        <w:tc>
          <w:tcPr>
            <w:tcW w:type="dxa" w:w="1224"/>
          </w:tcPr>
          <w:p>
            <w:r>
              <w:rPr>
                <w:sz w:val="16"/>
              </w:rPr>
              <w:t>9.19% (Bajo / Expansión)</w:t>
            </w:r>
          </w:p>
        </w:tc>
        <w:tc>
          <w:tcPr>
            <w:tcW w:type="dxa" w:w="1224"/>
          </w:tcPr>
          <w:p>
            <w:r>
              <w:rPr>
                <w:sz w:val="16"/>
              </w:rPr>
              <w:t>16.2%</w:t>
            </w:r>
          </w:p>
        </w:tc>
        <w:tc>
          <w:tcPr>
            <w:tcW w:type="dxa" w:w="1224"/>
          </w:tcPr>
          <w:p>
            <w:r>
              <w:rPr>
                <w:sz w:val="16"/>
              </w:rPr>
              <w:t>15.6%</w:t>
            </w:r>
          </w:p>
        </w:tc>
        <w:tc>
          <w:tcPr>
            <w:tcW w:type="dxa" w:w="1224"/>
          </w:tcPr>
          <w:p>
            <w:r>
              <w:rPr>
                <w:sz w:val="16"/>
              </w:rPr>
              <w:t>15.0%</w:t>
            </w:r>
          </w:p>
        </w:tc>
        <w:tc>
          <w:tcPr>
            <w:tcW w:type="dxa" w:w="1224"/>
          </w:tcPr>
          <w:p>
            <w:r>
              <w:rPr>
                <w:b/>
                <w:sz w:val="16"/>
              </w:rPr>
              <w:t>14.3%</w:t>
            </w:r>
          </w:p>
        </w:tc>
        <w:tc>
          <w:tcPr>
            <w:tcW w:type="dxa" w:w="1224"/>
          </w:tcPr>
          <w:p>
            <w:r>
              <w:rPr>
                <w:sz w:val="16"/>
              </w:rPr>
              <w:t>13.6%</w:t>
            </w:r>
          </w:p>
        </w:tc>
        <w:tc>
          <w:tcPr>
            <w:tcW w:type="dxa" w:w="1224"/>
          </w:tcPr>
          <w:p>
            <w:r>
              <w:rPr>
                <w:sz w:val="16"/>
              </w:rPr>
              <w:t>12.8%</w:t>
            </w:r>
          </w:p>
        </w:tc>
        <w:tc>
          <w:tcPr>
            <w:tcW w:type="dxa" w:w="1224"/>
          </w:tcPr>
          <w:p>
            <w:r>
              <w:rPr>
                <w:sz w:val="16"/>
              </w:rPr>
              <w:t>Escenario favorable; exigencia de crecimiento más moderada.</w:t>
            </w:r>
          </w:p>
        </w:tc>
      </w:tr>
      <w:tr>
        <w:tc>
          <w:tcPr>
            <w:tcW w:type="dxa" w:w="1224"/>
            <w:shd w:fill="F7FAFC"/>
          </w:tcPr>
          <w:p>
            <w:r>
              <w:rPr>
                <w:sz w:val="16"/>
              </w:rPr>
              <w:t>9.69% (Favorable)</w:t>
            </w:r>
          </w:p>
        </w:tc>
        <w:tc>
          <w:tcPr>
            <w:tcW w:type="dxa" w:w="1224"/>
            <w:shd w:fill="F7FAFC"/>
          </w:tcPr>
          <w:p>
            <w:r>
              <w:rPr>
                <w:sz w:val="16"/>
              </w:rPr>
              <w:t>17.2%</w:t>
            </w:r>
          </w:p>
        </w:tc>
        <w:tc>
          <w:tcPr>
            <w:tcW w:type="dxa" w:w="1224"/>
            <w:shd w:fill="F7FAFC"/>
          </w:tcPr>
          <w:p>
            <w:r>
              <w:rPr>
                <w:sz w:val="16"/>
              </w:rPr>
              <w:t>16.7%</w:t>
            </w:r>
          </w:p>
        </w:tc>
        <w:tc>
          <w:tcPr>
            <w:tcW w:type="dxa" w:w="1224"/>
            <w:shd w:fill="F7FAFC"/>
          </w:tcPr>
          <w:p>
            <w:r>
              <w:rPr>
                <w:sz w:val="16"/>
              </w:rPr>
              <w:t>16.1%</w:t>
            </w:r>
          </w:p>
        </w:tc>
        <w:tc>
          <w:tcPr>
            <w:tcW w:type="dxa" w:w="1224"/>
            <w:shd w:fill="F7FAFC"/>
          </w:tcPr>
          <w:p>
            <w:r>
              <w:rPr>
                <w:b/>
                <w:sz w:val="16"/>
              </w:rPr>
              <w:t>15.5%</w:t>
            </w:r>
          </w:p>
        </w:tc>
        <w:tc>
          <w:tcPr>
            <w:tcW w:type="dxa" w:w="1224"/>
            <w:shd w:fill="F7FAFC"/>
          </w:tcPr>
          <w:p>
            <w:r>
              <w:rPr>
                <w:sz w:val="16"/>
              </w:rPr>
              <w:t>14.8%</w:t>
            </w:r>
          </w:p>
        </w:tc>
        <w:tc>
          <w:tcPr>
            <w:tcW w:type="dxa" w:w="1224"/>
            <w:shd w:fill="F7FAFC"/>
          </w:tcPr>
          <w:p>
            <w:r>
              <w:rPr>
                <w:sz w:val="16"/>
              </w:rPr>
              <w:t>14.1%</w:t>
            </w:r>
          </w:p>
        </w:tc>
        <w:tc>
          <w:tcPr>
            <w:tcW w:type="dxa" w:w="1224"/>
            <w:shd w:fill="F7FAFC"/>
          </w:tcPr>
          <w:p>
            <w:r>
              <w:rPr>
                <w:sz w:val="16"/>
              </w:rPr>
              <w:t>Escenario de sensibilidad operativa.</w:t>
            </w:r>
          </w:p>
        </w:tc>
      </w:tr>
      <w:tr>
        <w:tc>
          <w:tcPr>
            <w:tcW w:type="dxa" w:w="1224"/>
            <w:shd w:fill="F7FAFC"/>
          </w:tcPr>
          <w:p>
            <w:r>
              <w:rPr>
                <w:sz w:val="16"/>
              </w:rPr>
              <w:t>10.19% (WACC Auditado Base)</w:t>
            </w:r>
          </w:p>
        </w:tc>
        <w:tc>
          <w:tcPr>
            <w:tcW w:type="dxa" w:w="1224"/>
            <w:shd w:fill="F7FAFC"/>
          </w:tcPr>
          <w:p>
            <w:r>
              <w:rPr>
                <w:b/>
                <w:sz w:val="16"/>
              </w:rPr>
              <w:t>18.2%</w:t>
            </w:r>
          </w:p>
        </w:tc>
        <w:tc>
          <w:tcPr>
            <w:tcW w:type="dxa" w:w="1224"/>
            <w:shd w:fill="F7FAFC"/>
          </w:tcPr>
          <w:p>
            <w:r>
              <w:rPr>
                <w:b/>
                <w:sz w:val="16"/>
              </w:rPr>
              <w:t>17.7%</w:t>
            </w:r>
          </w:p>
        </w:tc>
        <w:tc>
          <w:tcPr>
            <w:tcW w:type="dxa" w:w="1224"/>
            <w:shd w:fill="F7FAFC"/>
          </w:tcPr>
          <w:p>
            <w:r>
              <w:rPr>
                <w:b/>
                <w:sz w:val="16"/>
              </w:rPr>
              <w:t>17.2%</w:t>
            </w:r>
          </w:p>
        </w:tc>
        <w:tc>
          <w:tcPr>
            <w:tcW w:type="dxa" w:w="1224"/>
            <w:shd w:fill="FFF2CC"/>
          </w:tcPr>
          <w:p>
            <w:r>
              <w:rPr>
                <w:b/>
                <w:sz w:val="16"/>
              </w:rPr>
              <w:t>16.6%</w:t>
            </w:r>
          </w:p>
        </w:tc>
        <w:tc>
          <w:tcPr>
            <w:tcW w:type="dxa" w:w="1224"/>
            <w:shd w:fill="F7FAFC"/>
          </w:tcPr>
          <w:p>
            <w:r>
              <w:rPr>
                <w:b/>
                <w:sz w:val="16"/>
              </w:rPr>
              <w:t>15.9%</w:t>
            </w:r>
          </w:p>
        </w:tc>
        <w:tc>
          <w:tcPr>
            <w:tcW w:type="dxa" w:w="1224"/>
            <w:shd w:fill="F7FAFC"/>
          </w:tcPr>
          <w:p>
            <w:r>
              <w:rPr>
                <w:b/>
                <w:sz w:val="16"/>
              </w:rPr>
              <w:t>15.3%</w:t>
            </w:r>
          </w:p>
        </w:tc>
        <w:tc>
          <w:tcPr>
            <w:tcW w:type="dxa" w:w="1224"/>
            <w:shd w:fill="F7FAFC"/>
          </w:tcPr>
          <w:p>
            <w:r>
              <w:rPr>
                <w:sz w:val="16"/>
              </w:rPr>
              <w:t>ESCENARIO CENTRAL: Crecimiento implícito real de mercado.</w:t>
            </w:r>
          </w:p>
        </w:tc>
      </w:tr>
      <w:tr>
        <w:tc>
          <w:tcPr>
            <w:tcW w:type="dxa" w:w="1224"/>
            <w:shd w:fill="F7FAFC"/>
          </w:tcPr>
          <w:p>
            <w:r>
              <w:rPr>
                <w:sz w:val="16"/>
              </w:rPr>
              <w:t>10.69% (Exigente)</w:t>
            </w:r>
          </w:p>
        </w:tc>
        <w:tc>
          <w:tcPr>
            <w:tcW w:type="dxa" w:w="1224"/>
            <w:shd w:fill="F7FAFC"/>
          </w:tcPr>
          <w:p>
            <w:r>
              <w:rPr>
                <w:sz w:val="16"/>
              </w:rPr>
              <w:t>19.2%</w:t>
            </w:r>
          </w:p>
        </w:tc>
        <w:tc>
          <w:tcPr>
            <w:tcW w:type="dxa" w:w="1224"/>
            <w:shd w:fill="F7FAFC"/>
          </w:tcPr>
          <w:p>
            <w:r>
              <w:rPr>
                <w:sz w:val="16"/>
              </w:rPr>
              <w:t>18.7%</w:t>
            </w:r>
          </w:p>
        </w:tc>
        <w:tc>
          <w:tcPr>
            <w:tcW w:type="dxa" w:w="1224"/>
            <w:shd w:fill="F7FAFC"/>
          </w:tcPr>
          <w:p>
            <w:r>
              <w:rPr>
                <w:sz w:val="16"/>
              </w:rPr>
              <w:t>18.2%</w:t>
            </w:r>
          </w:p>
        </w:tc>
        <w:tc>
          <w:tcPr>
            <w:tcW w:type="dxa" w:w="1224"/>
            <w:shd w:fill="F7FAFC"/>
          </w:tcPr>
          <w:p>
            <w:r>
              <w:rPr>
                <w:b/>
                <w:sz w:val="16"/>
              </w:rPr>
              <w:t>17.6%</w:t>
            </w:r>
          </w:p>
        </w:tc>
        <w:tc>
          <w:tcPr>
            <w:tcW w:type="dxa" w:w="1224"/>
            <w:shd w:fill="F7FAFC"/>
          </w:tcPr>
          <w:p>
            <w:r>
              <w:rPr>
                <w:sz w:val="16"/>
              </w:rPr>
              <w:t>17.1%</w:t>
            </w:r>
          </w:p>
        </w:tc>
        <w:tc>
          <w:tcPr>
            <w:tcW w:type="dxa" w:w="1224"/>
            <w:shd w:fill="F7FAFC"/>
          </w:tcPr>
          <w:p>
            <w:r>
              <w:rPr>
                <w:sz w:val="16"/>
              </w:rPr>
              <w:t>16.4%</w:t>
            </w:r>
          </w:p>
        </w:tc>
        <w:tc>
          <w:tcPr>
            <w:tcW w:type="dxa" w:w="1224"/>
            <w:shd w:fill="F7FAFC"/>
          </w:tcPr>
          <w:p>
            <w:r>
              <w:rPr>
                <w:sz w:val="16"/>
              </w:rPr>
              <w:t>Escenario de sensibilidad operativa.</w:t>
            </w:r>
          </w:p>
        </w:tc>
      </w:tr>
      <w:tr>
        <w:tc>
          <w:tcPr>
            <w:tcW w:type="dxa" w:w="1224"/>
          </w:tcPr>
          <w:p>
            <w:r>
              <w:rPr>
                <w:sz w:val="16"/>
              </w:rPr>
              <w:t>11.19% (Estrés / Tipos Altos)</w:t>
            </w:r>
          </w:p>
        </w:tc>
        <w:tc>
          <w:tcPr>
            <w:tcW w:type="dxa" w:w="1224"/>
          </w:tcPr>
          <w:p>
            <w:r>
              <w:rPr>
                <w:sz w:val="16"/>
              </w:rPr>
              <w:t>20.2%</w:t>
            </w:r>
          </w:p>
        </w:tc>
        <w:tc>
          <w:tcPr>
            <w:tcW w:type="dxa" w:w="1224"/>
          </w:tcPr>
          <w:p>
            <w:r>
              <w:rPr>
                <w:sz w:val="16"/>
              </w:rPr>
              <w:t>19.7%</w:t>
            </w:r>
          </w:p>
        </w:tc>
        <w:tc>
          <w:tcPr>
            <w:tcW w:type="dxa" w:w="1224"/>
          </w:tcPr>
          <w:p>
            <w:r>
              <w:rPr>
                <w:sz w:val="16"/>
              </w:rPr>
              <w:t>19.2%</w:t>
            </w:r>
          </w:p>
        </w:tc>
        <w:tc>
          <w:tcPr>
            <w:tcW w:type="dxa" w:w="1224"/>
          </w:tcPr>
          <w:p>
            <w:r>
              <w:rPr>
                <w:b/>
                <w:sz w:val="16"/>
              </w:rPr>
              <w:t>18.7%</w:t>
            </w:r>
          </w:p>
        </w:tc>
        <w:tc>
          <w:tcPr>
            <w:tcW w:type="dxa" w:w="1224"/>
          </w:tcPr>
          <w:p>
            <w:r>
              <w:rPr>
                <w:sz w:val="16"/>
              </w:rPr>
              <w:t>18.1%</w:t>
            </w:r>
          </w:p>
        </w:tc>
        <w:tc>
          <w:tcPr>
            <w:tcW w:type="dxa" w:w="1224"/>
          </w:tcPr>
          <w:p>
            <w:r>
              <w:rPr>
                <w:sz w:val="16"/>
              </w:rPr>
              <w:t>17.5%</w:t>
            </w:r>
          </w:p>
        </w:tc>
        <w:tc>
          <w:tcPr>
            <w:tcW w:type="dxa" w:w="1224"/>
          </w:tcPr>
          <w:p>
            <w:r>
              <w:rPr>
                <w:sz w:val="16"/>
              </w:rPr>
              <w:t>Vulnerabilidad a correcciones si el coste de capital aumenta.</w:t>
            </w:r>
          </w:p>
        </w:tc>
      </w:tr>
    </w:tbl>
    <w:p/>
    <w:p>
      <w:pPr>
        <w:pStyle w:val="Heading2"/>
      </w:pPr>
      <w:r>
        <w:rPr>
          <w:rFonts w:ascii="Calibri" w:hAnsi="Calibri"/>
          <w:b/>
          <w:color w:val="1B365D"/>
          <w:sz w:val="23"/>
        </w:rPr>
        <w:t>14.4. Cuadro de Mando Consolidado y Tesis Final de Inversión</w:t>
      </w:r>
    </w:p>
    <w:tbl>
      <w:tblPr>
        <w:tblW w:type="auto" w:w="0"/>
        <w:jc w:val="center"/>
        <w:tblLook w:firstColumn="1" w:firstRow="1" w:lastColumn="0" w:lastRow="0" w:noHBand="0" w:noVBand="1" w:val="04A0"/>
        <w:tblBorders>
          <w:top w:val="single" w:sz="6" w:space="0" w:color="D2D6DC"/>
          <w:bottom w:val="single" w:sz="6" w:space="0" w:color="D2D6DC"/>
          <w:insideH w:val="single" w:sz="4" w:space="0" w:color="D2D6DC"/>
          <w:insideV w:val="none"/>
          <w:left w:val="none"/>
          <w:right w:val="none"/>
        </w:tblBorders>
      </w:tblPr>
      <w:tblGrid>
        <w:gridCol w:w="2448"/>
        <w:gridCol w:w="2448"/>
        <w:gridCol w:w="2448"/>
        <w:gridCol w:w="2448"/>
      </w:tblGrid>
      <w:tr>
        <w:tc>
          <w:tcPr>
            <w:tcW w:type="dxa" w:w="2448"/>
            <w:shd w:fill="1B365D"/>
          </w:tcPr>
          <w:p>
            <w:r>
              <w:rPr>
                <w:b/>
                <w:color w:val="FFFFFF"/>
                <w:sz w:val="18"/>
              </w:rPr>
              <w:t>Dimensión Fundamental</w:t>
            </w:r>
          </w:p>
        </w:tc>
        <w:tc>
          <w:tcPr>
            <w:tcW w:type="dxa" w:w="2448"/>
            <w:shd w:fill="1B365D"/>
          </w:tcPr>
          <w:p>
            <w:r>
              <w:rPr>
                <w:b/>
                <w:color w:val="FFFFFF"/>
                <w:sz w:val="18"/>
              </w:rPr>
              <w:t>Diagnóstico Auditado</w:t>
            </w:r>
          </w:p>
        </w:tc>
        <w:tc>
          <w:tcPr>
            <w:tcW w:type="dxa" w:w="2448"/>
            <w:shd w:fill="1B365D"/>
          </w:tcPr>
          <w:p>
            <w:r>
              <w:rPr>
                <w:b/>
                <w:color w:val="FFFFFF"/>
                <w:sz w:val="18"/>
              </w:rPr>
              <w:t>Calificación Institucional</w:t>
            </w:r>
          </w:p>
        </w:tc>
        <w:tc>
          <w:tcPr>
            <w:tcW w:type="dxa" w:w="2448"/>
            <w:shd w:fill="1B365D"/>
          </w:tcPr>
          <w:p>
            <w:r>
              <w:rPr>
                <w:b/>
                <w:color w:val="FFFFFF"/>
                <w:sz w:val="18"/>
              </w:rPr>
              <w:t>Veredicto de Asignación</w:t>
            </w:r>
          </w:p>
        </w:tc>
      </w:tr>
      <w:tr>
        <w:tc>
          <w:tcPr>
            <w:tcW w:type="dxa" w:w="2448"/>
          </w:tcPr>
          <w:p>
            <w:r>
              <w:rPr>
                <w:b/>
                <w:sz w:val="17"/>
              </w:rPr>
              <w:t>Ventaja Competitiva (Moat)</w:t>
            </w:r>
          </w:p>
        </w:tc>
        <w:tc>
          <w:tcPr>
            <w:tcW w:type="dxa" w:w="2448"/>
          </w:tcPr>
          <w:p>
            <w:r>
              <w:rPr>
                <w:sz w:val="17"/>
              </w:rPr>
              <w:t>Costes de Cambio (Switching Costs) + Activos Intangibles y Marca</w:t>
            </w:r>
          </w:p>
        </w:tc>
        <w:tc>
          <w:tcPr>
            <w:tcW w:type="dxa" w:w="2448"/>
          </w:tcPr>
          <w:p>
            <w:r>
              <w:rPr>
                <w:b/>
                <w:sz w:val="17"/>
              </w:rPr>
              <w:t>WIDE MOAT</w:t>
            </w:r>
          </w:p>
        </w:tc>
        <w:tc>
          <w:tcPr>
            <w:tcW w:type="dxa" w:w="2448"/>
          </w:tcPr>
          <w:p>
            <w:r>
              <w:rPr>
                <w:sz w:val="17"/>
              </w:rPr>
              <w:t>Poder de fijación de precios y resiliencia de márgenes (33.2% EBIT).</w:t>
            </w:r>
          </w:p>
        </w:tc>
      </w:tr>
      <w:tr>
        <w:tc>
          <w:tcPr>
            <w:tcW w:type="dxa" w:w="2448"/>
            <w:shd w:fill="F7FAFC"/>
          </w:tcPr>
          <w:p>
            <w:r>
              <w:rPr>
                <w:b/>
                <w:sz w:val="17"/>
              </w:rPr>
              <w:t>Calidad de Beneficios</w:t>
            </w:r>
          </w:p>
        </w:tc>
        <w:tc>
          <w:tcPr>
            <w:tcW w:type="dxa" w:w="2448"/>
            <w:shd w:fill="F7FAFC"/>
          </w:tcPr>
          <w:p>
            <w:r>
              <w:rPr>
                <w:sz w:val="17"/>
              </w:rPr>
              <w:t>Ratio Sloan: -4.79% / Montier: 2/6</w:t>
            </w:r>
          </w:p>
        </w:tc>
        <w:tc>
          <w:tcPr>
            <w:tcW w:type="dxa" w:w="2448"/>
            <w:shd w:fill="F7FAFC"/>
          </w:tcPr>
          <w:p>
            <w:r>
              <w:rPr>
                <w:b/>
                <w:sz w:val="17"/>
              </w:rPr>
              <w:t>CALIDAD SÓLIDA / BAJO RIESGO</w:t>
            </w:r>
          </w:p>
        </w:tc>
        <w:tc>
          <w:tcPr>
            <w:tcW w:type="dxa" w:w="2448"/>
            <w:shd w:fill="F7FAFC"/>
          </w:tcPr>
          <w:p>
            <w:r>
              <w:rPr>
                <w:sz w:val="17"/>
              </w:rPr>
              <w:t>Ganancias 100% avaladas por caja real ($1.14 CFO por dólar de NI).</w:t>
            </w:r>
          </w:p>
        </w:tc>
      </w:tr>
      <w:tr>
        <w:tc>
          <w:tcPr>
            <w:tcW w:type="dxa" w:w="2448"/>
          </w:tcPr>
          <w:p>
            <w:r>
              <w:rPr>
                <w:b/>
                <w:sz w:val="17"/>
              </w:rPr>
              <w:t>Solvencia y Estructura</w:t>
            </w:r>
          </w:p>
        </w:tc>
        <w:tc>
          <w:tcPr>
            <w:tcW w:type="dxa" w:w="2448"/>
          </w:tcPr>
          <w:p>
            <w:r>
              <w:rPr>
                <w:sz w:val="17"/>
              </w:rPr>
              <w:t>Cobertura EBIT: 41.8x / Altman Z'': 3.23</w:t>
            </w:r>
          </w:p>
        </w:tc>
        <w:tc>
          <w:tcPr>
            <w:tcW w:type="dxa" w:w="2448"/>
          </w:tcPr>
          <w:p>
            <w:r>
              <w:rPr>
                <w:b/>
                <w:sz w:val="17"/>
              </w:rPr>
              <w:t>SINTÉTICO AAA</w:t>
            </w:r>
          </w:p>
        </w:tc>
        <w:tc>
          <w:tcPr>
            <w:tcW w:type="dxa" w:w="2448"/>
          </w:tcPr>
          <w:p>
            <w:r>
              <w:rPr>
                <w:sz w:val="17"/>
              </w:rPr>
              <w:t>Cero estrés financiero; colchón de $62.4B.</w:t>
            </w:r>
          </w:p>
        </w:tc>
      </w:tr>
      <w:tr>
        <w:tc>
          <w:tcPr>
            <w:tcW w:type="dxa" w:w="2448"/>
            <w:shd w:fill="F7FAFC"/>
          </w:tcPr>
          <w:p>
            <w:r>
              <w:rPr>
                <w:b/>
                <w:sz w:val="17"/>
              </w:rPr>
              <w:t>Productividad del Capital</w:t>
            </w:r>
          </w:p>
        </w:tc>
        <w:tc>
          <w:tcPr>
            <w:tcW w:type="dxa" w:w="2448"/>
            <w:shd w:fill="F7FAFC"/>
          </w:tcPr>
          <w:p>
            <w:r>
              <w:rPr>
                <w:sz w:val="17"/>
              </w:rPr>
              <w:t>ROC Greenblatt: 305.9% / ROIC Adj: 50.1%</w:t>
            </w:r>
          </w:p>
        </w:tc>
        <w:tc>
          <w:tcPr>
            <w:tcW w:type="dxa" w:w="2448"/>
            <w:shd w:fill="F7FAFC"/>
          </w:tcPr>
          <w:p>
            <w:r>
              <w:rPr>
                <w:b/>
                <w:sz w:val="17"/>
              </w:rPr>
              <w:t>COMPOUNDING MACHINE</w:t>
            </w:r>
          </w:p>
        </w:tc>
        <w:tc>
          <w:tcPr>
            <w:tcW w:type="dxa" w:w="2448"/>
            <w:shd w:fill="F7FAFC"/>
          </w:tcPr>
          <w:p>
            <w:r>
              <w:rPr>
                <w:sz w:val="17"/>
              </w:rPr>
              <w:t>Spread económico de +39.9 pp sobre WACC (Creación de valor de élite).</w:t>
            </w:r>
          </w:p>
        </w:tc>
      </w:tr>
      <w:tr>
        <w:tc>
          <w:tcPr>
            <w:tcW w:type="dxa" w:w="2448"/>
          </w:tcPr>
          <w:p>
            <w:r>
              <w:rPr>
                <w:b/>
                <w:sz w:val="17"/>
              </w:rPr>
              <w:t>Valoración de Mercado</w:t>
            </w:r>
          </w:p>
        </w:tc>
        <w:tc>
          <w:tcPr>
            <w:tcW w:type="dxa" w:w="2448"/>
          </w:tcPr>
          <w:p>
            <w:r>
              <w:rPr>
                <w:sz w:val="17"/>
              </w:rPr>
              <w:t>Crecimiento Implícito: 16.6% - 20.6%</w:t>
            </w:r>
          </w:p>
        </w:tc>
        <w:tc>
          <w:tcPr>
            <w:tcW w:type="dxa" w:w="2448"/>
          </w:tcPr>
          <w:p>
            <w:r>
              <w:rPr>
                <w:b/>
                <w:sz w:val="17"/>
              </w:rPr>
              <w:t>PRICED FOR PERFECTION</w:t>
            </w:r>
          </w:p>
        </w:tc>
        <w:tc>
          <w:tcPr>
            <w:tcW w:type="dxa" w:w="2448"/>
          </w:tcPr>
          <w:p>
            <w:r>
              <w:rPr>
                <w:sz w:val="17"/>
              </w:rPr>
              <w:t>Exigencia de crecimiento ambiciosa (+23.1% anual); requiere catalizadores sostenidos en IA y Servicios.</w:t>
            </w:r>
          </w:p>
        </w:tc>
      </w:tr>
    </w:tbl>
    <w:p>
      <w:pPr>
        <w:spacing w:before="400"/>
        <w:jc w:val="center"/>
      </w:pPr>
      <w:r>
        <w:rPr>
          <w:rFonts w:ascii="Calibri" w:hAnsi="Calibri"/>
          <w:i/>
          <w:color w:val="4A5568"/>
          <w:sz w:val="17"/>
        </w:rPr>
        <w:t>Fin del Informe Oficial de Investigación Fundamental — Apple Inc. (AAPL) | Wall Street Equity Research Platform</w:t>
      </w:r>
    </w:p>
    <w:sectPr w:rsidR="00FC693F" w:rsidRPr="0006063C" w:rsidSect="00034616">
      <w:pgSz w:w="12240" w:h="15840"/>
      <w:pgMar w:top="1152" w:right="1224" w:bottom="1152"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B365D"/>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