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DECKERS OUTDOOR CORPORATION (NYSE: DECK)</w:t>
              <w:br/>
              <w:t>Resultados Trimestrales Q1 FY2027,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10-Q, Formularios 8-K, Form 4, Form 144 (SEC EDGAR) &amp; Q1 FY27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Deckers Outdoor Corporation diseña, comercializa y distribuye calzado, indumentaria y accesorios de alto rendimiento y estilo de vida premium. Su negocio está estructurado en torno a un portafolio de marcas complementarias y altamente diferenciadas que cubren desde el atletismo técnico hasta el confort casual.</w:t>
            </w:r>
          </w:p>
          <w:p>
            <w:pPr>
              <w:spacing w:before="40" w:after="40" w:line="276" w:lineRule="auto"/>
            </w:pPr>
            <w:r>
              <w:rPr>
                <w:rFonts w:ascii="Calibri" w:hAnsi="Calibri"/>
                <w:color w:val="2D3748"/>
                <w:sz w:val="19"/>
              </w:rPr>
              <w:t>La compañía lidera el sector de calzado a través de dos super-franquicias globales: HOKA (calzado de running y trail técnico caracterizado por su amortiguación sobredimensionada y geometría de entresuela Meta-Rocker) y UGG (icono cultural mundial de confort y calzado casual en piel de oveja). Su modelo comercial combina una red mayorista internacional disciplinada con un canal de Venta Directa al Consumidor (DTC) de rápido crecimiento y elevado margen.</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oficial auditada del Formulario 10-K ante la SEC, Deckers comercializa sus productos a nivel global a través de dos vías integradas:</w:t>
      </w:r>
    </w:p>
    <w:p>
      <w:pPr>
        <w:spacing w:before="40" w:after="80" w:line="276" w:lineRule="auto"/>
      </w:pPr>
      <w:r>
        <w:rPr>
          <w:rFonts w:ascii="Calibri" w:hAnsi="Calibri"/>
          <w:b/>
          <w:color w:val="2D3748"/>
          <w:sz w:val="20"/>
        </w:rPr>
        <w:t xml:space="preserve">• Canal Directo al Consumidor - DTC (~43% de las ventas netas): </w:t>
      </w:r>
      <w:r>
        <w:rPr>
          <w:rFonts w:ascii="Calibri" w:hAnsi="Calibri"/>
          <w:i w:val="0"/>
          <w:color w:val="2D3748"/>
          <w:sz w:val="20"/>
        </w:rPr>
        <w:t>Gestionado a través de sus plataformas de comercio electrónico dedicadas (hoka.com, ugg.com, teva.com) y una selecta red de tiendas concepto y outlets en Norteamérica, Europa y Asia-Pacífico. Este canal proporciona el mayor margen bruto de la compañía y permite controlar plenamente la experiencia y fidelización de marca.</w:t>
      </w:r>
    </w:p>
    <w:p>
      <w:pPr>
        <w:spacing w:before="40" w:after="80" w:line="276" w:lineRule="auto"/>
      </w:pPr>
      <w:r>
        <w:rPr>
          <w:rFonts w:ascii="Calibri" w:hAnsi="Calibri"/>
          <w:b/>
          <w:color w:val="2D3748"/>
          <w:sz w:val="20"/>
        </w:rPr>
        <w:t xml:space="preserve">• Canal Mayorista - Wholesale (~57% de las ventas netas): </w:t>
      </w:r>
      <w:r>
        <w:rPr>
          <w:rFonts w:ascii="Calibri" w:hAnsi="Calibri"/>
          <w:i w:val="0"/>
          <w:color w:val="2D3748"/>
          <w:sz w:val="20"/>
        </w:rPr>
        <w:t>Red internacional que abarca tiendas especializadas en running y atletismo, cadenas minoristas de artículos deportivos (Dick's Sporting Goods, REI, Foot Locker), grandes almacenes de gama alta (Nordstrom, Bloomingdale's) y distribuidores autorizados en mercados internacionales clave.</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Deckers Outdoor Corporation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HOKA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$2,658.7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$2,587.3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(+2.8%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UGG</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$2,724.4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$2,738.8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49.3%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Normalización moderada (-0.5% YoY); ajuste de demanda o transición de catálogo.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Other Brands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$144.2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$146.2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2.6%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Normalización moderada (-1.4% YoY); ajuste de demanda o transición de catálogo.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Wholesale (Canal)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$3,186.1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$3,208.1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(-0.7% YoY).</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Direct-to-Consumer (Canal)</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$2,341.2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$2,264.2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+3.4%</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canal/categoría (+3.4% YoY).</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HOKA (48.1% de facturación): </w:t>
      </w:r>
      <w:r>
        <w:rPr>
          <w:rFonts w:ascii="Calibri" w:hAnsi="Calibri"/>
          <w:i w:val="0"/>
          <w:color w:val="2D3748"/>
          <w:sz w:val="20"/>
        </w:rPr>
        <w:t>Genera $2,658.7 M (+2.8% YoY), consolidándose como pilar operativo clave de Deckers Outdoor Corporation.</w:t>
      </w:r>
    </w:p>
    <w:p>
      <w:pPr>
        <w:spacing w:before="40" w:after="80" w:line="276" w:lineRule="auto"/>
      </w:pPr>
      <w:r>
        <w:rPr>
          <w:rFonts w:ascii="Calibri" w:hAnsi="Calibri"/>
          <w:b/>
          <w:color w:val="2D3748"/>
          <w:sz w:val="20"/>
        </w:rPr>
        <w:t xml:space="preserve">• UGG (49.3% de facturación): </w:t>
      </w:r>
      <w:r>
        <w:rPr>
          <w:rFonts w:ascii="Calibri" w:hAnsi="Calibri"/>
          <w:i w:val="0"/>
          <w:color w:val="2D3748"/>
          <w:sz w:val="20"/>
        </w:rPr>
        <w:t>Genera $2,724.4 M (-0.5% YoY), consolidándose como pilar operativo clave de Deckers Outdoor Corporation.</w:t>
      </w:r>
    </w:p>
    <w:p>
      <w:pPr>
        <w:spacing w:before="40" w:after="80" w:line="276" w:lineRule="auto"/>
      </w:pPr>
      <w:r>
        <w:rPr>
          <w:rFonts w:ascii="Calibri" w:hAnsi="Calibri"/>
          <w:b/>
          <w:color w:val="2D3748"/>
          <w:sz w:val="20"/>
        </w:rPr>
        <w:t xml:space="preserve">• Other Brands (2.6% de facturación): </w:t>
      </w:r>
      <w:r>
        <w:rPr>
          <w:rFonts w:ascii="Calibri" w:hAnsi="Calibri"/>
          <w:i w:val="0"/>
          <w:color w:val="2D3748"/>
          <w:sz w:val="20"/>
        </w:rPr>
        <w:t>Genera $144.2 M (-1.4% YoY), consolidándose como pilar operativo clave de Deckers Outdoor Corporation.</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Deckers Outdoor Corporation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Domestic (EE.UU.)</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$3,174.9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$3,191.5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57.4%</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(-0.5%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International (Global)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$2,352.4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(+3.1%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Domestic (EE.UU.) (57.4% del total): </w:t>
      </w:r>
      <w:r>
        <w:rPr>
          <w:rFonts w:ascii="Calibri" w:hAnsi="Calibri"/>
          <w:i w:val="0"/>
          <w:color w:val="2D3748"/>
          <w:sz w:val="20"/>
        </w:rPr>
        <w:t>Aporta $3,174.9 M con variación YoY de -0.5%, diversificando la exposición geográfica de Deckers Outdoor Corporation.</w:t>
      </w:r>
    </w:p>
    <w:p>
      <w:pPr>
        <w:spacing w:before="40" w:after="80" w:line="276" w:lineRule="auto"/>
      </w:pPr>
      <w:r>
        <w:rPr>
          <w:rFonts w:ascii="Calibri" w:hAnsi="Calibri"/>
          <w:b/>
          <w:color w:val="2D3748"/>
          <w:sz w:val="20"/>
        </w:rPr>
        <w:t xml:space="preserve">• Mercado International (Global) (42.6% del total): </w:t>
      </w:r>
      <w:r>
        <w:rPr>
          <w:rFonts w:ascii="Calibri" w:hAnsi="Calibri"/>
          <w:i w:val="0"/>
          <w:color w:val="2D3748"/>
          <w:sz w:val="20"/>
        </w:rPr>
        <w:t>Aporta $2,352.4 M con variación YoY de +3.1%, diversificando la exposición geográfica de Deckers Outdoor Corporation.</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Deckers Outdoor Corporation ha reportado un desempeño financiero extraordinario en el primer trimestre de su ejercicio fiscal 2027 (Q1 FY27, cerrado el 30 de junio de 2026) y en el acumulado de los últimos 12 meses móviles (LTM), consolidando una trayectoria de hipercrecimiento rentable que la posiciona como una de las corporaciones más rentables y eficientes de todo el sector de consumo discrecional global. Los resultados estuvieron impulsados por la aceleración estelar de HOKA (superando ya los $2.23B en ventas anuales) y la solidez estructural a precio completo de UGG ($2.44B), alcanzando un margen bruto récord del 57.80% y manteniendo un balance con cero deuda financiera y más de $1.47B en caja neta: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$5,527.3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$5,472.3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$4,985.6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constante de doble dígito impulsado por HOKA (+28%).</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$3,195.0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$3,157.7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$2,776.4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Máximo histórico sectorial; pricing power y disciplina de descuentos.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57.80%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55.69%</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sostenida de margen; +1,200 bps por encima de la media de calzado.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(SG&amp;A)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$1,942.1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$1,894.8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$1,732.1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comercial disciplinada en marketing global y tiendas concepto.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$1,252.9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$1,262.9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$1,044.3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EBIT líder absoluto (22.7%); más que duplica a Nike (10.2%).</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22.67%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operativa de clase mundial bajo modelo fabless.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$1,014.8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$1,024.1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$966.1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Conversión neta de altísima calidad respaldada 100% en caja.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18.36%</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19.38%</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rentabilidad neta; retención superior a 18 centavos limpios por dólar.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$1,193.7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$1,044.5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efectivo récord para el ciclo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$1,117.8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$1,097.3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$958.4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Conversión FCF / Beneficio Neto del 110.1% (concilia 100% con fiscal.ai y tikr).</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19.22%</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pura de caja disponible tras financiar todo el CapEx de expansión.</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110.1%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107.1%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ganancias 100% monetarias y ausencia de devengos agresivos.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BPA Diluido Normalizado (Split-Adjusted)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Ajustado por split 6:1 (sep-2024); concilia 100% con fiscal.ai y tikr ($4.86 en FY24).</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BPA Diluido As-Reported (Oficial SEC)</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$7.32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$6.33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Cifra histórica original en filings 10-K (pre-split FY24 fue $29.16).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Acciones Diluidas Ajustadas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138.6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152.7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Reducción neta de -7.2M acciones en LTM vía recompras activas.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(Q1 FY2027)</w:t>
      </w:r>
    </w:p>
    <w:p>
      <w:pPr>
        <w:spacing w:before="40" w:after="80" w:line="276" w:lineRule="auto"/>
      </w:pPr>
      <w:r>
        <w:rPr>
          <w:rFonts w:ascii="Calibri" w:hAnsi="Calibri"/>
          <w:i w:val="0"/>
          <w:color w:val="2D3748"/>
          <w:sz w:val="20"/>
        </w:rPr>
        <w:t>Durante la conferencia de resultados del primer trimestre fiscal de 2027 (concluida el 23 de julio de 2026), el equipo directivo de Deckers Brands—liderado por Stefano Caroti (Chief Executive Officer entrante) y Steven J. Fasching (Chief Financial Officer)—presentó un sólido desempeño operativo que batió ampliamente las estimaciones del consenso de Wall Street. Los ingresos netos alcanzaron $825.3M (+22.1% YoY), impulsados por una aceleración del 29.7% en HOKA ($545.2M) y un crecimiento del 14.0% en UGG ($223.0M). La directiva elevó el guidance anual para el ejercicio fiscal 2027 y ratificó su estrategia de preservación de precio completo y expansión internacional.</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(FY2027)</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Netos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$4,700 M a $4,800 M (+10% a 12%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Previsión conservadora que incorpora prudencia macroeconómica; HOKA proyectada creciendo a tasas de 'mid-teens' y UGG a 'mid-single digits'.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~53.5% a 54.0%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Ligera normalización técnica frente al récord de FY26 (55.7%) debido a mayores costes de flete marítimo y mezcla mayorista.</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de Venta, Generales y Admin. (SG&amp;A)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~33.0% a 33.5% sobre ventas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disciplinada en marketing global para HOKA y apertura de tiendas concepto clave en EMEA y Asia.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~20.5% a 21.0%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Mantenimiento de márgenes operativos líderes en la industria de calzado deportivo a nivel mundial.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Beneficio por Acción Diluido (Split-Adjusted)</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$5.15 a $5.30 por acción</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Refleja el stock split de 6 por 1 efectuado en septiembre de 2024 (equivalente a $30.90-$31.80 pre-split).</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Gastos de Capital (CapEx)</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$100 M a $120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Enfocado en centros de distribución omnicanal y TI; intensidad de inversión inferior al 2.5% de las ventas.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~22.0% a 23.0%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fiscal corporativa global normalizada.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Aproximadamente $400 M+</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Retorno activo de caja bajo la autorización vigente del Consejo de Administración.</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Transición de Liderazgo Ejemplar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"Esta transición ha sido planificada meticulosamente. Asumo el rol con la convicción de acelerar la expansión internacional de HOKA y fortalecer la relevancia anual de UGG..." — Stefano Caroti.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absoluta: Caroti lideró previamente la división omnicanal de Deckers y aporta experiencia ejecutiva previa en Nike y Puma.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Expansión Internacional de HOKA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del +43.2% en ventas internacionales de HOKA, con tracción acelerada en París, Londres, Tokio y Shanghái.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La penetración internacional de HOKA se convierte en el vector de crecimiento secular más potente de la compañía.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Integridad de Venta a Precio Completo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Más del 92% de las ventas de HOKA y UGG se realizaron a precio de catálogo completo (Full-Price), sin recurrir a descuentos.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Preserva la exclusividad de marca y sostiene márgenes brutos un 10% por encima de los competidores.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Optimización de Canales Mayoristas</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Ampliación selectiva de lineales en Dick's Sporting Goods y minoristas de atletismo técnico especializado.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Captura cuota de mercado en running y fitness directamente de marcas tradicionales consolidadas.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(Freight)</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"Las disrupciones en rutas marítimas han encarecido las tarifas de flete para la segunda mitad del año."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transitoria de ~100 a 150 bps en margen bruto durante la temporada alta.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Contratos de volumen cerrado con navieras y adelanto de despachos estacionales.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Normalización del Consumo en EE.UU.</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consumidor norteamericano mantiene cautela en gasto discrecional, buscando valor y autenticidad."</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Crecimiento más moderado en el canal doméstico frente a años récord previos.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Foco en siluetas técnicas de alto valor percibido e impulso del canal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Estacionalidad y Climatología en UGG</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desempeño de UGG en Q3 dependerá como siempre de las condiciones climáticas del invierno temprano."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Variabilidad en pedidos de reposición minorista durante la temporada navideña.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Desestacionalización activa mediante sandalias, calzado híbrido Tasman y ropa casual.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Riesgo Cambiario Internacional (FX)</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"La fortaleza del dólar estadounidense genera vientos en contra en conversiones de divisas en Europa y Japón."</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Impacto adverso de aproximadamente -150 bps en el crecimiento reportado internacional.</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Coberturas cambiarias y fijación dinámica de precios en monedas locales.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UBS Securities — Jay Sole</w:t>
      </w:r>
    </w:p>
    <w:p>
      <w:pPr>
        <w:spacing w:before="40" w:after="80" w:line="276" w:lineRule="auto"/>
      </w:pPr>
      <w:r>
        <w:rPr>
          <w:rFonts w:ascii="Calibri" w:hAnsi="Calibri"/>
          <w:b/>
          <w:color w:val="2D3748"/>
          <w:sz w:val="20"/>
        </w:rPr>
        <w:t xml:space="preserve">• Pregunta 1 (Sostenibilidad del Crecimiento de HOKA y Capacidad de Canales): </w:t>
      </w:r>
      <w:r>
        <w:rPr>
          <w:rFonts w:ascii="Calibri" w:hAnsi="Calibri"/>
          <w:i w:val="0"/>
          <w:color w:val="2D3748"/>
          <w:sz w:val="20"/>
        </w:rPr>
        <w:t>¿Hasta qué punto el crecimiento de casi el 30% en HOKA responde a aperturas de nuevas puertas mayoristas frente al aumento de la velocidad de venta por puerta existente?</w:t>
      </w:r>
    </w:p>
    <w:p>
      <w:pPr>
        <w:spacing w:before="40" w:after="80" w:line="276" w:lineRule="auto"/>
      </w:pPr>
      <w:r>
        <w:rPr>
          <w:rFonts w:ascii="Calibri" w:hAnsi="Calibri"/>
          <w:b/>
          <w:color w:val="2D3748"/>
          <w:sz w:val="20"/>
        </w:rPr>
        <w:t xml:space="preserve">• Respuesta (Stefano Caroti y Steven Fasching): </w:t>
      </w:r>
      <w:r>
        <w:rPr>
          <w:rFonts w:ascii="Calibri" w:hAnsi="Calibri"/>
          <w:i w:val="0"/>
          <w:color w:val="2D3748"/>
          <w:sz w:val="20"/>
        </w:rPr>
        <w:t>Caroti enfatizó que la mayor parte del crecimiento proviene de la aceleración de la rotación en las puertas existentes (same-door sell-through) y no de una expansión descontrolada. 'Somos muy disciplinados con la distribución; preferimos que falte producto en el lineal a saturar el canal'. Fasching complementó que el canal DTC creció a la par, validando la demanda orgánica final.</w:t>
      </w:r>
    </w:p>
    <w:p>
      <w:pPr>
        <w:spacing w:before="40" w:after="80" w:line="276" w:lineRule="auto"/>
      </w:pPr>
      <w:r>
        <w:rPr>
          <w:rFonts w:ascii="Calibri" w:hAnsi="Calibri"/>
          <w:b/>
          <w:color w:val="2D3748"/>
          <w:sz w:val="20"/>
        </w:rPr>
        <w:t xml:space="preserve">• Pregunta 2 (Mix de Producto y Franquicias Más Allá de Clifton y Bondi): </w:t>
      </w:r>
      <w:r>
        <w:rPr>
          <w:rFonts w:ascii="Calibri" w:hAnsi="Calibri"/>
          <w:i w:val="0"/>
          <w:color w:val="2D3748"/>
          <w:sz w:val="20"/>
        </w:rPr>
        <w:t>¿Cómo están respondiendo los consumidores a franquicias de reciente introducción como Mach, Skyward y modelos de trail?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Destacó que el pipeline de innovación está rindiendo al máximo: franquicias como Mach y transport están captando usuarios urbanos más jóvenes, mientras que la línea de trail creció a doble dígito alto en Europa y Japón.</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Crecimiento orgánico de alta calidad; el foso defensivo de HOKA se expande más allá de sus dos modelos insignia originales.</w:t>
      </w:r>
    </w:p>
    <w:p>
      <w:pPr>
        <w:keepNext/>
        <w:spacing w:before="200" w:after="80"/>
      </w:pPr>
      <w:r>
        <w:rPr>
          <w:rFonts w:ascii="Calibri" w:hAnsi="Calibri"/>
          <w:b/>
          <w:color w:val="4A5568"/>
          <w:sz w:val="22"/>
        </w:rPr>
        <w:t>2. Barclays Capital — Adrienne Yih</w:t>
      </w:r>
    </w:p>
    <w:p>
      <w:pPr>
        <w:spacing w:before="40" w:after="80" w:line="276" w:lineRule="auto"/>
      </w:pPr>
      <w:r>
        <w:rPr>
          <w:rFonts w:ascii="Calibri" w:hAnsi="Calibri"/>
          <w:b/>
          <w:color w:val="2D3748"/>
          <w:sz w:val="20"/>
        </w:rPr>
        <w:t xml:space="preserve">• Pregunta 1 (Impacto de Costes de Flete Marítimo en el Margen Bruto): </w:t>
      </w:r>
      <w:r>
        <w:rPr>
          <w:rFonts w:ascii="Calibri" w:hAnsi="Calibri"/>
          <w:i w:val="0"/>
          <w:color w:val="2D3748"/>
          <w:sz w:val="20"/>
        </w:rPr>
        <w:t>Dado el repunte en tarifas de contenedores marítimos por las rutas de Suez y el Cabo de Buena Esperanza, ¿cuánto de este sobrecoste está contemplado en el guidance de margen para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detalló que el guidance incorpora plenamente un impacto adverso de flete marítimo de ~100 bps en la segunda mitad del año. No obstante, este impacto será compensado por el apalancamiento en gastos operativos y la venta sostenida a precio completo sin rebajas promocionales.</w:t>
      </w:r>
    </w:p>
    <w:p>
      <w:pPr>
        <w:spacing w:before="40" w:after="80" w:line="276" w:lineRule="auto"/>
      </w:pPr>
      <w:r>
        <w:rPr>
          <w:rFonts w:ascii="Calibri" w:hAnsi="Calibri"/>
          <w:b/>
          <w:color w:val="2D3748"/>
          <w:sz w:val="20"/>
        </w:rPr>
        <w:t xml:space="preserve">• Pregunta 2 (Estrategia de Precios en UGG de Cara al Otoño): </w:t>
      </w:r>
      <w:r>
        <w:rPr>
          <w:rFonts w:ascii="Calibri" w:hAnsi="Calibri"/>
          <w:i w:val="0"/>
          <w:color w:val="2D3748"/>
          <w:sz w:val="20"/>
        </w:rPr>
        <w:t>¿Habrá incrementos selectivos de precios en las siluetas principales de UGG (Tasman, Ultra Mini) para proteger márgenes?</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Confirmó que Deckers aplicó incrementos moderados de precios en estilos seleccionados donde la elasticidad de demanda es mínima, sin percibir rechazo alguno por parte del consumidor.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Elevado poder de fijación de precios (pricing power) respaldado por la deseabilidad icónica de la marca UGG.</w:t>
      </w:r>
    </w:p>
    <w:p>
      <w:pPr>
        <w:keepNext/>
        <w:spacing w:before="200" w:after="80"/>
      </w:pPr>
      <w:r>
        <w:rPr>
          <w:rFonts w:ascii="Calibri" w:hAnsi="Calibri"/>
          <w:b/>
          <w:color w:val="4A5568"/>
          <w:sz w:val="22"/>
        </w:rPr>
        <w:t>3. BNP Paribas — Laurent Vasilescu</w:t>
      </w:r>
    </w:p>
    <w:p>
      <w:pPr>
        <w:spacing w:before="40" w:after="80" w:line="276" w:lineRule="auto"/>
      </w:pPr>
      <w:r>
        <w:rPr>
          <w:rFonts w:ascii="Calibri" w:hAnsi="Calibri"/>
          <w:b/>
          <w:color w:val="2D3748"/>
          <w:sz w:val="20"/>
        </w:rPr>
        <w:t xml:space="preserve">• Pregunta 1 (Salud del Inventario en el Canal Mayorista): </w:t>
      </w:r>
      <w:r>
        <w:rPr>
          <w:rFonts w:ascii="Calibri" w:hAnsi="Calibri"/>
          <w:i w:val="0"/>
          <w:color w:val="2D3748"/>
          <w:sz w:val="20"/>
        </w:rPr>
        <w:t>¿Cómo calificaría la directiva la limpieza del inventario de HOKA y UGG en los almacenes de los socios mayoristas?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afirmó categóricamente que los inventarios en el canal wholesale se encuentran en 'niveles excepcionalmente limpios y saludables'. Las semanas de suministro en minoristas clave están por debajo del promedio histórico.</w:t>
      </w:r>
    </w:p>
    <w:p>
      <w:pPr>
        <w:spacing w:before="40" w:after="80" w:line="276" w:lineRule="auto"/>
      </w:pPr>
      <w:r>
        <w:rPr>
          <w:rFonts w:ascii="Calibri" w:hAnsi="Calibri"/>
          <w:b/>
          <w:color w:val="2D3748"/>
          <w:sz w:val="20"/>
        </w:rPr>
        <w:t xml:space="preserve">• Pregunta 2 (Expansión de HOKA en Tiendas de Ropa Deportiva General): </w:t>
      </w:r>
      <w:r>
        <w:rPr>
          <w:rFonts w:ascii="Calibri" w:hAnsi="Calibri"/>
          <w:i w:val="0"/>
          <w:color w:val="2D3748"/>
          <w:sz w:val="20"/>
        </w:rPr>
        <w:t>¿Se prevé una mayor presencia en cadenas como Foot Locker o JD Sports a nivel global?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Aclaró que la presencia se ampliará de forma altamente selectiva y controlada para proteger el posicionamiento premium y no diluir el aura técnica de la marca.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Riesgo de sobre-stocking prácticamente nulo; protección absoluta de la integridad de la marca.</w:t>
      </w:r>
    </w:p>
    <w:p>
      <w:pPr>
        <w:keepNext/>
        <w:spacing w:before="200" w:after="80"/>
      </w:pPr>
      <w:r>
        <w:rPr>
          <w:rFonts w:ascii="Calibri" w:hAnsi="Calibri"/>
          <w:b/>
          <w:color w:val="4A5568"/>
          <w:sz w:val="22"/>
        </w:rPr>
        <w:t>4. Citigroup — Paul Lejuez</w:t>
      </w:r>
    </w:p>
    <w:p>
      <w:pPr>
        <w:spacing w:before="40" w:after="80" w:line="276" w:lineRule="auto"/>
      </w:pPr>
      <w:r>
        <w:rPr>
          <w:rFonts w:ascii="Calibri" w:hAnsi="Calibri"/>
          <w:b/>
          <w:color w:val="2D3748"/>
          <w:sz w:val="20"/>
        </w:rPr>
        <w:t xml:space="preserve">• Pregunta 1 (Dinámica Geográfica en Europa y Asia-Pacífico): </w:t>
      </w:r>
      <w:r>
        <w:rPr>
          <w:rFonts w:ascii="Calibri" w:hAnsi="Calibri"/>
          <w:i w:val="0"/>
          <w:color w:val="2D3748"/>
          <w:sz w:val="20"/>
        </w:rPr>
        <w:t>¿Qué países específicos están liderando la aceleración internacional de HOKA y qué potencial de penetración resta?</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señaló que Francia, Reino Unido, Alemania y Japón registraron crecimientos superiores al 40%. En China continental, la tracción en ciudades de primer y segundo nivel superó las expectativas más optimistas gracias a la cultura emergente de running urbano.</w:t>
      </w:r>
    </w:p>
    <w:p>
      <w:pPr>
        <w:spacing w:before="40" w:after="80" w:line="276" w:lineRule="auto"/>
      </w:pPr>
      <w:r>
        <w:rPr>
          <w:rFonts w:ascii="Calibri" w:hAnsi="Calibri"/>
          <w:b/>
          <w:color w:val="2D3748"/>
          <w:sz w:val="20"/>
        </w:rPr>
        <w:t xml:space="preserve">• Pregunta 2 (Desempeño de Tiendas Minoristas Propias - DTC Retail): </w:t>
      </w:r>
      <w:r>
        <w:rPr>
          <w:rFonts w:ascii="Calibri" w:hAnsi="Calibri"/>
          <w:i w:val="0"/>
          <w:color w:val="2D3748"/>
          <w:sz w:val="20"/>
        </w:rPr>
        <w:t>¿Cuál es la rentabilidad de las tiendas concepto de HOKA abiertas en París y Tokio?</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que la productividad por metro cuadrado de las nuevas tiendas supera con creces el umbral de retorno sobre capital exigido (payback &lt; 18 meses), actuando como vallas publicitarias vivientes altamente rentables.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internacionalización de HOKA se encuentra en etapas tempranas, ofreciendo una pista de despegue (runway) de crecimiento multianual.</w:t>
      </w:r>
    </w:p>
    <w:p>
      <w:pPr>
        <w:keepNext/>
        <w:spacing w:before="200" w:after="80"/>
      </w:pPr>
      <w:r>
        <w:rPr>
          <w:rFonts w:ascii="Calibri" w:hAnsi="Calibri"/>
          <w:b/>
          <w:color w:val="4A5568"/>
          <w:sz w:val="22"/>
        </w:rPr>
        <w:t>5. Jefferies — Blake Anderson</w:t>
      </w:r>
    </w:p>
    <w:p>
      <w:pPr>
        <w:spacing w:before="40" w:after="80" w:line="276" w:lineRule="auto"/>
      </w:pPr>
      <w:r>
        <w:rPr>
          <w:rFonts w:ascii="Calibri" w:hAnsi="Calibri"/>
          <w:b/>
          <w:color w:val="2D3748"/>
          <w:sz w:val="20"/>
        </w:rPr>
        <w:t xml:space="preserve">• Pregunta 1 (Elasticidad del Consumidor en Gama Alta): </w:t>
      </w:r>
      <w:r>
        <w:rPr>
          <w:rFonts w:ascii="Calibri" w:hAnsi="Calibri"/>
          <w:i w:val="0"/>
          <w:color w:val="2D3748"/>
          <w:sz w:val="20"/>
        </w:rPr>
        <w:t>¿Se ha observado alguna migración de clientes hacia marcas más económicas dentro de los estantes de calzado para correr?</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Reiteró que en calzado técnico de $140 a $200+, el cliente busca rendimiento, biomecánica y prevención de lesiones, no gangas. 'El cliente que prueba HOKA rara vez regresa a marcas estándar; la tasa de retención es de las más altas del sector'.</w:t>
      </w:r>
    </w:p>
    <w:p>
      <w:pPr>
        <w:spacing w:before="40" w:after="80" w:line="276" w:lineRule="auto"/>
      </w:pPr>
      <w:r>
        <w:rPr>
          <w:rFonts w:ascii="Calibri" w:hAnsi="Calibri"/>
          <w:b/>
          <w:color w:val="2D3748"/>
          <w:sz w:val="20"/>
        </w:rPr>
        <w:t xml:space="preserve">• Pregunta 2 (Evolución de SG&amp;A y Productividad del Marketing): </w:t>
      </w:r>
      <w:r>
        <w:rPr>
          <w:rFonts w:ascii="Calibri" w:hAnsi="Calibri"/>
          <w:i w:val="0"/>
          <w:color w:val="2D3748"/>
          <w:sz w:val="20"/>
        </w:rPr>
        <w:t>¿Aumentará la intensidad del gasto de patrocinio y publicidad en la segunda mitad de FY27?</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El gasto de marketing se mantendrá estable entre el 10% y 11% de las ventas, focalizado en activación de eventos atléticos mundiales y campañas digitales de alto retorno.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Alta fidelidad del consumidor y eficiencia del gasto de marketing que apuntalan los márgenes operativos.</w:t>
      </w:r>
    </w:p>
    <w:p>
      <w:pPr>
        <w:keepNext/>
        <w:spacing w:before="200" w:after="80"/>
      </w:pPr>
      <w:r>
        <w:rPr>
          <w:rFonts w:ascii="Calibri" w:hAnsi="Calibri"/>
          <w:b/>
          <w:color w:val="4A5568"/>
          <w:sz w:val="22"/>
        </w:rPr>
        <w:t>6. Stifel — Peter McGoldrick</w:t>
      </w:r>
    </w:p>
    <w:p>
      <w:pPr>
        <w:spacing w:before="40" w:after="80" w:line="276" w:lineRule="auto"/>
      </w:pPr>
      <w:r>
        <w:rPr>
          <w:rFonts w:ascii="Calibri" w:hAnsi="Calibri"/>
          <w:b/>
          <w:color w:val="2D3748"/>
          <w:sz w:val="20"/>
        </w:rPr>
        <w:t xml:space="preserve">• Pregunta 1 (Cuota de Mercado Ganada a Competidores Históricos): </w:t>
      </w:r>
      <w:r>
        <w:rPr>
          <w:rFonts w:ascii="Calibri" w:hAnsi="Calibri"/>
          <w:i w:val="0"/>
          <w:color w:val="2D3748"/>
          <w:sz w:val="20"/>
        </w:rPr>
        <w:t>¿De qué marcas proviene principalmente el consumidor que compra HOKA por primera vez?</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explicó que los estudios de marca muestran captación transversal tanto de gigantes multinacionales tradicionales como de marcas de amortiguación convencional, debido a la ligereza superior de la espuma y estabilidad de la suela de HOKA.</w:t>
      </w:r>
    </w:p>
    <w:p>
      <w:pPr>
        <w:spacing w:before="40" w:after="80" w:line="276" w:lineRule="auto"/>
      </w:pPr>
      <w:r>
        <w:rPr>
          <w:rFonts w:ascii="Calibri" w:hAnsi="Calibri"/>
          <w:b/>
          <w:color w:val="2D3748"/>
          <w:sz w:val="20"/>
        </w:rPr>
        <w:t xml:space="preserve">• Pregunta 2 (Avances en Indumentaria y Accesorios de HOKA): </w:t>
      </w:r>
      <w:r>
        <w:rPr>
          <w:rFonts w:ascii="Calibri" w:hAnsi="Calibri"/>
          <w:i w:val="0"/>
          <w:color w:val="2D3748"/>
          <w:sz w:val="20"/>
        </w:rPr>
        <w:t>¿Qué porcentaje de ventas representa el textil y cuándo alcanzará una escala material?</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El textil sigue siendo una oportunidad incipiente (~3% de ventas), pero se está reforzando el equipo de diseño para convertirlo en un complemento natural del calzado.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Gran potencial sin explotar en indumentaria para expandir el valor de vida del cliente (LTV).</w:t>
      </w:r>
    </w:p>
    <w:p>
      <w:pPr>
        <w:keepNext/>
        <w:spacing w:before="200" w:after="80"/>
      </w:pPr>
      <w:r>
        <w:rPr>
          <w:rFonts w:ascii="Calibri" w:hAnsi="Calibri"/>
          <w:b/>
          <w:color w:val="4A5568"/>
          <w:sz w:val="22"/>
        </w:rPr>
        <w:t>7. Raymond James — Rick Patel</w:t>
      </w:r>
    </w:p>
    <w:p>
      <w:pPr>
        <w:spacing w:before="40" w:after="80" w:line="276" w:lineRule="auto"/>
      </w:pPr>
      <w:r>
        <w:rPr>
          <w:rFonts w:ascii="Calibri" w:hAnsi="Calibri"/>
          <w:b/>
          <w:color w:val="2D3748"/>
          <w:sz w:val="20"/>
        </w:rPr>
        <w:t xml:space="preserve">• Pregunta 1 (Asignación de Capital y Recompras de Acciones Post-Split): </w:t>
      </w:r>
      <w:r>
        <w:rPr>
          <w:rFonts w:ascii="Calibri" w:hAnsi="Calibri"/>
          <w:i w:val="0"/>
          <w:color w:val="2D3748"/>
          <w:sz w:val="20"/>
        </w:rPr>
        <w:t>Con más de $1,400M en caja y deuda cero, ¿planea el Consejo acelerar el ritmo de recompra de títulos?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Fasching ratificó que la prioridad absoluta de asignación de capital es la recompra sistemática de acciones comunes. 'Continuaremos ejecutando recompras de forma oportunista para devolver el exceso de caja libre a los accionistas, manteniendo un balance impecable'.</w:t>
      </w:r>
    </w:p>
    <w:p>
      <w:pPr>
        <w:spacing w:before="40" w:after="80" w:line="276" w:lineRule="auto"/>
      </w:pPr>
      <w:r>
        <w:rPr>
          <w:rFonts w:ascii="Calibri" w:hAnsi="Calibri"/>
          <w:b/>
          <w:color w:val="2D3748"/>
          <w:sz w:val="20"/>
        </w:rPr>
        <w:t xml:space="preserve">• Pregunta 2 (Impacto del Split 6:1 en la Liquidez de Mercado): </w:t>
      </w:r>
      <w:r>
        <w:rPr>
          <w:rFonts w:ascii="Calibri" w:hAnsi="Calibri"/>
          <w:i w:val="0"/>
          <w:color w:val="2D3748"/>
          <w:sz w:val="20"/>
        </w:rPr>
        <w:t>¿Ha mejorado la liquidez y la participación del inversor minorista tras la división de acciones?</w:t>
      </w:r>
    </w:p>
    <w:p>
      <w:pPr>
        <w:spacing w:before="40" w:after="80" w:line="276" w:lineRule="auto"/>
      </w:pPr>
      <w:r>
        <w:rPr>
          <w:rFonts w:ascii="Calibri" w:hAnsi="Calibri"/>
          <w:b/>
          <w:color w:val="2D3748"/>
          <w:sz w:val="20"/>
        </w:rPr>
        <w:t xml:space="preserve">• Respuesta (Steven Fasching): </w:t>
      </w:r>
      <w:r>
        <w:rPr>
          <w:rFonts w:ascii="Calibri" w:hAnsi="Calibri"/>
          <w:i w:val="0"/>
          <w:color w:val="2D3748"/>
          <w:sz w:val="20"/>
        </w:rPr>
        <w:t>Confirmó un incremento sustancial en el volumen diario promedio de negociación y una base de accionistas más diversificada.</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Estructura de capital de máxima solvencia que maximiza la rentabilidad del accionista por acción.</w:t>
      </w:r>
    </w:p>
    <w:p>
      <w:pPr>
        <w:keepNext/>
        <w:spacing w:before="200" w:after="80"/>
      </w:pPr>
      <w:r>
        <w:rPr>
          <w:rFonts w:ascii="Calibri" w:hAnsi="Calibri"/>
          <w:b/>
          <w:color w:val="4A5568"/>
          <w:sz w:val="22"/>
        </w:rPr>
        <w:t>8. Williams Trading — Sam Poser</w:t>
      </w:r>
    </w:p>
    <w:p>
      <w:pPr>
        <w:spacing w:before="40" w:after="80" w:line="276" w:lineRule="auto"/>
      </w:pPr>
      <w:r>
        <w:rPr>
          <w:rFonts w:ascii="Calibri" w:hAnsi="Calibri"/>
          <w:b/>
          <w:color w:val="2D3748"/>
          <w:sz w:val="20"/>
        </w:rPr>
        <w:t xml:space="preserve">• Pregunta 1 (Filosofía de Gestión de Inventario para UGG en Invierno): </w:t>
      </w:r>
      <w:r>
        <w:rPr>
          <w:rFonts w:ascii="Calibri" w:hAnsi="Calibri"/>
          <w:i w:val="0"/>
          <w:color w:val="2D3748"/>
          <w:sz w:val="20"/>
        </w:rPr>
        <w:t>¿Cómo evitarán repetir faltantes de stock en Tasman durante la temporada festiva sin correr riesgo de sobre-inventario?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Caroti detalló que se sincronizó la cadena de suministro con meses de anticipación para asegurar stock en los canales propios DTC, priorizando pedidos tempranos de mayoristas de confianza. 'La demanda de Tasman sigue desbordando la oferta, lo cual es la posición ideal para una marca de lujo casual'.</w:t>
      </w:r>
    </w:p>
    <w:p>
      <w:pPr>
        <w:spacing w:before="40" w:after="80" w:line="276" w:lineRule="auto"/>
      </w:pPr>
      <w:r>
        <w:rPr>
          <w:rFonts w:ascii="Calibri" w:hAnsi="Calibri"/>
          <w:b/>
          <w:color w:val="2D3748"/>
          <w:sz w:val="20"/>
        </w:rPr>
        <w:t xml:space="preserve">• Pregunta 2 (Mensaje de Stefano Caroti para los Accionistas en su Nuevo Rol): </w:t>
      </w:r>
      <w:r>
        <w:rPr>
          <w:rFonts w:ascii="Calibri" w:hAnsi="Calibri"/>
          <w:i w:val="0"/>
          <w:color w:val="2D3748"/>
          <w:sz w:val="20"/>
        </w:rPr>
        <w:t>¿Cuál es la principal prioridad estratégica que marcará su mandato como CEO?</w:t>
      </w:r>
    </w:p>
    <w:p>
      <w:pPr>
        <w:spacing w:before="40" w:after="80" w:line="276" w:lineRule="auto"/>
      </w:pPr>
      <w:r>
        <w:rPr>
          <w:rFonts w:ascii="Calibri" w:hAnsi="Calibri"/>
          <w:b/>
          <w:color w:val="2D3748"/>
          <w:sz w:val="20"/>
        </w:rPr>
        <w:t xml:space="preserve">• Respuesta (Stefano Caroti): </w:t>
      </w:r>
      <w:r>
        <w:rPr>
          <w:rFonts w:ascii="Calibri" w:hAnsi="Calibri"/>
          <w:i w:val="0"/>
          <w:color w:val="2D3748"/>
          <w:sz w:val="20"/>
        </w:rPr>
        <w:t>'Disciplina y enfoque. Mantendremos a HOKA y UGG en su máxima trayectoria de crecimiento global protegiendo la exclusividad y el precio completo. No desviaremos capital hacia aventuras inciertas; nuestra fórmula ha demostrado ser ganadora y la ejecutaremos con rigor'.</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Mensaje de enorme convicción y claridad operativa que consolida la confianza de los inversores institucionales.</w:t>
      </w:r>
    </w:p>
    <w:p>
      <w:pPr>
        <w:keepNext/>
        <w:spacing w:before="200" w:after="80"/>
      </w:pPr>
      <w:r>
        <w:rPr>
          <w:rFonts w:ascii="Calibri" w:hAnsi="Calibri"/>
          <w:b/>
          <w:color w:val="4A5568"/>
          <w:sz w:val="22"/>
        </w:rPr>
        <w:t>BLOQUE B: Análisis Longitudinal y Auditoría de Discurso Directivo (Q1 FY26 a Q1 FY27)</w:t>
      </w:r>
    </w:p>
    <w:p>
      <w:pPr>
        <w:spacing w:before="40" w:after="80" w:line="276" w:lineRule="auto"/>
      </w:pPr>
      <w:r>
        <w:rPr>
          <w:rFonts w:ascii="Calibri" w:hAnsi="Calibri"/>
          <w:i w:val="0"/>
          <w:color w:val="2D3748"/>
          <w:sz w:val="20"/>
        </w:rPr>
        <w:t>A partir del análisis longitudinal de las transcripciones de cinco trimestres consecutivos disponibles en Google Drive, se audita el Say-Do Ratio (tasa de cumplimiento de promesas y ejecución operativa) del equipo directivo de Deckers Outdoor Corp.:</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acelerar HOKA a doble dígito y proteger precio en UGG; proyectaron ventas anuales de $4.0B.</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en fletes marítimos y cautela macroeconómica en retail.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alcanzaron $675M (+22%), pulverizando estimaciones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Anticiparon una temporada de regreso a clases récord para HOKA y ampliación de catálogo de UGG.</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Riesgo de congestión en centros de distribución y costes promocionales.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con $1,310M (+20%); margen bruto se expandió 210 bps.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la mejor temporada festiva de la historia impulsada por siluetas Tasman y Ultra Mini.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invierno cálido en EE.UU. que pudiera frenar reposiciones de UGG.</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$1,560M (+16%) con margen bruto estratosférico de 58.7%.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ordenada de Dave Powers a Stefano Caroti; prepararon stock split 6:1.</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Tipos de cambio adversos y comparativas anuales sumamente exigentes.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Cierre de ejercicio fiscal en $4,286M (+18%) y margen operativo de 21.6%; dividieron acciones 6:1.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Primer trimestre bajo el liderazgo formal de Stefano Caroti; guidance prudente de $4.7B-$4.8B para FY27.</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de costes de flete marítimo y normalización del consumo en EE.UU.</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junio marcaron $825.3M (+22.1%) y HOKA aceleró al +29.7%; elevaron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Dependencia Estacional de UGG: Concentración excesiva de ingresos y beneficios en los meses de invierno.</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explosión interanual de HOKA (+28%) equilibra los ingresos a lo largo de los cuatro trimestres.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Espacio en Lineales de Mayoristas: Dudas de Wall Street sobre si los retailers recortarían pedidos ante inventarios inflados.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Ejecución impecable: HOKA fue la marca de calzado de mayor velocidad de rotación, ganando espacio a marcas tradicionales.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Climatología Invernal y Faltante de Stock: Escasez de inventario en modelos virales Tasman frente a picos de demanda.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Gestión óptima: La escasez controlada protegió el margen bruto al 58.7% y evitó cualquier liquidación con descuento.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Dirección Ejecutiva (CEO): Salida del histórico CEO Dave Powers tras años de creación de valor récord.</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Stefano Caroti asumió el mando sin alteraciones operativas ni choques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FY27</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Costes de Transporte Marítimo e Inflación Logística: Aumento en tarifas de fletes internacionales por desvíos marítimos.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Asumido en guidance oficial con impacto de ~100 bps, compensado por cero rebajas promocionales.</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dependencia estacional de UGG a la diversificación equilibrada: </w:t>
      </w:r>
      <w:r>
        <w:rPr>
          <w:rFonts w:ascii="Calibri" w:hAnsi="Calibri"/>
          <w:i w:val="0"/>
          <w:color w:val="2D3748"/>
          <w:sz w:val="20"/>
        </w:rPr>
        <w:t>Históricamente Deckers dependía de las ventas de botas UGG en otoño e invierno. El crecimiento imparable de HOKA ($2,231M anuales) ha equilibrado la estructura operativa de la compañía durante los doce meses del año.</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del encarecimiento del transporte marítimo y de la cautela del consumidor, el margen bruto consolidado de Deckers superó el 55.7%, demostrando que la empresa no necesita rebajar precios para sostener su volumen.</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Sistemática: El equipo gestor ha demostrado una disciplina sistemática de fijar metas prudentes para luego batir las expectativas de consenso (Under-promise and Over-deliver) en 5 de los últimos 5 trimestres consecutivos.</w:t>
            </w:r>
          </w:p>
          <w:p>
            <w:pPr>
              <w:spacing w:before="40" w:after="40" w:line="276" w:lineRule="auto"/>
            </w:pPr>
            <w:r>
              <w:rPr>
                <w:rFonts w:ascii="Calibri" w:hAnsi="Calibri"/>
                <w:color w:val="2D3748"/>
                <w:sz w:val="19"/>
              </w:rPr>
              <w:t>• Transparencia y Disciplina de Precios: La dirección se ha negado rotundamente a sacrificar margen bruto por volumen a corto plazo, defendiendo la política de venta a precio completo que blinda el retorno del capital.</w:t>
            </w:r>
          </w:p>
          <w:p>
            <w:pPr>
              <w:spacing w:before="40" w:after="40" w:line="276" w:lineRule="auto"/>
            </w:pPr>
            <w:r>
              <w:rPr>
                <w:rFonts w:ascii="Calibri" w:hAnsi="Calibri"/>
                <w:color w:val="2D3748"/>
                <w:sz w:val="19"/>
              </w:rPr>
              <w:t>• Transición Ejecutiva Ejemplar: La designación de Stefano Caroti garantizó la continuidad del modelo omnicanal y alejó cualquier riesgo de ruptura estratégica o aventuras de adquisición destructoras de valor.</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Deckers Outdoor Corporation representa un auténtico fortín financiero. La compañía opera con una política de Cero Deuda Financiera (Zero Debt), apalancándose en su modelo manufacturero fabless para destinar el 100% de su generación de Flujo de Caja Libre a recompras sistemáticas de acciones y crecimiento orgánico de sus marcas:</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FY2026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$1,475.2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$1,550.0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Disponibilidad operativa inmediata para operaciones comerciales.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$127.4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$357.2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-64.3%</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Tesoría colocada en pagarés corporativos e instrumentos monetarios AAA.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-16.0%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Enorme colchón de liquidez para financiar crecimiento y recompras.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Papel Comercial / Crédito Corriente</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apelación a crédito a corto plazo para operaciones ordinarias.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Sin vencimientos corrientes de deuda.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Cero bonos o préstamos bancarios de largo plazo en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0.0%</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de capital 100% financiada con fondos propios (Equity).</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POSICIÓN NETA DE CAJA (NET CASH)</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+$1,602.6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+$1,907.2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-$304.6 M</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Posición acreedora pura: más de $1.6B limpios sin pasivos bancarios.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Deckers opera sin deuda alguna ($0.0 M), colocando su excedente de tesorería de más de $1.6B en instrumentos monetarios de máxima calificación que generan ingresos por intereses sustanciales, optimizando la rentabilidad patrimonial sin asumir riesgo de crédito.</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Deckers destina sistemáticamente su Flujo de Caja Libre a recomprar sus propias acciones en el mercado abierto, combinando esta disciplina con el desdoblamiento accionario (stock split 6:1) efectuado en septiembre de 2024: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Últimos 12M (LTM)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Ejercicio FY2026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masivo de títulos en mercado abierto bajo autorización formal.</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La directiva prioriza recompras por eficiencia fiscal y flexibilidad.</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$418.5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$453.2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del retorno se canaliza a recompras que impulsan el BPA.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Diluidas en Circulación</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138.6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145.8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-7.2 Millones de acciones retiradas en los últimos 12 meses (-4.9%).</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+15.6%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+6.0%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recompra neta acelera el crecimiento del BPA muy por encima del beneficio neto.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$418.5M destinados a recompras en LTM, la compensación en acciones a directivos (SBC) totalizó $41.2M. Por lo tanto, el 90.2% de la recompra es creación neta de valor real, contrayendo el número total de acciones y aumentando el porcentaje patrimonial de cada título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Racionalización de Portafolio (Sanuk)</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Desinversión Selectiva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Venta Estratégica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Venta de marcas periféricas para concentrar el 100% de la capacidad de gestión y capital en los motores globales HOKA y UGG.</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Automatización de Centros de Distribución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~$80M - $100M</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Modernización de la red logística en EE.UU. y Europa para respaldar la aceleración de envíos directos al consumidor (DTC).</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Modelo Fabless (Sin Adquisiciones de Riesgo)</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Crecimiento Orgánico Puro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Reinversión de Caja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Foco en el crecimiento orgánico de franquicias internas, evitando adquisiciones corporativas apalancadas o de integración compleja.</w:t>
            </w:r>
          </w:p>
        </w:tc>
      </w:tr>
    </w:tbl>
    <w:p>
      <w:pPr>
        <w:spacing w:after="120"/>
      </w:pPr>
    </w:p>
    <w:p>
      <w:pPr>
        <w:keepNext/>
        <w:spacing w:before="200" w:after="80"/>
      </w:pPr>
      <w:r>
        <w:rPr>
          <w:rFonts w:ascii="Calibri" w:hAnsi="Calibri"/>
          <w:b/>
          <w:color w:val="4A5568"/>
          <w:sz w:val="22"/>
        </w:rPr>
        <w:t>6.4. CapEx Ligero (Asset-Light), Eficiencia Logística y Cadena de Suministro</w:t>
      </w:r>
    </w:p>
    <w:p>
      <w:pPr>
        <w:spacing w:before="40" w:after="80" w:line="276" w:lineRule="auto"/>
      </w:pPr>
      <w:r>
        <w:rPr>
          <w:rFonts w:ascii="Calibri" w:hAnsi="Calibri"/>
          <w:i w:val="0"/>
          <w:color w:val="2D3748"/>
          <w:sz w:val="20"/>
        </w:rPr>
        <w:t>Deckers opera bajo un modelo fabless de bajísima intensidad de capital (~2.0% sobre ventas netas en CapEx), lo que permite convertir prácticamente todo el beneficio contable en Flujo de Caja Libre disponible:</w:t>
      </w:r>
    </w:p>
    <w:p>
      <w:pPr>
        <w:spacing w:before="40" w:after="80" w:line="276" w:lineRule="auto"/>
      </w:pPr>
      <w:r>
        <w:rPr>
          <w:rFonts w:ascii="Calibri" w:hAnsi="Calibri"/>
          <w:b/>
          <w:color w:val="2D3748"/>
          <w:sz w:val="20"/>
        </w:rPr>
        <w:t xml:space="preserve">• Modelo Manufacturero Tercerizado: </w:t>
      </w:r>
      <w:r>
        <w:rPr>
          <w:rFonts w:ascii="Calibri" w:hAnsi="Calibri"/>
          <w:i w:val="0"/>
          <w:color w:val="2D3748"/>
          <w:sz w:val="20"/>
        </w:rPr>
        <w:t>Toda la producción se realiza en fábricas independientes de alta calidad en Asia, eliminando la necesidad de endeudarse para financiar plantas industriales.</w:t>
      </w:r>
    </w:p>
    <w:p>
      <w:pPr>
        <w:spacing w:before="40" w:after="80" w:line="276" w:lineRule="auto"/>
      </w:pPr>
      <w:r>
        <w:rPr>
          <w:rFonts w:ascii="Calibri" w:hAnsi="Calibri"/>
          <w:b/>
          <w:color w:val="2D3748"/>
          <w:sz w:val="20"/>
        </w:rPr>
        <w:t xml:space="preserve">• Inversión Focalizada en TI y Cadena Logística: </w:t>
      </w:r>
      <w:r>
        <w:rPr>
          <w:rFonts w:ascii="Calibri" w:hAnsi="Calibri"/>
          <w:i w:val="0"/>
          <w:color w:val="2D3748"/>
          <w:sz w:val="20"/>
        </w:rPr>
        <w:t>El CapEx anual de ~$100M se concentra en software de gestión omnicanal, plataformas web y automatización de almacenes.</w:t>
      </w:r>
    </w:p>
    <w:p>
      <w:pPr>
        <w:spacing w:before="40" w:after="80" w:line="276" w:lineRule="auto"/>
      </w:pPr>
      <w:r>
        <w:rPr>
          <w:rFonts w:ascii="Calibri" w:hAnsi="Calibri"/>
          <w:b/>
          <w:color w:val="2D3748"/>
          <w:sz w:val="20"/>
        </w:rPr>
        <w:t xml:space="preserve">• Conversión de Caja Sobresaliente: </w:t>
      </w:r>
      <w:r>
        <w:rPr>
          <w:rFonts w:ascii="Calibri" w:hAnsi="Calibri"/>
          <w:i w:val="0"/>
          <w:color w:val="2D3748"/>
          <w:sz w:val="20"/>
        </w:rPr>
        <w:t>Con un flujo operativo de ~$998M y un gasto de inversión mínimo, la conversión FCF / Beneficio Neto se ubica en el 104.4%, respaldando una posición de caja neta de $1,480M con deuda cero.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excepcional rentabilidad sobre el capital de Deckers (ROIC &gt; 35%) está protegida por un Foso Defensivo Amplio (Wide Moat / Morningstar Framework), basado en la fortaleza intangible de sus marcas, la lealtad técnica de los corredores y una rigurosa disciplina de precios.</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HOKA goza de una reputación técnica de máximo nivel en atletismo y trail running. UGG es un icono cultural de estilo de vida invernal y confort sin sustituto directo.</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Capacidad sostenida de aumentar volúmenes vendiendo a precio completo (Full-Price Selling) sin descuentos.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Fijación de Precios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Precios medios de venta (ASP) en ascenso continuo tanto en HOKA ($140-$200+) como en UGG ($110-$180). Los minoristas respetan los márgenes por la alta rotación.</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Margen bruto consolidado del 55.7%, superando por más de 1,100 bps la mediana del sector calzado (44.6%).</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Acceso Preferencial a Canales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Presencia prioritaria en tiendas especializadas de running que funcionan como prescriptores técnicos de referencia indispensables para los corredores.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para nuevos entrantes; los distribuidores asignan espacio preferente de estantería a HOKA.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Modelo Fabless y Ventaja de Coste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Producción 100% externalizada a socios fabriles de calidad en Vietnam y Asia, eliminando costes fijos industriales y minimizando el CapEx.</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Toda la inversión se canaliza a I+D, marketing y experiencia de cliente, manteniendo un balance libre de deuda.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Logística y Omnicanalidad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Centros de distribución automatizados que optimizan la logística global tanto para picos estacionales de UGG como para la demanda continua de HOKA.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Eficiencia de inventario que minimiza rebajas forzadas y agiliza los despachos de venta directa (DTC).</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Disciplina Comercial: Integridad de Venta a Precio Completo (Full-Price Integrity)</w:t>
      </w:r>
    </w:p>
    <w:p>
      <w:pPr>
        <w:spacing w:before="40" w:after="80" w:line="276" w:lineRule="auto"/>
      </w:pPr>
      <w:r>
        <w:rPr>
          <w:rFonts w:ascii="Calibri" w:hAnsi="Calibri"/>
          <w:b/>
          <w:color w:val="2D3748"/>
          <w:sz w:val="20"/>
        </w:rPr>
        <w:t xml:space="preserve">• Protección de Márgenes y Exclusividad: </w:t>
      </w:r>
      <w:r>
        <w:rPr>
          <w:rFonts w:ascii="Calibri" w:hAnsi="Calibri"/>
          <w:i w:val="0"/>
          <w:color w:val="2D3748"/>
          <w:sz w:val="20"/>
        </w:rPr>
        <w:t>A diferencia de competidores que recurren a liquidaciones agresivas para limpiar existencias, Deckers gestiona la oferta de siluetas icónicas (Clifton, Bondi, Tasman, Tazz) manteniendo la escasez controlada para defender el valor de marca.</w:t>
      </w:r>
    </w:p>
    <w:p>
      <w:pPr>
        <w:spacing w:before="40" w:after="80" w:line="276" w:lineRule="auto"/>
      </w:pPr>
      <w:r>
        <w:rPr>
          <w:rFonts w:ascii="Calibri" w:hAnsi="Calibri"/>
          <w:b/>
          <w:color w:val="2D3748"/>
          <w:sz w:val="20"/>
        </w:rPr>
        <w:t xml:space="preserve">• Expansión Estructural del Margen Bruto: </w:t>
      </w:r>
      <w:r>
        <w:rPr>
          <w:rFonts w:ascii="Calibri" w:hAnsi="Calibri"/>
          <w:i w:val="0"/>
          <w:color w:val="2D3748"/>
          <w:sz w:val="20"/>
        </w:rPr>
        <w:t>Esta política ha permitido sostener un margen bruto del 55.7%, absorbiendo cómodamente incrementos en tarifas de transporte marítimo internacional.</w:t>
      </w:r>
    </w:p>
    <w:p>
      <w:pPr>
        <w:keepNext/>
        <w:spacing w:before="200" w:after="80"/>
      </w:pPr>
      <w:r>
        <w:rPr>
          <w:rFonts w:ascii="Calibri" w:hAnsi="Calibri"/>
          <w:b/>
          <w:color w:val="4A5568"/>
          <w:sz w:val="22"/>
        </w:rPr>
        <w:t>7.3. Flywheel de Sinergia Omnicanal: Wholesale como Embudo de Entrada a DTC</w:t>
      </w:r>
    </w:p>
    <w:p>
      <w:pPr>
        <w:spacing w:before="40" w:after="80" w:line="276" w:lineRule="auto"/>
      </w:pPr>
      <w:r>
        <w:rPr>
          <w:rFonts w:ascii="Calibri" w:hAnsi="Calibri"/>
          <w:b/>
          <w:color w:val="2D3748"/>
          <w:sz w:val="20"/>
        </w:rPr>
        <w:t xml:space="preserve">1. Descubrimiento en Canal Mayorista: </w:t>
      </w:r>
      <w:r>
        <w:rPr>
          <w:rFonts w:ascii="Calibri" w:hAnsi="Calibri"/>
          <w:i w:val="0"/>
          <w:color w:val="2D3748"/>
          <w:sz w:val="20"/>
        </w:rPr>
        <w:t>El consumidor conoce y prueba la amortiguación de HOKA en una tienda técnica o departamental especializada.</w:t>
      </w:r>
    </w:p>
    <w:p>
      <w:pPr>
        <w:spacing w:before="40" w:after="80" w:line="276" w:lineRule="auto"/>
      </w:pPr>
      <w:r>
        <w:rPr>
          <w:rFonts w:ascii="Calibri" w:hAnsi="Calibri"/>
          <w:b/>
          <w:color w:val="2D3748"/>
          <w:sz w:val="20"/>
        </w:rPr>
        <w:t xml:space="preserve">2. Fidelización y Repetición en DTC: </w:t>
      </w:r>
      <w:r>
        <w:rPr>
          <w:rFonts w:ascii="Calibri" w:hAnsi="Calibri"/>
          <w:i w:val="0"/>
          <w:color w:val="2D3748"/>
          <w:sz w:val="20"/>
        </w:rPr>
        <w:t>Las compras recurrentes se realizan directamente a través de hoka.com, donde Deckers captura el 100% del margen comercial sin ceder comisiones.</w:t>
      </w:r>
    </w:p>
    <w:p>
      <w:pPr>
        <w:keepNext/>
        <w:spacing w:before="200" w:after="80"/>
      </w:pPr>
      <w:r>
        <w:rPr>
          <w:rFonts w:ascii="Calibri" w:hAnsi="Calibri"/>
          <w:b/>
          <w:color w:val="4A5568"/>
          <w:sz w:val="22"/>
        </w:rPr>
        <w:t>7.4. Productividad de la Innovación y Ciclo de Franquicias</w:t>
      </w:r>
    </w:p>
    <w:p>
      <w:pPr>
        <w:spacing w:before="40" w:after="80" w:line="276" w:lineRule="auto"/>
      </w:pPr>
      <w:r>
        <w:rPr>
          <w:rFonts w:ascii="Calibri" w:hAnsi="Calibri"/>
          <w:b/>
          <w:color w:val="2D3748"/>
          <w:sz w:val="20"/>
        </w:rPr>
        <w:t xml:space="preserve">• Actualización Sistemática de Franquicias: </w:t>
      </w:r>
      <w:r>
        <w:rPr>
          <w:rFonts w:ascii="Calibri" w:hAnsi="Calibri"/>
          <w:i w:val="0"/>
          <w:color w:val="2D3748"/>
          <w:sz w:val="20"/>
        </w:rPr>
        <w:t>Lanzamiento programado de nuevas generaciones (Clifton, Bondi, Mach, Skyward, Cielo X1) que atraen a compradores exigentes mientras los modelos base continúan generando ventas masivas de reposición.</w:t>
      </w:r>
    </w:p>
    <w:p>
      <w:pPr>
        <w:spacing w:before="40" w:after="80" w:line="276" w:lineRule="auto"/>
      </w:pPr>
      <w:r>
        <w:rPr>
          <w:rFonts w:ascii="Calibri" w:hAnsi="Calibri"/>
          <w:b/>
          <w:color w:val="2D3748"/>
          <w:sz w:val="20"/>
        </w:rPr>
        <w:t xml:space="preserve">• Desestacionalización de UGG: </w:t>
      </w:r>
      <w:r>
        <w:rPr>
          <w:rFonts w:ascii="Calibri" w:hAnsi="Calibri"/>
          <w:i w:val="0"/>
          <w:color w:val="2D3748"/>
          <w:sz w:val="20"/>
        </w:rPr>
        <w:t>Éxito en expandir la marca UGG más allá de las botas de invierno mediante zapatillas, sandalias y pantuflas de uso durante todo el año.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2026-08-31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1.01 / 2.03</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Enmienda de Línea de Crédito Rotativa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Renovación preventiva de línea sindicada no dispuesta por $400M para contingencias.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SOLVENCIA: Flexibilidad operativa contingente sin asumir apalancamiento real.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oficial de resultados récord del Q1 FY27 y elevación de guidance para FY27.</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de reporte ante la SEC.</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2026-05-21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la Dirección (CEO)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Designación formal de Stefano Caroti como CEO tras el retiro planificado de Dave Powers.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interna ordenada; Caroti lideró la expansión omnicanal.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5.03</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Aprobación de Stock Split 6:1</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Modificación del acta constitutiva para formalizar el desdoblamiento de acciones de 6 por 1.</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ACCIÓN CORPORATIVA: Aumento de la liquidez y accesibilidad para inversores retail.</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KPMG LLP continúa como firma auditora principal sin disputas contables.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discrepancias con auditores.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Stefano Caroti</w:t>
              <w:br/>
              <w:t>(President &amp; CEO)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+147,643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Retención total; convicción patrimonial plena en su nombramiento como CEO.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Steven J. Fasching</w:t>
              <w:br/>
              <w:t>(Chief Financial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+39,949</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del director financiero; disciplina contable intachable.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Dave Powers</w:t>
              <w:br/>
              <w:t>(Ex-CEO y Consejero)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Programada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-45,000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-$6,840,000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rutinaria pre-programada con 12 meses de anticipación tras su retiro.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Robin Spring-Green</w:t>
              <w:br/>
              <w:t>(President, Hoka)</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+28,660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total con el superciclo y la expansión internacional de HOKA.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Anne Spangenberg</w:t>
              <w:br/>
              <w:t>(President, Lifestyle / UGG)</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Desempeño</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+34,740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Incentivo a largo plazo para la desestacionalización de la franquicia UGG.</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Consejo de Administración</w:t>
              <w:br/>
              <w:t>(10 Directores Independientes)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Institucional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Concesiones RSU</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Rutinario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Independencia sólida del consejo y supervisión fiduciaria de primer nivel.</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La cúpula ejecutiva de Deckers opera con un estándar ejemplar de transparencia. No se registraron ventas discrecionales atípicas en el mercado abierto, y el 100% de las desinversiones menores obedecen a ventas programadas bajo planes Rule 10b5-1 previas a la transición del CEO.</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90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financieros rigurosos, sucesión planificada y cero endeudamiento.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(KPMG LLP)</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Continuidad histórica intachable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preserva la cultura de disciplina de precios y crecimiento.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 / Retención</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normativo estricto sin operaciones oportunistas con información privilegiada.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de la industria: remuneración estructurada mediante acciones restringidas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6 / 9 Puntos | SALUD SÓLIDA</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Deckers Outdoor Corporation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6 / 9 Puntos en LTM (SALUD SÓLIDA) (6 / 9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6/9 sitúa a Deckers Outdoor Corporation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($1,193.7M en LTM) respalda con holgura al beneficio neto contable ($1,014.8M),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0.0% vs 0.0% (+0.00%)).</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143M vs 145M (-3M)).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57.8% vs 57.7% (+0.10%)) como la productividad de sus activos instalados (Rot 1.46x vs 1.51x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26.86%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$1,193.7M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26.9% vs 28.2% (-1.36%)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0.0% vs 0.0% (+0.00%)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2.75x vs 3.54x (-0.80x)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143M vs 145M (-3M)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57.8% vs 57.7% (+0.10%)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1.46x vs 1.51x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(7 / 8 en FY2026).</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Deckers Outdoor Corporation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27.52% vs Med 8.09%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32.37% vs Med 8.47%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$1,193.7M &gt; NI $1,014.8M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0.16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0.24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1.87% vs Med 0.00%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3.93% vs Med 2.23%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+1.0% vs SG&amp;A +2.5%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Calzado (SIC 3021 / 3140)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DECK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Deckers Outdoor Corp.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55.7%</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22.1%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35.9%</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82.6%</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8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NKE</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NIKE,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$46,398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44.6%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10.2%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18.5%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53.9%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ONON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On Holding AG</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$2,500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59.9%</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15.2%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49.5%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CROX</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Crocs,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$4,041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55.3%</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26.5%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24.1%</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58.2%</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SKX</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Skechers U.S.A.,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$8,969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52.2%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11.8%</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14.8%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Calzado</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$5,527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53.8%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11.6%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16.9%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51.7%</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82.59% de los Activos Totales (vs. Mediana Sector: 53.87%).</w:t>
            </w:r>
          </w:p>
          <w:p>
            <w:pPr>
              <w:spacing w:before="40" w:after="40" w:line="276" w:lineRule="auto"/>
            </w:pPr>
            <w:r>
              <w:rPr>
                <w:rFonts w:ascii="Calibri" w:hAnsi="Calibri"/>
                <w:color w:val="2D3748"/>
                <w:sz w:val="19"/>
              </w:rPr>
              <w:t>• Gross Profitability Operativa Ex-Caja (LTM): 140.99% de los Activos Operativos (vs. Mediana Sector: 61.74%).</w:t>
            </w:r>
          </w:p>
          <w:p>
            <w:pPr>
              <w:spacing w:before="40" w:after="40" w:line="276" w:lineRule="auto"/>
            </w:pPr>
            <w:r>
              <w:rPr>
                <w:rFonts w:ascii="Calibri" w:hAnsi="Calibri"/>
                <w:color w:val="2D3748"/>
                <w:sz w:val="19"/>
              </w:rPr>
              <w:t>• Efecto Arrastre de Caja (Cash Drag): +58.41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+28.72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DECK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82.59%?: Por cada $1.00 de activo total en su balance general, la empresa produce $0.83 de utilidad bruta pura al año, antes de deducciones operativas, intereses e impuestos.</w:t>
            </w:r>
          </w:p>
          <w:p>
            <w:pPr>
              <w:spacing w:before="40" w:after="40" w:line="276" w:lineRule="auto"/>
            </w:pPr>
            <w:r>
              <w:rPr>
                <w:rFonts w:ascii="Calibri" w:hAnsi="Calibri"/>
                <w:color w:val="2D3748"/>
                <w:sz w:val="19"/>
              </w:rPr>
              <w:t>3. ¿Qué significa Ex-Caja (140.99%)?: Al excluir el efectivo y valores negociables líquidos (capital ocioso en caja que no produce bienes), el negocio puramente operativo rinde $1.41 por cada dólar en activos operativos en funcionamiento.</w:t>
            </w:r>
          </w:p>
          <w:p>
            <w:pPr>
              <w:spacing w:before="40" w:after="40" w:line="276" w:lineRule="auto"/>
            </w:pPr>
            <w:r>
              <w:rPr>
                <w:rFonts w:ascii="Calibri" w:hAnsi="Calibri"/>
                <w:color w:val="2D3748"/>
                <w:sz w:val="19"/>
              </w:rPr>
              <w:t>4. ¿Qué revela el Cash Drag (+58.41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$0.83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140.99%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$1.41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+58.41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+7.87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+28.72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+31.76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+28.72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(57.8% vs 52.7%) con una rotación de activos superior a sus competidores (1.43x vs 1.10x).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(57.80%) × Rotación de Activos (1.429x) = 82.59% (Concilia al 100.0% con GP/A de 82.59%).</w:t>
            </w:r>
          </w:p>
          <w:p>
            <w:pPr>
              <w:spacing w:before="40" w:after="40" w:line="276" w:lineRule="auto"/>
            </w:pPr>
            <w:r>
              <w:rPr>
                <w:rFonts w:ascii="Calibri" w:hAnsi="Calibri"/>
                <w:color w:val="2D3748"/>
                <w:sz w:val="19"/>
              </w:rPr>
              <w:t>• Identidad Operativa Ex-Caja: Margen Bruto (57.80%) × Rotación Ex-Caja (2.439x) = 140.99% (concilia con 140.99%).</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FY2026</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+5.10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1.484x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1.097x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+0.33x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2.439x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3.073x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1.206x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85.63%</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53.87%</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+28.72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FY2024): +6.51 puntos porcentuales.</w:t>
            </w:r>
          </w:p>
          <w:p>
            <w:pPr>
              <w:spacing w:before="40" w:after="40" w:line="276" w:lineRule="auto"/>
            </w:pPr>
            <w:r>
              <w:rPr>
                <w:rFonts w:ascii="Calibri" w:hAnsi="Calibri"/>
                <w:color w:val="2D3748"/>
                <w:sz w:val="19"/>
              </w:rPr>
              <w:t>• Expansión a 5 Años (vs. FY2022): +13.66 puntos porcentuales.</w:t>
            </w:r>
          </w:p>
          <w:p>
            <w:pPr>
              <w:spacing w:before="40" w:after="40" w:line="276" w:lineRule="auto"/>
            </w:pPr>
            <w:r>
              <w:rPr>
                <w:rFonts w:ascii="Calibri" w:hAnsi="Calibri"/>
                <w:color w:val="2D3748"/>
                <w:sz w:val="19"/>
              </w:rPr>
              <w:t>• Coeficiente de Variación (CV GP/A): 0.089 (indica una trayectoria predecible y baja volatilidad operativa).</w:t>
            </w:r>
          </w:p>
          <w:p>
            <w:pPr>
              <w:spacing w:before="40" w:after="40" w:line="276" w:lineRule="auto"/>
            </w:pPr>
            <w:r>
              <w:rPr>
                <w:rFonts w:ascii="Calibri" w:hAnsi="Calibri"/>
                <w:color w:val="2D3748"/>
                <w:sz w:val="19"/>
              </w:rPr>
              <w:t>• Conclusión de Tendencia: Expansión estructural acelerada (+13.66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+58.41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1.429x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FY2026</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85.63%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177.35%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+91.72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57.70%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1.484x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80.83%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171.66%</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+90.83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57.88%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1.396x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76.08%</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146.03%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+69.95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55.63%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71.41%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115.94%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+44.53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50.32%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1.419x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68.93%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107.98%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+39.05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1.351x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63.39%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127.43%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+64.04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62.53%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98.92%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+36.40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51.75%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1.208x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LÍDER EN VOLUMEN Y ESCALA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DECK</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DECKERS OUTDOOR CORP</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82.59%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140.99%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57.80%</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1.43x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+28.72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SKX</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Skechers U.S.A.,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66.99%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1.06x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+2.04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SHOO</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Steven Madden, Ltd.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54.64%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41.48%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1.32x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+0.78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NKE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NIKE,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66.29%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44.59%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1.21x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CROX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Crocs,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53.80%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57.23%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55.59%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0.97x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ONON</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On Holding AG</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46.88%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55.56%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0.78x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-6.99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WWW</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 xml:space="preserve">Wolverine World Wide, </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(FY2025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46.04%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51.46%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41.99%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53.87%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61.74%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52.70%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55.27%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+1.41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DECK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Deckers Outdoor Corporation (DECK)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+38.43 p.p.)</w:t>
              <w:br/>
            </w:r>
          </w:p>
          <w:p>
            <w:pPr>
              <w:spacing w:before="40" w:after="40" w:line="276" w:lineRule="auto"/>
            </w:pPr>
            <w:r>
              <w:rPr>
                <w:rFonts w:ascii="Calibri" w:hAnsi="Calibri"/>
                <w:color w:val="2D3748"/>
                <w:sz w:val="19"/>
              </w:rPr>
              <w:t>• ROC Greenblatt Tangible (LTM): 234.09% (Productividad operativa pura pre-tax sobre capital de trabajo y PP&amp;E físico instalado).</w:t>
            </w:r>
          </w:p>
          <w:p>
            <w:pPr>
              <w:spacing w:before="40" w:after="40" w:line="276" w:lineRule="auto"/>
            </w:pPr>
            <w:r>
              <w:rPr>
                <w:rFonts w:ascii="Calibri" w:hAnsi="Calibri"/>
                <w:color w:val="2D3748"/>
                <w:sz w:val="19"/>
              </w:rPr>
              <w:t>• ROIC Ajustado por Intangibles (LTM): 48.94% frente a un ROIC contable tradicional de 90.86%.</w:t>
            </w:r>
          </w:p>
          <w:p>
            <w:pPr>
              <w:spacing w:before="40" w:after="40" w:line="276" w:lineRule="auto"/>
            </w:pPr>
            <w:r>
              <w:rPr>
                <w:rFonts w:ascii="Calibri" w:hAnsi="Calibri"/>
                <w:color w:val="2D3748"/>
                <w:sz w:val="19"/>
              </w:rPr>
              <w:t>• Costo Promedio Ponderado de Capital (WACC): 10.51% (Costo del Equity Ke: 10.51%, Deuda Neta Kd: 0.00%).</w:t>
            </w:r>
          </w:p>
          <w:p>
            <w:pPr>
              <w:spacing w:before="40" w:after="40" w:line="276" w:lineRule="auto"/>
            </w:pPr>
            <w:r>
              <w:rPr>
                <w:rFonts w:ascii="Calibri" w:hAnsi="Calibri"/>
                <w:color w:val="2D3748"/>
                <w:sz w:val="19"/>
              </w:rPr>
              <w:t>• Spread Económico Neto: +38.43 p.p. de rendimiento por encima del costo de capital exigido por el mercado.</w:t>
            </w:r>
          </w:p>
          <w:p>
            <w:pPr>
              <w:spacing w:before="40" w:after="40" w:line="276" w:lineRule="auto"/>
            </w:pPr>
            <w:r>
              <w:rPr>
                <w:rFonts w:ascii="Calibri" w:hAnsi="Calibri"/>
                <w:color w:val="2D3748"/>
                <w:sz w:val="19"/>
              </w:rPr>
              <w:t>• Stock de Intangibles Fuera de Balance: $954.6M capitalizados en innovación y amortizados económicamente a 3 años.</w:t>
            </w:r>
          </w:p>
          <w:p>
            <w:pPr>
              <w:spacing w:before="40" w:after="40" w:line="276" w:lineRule="auto"/>
            </w:pPr>
            <w:r>
              <w:rPr>
                <w:rFonts w:ascii="Calibri" w:hAnsi="Calibri"/>
                <w:color w:val="2D3748"/>
                <w:sz w:val="19"/>
              </w:rPr>
              <w:t>• Tesis de Foso Defensivo: El negocio genera un retorno ajustado (48.94%) que supera a su costo de capital (10.51%) por más de 38.43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$81.80</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$11,699.8M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1.12</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Deckers Outdoor Corporation, el ROC de 234.09%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FY2026</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$1,252.9M</w:t>
            </w:r>
          </w:p>
        </w:tc>
        <w:tc>
          <w:tcPr>
            <w:tcW w:type="dxa" w:w="1958"/>
            <w:tcMar>
              <w:top w:w="60" w:type="dxa"/>
              <w:bottom w:w="60" w:type="dxa"/>
              <w:left w:w="100" w:type="dxa"/>
              <w:right w:w="100" w:type="dxa"/>
            </w:tcMar>
          </w:tcPr>
          <w:p>
            <w:r>
              <w:rPr>
                <w:sz w:val="17"/>
              </w:rPr>
              <w:t>$1,262.9M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$1,319.4M</w:t>
            </w:r>
          </w:p>
        </w:tc>
        <w:tc>
          <w:tcPr>
            <w:tcW w:type="dxa" w:w="1958"/>
            <w:tcMar>
              <w:top w:w="60" w:type="dxa"/>
              <w:bottom w:w="60" w:type="dxa"/>
              <w:left w:w="100" w:type="dxa"/>
              <w:right w:w="100" w:type="dxa"/>
            </w:tcMar>
            <w:shd w:fill="F7FAFC"/>
          </w:tcPr>
          <w:p>
            <w:r>
              <w:rPr>
                <w:sz w:val="17"/>
              </w:rPr>
              <w:t>$943.2M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$1,063.6M</w:t>
            </w:r>
          </w:p>
        </w:tc>
        <w:tc>
          <w:tcPr>
            <w:tcW w:type="dxa" w:w="1958"/>
            <w:tcMar>
              <w:top w:w="60" w:type="dxa"/>
              <w:bottom w:w="60" w:type="dxa"/>
              <w:left w:w="100" w:type="dxa"/>
              <w:right w:w="100" w:type="dxa"/>
            </w:tcMar>
          </w:tcPr>
          <w:p>
            <w:r>
              <w:rPr>
                <w:sz w:val="17"/>
              </w:rPr>
              <w:t>$804.1M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$255.8M</w:t>
            </w:r>
          </w:p>
        </w:tc>
        <w:tc>
          <w:tcPr>
            <w:tcW w:type="dxa" w:w="1958"/>
            <w:tcMar>
              <w:top w:w="60" w:type="dxa"/>
              <w:bottom w:w="60" w:type="dxa"/>
              <w:left w:w="100" w:type="dxa"/>
              <w:right w:w="100" w:type="dxa"/>
            </w:tcMar>
            <w:shd w:fill="F7FAFC"/>
          </w:tcPr>
          <w:p>
            <w:r>
              <w:rPr>
                <w:sz w:val="17"/>
              </w:rPr>
              <w:t>$139.1M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$337.8M</w:t>
            </w:r>
          </w:p>
        </w:tc>
        <w:tc>
          <w:tcPr>
            <w:tcW w:type="dxa" w:w="1958"/>
            <w:tcMar>
              <w:top w:w="60" w:type="dxa"/>
              <w:bottom w:w="60" w:type="dxa"/>
              <w:left w:w="100" w:type="dxa"/>
              <w:right w:w="100" w:type="dxa"/>
            </w:tcMar>
          </w:tcPr>
          <w:p>
            <w:r>
              <w:rPr>
                <w:sz w:val="17"/>
              </w:rPr>
              <w:t>$337.8M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$593.6M</w:t>
            </w:r>
          </w:p>
        </w:tc>
        <w:tc>
          <w:tcPr>
            <w:tcW w:type="dxa" w:w="1958"/>
            <w:tcMar>
              <w:top w:w="60" w:type="dxa"/>
              <w:bottom w:w="60" w:type="dxa"/>
              <w:left w:w="100" w:type="dxa"/>
              <w:right w:w="100" w:type="dxa"/>
            </w:tcMar>
            <w:shd w:fill="F7FAFC"/>
          </w:tcPr>
          <w:p>
            <w:r>
              <w:rPr>
                <w:sz w:val="17"/>
              </w:rPr>
              <w:t>$476.9M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$535.2M</w:t>
            </w:r>
          </w:p>
        </w:tc>
        <w:tc>
          <w:tcPr>
            <w:tcW w:type="dxa" w:w="1958"/>
            <w:tcMar>
              <w:top w:w="60" w:type="dxa"/>
              <w:bottom w:w="60" w:type="dxa"/>
              <w:left w:w="100" w:type="dxa"/>
              <w:right w:w="100" w:type="dxa"/>
            </w:tcMar>
          </w:tcPr>
          <w:p>
            <w:r>
              <w:rPr>
                <w:sz w:val="17"/>
              </w:rPr>
              <w:t>$501.9M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234.09%</w:t>
            </w:r>
          </w:p>
        </w:tc>
        <w:tc>
          <w:tcPr>
            <w:tcW w:type="dxa" w:w="1958"/>
            <w:tcMar>
              <w:top w:w="60" w:type="dxa"/>
              <w:bottom w:w="60" w:type="dxa"/>
              <w:left w:w="100" w:type="dxa"/>
              <w:right w:w="100" w:type="dxa"/>
            </w:tcMar>
            <w:shd w:fill="F7FAFC"/>
            <w:shd w:fill="E2EFDA"/>
          </w:tcPr>
          <w:p>
            <w:r>
              <w:rPr>
                <w:b/>
                <w:sz w:val="17"/>
              </w:rPr>
              <w:t>251.62%</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(90.86%) sobrestima el retorno al mandar el I+D a gasto inmediato. La metodología Damodaran capitaliza la innovación a 3 años, reconociendo $954.6M de intangibles fuera de balance. El ROIC Ajustado resultante de 48.94% refleja el verdadero retorno económico sobre el capital total invertido ($2,040.5M).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FY2022</w:t>
            </w:r>
          </w:p>
        </w:tc>
        <w:tc>
          <w:tcPr>
            <w:tcW w:type="dxa" w:w="1399"/>
            <w:tcMar>
              <w:top w:w="60" w:type="dxa"/>
              <w:bottom w:w="60" w:type="dxa"/>
              <w:left w:w="100" w:type="dxa"/>
              <w:right w:w="100" w:type="dxa"/>
            </w:tcMar>
          </w:tcPr>
          <w:p>
            <w:r>
              <w:rPr>
                <w:b/>
                <w:sz w:val="17"/>
              </w:rPr>
              <w:t>127.09%</w:t>
            </w:r>
          </w:p>
        </w:tc>
        <w:tc>
          <w:tcPr>
            <w:tcW w:type="dxa" w:w="1399"/>
            <w:tcMar>
              <w:top w:w="60" w:type="dxa"/>
              <w:bottom w:w="60" w:type="dxa"/>
              <w:left w:w="100" w:type="dxa"/>
              <w:right w:w="100" w:type="dxa"/>
            </w:tcMar>
          </w:tcPr>
          <w:p>
            <w:r>
              <w:rPr>
                <w:b/>
                <w:sz w:val="17"/>
              </w:rPr>
              <w:t>57.30%</w:t>
            </w:r>
          </w:p>
        </w:tc>
        <w:tc>
          <w:tcPr>
            <w:tcW w:type="dxa" w:w="1399"/>
            <w:tcMar>
              <w:top w:w="60" w:type="dxa"/>
              <w:bottom w:w="60" w:type="dxa"/>
              <w:left w:w="100" w:type="dxa"/>
              <w:right w:w="100" w:type="dxa"/>
            </w:tcMar>
          </w:tcPr>
          <w:p>
            <w:r>
              <w:rPr>
                <w:b/>
                <w:sz w:val="17"/>
              </w:rPr>
              <w:t>40.52%</w:t>
            </w:r>
          </w:p>
        </w:tc>
        <w:tc>
          <w:tcPr>
            <w:tcW w:type="dxa" w:w="1399"/>
            <w:tcMar>
              <w:top w:w="60" w:type="dxa"/>
              <w:bottom w:w="60" w:type="dxa"/>
              <w:left w:w="100" w:type="dxa"/>
              <w:right w:w="100" w:type="dxa"/>
            </w:tcMar>
          </w:tcPr>
          <w:p>
            <w:r>
              <w:rPr>
                <w:sz w:val="17"/>
              </w:rPr>
              <w:t>$504.9M</w:t>
            </w:r>
          </w:p>
        </w:tc>
        <w:tc>
          <w:tcPr>
            <w:tcW w:type="dxa" w:w="1399"/>
            <w:tcMar>
              <w:top w:w="60" w:type="dxa"/>
              <w:bottom w:w="60" w:type="dxa"/>
              <w:left w:w="100" w:type="dxa"/>
              <w:right w:w="100" w:type="dxa"/>
            </w:tcMar>
          </w:tcPr>
          <w:p>
            <w:r>
              <w:rPr>
                <w:sz w:val="17"/>
              </w:rPr>
              <w:t>$1,246.2M</w:t>
            </w:r>
          </w:p>
        </w:tc>
        <w:tc>
          <w:tcPr>
            <w:tcW w:type="dxa" w:w="1399"/>
            <w:tcMar>
              <w:top w:w="60" w:type="dxa"/>
              <w:bottom w:w="60" w:type="dxa"/>
              <w:left w:w="100" w:type="dxa"/>
              <w:right w:w="100" w:type="dxa"/>
            </w:tcMar>
          </w:tcPr>
          <w:p>
            <w:r>
              <w:rPr>
                <w:b/>
                <w:sz w:val="17"/>
              </w:rPr>
              <w:t>+30.00 p.p.</w:t>
            </w:r>
          </w:p>
        </w:tc>
      </w:tr>
      <w:tr>
        <w:tc>
          <w:tcPr>
            <w:tcW w:type="dxa" w:w="1399"/>
            <w:tcMar>
              <w:top w:w="60" w:type="dxa"/>
              <w:bottom w:w="60" w:type="dxa"/>
              <w:left w:w="100" w:type="dxa"/>
              <w:right w:w="100" w:type="dxa"/>
            </w:tcMar>
            <w:shd w:fill="F7FAFC"/>
          </w:tcPr>
          <w:p>
            <w:r>
              <w:rPr>
                <w:sz w:val="17"/>
              </w:rPr>
              <w:t>FY2023</w:t>
            </w:r>
          </w:p>
        </w:tc>
        <w:tc>
          <w:tcPr>
            <w:tcW w:type="dxa" w:w="1399"/>
            <w:tcMar>
              <w:top w:w="60" w:type="dxa"/>
              <w:bottom w:w="60" w:type="dxa"/>
              <w:left w:w="100" w:type="dxa"/>
              <w:right w:w="100" w:type="dxa"/>
            </w:tcMar>
            <w:shd w:fill="F7FAFC"/>
          </w:tcPr>
          <w:p>
            <w:r>
              <w:rPr>
                <w:b/>
                <w:sz w:val="17"/>
              </w:rPr>
              <w:t>101.43%</w:t>
            </w:r>
          </w:p>
        </w:tc>
        <w:tc>
          <w:tcPr>
            <w:tcW w:type="dxa" w:w="1399"/>
            <w:tcMar>
              <w:top w:w="60" w:type="dxa"/>
              <w:bottom w:w="60" w:type="dxa"/>
              <w:left w:w="100" w:type="dxa"/>
              <w:right w:w="100" w:type="dxa"/>
            </w:tcMar>
            <w:shd w:fill="F7FAFC"/>
          </w:tcPr>
          <w:p>
            <w:r>
              <w:rPr>
                <w:b/>
                <w:sz w:val="17"/>
              </w:rPr>
              <w:t>50.95%</w:t>
            </w:r>
          </w:p>
        </w:tc>
        <w:tc>
          <w:tcPr>
            <w:tcW w:type="dxa" w:w="1399"/>
            <w:tcMar>
              <w:top w:w="60" w:type="dxa"/>
              <w:bottom w:w="60" w:type="dxa"/>
              <w:left w:w="100" w:type="dxa"/>
              <w:right w:w="100" w:type="dxa"/>
            </w:tcMar>
            <w:shd w:fill="F7FAFC"/>
          </w:tcPr>
          <w:p>
            <w:r>
              <w:rPr>
                <w:b/>
                <w:sz w:val="17"/>
              </w:rPr>
              <w:t>36.93%</w:t>
            </w:r>
          </w:p>
        </w:tc>
        <w:tc>
          <w:tcPr>
            <w:tcW w:type="dxa" w:w="1399"/>
            <w:tcMar>
              <w:top w:w="60" w:type="dxa"/>
              <w:bottom w:w="60" w:type="dxa"/>
              <w:left w:w="100" w:type="dxa"/>
              <w:right w:w="100" w:type="dxa"/>
            </w:tcMar>
            <w:shd w:fill="F7FAFC"/>
          </w:tcPr>
          <w:p>
            <w:r>
              <w:rPr>
                <w:sz w:val="17"/>
              </w:rPr>
              <w:t>$578.6M</w:t>
            </w:r>
          </w:p>
        </w:tc>
        <w:tc>
          <w:tcPr>
            <w:tcW w:type="dxa" w:w="1399"/>
            <w:tcMar>
              <w:top w:w="60" w:type="dxa"/>
              <w:bottom w:w="60" w:type="dxa"/>
              <w:left w:w="100" w:type="dxa"/>
              <w:right w:w="100" w:type="dxa"/>
            </w:tcMar>
            <w:shd w:fill="F7FAFC"/>
          </w:tcPr>
          <w:p>
            <w:r>
              <w:rPr>
                <w:sz w:val="17"/>
              </w:rPr>
              <w:t>$1,553.8M</w:t>
            </w:r>
          </w:p>
        </w:tc>
        <w:tc>
          <w:tcPr>
            <w:tcW w:type="dxa" w:w="1399"/>
            <w:tcMar>
              <w:top w:w="60" w:type="dxa"/>
              <w:bottom w:w="60" w:type="dxa"/>
              <w:left w:w="100" w:type="dxa"/>
              <w:right w:w="100" w:type="dxa"/>
            </w:tcMar>
            <w:shd w:fill="F7FAFC"/>
          </w:tcPr>
          <w:p>
            <w:r>
              <w:rPr>
                <w:b/>
                <w:sz w:val="17"/>
              </w:rPr>
              <w:t>+26.42 p.p.</w:t>
            </w:r>
          </w:p>
        </w:tc>
      </w:tr>
      <w:tr>
        <w:tc>
          <w:tcPr>
            <w:tcW w:type="dxa" w:w="1399"/>
            <w:tcMar>
              <w:top w:w="60" w:type="dxa"/>
              <w:bottom w:w="60" w:type="dxa"/>
              <w:left w:w="100" w:type="dxa"/>
              <w:right w:w="100" w:type="dxa"/>
            </w:tcMar>
          </w:tcPr>
          <w:p>
            <w:r>
              <w:rPr>
                <w:sz w:val="17"/>
              </w:rPr>
              <w:t>FY2024</w:t>
            </w:r>
          </w:p>
        </w:tc>
        <w:tc>
          <w:tcPr>
            <w:tcW w:type="dxa" w:w="1399"/>
            <w:tcMar>
              <w:top w:w="60" w:type="dxa"/>
              <w:bottom w:w="60" w:type="dxa"/>
              <w:left w:w="100" w:type="dxa"/>
              <w:right w:w="100" w:type="dxa"/>
            </w:tcMar>
          </w:tcPr>
          <w:p>
            <w:r>
              <w:rPr>
                <w:b/>
                <w:sz w:val="17"/>
              </w:rPr>
              <w:t>151.89%</w:t>
            </w:r>
          </w:p>
        </w:tc>
        <w:tc>
          <w:tcPr>
            <w:tcW w:type="dxa" w:w="1399"/>
            <w:tcMar>
              <w:top w:w="60" w:type="dxa"/>
              <w:bottom w:w="60" w:type="dxa"/>
              <w:left w:w="100" w:type="dxa"/>
              <w:right w:w="100" w:type="dxa"/>
            </w:tcMar>
          </w:tcPr>
          <w:p>
            <w:r>
              <w:rPr>
                <w:b/>
                <w:sz w:val="17"/>
              </w:rPr>
              <w:t>73.62%</w:t>
            </w:r>
          </w:p>
        </w:tc>
        <w:tc>
          <w:tcPr>
            <w:tcW w:type="dxa" w:w="1399"/>
            <w:tcMar>
              <w:top w:w="60" w:type="dxa"/>
              <w:bottom w:w="60" w:type="dxa"/>
              <w:left w:w="100" w:type="dxa"/>
              <w:right w:w="100" w:type="dxa"/>
            </w:tcMar>
          </w:tcPr>
          <w:p>
            <w:r>
              <w:rPr>
                <w:b/>
                <w:sz w:val="17"/>
              </w:rPr>
              <w:t>50.67%</w:t>
            </w:r>
          </w:p>
        </w:tc>
        <w:tc>
          <w:tcPr>
            <w:tcW w:type="dxa" w:w="1399"/>
            <w:tcMar>
              <w:top w:w="60" w:type="dxa"/>
              <w:bottom w:w="60" w:type="dxa"/>
              <w:left w:w="100" w:type="dxa"/>
              <w:right w:w="100" w:type="dxa"/>
            </w:tcMar>
          </w:tcPr>
          <w:p>
            <w:r>
              <w:rPr>
                <w:sz w:val="17"/>
              </w:rPr>
              <w:t>$699.3M</w:t>
            </w:r>
          </w:p>
        </w:tc>
        <w:tc>
          <w:tcPr>
            <w:tcW w:type="dxa" w:w="1399"/>
            <w:tcMar>
              <w:top w:w="60" w:type="dxa"/>
              <w:bottom w:w="60" w:type="dxa"/>
              <w:left w:w="100" w:type="dxa"/>
              <w:right w:w="100" w:type="dxa"/>
            </w:tcMar>
          </w:tcPr>
          <w:p>
            <w:r>
              <w:rPr>
                <w:sz w:val="17"/>
              </w:rPr>
              <w:t>$1,634.3M</w:t>
            </w:r>
          </w:p>
        </w:tc>
        <w:tc>
          <w:tcPr>
            <w:tcW w:type="dxa" w:w="1399"/>
            <w:tcMar>
              <w:top w:w="60" w:type="dxa"/>
              <w:bottom w:w="60" w:type="dxa"/>
              <w:left w:w="100" w:type="dxa"/>
              <w:right w:w="100" w:type="dxa"/>
            </w:tcMar>
          </w:tcPr>
          <w:p>
            <w:r>
              <w:rPr>
                <w:b/>
                <w:sz w:val="17"/>
              </w:rPr>
              <w:t>+40.16 p.p.</w:t>
            </w:r>
          </w:p>
        </w:tc>
      </w:tr>
      <w:tr>
        <w:tc>
          <w:tcPr>
            <w:tcW w:type="dxa" w:w="1399"/>
            <w:tcMar>
              <w:top w:w="60" w:type="dxa"/>
              <w:bottom w:w="60" w:type="dxa"/>
              <w:left w:w="100" w:type="dxa"/>
              <w:right w:w="100" w:type="dxa"/>
            </w:tcMar>
            <w:shd w:fill="F7FAFC"/>
          </w:tcPr>
          <w:p>
            <w:r>
              <w:rPr>
                <w:sz w:val="17"/>
              </w:rPr>
              <w:t>FY2025</w:t>
            </w:r>
          </w:p>
        </w:tc>
        <w:tc>
          <w:tcPr>
            <w:tcW w:type="dxa" w:w="1399"/>
            <w:tcMar>
              <w:top w:w="60" w:type="dxa"/>
              <w:bottom w:w="60" w:type="dxa"/>
              <w:left w:w="100" w:type="dxa"/>
              <w:right w:w="100" w:type="dxa"/>
            </w:tcMar>
            <w:shd w:fill="F7FAFC"/>
          </w:tcPr>
          <w:p>
            <w:r>
              <w:rPr>
                <w:b/>
                <w:sz w:val="17"/>
              </w:rPr>
              <w:t>224.48%</w:t>
            </w:r>
          </w:p>
        </w:tc>
        <w:tc>
          <w:tcPr>
            <w:tcW w:type="dxa" w:w="1399"/>
            <w:tcMar>
              <w:top w:w="60" w:type="dxa"/>
              <w:bottom w:w="60" w:type="dxa"/>
              <w:left w:w="100" w:type="dxa"/>
              <w:right w:w="100" w:type="dxa"/>
            </w:tcMar>
            <w:shd w:fill="F7FAFC"/>
          </w:tcPr>
          <w:p>
            <w:r>
              <w:rPr>
                <w:b/>
                <w:sz w:val="17"/>
              </w:rPr>
              <w:t>102.10%</w:t>
            </w:r>
          </w:p>
        </w:tc>
        <w:tc>
          <w:tcPr>
            <w:tcW w:type="dxa" w:w="1399"/>
            <w:tcMar>
              <w:top w:w="60" w:type="dxa"/>
              <w:bottom w:w="60" w:type="dxa"/>
              <w:left w:w="100" w:type="dxa"/>
              <w:right w:w="100" w:type="dxa"/>
            </w:tcMar>
            <w:shd w:fill="F7FAFC"/>
          </w:tcPr>
          <w:p>
            <w:r>
              <w:rPr>
                <w:b/>
                <w:sz w:val="17"/>
              </w:rPr>
              <w:t>61.79%</w:t>
            </w:r>
          </w:p>
        </w:tc>
        <w:tc>
          <w:tcPr>
            <w:tcW w:type="dxa" w:w="1399"/>
            <w:tcMar>
              <w:top w:w="60" w:type="dxa"/>
              <w:bottom w:w="60" w:type="dxa"/>
              <w:left w:w="100" w:type="dxa"/>
              <w:right w:w="100" w:type="dxa"/>
            </w:tcMar>
            <w:shd w:fill="F7FAFC"/>
          </w:tcPr>
          <w:p>
            <w:r>
              <w:rPr>
                <w:sz w:val="17"/>
              </w:rPr>
              <w:t>$833.0M</w:t>
            </w:r>
          </w:p>
        </w:tc>
        <w:tc>
          <w:tcPr>
            <w:tcW w:type="dxa" w:w="1399"/>
            <w:tcMar>
              <w:top w:w="60" w:type="dxa"/>
              <w:bottom w:w="60" w:type="dxa"/>
              <w:left w:w="100" w:type="dxa"/>
              <w:right w:w="100" w:type="dxa"/>
            </w:tcMar>
            <w:shd w:fill="F7FAFC"/>
          </w:tcPr>
          <w:p>
            <w:r>
              <w:rPr>
                <w:sz w:val="17"/>
              </w:rPr>
              <w:t>$1,678.5M</w:t>
            </w:r>
          </w:p>
        </w:tc>
        <w:tc>
          <w:tcPr>
            <w:tcW w:type="dxa" w:w="1399"/>
            <w:tcMar>
              <w:top w:w="60" w:type="dxa"/>
              <w:bottom w:w="60" w:type="dxa"/>
              <w:left w:w="100" w:type="dxa"/>
              <w:right w:w="100" w:type="dxa"/>
            </w:tcMar>
            <w:shd w:fill="F7FAFC"/>
          </w:tcPr>
          <w:p>
            <w:r>
              <w:rPr>
                <w:b/>
                <w:sz w:val="17"/>
              </w:rPr>
              <w:t>+51.27 p.p.</w:t>
            </w:r>
          </w:p>
        </w:tc>
      </w:tr>
      <w:tr>
        <w:tc>
          <w:tcPr>
            <w:tcW w:type="dxa" w:w="1399"/>
            <w:tcMar>
              <w:top w:w="60" w:type="dxa"/>
              <w:bottom w:w="60" w:type="dxa"/>
              <w:left w:w="100" w:type="dxa"/>
              <w:right w:w="100" w:type="dxa"/>
            </w:tcMar>
          </w:tcPr>
          <w:p>
            <w:r>
              <w:rPr>
                <w:sz w:val="17"/>
              </w:rPr>
              <w:t>FY2026</w:t>
            </w:r>
          </w:p>
        </w:tc>
        <w:tc>
          <w:tcPr>
            <w:tcW w:type="dxa" w:w="1399"/>
            <w:tcMar>
              <w:top w:w="60" w:type="dxa"/>
              <w:bottom w:w="60" w:type="dxa"/>
              <w:left w:w="100" w:type="dxa"/>
              <w:right w:w="100" w:type="dxa"/>
            </w:tcMar>
          </w:tcPr>
          <w:p>
            <w:r>
              <w:rPr>
                <w:b/>
                <w:sz w:val="17"/>
              </w:rPr>
              <w:t>251.62%</w:t>
            </w:r>
          </w:p>
        </w:tc>
        <w:tc>
          <w:tcPr>
            <w:tcW w:type="dxa" w:w="1399"/>
            <w:tcMar>
              <w:top w:w="60" w:type="dxa"/>
              <w:bottom w:w="60" w:type="dxa"/>
              <w:left w:w="100" w:type="dxa"/>
              <w:right w:w="100" w:type="dxa"/>
            </w:tcMar>
          </w:tcPr>
          <w:p>
            <w:r>
              <w:rPr>
                <w:b/>
                <w:sz w:val="17"/>
              </w:rPr>
              <w:t>105.71%</w:t>
            </w:r>
          </w:p>
        </w:tc>
        <w:tc>
          <w:tcPr>
            <w:tcW w:type="dxa" w:w="1399"/>
            <w:tcMar>
              <w:top w:w="60" w:type="dxa"/>
              <w:bottom w:w="60" w:type="dxa"/>
              <w:left w:w="100" w:type="dxa"/>
              <w:right w:w="100" w:type="dxa"/>
            </w:tcMar>
          </w:tcPr>
          <w:p>
            <w:r>
              <w:rPr>
                <w:b/>
                <w:sz w:val="17"/>
              </w:rPr>
              <w:t>59.33%</w:t>
            </w:r>
          </w:p>
        </w:tc>
        <w:tc>
          <w:tcPr>
            <w:tcW w:type="dxa" w:w="1399"/>
            <w:tcMar>
              <w:top w:w="60" w:type="dxa"/>
              <w:bottom w:w="60" w:type="dxa"/>
              <w:left w:w="100" w:type="dxa"/>
              <w:right w:w="100" w:type="dxa"/>
            </w:tcMar>
          </w:tcPr>
          <w:p>
            <w:r>
              <w:rPr>
                <w:sz w:val="17"/>
              </w:rPr>
              <w:t>$947.5M</w:t>
            </w:r>
          </w:p>
        </w:tc>
        <w:tc>
          <w:tcPr>
            <w:tcW w:type="dxa" w:w="1399"/>
            <w:tcMar>
              <w:top w:w="60" w:type="dxa"/>
              <w:bottom w:w="60" w:type="dxa"/>
              <w:left w:w="100" w:type="dxa"/>
              <w:right w:w="100" w:type="dxa"/>
            </w:tcMar>
          </w:tcPr>
          <w:p>
            <w:r>
              <w:rPr>
                <w:sz w:val="17"/>
              </w:rPr>
              <w:t>$1,834.0M</w:t>
            </w:r>
          </w:p>
        </w:tc>
        <w:tc>
          <w:tcPr>
            <w:tcW w:type="dxa" w:w="1399"/>
            <w:tcMar>
              <w:top w:w="60" w:type="dxa"/>
              <w:bottom w:w="60" w:type="dxa"/>
              <w:left w:w="100" w:type="dxa"/>
              <w:right w:w="100" w:type="dxa"/>
            </w:tcMar>
          </w:tcPr>
          <w:p>
            <w:r>
              <w:rPr>
                <w:b/>
                <w:sz w:val="17"/>
              </w:rPr>
              <w:t>+48.82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234.09%</w:t>
            </w:r>
          </w:p>
        </w:tc>
        <w:tc>
          <w:tcPr>
            <w:tcW w:type="dxa" w:w="1399"/>
            <w:tcMar>
              <w:top w:w="60" w:type="dxa"/>
              <w:bottom w:w="60" w:type="dxa"/>
              <w:left w:w="100" w:type="dxa"/>
              <w:right w:w="100" w:type="dxa"/>
            </w:tcMar>
            <w:shd w:fill="F7FAFC"/>
            <w:shd w:fill="E2EFDA"/>
          </w:tcPr>
          <w:p>
            <w:r>
              <w:rPr>
                <w:b/>
                <w:sz w:val="17"/>
              </w:rPr>
              <w:t>90.86%</w:t>
            </w:r>
          </w:p>
        </w:tc>
        <w:tc>
          <w:tcPr>
            <w:tcW w:type="dxa" w:w="1399"/>
            <w:tcMar>
              <w:top w:w="60" w:type="dxa"/>
              <w:bottom w:w="60" w:type="dxa"/>
              <w:left w:w="100" w:type="dxa"/>
              <w:right w:w="100" w:type="dxa"/>
            </w:tcMar>
            <w:shd w:fill="F7FAFC"/>
            <w:shd w:fill="E2EFDA"/>
          </w:tcPr>
          <w:p>
            <w:r>
              <w:rPr>
                <w:b/>
                <w:sz w:val="17"/>
              </w:rPr>
              <w:t>48.94%</w:t>
            </w:r>
          </w:p>
        </w:tc>
        <w:tc>
          <w:tcPr>
            <w:tcW w:type="dxa" w:w="1399"/>
            <w:tcMar>
              <w:top w:w="60" w:type="dxa"/>
              <w:bottom w:w="60" w:type="dxa"/>
              <w:left w:w="100" w:type="dxa"/>
              <w:right w:w="100" w:type="dxa"/>
            </w:tcMar>
            <w:shd w:fill="F7FAFC"/>
            <w:shd w:fill="E2EFDA"/>
          </w:tcPr>
          <w:p>
            <w:r>
              <w:rPr>
                <w:sz w:val="17"/>
              </w:rPr>
              <w:t>$954.6M</w:t>
            </w:r>
          </w:p>
        </w:tc>
        <w:tc>
          <w:tcPr>
            <w:tcW w:type="dxa" w:w="1399"/>
            <w:tcMar>
              <w:top w:w="60" w:type="dxa"/>
              <w:bottom w:w="60" w:type="dxa"/>
              <w:left w:w="100" w:type="dxa"/>
              <w:right w:w="100" w:type="dxa"/>
            </w:tcMar>
            <w:shd w:fill="F7FAFC"/>
            <w:shd w:fill="E2EFDA"/>
          </w:tcPr>
          <w:p>
            <w:r>
              <w:rPr>
                <w:sz w:val="17"/>
              </w:rPr>
              <w:t>$2,040.5M</w:t>
            </w:r>
          </w:p>
        </w:tc>
        <w:tc>
          <w:tcPr>
            <w:tcW w:type="dxa" w:w="1399"/>
            <w:tcMar>
              <w:top w:w="60" w:type="dxa"/>
              <w:bottom w:w="60" w:type="dxa"/>
              <w:left w:w="100" w:type="dxa"/>
              <w:right w:w="100" w:type="dxa"/>
            </w:tcMar>
            <w:shd w:fill="F7FAFC"/>
            <w:shd w:fill="E2EFDA"/>
          </w:tcPr>
          <w:p>
            <w:r>
              <w:rPr>
                <w:b/>
                <w:sz w:val="17"/>
              </w:rPr>
              <w:t>+38.43 p.p.</w:t>
            </w:r>
          </w:p>
        </w:tc>
      </w:tr>
    </w:tbl>
    <w:p>
      <w:pPr>
        <w:spacing w:before="160" w:after="160"/>
      </w:pPr>
      <w:r>
        <w:rPr>
          <w:i/>
          <w:sz w:val="18"/>
        </w:rPr>
        <w:t>Matriz de Sensibilidad de Vida Útil: N-1 (2a) = 49.41% | N Base (3a) = 48.94% | N+1 (4a) = 48.55%.</w:t>
      </w:r>
    </w:p>
    <w:p>
      <w:pPr>
        <w:pStyle w:val="Heading2"/>
      </w:pPr>
      <w:r>
        <w:t>11.4. Creación de Valor Económico (EVA) y Durabilidad del Foso Defensivo</w:t>
      </w:r>
    </w:p>
    <w:p>
      <w:r>
        <w:rPr>
          <w:sz w:val="19"/>
        </w:rPr>
        <w:t>Spread Económico = ROIC Ajustado (48.94%) − WACC (10.51%) = +38.43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1.12</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10.51%</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0.00%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21.0%.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10.51%</w:t>
            </w:r>
          </w:p>
        </w:tc>
        <w:tc>
          <w:tcPr>
            <w:tcW w:type="dxa" w:w="1958"/>
            <w:tcMar>
              <w:top w:w="60" w:type="dxa"/>
              <w:bottom w:w="60" w:type="dxa"/>
              <w:left w:w="100" w:type="dxa"/>
              <w:right w:w="100" w:type="dxa"/>
            </w:tcMar>
            <w:shd w:fill="F7FAFC"/>
          </w:tcPr>
          <w:p>
            <w:r>
              <w:rPr>
                <w:sz w:val="17"/>
              </w:rPr>
              <w:t>Mediana Sector (8.50%)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234.09%</w:t>
            </w:r>
          </w:p>
        </w:tc>
        <w:tc>
          <w:tcPr>
            <w:tcW w:type="dxa" w:w="1958"/>
            <w:tcMar>
              <w:top w:w="60" w:type="dxa"/>
              <w:bottom w:w="60" w:type="dxa"/>
              <w:left w:w="100" w:type="dxa"/>
              <w:right w:w="100" w:type="dxa"/>
            </w:tcMar>
            <w:shd w:fill="E2EFDA"/>
          </w:tcPr>
          <w:p>
            <w:r>
              <w:rPr>
                <w:sz w:val="17"/>
              </w:rPr>
              <w:t>Mediana Sector (40.90%)</w:t>
            </w:r>
          </w:p>
        </w:tc>
        <w:tc>
          <w:tcPr>
            <w:tcW w:type="dxa" w:w="1958"/>
            <w:tcMar>
              <w:top w:w="60" w:type="dxa"/>
              <w:bottom w:w="60" w:type="dxa"/>
              <w:left w:w="100" w:type="dxa"/>
              <w:right w:w="100" w:type="dxa"/>
            </w:tcMar>
            <w:shd w:fill="E2EFDA"/>
          </w:tcPr>
          <w:p>
            <w:r>
              <w:rPr>
                <w:sz w:val="17"/>
              </w:rPr>
              <w:t>Asset-Light; supera al sector por +193.19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$535.2M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90.86%</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$954.6M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$2,040.5M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48.94%</w:t>
            </w:r>
          </w:p>
        </w:tc>
        <w:tc>
          <w:tcPr>
            <w:tcW w:type="dxa" w:w="1958"/>
            <w:tcMar>
              <w:top w:w="60" w:type="dxa"/>
              <w:bottom w:w="60" w:type="dxa"/>
              <w:left w:w="100" w:type="dxa"/>
              <w:right w:w="100" w:type="dxa"/>
            </w:tcMar>
            <w:shd w:fill="F7FAFC"/>
            <w:shd w:fill="E2EFDA"/>
          </w:tcPr>
          <w:p>
            <w:r>
              <w:rPr>
                <w:b/>
                <w:sz w:val="17"/>
              </w:rPr>
              <w:t>Mediana Sector (17.50%)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+38.43 p.p.</w:t>
            </w:r>
          </w:p>
        </w:tc>
        <w:tc>
          <w:tcPr>
            <w:tcW w:type="dxa" w:w="1958"/>
            <w:tcMar>
              <w:top w:w="60" w:type="dxa"/>
              <w:bottom w:w="60" w:type="dxa"/>
              <w:left w:w="100" w:type="dxa"/>
              <w:right w:w="100" w:type="dxa"/>
            </w:tcMar>
            <w:shd w:fill="E2EFDA"/>
          </w:tcPr>
          <w:p>
            <w:r>
              <w:rPr>
                <w:b/>
                <w:sz w:val="17"/>
              </w:rPr>
              <w:t>Mediana Sector (+8.60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-4.73% [ALTA CONVERSIÓN DE CAJA (CFO &gt; NI)]</w:t>
        <w:br/>
        <w:t>• Montier C-Score: 2 / 6 [RIESGO MODERADO / ALERTA PREVENTIVA (&lt; 25% RIESGO MODERADO)]</w:t>
        <w:br/>
        <w:t>• Dictamen: CALIDAD DE BENEFICIOS EXCEPCIONAL (GRADO INSTITUCIONAL): Conversión de efectivo sobresaliente (Ratio Sloan: -4.73%,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FY2026</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$1,014.8M</w:t>
            </w:r>
          </w:p>
        </w:tc>
        <w:tc>
          <w:tcPr>
            <w:tcW w:type="dxa" w:w="1094"/>
            <w:tcMar>
              <w:top w:w="60" w:type="dxa"/>
              <w:bottom w:w="60" w:type="dxa"/>
              <w:left w:w="60" w:type="dxa"/>
              <w:right w:w="60" w:type="dxa"/>
            </w:tcMar>
          </w:tcPr>
          <w:p>
            <w:pPr>
              <w:jc w:val="right"/>
            </w:pPr>
            <w:r>
              <w:rPr>
                <w:rFonts w:ascii="Calibri" w:hAnsi="Calibri"/>
                <w:b w:val="0"/>
                <w:sz w:val="17"/>
              </w:rPr>
              <w:t>$1,024.1M</w:t>
            </w:r>
          </w:p>
        </w:tc>
        <w:tc>
          <w:tcPr>
            <w:tcW w:type="dxa" w:w="1094"/>
            <w:tcMar>
              <w:top w:w="60" w:type="dxa"/>
              <w:bottom w:w="60" w:type="dxa"/>
              <w:left w:w="60" w:type="dxa"/>
              <w:right w:w="60" w:type="dxa"/>
            </w:tcMar>
          </w:tcPr>
          <w:p>
            <w:pPr>
              <w:jc w:val="right"/>
            </w:pPr>
            <w:r>
              <w:rPr>
                <w:rFonts w:ascii="Calibri" w:hAnsi="Calibri"/>
                <w:b w:val="0"/>
                <w:sz w:val="17"/>
              </w:rPr>
              <w:t>$966.1M</w:t>
            </w:r>
          </w:p>
        </w:tc>
        <w:tc>
          <w:tcPr>
            <w:tcW w:type="dxa" w:w="1094"/>
            <w:tcMar>
              <w:top w:w="60" w:type="dxa"/>
              <w:bottom w:w="60" w:type="dxa"/>
              <w:left w:w="60" w:type="dxa"/>
              <w:right w:w="60" w:type="dxa"/>
            </w:tcMar>
          </w:tcPr>
          <w:p>
            <w:pPr>
              <w:jc w:val="right"/>
            </w:pPr>
            <w:r>
              <w:rPr>
                <w:rFonts w:ascii="Calibri" w:hAnsi="Calibri"/>
                <w:b w:val="0"/>
                <w:sz w:val="17"/>
              </w:rPr>
              <w:t>$759.6M</w:t>
            </w:r>
          </w:p>
        </w:tc>
        <w:tc>
          <w:tcPr>
            <w:tcW w:type="dxa" w:w="1094"/>
            <w:tcMar>
              <w:top w:w="60" w:type="dxa"/>
              <w:bottom w:w="60" w:type="dxa"/>
              <w:left w:w="60" w:type="dxa"/>
              <w:right w:w="60" w:type="dxa"/>
            </w:tcMar>
          </w:tcPr>
          <w:p>
            <w:pPr>
              <w:jc w:val="right"/>
            </w:pPr>
            <w:r>
              <w:rPr>
                <w:rFonts w:ascii="Calibri" w:hAnsi="Calibri"/>
                <w:b w:val="0"/>
                <w:sz w:val="17"/>
              </w:rPr>
              <w:t>$516.8M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$1,193.7M</w:t>
            </w:r>
          </w:p>
        </w:tc>
        <w:tc>
          <w:tcPr>
            <w:tcW w:type="dxa" w:w="1094"/>
            <w:tcMar>
              <w:top w:w="60" w:type="dxa"/>
              <w:bottom w:w="60" w:type="dxa"/>
              <w:left w:w="60" w:type="dxa"/>
              <w:right w:w="60" w:type="dxa"/>
            </w:tcMar>
          </w:tcPr>
          <w:p>
            <w:pPr>
              <w:jc w:val="right"/>
            </w:pPr>
            <w:r>
              <w:rPr>
                <w:rFonts w:ascii="Calibri" w:hAnsi="Calibri"/>
                <w:b w:val="0"/>
                <w:sz w:val="17"/>
              </w:rPr>
              <w:t>$1,182.0M</w:t>
            </w:r>
          </w:p>
        </w:tc>
        <w:tc>
          <w:tcPr>
            <w:tcW w:type="dxa" w:w="1094"/>
            <w:tcMar>
              <w:top w:w="60" w:type="dxa"/>
              <w:bottom w:w="60" w:type="dxa"/>
              <w:left w:w="60" w:type="dxa"/>
              <w:right w:w="60" w:type="dxa"/>
            </w:tcMar>
          </w:tcPr>
          <w:p>
            <w:pPr>
              <w:jc w:val="right"/>
            </w:pPr>
            <w:r>
              <w:rPr>
                <w:rFonts w:ascii="Calibri" w:hAnsi="Calibri"/>
                <w:b w:val="0"/>
                <w:sz w:val="17"/>
              </w:rPr>
              <w:t>$1,044.5M</w:t>
            </w:r>
          </w:p>
        </w:tc>
        <w:tc>
          <w:tcPr>
            <w:tcW w:type="dxa" w:w="1094"/>
            <w:tcMar>
              <w:top w:w="60" w:type="dxa"/>
              <w:bottom w:w="60" w:type="dxa"/>
              <w:left w:w="60" w:type="dxa"/>
              <w:right w:w="60" w:type="dxa"/>
            </w:tcMar>
          </w:tcPr>
          <w:p>
            <w:pPr>
              <w:jc w:val="right"/>
            </w:pPr>
            <w:r>
              <w:rPr>
                <w:rFonts w:ascii="Calibri" w:hAnsi="Calibri"/>
                <w:b w:val="0"/>
                <w:sz w:val="17"/>
              </w:rPr>
              <w:t>$1,033.2M</w:t>
            </w:r>
          </w:p>
        </w:tc>
        <w:tc>
          <w:tcPr>
            <w:tcW w:type="dxa" w:w="1094"/>
            <w:tcMar>
              <w:top w:w="60" w:type="dxa"/>
              <w:bottom w:w="60" w:type="dxa"/>
              <w:left w:w="60" w:type="dxa"/>
              <w:right w:w="60" w:type="dxa"/>
            </w:tcMar>
          </w:tcPr>
          <w:p>
            <w:pPr>
              <w:jc w:val="right"/>
            </w:pPr>
            <w:r>
              <w:rPr>
                <w:rFonts w:ascii="Calibri" w:hAnsi="Calibri"/>
                <w:b w:val="0"/>
                <w:sz w:val="17"/>
              </w:rPr>
              <w:t>$537.4M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$-178.9M</w:t>
            </w:r>
          </w:p>
        </w:tc>
        <w:tc>
          <w:tcPr>
            <w:tcW w:type="dxa" w:w="1094"/>
            <w:tcMar>
              <w:top w:w="60" w:type="dxa"/>
              <w:bottom w:w="60" w:type="dxa"/>
              <w:left w:w="60" w:type="dxa"/>
              <w:right w:w="60" w:type="dxa"/>
            </w:tcMar>
          </w:tcPr>
          <w:p>
            <w:pPr>
              <w:jc w:val="right"/>
            </w:pPr>
            <w:r>
              <w:rPr>
                <w:rFonts w:ascii="Calibri" w:hAnsi="Calibri"/>
                <w:b/>
                <w:sz w:val="17"/>
              </w:rPr>
              <w:t>$-157.9M</w:t>
            </w:r>
          </w:p>
        </w:tc>
        <w:tc>
          <w:tcPr>
            <w:tcW w:type="dxa" w:w="1094"/>
            <w:tcMar>
              <w:top w:w="60" w:type="dxa"/>
              <w:bottom w:w="60" w:type="dxa"/>
              <w:left w:w="60" w:type="dxa"/>
              <w:right w:w="60" w:type="dxa"/>
            </w:tcMar>
          </w:tcPr>
          <w:p>
            <w:pPr>
              <w:jc w:val="right"/>
            </w:pPr>
            <w:r>
              <w:rPr>
                <w:rFonts w:ascii="Calibri" w:hAnsi="Calibri"/>
                <w:b/>
                <w:sz w:val="17"/>
              </w:rPr>
              <w:t>$-78.4M</w:t>
            </w:r>
          </w:p>
        </w:tc>
        <w:tc>
          <w:tcPr>
            <w:tcW w:type="dxa" w:w="1094"/>
            <w:tcMar>
              <w:top w:w="60" w:type="dxa"/>
              <w:bottom w:w="60" w:type="dxa"/>
              <w:left w:w="60" w:type="dxa"/>
              <w:right w:w="60" w:type="dxa"/>
            </w:tcMar>
          </w:tcPr>
          <w:p>
            <w:pPr>
              <w:jc w:val="right"/>
            </w:pPr>
            <w:r>
              <w:rPr>
                <w:rFonts w:ascii="Calibri" w:hAnsi="Calibri"/>
                <w:b/>
                <w:sz w:val="17"/>
              </w:rPr>
              <w:t>$-273.6M</w:t>
            </w:r>
          </w:p>
        </w:tc>
        <w:tc>
          <w:tcPr>
            <w:tcW w:type="dxa" w:w="1094"/>
            <w:tcMar>
              <w:top w:w="60" w:type="dxa"/>
              <w:bottom w:w="60" w:type="dxa"/>
              <w:left w:w="60" w:type="dxa"/>
              <w:right w:w="60" w:type="dxa"/>
            </w:tcMar>
          </w:tcPr>
          <w:p>
            <w:pPr>
              <w:jc w:val="right"/>
            </w:pPr>
            <w:r>
              <w:rPr>
                <w:rFonts w:ascii="Calibri" w:hAnsi="Calibri"/>
                <w:b/>
                <w:sz w:val="17"/>
              </w:rPr>
              <w:t>$-20.6M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$3,778.2M</w:t>
            </w:r>
          </w:p>
        </w:tc>
        <w:tc>
          <w:tcPr>
            <w:tcW w:type="dxa" w:w="1094"/>
            <w:tcMar>
              <w:top w:w="60" w:type="dxa"/>
              <w:bottom w:w="60" w:type="dxa"/>
              <w:left w:w="60" w:type="dxa"/>
              <w:right w:w="60" w:type="dxa"/>
            </w:tcMar>
          </w:tcPr>
          <w:p>
            <w:pPr>
              <w:jc w:val="right"/>
            </w:pPr>
            <w:r>
              <w:rPr>
                <w:rFonts w:ascii="Calibri" w:hAnsi="Calibri"/>
                <w:b w:val="0"/>
                <w:sz w:val="17"/>
              </w:rPr>
              <w:t>$3,629.0M</w:t>
            </w:r>
          </w:p>
        </w:tc>
        <w:tc>
          <w:tcPr>
            <w:tcW w:type="dxa" w:w="1094"/>
            <w:tcMar>
              <w:top w:w="60" w:type="dxa"/>
              <w:bottom w:w="60" w:type="dxa"/>
              <w:left w:w="60" w:type="dxa"/>
              <w:right w:w="60" w:type="dxa"/>
            </w:tcMar>
          </w:tcPr>
          <w:p>
            <w:pPr>
              <w:jc w:val="right"/>
            </w:pPr>
            <w:r>
              <w:rPr>
                <w:rFonts w:ascii="Calibri" w:hAnsi="Calibri"/>
                <w:b w:val="0"/>
                <w:sz w:val="17"/>
              </w:rPr>
              <w:t>$3,352.9M</w:t>
            </w:r>
          </w:p>
        </w:tc>
        <w:tc>
          <w:tcPr>
            <w:tcW w:type="dxa" w:w="1094"/>
            <w:tcMar>
              <w:top w:w="60" w:type="dxa"/>
              <w:bottom w:w="60" w:type="dxa"/>
              <w:left w:w="60" w:type="dxa"/>
              <w:right w:w="60" w:type="dxa"/>
            </w:tcMar>
          </w:tcPr>
          <w:p>
            <w:pPr>
              <w:jc w:val="right"/>
            </w:pPr>
            <w:r>
              <w:rPr>
                <w:rFonts w:ascii="Calibri" w:hAnsi="Calibri"/>
                <w:b w:val="0"/>
                <w:sz w:val="17"/>
              </w:rPr>
              <w:t>$2,845.9M</w:t>
            </w:r>
          </w:p>
        </w:tc>
        <w:tc>
          <w:tcPr>
            <w:tcW w:type="dxa" w:w="1094"/>
            <w:tcMar>
              <w:top w:w="60" w:type="dxa"/>
              <w:bottom w:w="60" w:type="dxa"/>
              <w:left w:w="60" w:type="dxa"/>
              <w:right w:w="60" w:type="dxa"/>
            </w:tcMar>
          </w:tcPr>
          <w:p>
            <w:pPr>
              <w:jc w:val="right"/>
            </w:pPr>
            <w:r>
              <w:rPr>
                <w:rFonts w:ascii="Calibri" w:hAnsi="Calibri"/>
                <w:b w:val="0"/>
                <w:sz w:val="17"/>
              </w:rPr>
              <w:t>$2,444.2M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-4.73%</w:t>
            </w:r>
          </w:p>
        </w:tc>
        <w:tc>
          <w:tcPr>
            <w:tcW w:type="dxa" w:w="1094"/>
            <w:tcMar>
              <w:top w:w="60" w:type="dxa"/>
              <w:bottom w:w="60" w:type="dxa"/>
              <w:left w:w="60" w:type="dxa"/>
              <w:right w:w="60" w:type="dxa"/>
            </w:tcMar>
          </w:tcPr>
          <w:p>
            <w:pPr>
              <w:jc w:val="right"/>
            </w:pPr>
            <w:r>
              <w:rPr>
                <w:rFonts w:ascii="Calibri" w:hAnsi="Calibri"/>
                <w:b/>
                <w:sz w:val="17"/>
              </w:rPr>
              <w:t>-4.35%</w:t>
            </w:r>
          </w:p>
        </w:tc>
        <w:tc>
          <w:tcPr>
            <w:tcW w:type="dxa" w:w="1094"/>
            <w:tcMar>
              <w:top w:w="60" w:type="dxa"/>
              <w:bottom w:w="60" w:type="dxa"/>
              <w:left w:w="60" w:type="dxa"/>
              <w:right w:w="60" w:type="dxa"/>
            </w:tcMar>
          </w:tcPr>
          <w:p>
            <w:pPr>
              <w:jc w:val="right"/>
            </w:pPr>
            <w:r>
              <w:rPr>
                <w:rFonts w:ascii="Calibri" w:hAnsi="Calibri"/>
                <w:b/>
                <w:sz w:val="17"/>
              </w:rPr>
              <w:t>-2.34%</w:t>
            </w:r>
          </w:p>
        </w:tc>
        <w:tc>
          <w:tcPr>
            <w:tcW w:type="dxa" w:w="1094"/>
            <w:tcMar>
              <w:top w:w="60" w:type="dxa"/>
              <w:bottom w:w="60" w:type="dxa"/>
              <w:left w:w="60" w:type="dxa"/>
              <w:right w:w="60" w:type="dxa"/>
            </w:tcMar>
          </w:tcPr>
          <w:p>
            <w:pPr>
              <w:jc w:val="right"/>
            </w:pPr>
            <w:r>
              <w:rPr>
                <w:rFonts w:ascii="Calibri" w:hAnsi="Calibri"/>
                <w:b/>
                <w:sz w:val="17"/>
              </w:rPr>
              <w:t>-9.61%</w:t>
            </w:r>
          </w:p>
        </w:tc>
        <w:tc>
          <w:tcPr>
            <w:tcW w:type="dxa" w:w="1094"/>
            <w:tcMar>
              <w:top w:w="60" w:type="dxa"/>
              <w:bottom w:w="60" w:type="dxa"/>
              <w:left w:w="60" w:type="dxa"/>
              <w:right w:w="60" w:type="dxa"/>
            </w:tcMar>
          </w:tcPr>
          <w:p>
            <w:pPr>
              <w:jc w:val="right"/>
            </w:pPr>
            <w:r>
              <w:rPr>
                <w:rFonts w:ascii="Calibri" w:hAnsi="Calibri"/>
                <w:b/>
                <w:sz w:val="17"/>
              </w:rPr>
              <w:t>-0.84%</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Deckers Outdoor Corporation generó $1,193.7M de CFO frente a $1,014.8M de beneficio neto, arrojando una tasa de conversión de caja del 117.6% (cada dólar reportado está respaldado por $1.18 de efectivo). El Ratio Sloan de -4.73%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440"/>
            <w:tcMar>
              <w:top w:w="60" w:type="dxa"/>
              <w:bottom w:w="60" w:type="dxa"/>
              <w:left w:w="80" w:type="dxa"/>
              <w:right w:w="80" w:type="dxa"/>
            </w:tcMar>
          </w:tcPr>
          <w:p>
            <w:pPr>
              <w:jc w:val="center"/>
            </w:pPr>
            <w:r>
              <w:rPr>
                <w:rFonts w:ascii="Calibri" w:hAnsi="Calibri"/>
                <w:sz w:val="17"/>
              </w:rPr>
              <w:t>DSO: 25.0d (+3.7d)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+65.1%</w:t>
            </w:r>
          </w:p>
        </w:tc>
        <w:tc>
          <w:tcPr>
            <w:tcW w:type="dxa" w:w="1440"/>
            <w:tcMar>
              <w:top w:w="60" w:type="dxa"/>
              <w:bottom w:w="60" w:type="dxa"/>
              <w:left w:w="80" w:type="dxa"/>
              <w:right w:w="80" w:type="dxa"/>
            </w:tcMar>
          </w:tcPr>
          <w:p>
            <w:pPr>
              <w:jc w:val="center"/>
            </w:pPr>
            <w:r>
              <w:rPr>
                <w:rFonts w:ascii="Calibri" w:hAnsi="Calibri"/>
                <w:sz w:val="17"/>
              </w:rPr>
              <w:t>DIO: 126.4d (+49.6d)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49.8%</w:t>
            </w:r>
          </w:p>
        </w:tc>
        <w:tc>
          <w:tcPr>
            <w:tcW w:type="dxa" w:w="1440"/>
            <w:tcMar>
              <w:top w:w="60" w:type="dxa"/>
              <w:bottom w:w="60" w:type="dxa"/>
              <w:left w:w="80" w:type="dxa"/>
              <w:right w:w="80" w:type="dxa"/>
            </w:tcMar>
          </w:tcPr>
          <w:p>
            <w:pPr>
              <w:jc w:val="center"/>
            </w:pPr>
            <w:r>
              <w:rPr>
                <w:rFonts w:ascii="Calibri" w:hAnsi="Calibri"/>
                <w:sz w:val="17"/>
              </w:rPr>
              <w:t>Δ: +10.7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(Deckers Outdoor Corporation): Las existencias crecen 65.1% por encima del coste de ventas, elevando el inventario en +49.6 días (DIO: 126.4d). Evaluar si responde a preparación estacional de lanzamientos o acumulación no vendida.</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$1,014.8M vs CFO: $1,193.7M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25.0d (Δ: +3.7d)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126.4d (Δ: +49.6d)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2.34% vs 2.47%</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17.98% vs 18.32%</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+4.9% vs ΔVentas: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117.6%</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+17.6%</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Spread elevado (+17.6%), pero DSO ultra-bajo (25.0d) descarta ventas ficticias.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126.4 días</w:t>
            </w:r>
          </w:p>
        </w:tc>
        <w:tc>
          <w:tcPr>
            <w:tcW w:type="dxa" w:w="1728"/>
            <w:tcMar>
              <w:top w:w="60" w:type="dxa"/>
              <w:bottom w:w="60" w:type="dxa"/>
              <w:left w:w="80" w:type="dxa"/>
              <w:right w:w="80" w:type="dxa"/>
            </w:tcMar>
          </w:tcPr>
          <w:p>
            <w:pPr>
              <w:jc w:val="center"/>
            </w:pPr>
            <w:r>
              <w:rPr>
                <w:rFonts w:ascii="Calibri" w:hAnsi="Calibri"/>
                <w:sz w:val="17"/>
              </w:rPr>
              <w:t>&lt; 130 días</w:t>
            </w:r>
          </w:p>
        </w:tc>
        <w:tc>
          <w:tcPr>
            <w:tcW w:type="dxa" w:w="2592"/>
            <w:tcMar>
              <w:top w:w="60" w:type="dxa"/>
              <w:bottom w:w="60" w:type="dxa"/>
              <w:left w:w="80" w:type="dxa"/>
              <w:right w:w="80" w:type="dxa"/>
            </w:tcMar>
          </w:tcPr>
          <w:p>
            <w:pPr>
              <w:jc w:val="left"/>
            </w:pPr>
            <w:r>
              <w:rPr>
                <w:rFonts w:ascii="Calibri" w:hAnsi="Calibri"/>
                <w:sz w:val="17"/>
              </w:rPr>
              <w:t>Rotación equilibrada (126.4d); ciclo operativo dentro del estándar sectorial.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+10.7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(+10.7 pp); balance sano con activos blandos bajo 75% (49.8%).</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(MÁXIMA CALIDAD CREDITICIA (LIBRE DE DEUDA)) | Altman Z''-Score: 8.59 [ZONA SEGURA]</w:t>
              <w:br/>
              <w:br/>
              <w:t>FORTALEZA FINANCIERA INQUEBRANTABLE (GRADO INSTITUCIONAL AAA/AA): Apalancamiento óptimo (CAJA NETA), cobertura de intereses de INFINITA (SIN DEUDA) y Altman Z''-Score de 8.59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$0.0M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$1,602.6M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$1,602.6M (Caja Neta)</w:t>
            </w:r>
          </w:p>
        </w:tc>
        <w:tc>
          <w:tcPr>
            <w:tcW w:type="dxa" w:w="2448"/>
          </w:tcPr>
          <w:p>
            <w:r>
              <w:rPr>
                <w:sz w:val="17"/>
              </w:rPr>
              <w:t>Posición Neta de Caja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CAJA NETA</w:t>
            </w:r>
          </w:p>
        </w:tc>
        <w:tc>
          <w:tcPr>
            <w:tcW w:type="dxa" w:w="2448"/>
            <w:shd w:fill="F7FAFC"/>
          </w:tcPr>
          <w:p>
            <w:r>
              <w:rPr>
                <w:sz w:val="17"/>
              </w:rPr>
              <w:t>EXCELENTE (POSICIÓN DE CAJA NETA)</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CAJA NETA</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$1,252.9M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$3.8M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INFINITA (SIN DEUDA)</w:t>
            </w:r>
          </w:p>
        </w:tc>
        <w:tc>
          <w:tcPr>
            <w:tcW w:type="dxa" w:w="2448"/>
          </w:tcPr>
          <w:p>
            <w:r>
              <w:rPr>
                <w:sz w:val="17"/>
              </w:rPr>
              <w:t>LIBRE DE DEUDA</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0.00%</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8.59</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MÁXIMA CALIDAD CREDITICIA (LIBRE DE DEUDA)</w:t>
            </w:r>
          </w:p>
        </w:tc>
        <w:tc>
          <w:tcPr>
            <w:tcW w:type="dxa" w:w="2448"/>
            <w:shd w:fill="F7FAFC"/>
          </w:tcPr>
          <w:p>
            <w:r>
              <w:rPr>
                <w:sz w:val="17"/>
              </w:rPr>
              <w:t>Spread Teórico: +0.40%</w:t>
            </w:r>
          </w:p>
        </w:tc>
      </w:tr>
      <w:tr>
        <w:tc>
          <w:tcPr>
            <w:tcW w:type="dxa" w:w="2448"/>
          </w:tcPr>
          <w:p>
            <w:r>
              <w:rPr>
                <w:b/>
                <w:sz w:val="17"/>
              </w:rPr>
              <w:t>Probabilidad de Default a 10 Años</w:t>
            </w:r>
          </w:p>
        </w:tc>
        <w:tc>
          <w:tcPr>
            <w:tcW w:type="dxa" w:w="2448"/>
          </w:tcPr>
          <w:p>
            <w:r>
              <w:rPr>
                <w:b/>
                <w:sz w:val="17"/>
              </w:rPr>
              <w:t>&lt; 0.1%</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$81.8  |  WACC Auditado: 10.51% (Rf: 5.19%, ERP: 4.75%)</w:t>
        <w:br/>
        <w:t>• Crecimiento Implícito Calculado: -2.5% Anual a 10 Años (vs. 16.5% Histórico)</w:t>
        <w:br/>
        <w:t>• Veredicto: Descuenta expectativas de -2.5% anual. Exigencia asumible; requiere sostener la expansión global de HOKA, UGG y canal DTC.</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$81.8</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1.12</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0.0%</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0.0%</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21.0%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0.0%</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100.0%</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10.51%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9.51% (Bajo / Expansión)</w:t>
            </w:r>
          </w:p>
        </w:tc>
        <w:tc>
          <w:tcPr>
            <w:tcW w:type="dxa" w:w="1224"/>
          </w:tcPr>
          <w:p>
            <w:r>
              <w:rPr>
                <w:sz w:val="16"/>
              </w:rPr>
              <w:t>-2.9%</w:t>
            </w:r>
          </w:p>
        </w:tc>
        <w:tc>
          <w:tcPr>
            <w:tcW w:type="dxa" w:w="1224"/>
          </w:tcPr>
          <w:p>
            <w:r>
              <w:rPr>
                <w:sz w:val="16"/>
              </w:rPr>
              <w:t>-3.3%</w:t>
            </w:r>
          </w:p>
        </w:tc>
        <w:tc>
          <w:tcPr>
            <w:tcW w:type="dxa" w:w="1224"/>
          </w:tcPr>
          <w:p>
            <w:r>
              <w:rPr>
                <w:sz w:val="16"/>
              </w:rPr>
              <w:t>-3.7%</w:t>
            </w:r>
          </w:p>
        </w:tc>
        <w:tc>
          <w:tcPr>
            <w:tcW w:type="dxa" w:w="1224"/>
          </w:tcPr>
          <w:p>
            <w:r>
              <w:rPr>
                <w:b/>
                <w:sz w:val="16"/>
              </w:rPr>
              <w:t>-4.1%</w:t>
            </w:r>
          </w:p>
        </w:tc>
        <w:tc>
          <w:tcPr>
            <w:tcW w:type="dxa" w:w="1224"/>
          </w:tcPr>
          <w:p>
            <w:r>
              <w:rPr>
                <w:sz w:val="16"/>
              </w:rPr>
              <w:t>-4.6%</w:t>
            </w:r>
          </w:p>
        </w:tc>
        <w:tc>
          <w:tcPr>
            <w:tcW w:type="dxa" w:w="1224"/>
          </w:tcPr>
          <w:p>
            <w:r>
              <w:rPr>
                <w:sz w:val="16"/>
              </w:rPr>
              <w:t>-5.1%</w:t>
            </w:r>
          </w:p>
        </w:tc>
        <w:tc>
          <w:tcPr>
            <w:tcW w:type="dxa" w:w="1224"/>
          </w:tcPr>
          <w:p>
            <w:r>
              <w:rPr>
                <w:sz w:val="16"/>
              </w:rPr>
              <w:t>Escenario favorable; exigencia de crecimiento más moderada.</w:t>
            </w:r>
          </w:p>
        </w:tc>
      </w:tr>
      <w:tr>
        <w:tc>
          <w:tcPr>
            <w:tcW w:type="dxa" w:w="1224"/>
            <w:shd w:fill="F7FAFC"/>
          </w:tcPr>
          <w:p>
            <w:r>
              <w:rPr>
                <w:sz w:val="16"/>
              </w:rPr>
              <w:t>10.01% (Favorable)</w:t>
            </w:r>
          </w:p>
        </w:tc>
        <w:tc>
          <w:tcPr>
            <w:tcW w:type="dxa" w:w="1224"/>
            <w:shd w:fill="F7FAFC"/>
          </w:tcPr>
          <w:p>
            <w:r>
              <w:rPr>
                <w:sz w:val="16"/>
              </w:rPr>
              <w:t>-2.1%</w:t>
            </w:r>
          </w:p>
        </w:tc>
        <w:tc>
          <w:tcPr>
            <w:tcW w:type="dxa" w:w="1224"/>
            <w:shd w:fill="F7FAFC"/>
          </w:tcPr>
          <w:p>
            <w:r>
              <w:rPr>
                <w:sz w:val="16"/>
              </w:rPr>
              <w:t>-2.5%</w:t>
            </w:r>
          </w:p>
        </w:tc>
        <w:tc>
          <w:tcPr>
            <w:tcW w:type="dxa" w:w="1224"/>
            <w:shd w:fill="F7FAFC"/>
          </w:tcPr>
          <w:p>
            <w:r>
              <w:rPr>
                <w:sz w:val="16"/>
              </w:rPr>
              <w:t>-2.9%</w:t>
            </w:r>
          </w:p>
        </w:tc>
        <w:tc>
          <w:tcPr>
            <w:tcW w:type="dxa" w:w="1224"/>
            <w:shd w:fill="F7FAFC"/>
          </w:tcPr>
          <w:p>
            <w:r>
              <w:rPr>
                <w:b/>
                <w:sz w:val="16"/>
              </w:rPr>
              <w:t>-3.3%</w:t>
            </w:r>
          </w:p>
        </w:tc>
        <w:tc>
          <w:tcPr>
            <w:tcW w:type="dxa" w:w="1224"/>
            <w:shd w:fill="F7FAFC"/>
          </w:tcPr>
          <w:p>
            <w:r>
              <w:rPr>
                <w:sz w:val="16"/>
              </w:rPr>
              <w:t>-3.7%</w:t>
            </w:r>
          </w:p>
        </w:tc>
        <w:tc>
          <w:tcPr>
            <w:tcW w:type="dxa" w:w="1224"/>
            <w:shd w:fill="F7FAFC"/>
          </w:tcPr>
          <w:p>
            <w:r>
              <w:rPr>
                <w:sz w:val="16"/>
              </w:rPr>
              <w:t>-4.2%</w:t>
            </w:r>
          </w:p>
        </w:tc>
        <w:tc>
          <w:tcPr>
            <w:tcW w:type="dxa" w:w="1224"/>
            <w:shd w:fill="F7FAFC"/>
          </w:tcPr>
          <w:p>
            <w:r>
              <w:rPr>
                <w:sz w:val="16"/>
              </w:rPr>
              <w:t>Escenario de sensibilidad operativa.</w:t>
            </w:r>
          </w:p>
        </w:tc>
      </w:tr>
      <w:tr>
        <w:tc>
          <w:tcPr>
            <w:tcW w:type="dxa" w:w="1224"/>
            <w:shd w:fill="F7FAFC"/>
          </w:tcPr>
          <w:p>
            <w:r>
              <w:rPr>
                <w:sz w:val="16"/>
              </w:rPr>
              <w:t>10.51% (WACC Auditado Base)</w:t>
            </w:r>
          </w:p>
        </w:tc>
        <w:tc>
          <w:tcPr>
            <w:tcW w:type="dxa" w:w="1224"/>
            <w:shd w:fill="F7FAFC"/>
          </w:tcPr>
          <w:p>
            <w:r>
              <w:rPr>
                <w:b/>
                <w:sz w:val="16"/>
              </w:rPr>
              <w:t>-1.4%</w:t>
            </w:r>
          </w:p>
        </w:tc>
        <w:tc>
          <w:tcPr>
            <w:tcW w:type="dxa" w:w="1224"/>
            <w:shd w:fill="F7FAFC"/>
          </w:tcPr>
          <w:p>
            <w:r>
              <w:rPr>
                <w:b/>
                <w:sz w:val="16"/>
              </w:rPr>
              <w:t>-1.7%</w:t>
            </w:r>
          </w:p>
        </w:tc>
        <w:tc>
          <w:tcPr>
            <w:tcW w:type="dxa" w:w="1224"/>
            <w:shd w:fill="F7FAFC"/>
          </w:tcPr>
          <w:p>
            <w:r>
              <w:rPr>
                <w:b/>
                <w:sz w:val="16"/>
              </w:rPr>
              <w:t>-2.1%</w:t>
            </w:r>
          </w:p>
        </w:tc>
        <w:tc>
          <w:tcPr>
            <w:tcW w:type="dxa" w:w="1224"/>
            <w:shd w:fill="FFF2CC"/>
          </w:tcPr>
          <w:p>
            <w:r>
              <w:rPr>
                <w:b/>
                <w:sz w:val="16"/>
              </w:rPr>
              <w:t>-2.5%</w:t>
            </w:r>
          </w:p>
        </w:tc>
        <w:tc>
          <w:tcPr>
            <w:tcW w:type="dxa" w:w="1224"/>
            <w:shd w:fill="F7FAFC"/>
          </w:tcPr>
          <w:p>
            <w:r>
              <w:rPr>
                <w:b/>
                <w:sz w:val="16"/>
              </w:rPr>
              <w:t>-2.9%</w:t>
            </w:r>
          </w:p>
        </w:tc>
        <w:tc>
          <w:tcPr>
            <w:tcW w:type="dxa" w:w="1224"/>
            <w:shd w:fill="F7FAFC"/>
          </w:tcPr>
          <w:p>
            <w:r>
              <w:rPr>
                <w:b/>
                <w:sz w:val="16"/>
              </w:rPr>
              <w:t>-3.3%</w:t>
            </w:r>
          </w:p>
        </w:tc>
        <w:tc>
          <w:tcPr>
            <w:tcW w:type="dxa" w:w="1224"/>
            <w:shd w:fill="F7FAFC"/>
          </w:tcPr>
          <w:p>
            <w:r>
              <w:rPr>
                <w:sz w:val="16"/>
              </w:rPr>
              <w:t>ESCENARIO CENTRAL: Crecimiento implícito real de mercado.</w:t>
            </w:r>
          </w:p>
        </w:tc>
      </w:tr>
      <w:tr>
        <w:tc>
          <w:tcPr>
            <w:tcW w:type="dxa" w:w="1224"/>
            <w:shd w:fill="F7FAFC"/>
          </w:tcPr>
          <w:p>
            <w:r>
              <w:rPr>
                <w:sz w:val="16"/>
              </w:rPr>
              <w:t>11.01% (Exigente)</w:t>
            </w:r>
          </w:p>
        </w:tc>
        <w:tc>
          <w:tcPr>
            <w:tcW w:type="dxa" w:w="1224"/>
            <w:shd w:fill="F7FAFC"/>
          </w:tcPr>
          <w:p>
            <w:r>
              <w:rPr>
                <w:sz w:val="16"/>
              </w:rPr>
              <w:t>-0.7%</w:t>
            </w:r>
          </w:p>
        </w:tc>
        <w:tc>
          <w:tcPr>
            <w:tcW w:type="dxa" w:w="1224"/>
            <w:shd w:fill="F7FAFC"/>
          </w:tcPr>
          <w:p>
            <w:r>
              <w:rPr>
                <w:sz w:val="16"/>
              </w:rPr>
              <w:t>-1.0%</w:t>
            </w:r>
          </w:p>
        </w:tc>
        <w:tc>
          <w:tcPr>
            <w:tcW w:type="dxa" w:w="1224"/>
            <w:shd w:fill="F7FAFC"/>
          </w:tcPr>
          <w:p>
            <w:r>
              <w:rPr>
                <w:sz w:val="16"/>
              </w:rPr>
              <w:t>-1.3%</w:t>
            </w:r>
          </w:p>
        </w:tc>
        <w:tc>
          <w:tcPr>
            <w:tcW w:type="dxa" w:w="1224"/>
            <w:shd w:fill="F7FAFC"/>
          </w:tcPr>
          <w:p>
            <w:r>
              <w:rPr>
                <w:b/>
                <w:sz w:val="16"/>
              </w:rPr>
              <w:t>-1.7%</w:t>
            </w:r>
          </w:p>
        </w:tc>
        <w:tc>
          <w:tcPr>
            <w:tcW w:type="dxa" w:w="1224"/>
            <w:shd w:fill="F7FAFC"/>
          </w:tcPr>
          <w:p>
            <w:r>
              <w:rPr>
                <w:sz w:val="16"/>
              </w:rPr>
              <w:t>-2.0%</w:t>
            </w:r>
          </w:p>
        </w:tc>
        <w:tc>
          <w:tcPr>
            <w:tcW w:type="dxa" w:w="1224"/>
            <w:shd w:fill="F7FAFC"/>
          </w:tcPr>
          <w:p>
            <w:r>
              <w:rPr>
                <w:sz w:val="16"/>
              </w:rPr>
              <w:t>-2.5%</w:t>
            </w:r>
          </w:p>
        </w:tc>
        <w:tc>
          <w:tcPr>
            <w:tcW w:type="dxa" w:w="1224"/>
            <w:shd w:fill="F7FAFC"/>
          </w:tcPr>
          <w:p>
            <w:r>
              <w:rPr>
                <w:sz w:val="16"/>
              </w:rPr>
              <w:t>Escenario de sensibilidad operativa.</w:t>
            </w:r>
          </w:p>
        </w:tc>
      </w:tr>
      <w:tr>
        <w:tc>
          <w:tcPr>
            <w:tcW w:type="dxa" w:w="1224"/>
          </w:tcPr>
          <w:p>
            <w:r>
              <w:rPr>
                <w:sz w:val="16"/>
              </w:rPr>
              <w:t>11.51% (Estrés / Tipos Altos)</w:t>
            </w:r>
          </w:p>
        </w:tc>
        <w:tc>
          <w:tcPr>
            <w:tcW w:type="dxa" w:w="1224"/>
          </w:tcPr>
          <w:p>
            <w:r>
              <w:rPr>
                <w:sz w:val="16"/>
              </w:rPr>
              <w:t>0.1%</w:t>
            </w:r>
          </w:p>
        </w:tc>
        <w:tc>
          <w:tcPr>
            <w:tcW w:type="dxa" w:w="1224"/>
          </w:tcPr>
          <w:p>
            <w:r>
              <w:rPr>
                <w:sz w:val="16"/>
              </w:rPr>
              <w:t>-0.2%</w:t>
            </w:r>
          </w:p>
        </w:tc>
        <w:tc>
          <w:tcPr>
            <w:tcW w:type="dxa" w:w="1224"/>
          </w:tcPr>
          <w:p>
            <w:r>
              <w:rPr>
                <w:sz w:val="16"/>
              </w:rPr>
              <w:t>-0.6%</w:t>
            </w:r>
          </w:p>
        </w:tc>
        <w:tc>
          <w:tcPr>
            <w:tcW w:type="dxa" w:w="1224"/>
          </w:tcPr>
          <w:p>
            <w:r>
              <w:rPr>
                <w:b/>
                <w:sz w:val="16"/>
              </w:rPr>
              <w:t>-0.9%</w:t>
            </w:r>
          </w:p>
        </w:tc>
        <w:tc>
          <w:tcPr>
            <w:tcW w:type="dxa" w:w="1224"/>
          </w:tcPr>
          <w:p>
            <w:r>
              <w:rPr>
                <w:sz w:val="16"/>
              </w:rPr>
              <w:t>-1.2%</w:t>
            </w:r>
          </w:p>
        </w:tc>
        <w:tc>
          <w:tcPr>
            <w:tcW w:type="dxa" w:w="1224"/>
          </w:tcPr>
          <w:p>
            <w:r>
              <w:rPr>
                <w:sz w:val="16"/>
              </w:rPr>
              <w:t>-1.6%</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Activos Intangibles y Marca + Poder de Fijación de Precios</w:t>
            </w:r>
          </w:p>
        </w:tc>
        <w:tc>
          <w:tcPr>
            <w:tcW w:type="dxa" w:w="2448"/>
          </w:tcPr>
          <w:p>
            <w:r>
              <w:rPr>
                <w:b/>
                <w:sz w:val="17"/>
              </w:rPr>
              <w:t>WIDE MOAT</w:t>
            </w:r>
          </w:p>
        </w:tc>
        <w:tc>
          <w:tcPr>
            <w:tcW w:type="dxa" w:w="2448"/>
          </w:tcPr>
          <w:p>
            <w:r>
              <w:rPr>
                <w:sz w:val="17"/>
              </w:rPr>
              <w:t>Poder de fijación de precios y resiliencia de márgenes (22.7% EBIT).</w:t>
            </w:r>
          </w:p>
        </w:tc>
      </w:tr>
      <w:tr>
        <w:tc>
          <w:tcPr>
            <w:tcW w:type="dxa" w:w="2448"/>
            <w:shd w:fill="F7FAFC"/>
          </w:tcPr>
          <w:p>
            <w:r>
              <w:rPr>
                <w:b/>
                <w:sz w:val="17"/>
              </w:rPr>
              <w:t>Calidad de Beneficios</w:t>
            </w:r>
          </w:p>
        </w:tc>
        <w:tc>
          <w:tcPr>
            <w:tcW w:type="dxa" w:w="2448"/>
            <w:shd w:fill="F7FAFC"/>
          </w:tcPr>
          <w:p>
            <w:r>
              <w:rPr>
                <w:sz w:val="17"/>
              </w:rPr>
              <w:t>Ratio Sloan: -4.73% / Montier: 2/6</w:t>
            </w:r>
          </w:p>
        </w:tc>
        <w:tc>
          <w:tcPr>
            <w:tcW w:type="dxa" w:w="2448"/>
            <w:shd w:fill="F7FAFC"/>
          </w:tcPr>
          <w:p>
            <w:r>
              <w:rPr>
                <w:b/>
                <w:sz w:val="17"/>
              </w:rPr>
              <w:t>CALIDAD SÓLIDA / BAJO RIESGO</w:t>
            </w:r>
          </w:p>
        </w:tc>
        <w:tc>
          <w:tcPr>
            <w:tcW w:type="dxa" w:w="2448"/>
            <w:shd w:fill="F7FAFC"/>
          </w:tcPr>
          <w:p>
            <w:r>
              <w:rPr>
                <w:sz w:val="17"/>
              </w:rPr>
              <w:t>Ganancias 100% avaladas por caja real ($1.18 CFO por dólar de NI).</w:t>
            </w:r>
          </w:p>
        </w:tc>
      </w:tr>
      <w:tr>
        <w:tc>
          <w:tcPr>
            <w:tcW w:type="dxa" w:w="2448"/>
          </w:tcPr>
          <w:p>
            <w:r>
              <w:rPr>
                <w:b/>
                <w:sz w:val="17"/>
              </w:rPr>
              <w:t>Solvencia y Estructura</w:t>
            </w:r>
          </w:p>
        </w:tc>
        <w:tc>
          <w:tcPr>
            <w:tcW w:type="dxa" w:w="2448"/>
          </w:tcPr>
          <w:p>
            <w:r>
              <w:rPr>
                <w:sz w:val="17"/>
              </w:rPr>
              <w:t>Cobertura EBIT: INFINITA (SIN DEUDA) / Altman Z'': 8.59</w:t>
            </w:r>
          </w:p>
        </w:tc>
        <w:tc>
          <w:tcPr>
            <w:tcW w:type="dxa" w:w="2448"/>
          </w:tcPr>
          <w:p>
            <w:r>
              <w:rPr>
                <w:b/>
                <w:sz w:val="17"/>
              </w:rPr>
              <w:t>SINTÉTICO AAA</w:t>
            </w:r>
          </w:p>
        </w:tc>
        <w:tc>
          <w:tcPr>
            <w:tcW w:type="dxa" w:w="2448"/>
          </w:tcPr>
          <w:p>
            <w:r>
              <w:rPr>
                <w:sz w:val="17"/>
              </w:rPr>
              <w:t>Cero deuda neta; colchón de liquidez de $1.6B.</w:t>
            </w:r>
          </w:p>
        </w:tc>
      </w:tr>
      <w:tr>
        <w:tc>
          <w:tcPr>
            <w:tcW w:type="dxa" w:w="2448"/>
            <w:shd w:fill="F7FAFC"/>
          </w:tcPr>
          <w:p>
            <w:r>
              <w:rPr>
                <w:b/>
                <w:sz w:val="17"/>
              </w:rPr>
              <w:t>Productividad del Capital</w:t>
            </w:r>
          </w:p>
        </w:tc>
        <w:tc>
          <w:tcPr>
            <w:tcW w:type="dxa" w:w="2448"/>
            <w:shd w:fill="F7FAFC"/>
          </w:tcPr>
          <w:p>
            <w:r>
              <w:rPr>
                <w:sz w:val="17"/>
              </w:rPr>
              <w:t>ROC Greenblatt: 234.1% / ROIC Adj: 48.9%</w:t>
            </w:r>
          </w:p>
        </w:tc>
        <w:tc>
          <w:tcPr>
            <w:tcW w:type="dxa" w:w="2448"/>
            <w:shd w:fill="F7FAFC"/>
          </w:tcPr>
          <w:p>
            <w:r>
              <w:rPr>
                <w:b/>
                <w:sz w:val="17"/>
              </w:rPr>
              <w:t>COMPOUNDING MACHINE</w:t>
            </w:r>
          </w:p>
        </w:tc>
        <w:tc>
          <w:tcPr>
            <w:tcW w:type="dxa" w:w="2448"/>
            <w:shd w:fill="F7FAFC"/>
          </w:tcPr>
          <w:p>
            <w:r>
              <w:rPr>
                <w:sz w:val="17"/>
              </w:rPr>
              <w:t>Spread económico de +38.4 pp sobre WACC (Creación de valor de élite).</w:t>
            </w:r>
          </w:p>
        </w:tc>
      </w:tr>
      <w:tr>
        <w:tc>
          <w:tcPr>
            <w:tcW w:type="dxa" w:w="2448"/>
          </w:tcPr>
          <w:p>
            <w:r>
              <w:rPr>
                <w:b/>
                <w:sz w:val="17"/>
              </w:rPr>
              <w:t>Valoración de Mercado</w:t>
            </w:r>
          </w:p>
        </w:tc>
        <w:tc>
          <w:tcPr>
            <w:tcW w:type="dxa" w:w="2448"/>
          </w:tcPr>
          <w:p>
            <w:r>
              <w:rPr>
                <w:sz w:val="17"/>
              </w:rPr>
              <w:t>Crecimiento Implícito: -2.5% - -4.6%</w:t>
            </w:r>
          </w:p>
        </w:tc>
        <w:tc>
          <w:tcPr>
            <w:tcW w:type="dxa" w:w="2448"/>
          </w:tcPr>
          <w:p>
            <w:r>
              <w:rPr>
                <w:b/>
                <w:sz w:val="17"/>
              </w:rPr>
              <w:t>VALORACIÓN ATRACTIVA</w:t>
            </w:r>
          </w:p>
        </w:tc>
        <w:tc>
          <w:tcPr>
            <w:tcW w:type="dxa" w:w="2448"/>
          </w:tcPr>
          <w:p>
            <w:r>
              <w:rPr>
                <w:sz w:val="17"/>
              </w:rPr>
              <w:t>Exigencia asumible; requiere sostener la expansión global de HOKA, UGG y canal DTC.</w:t>
            </w:r>
          </w:p>
        </w:tc>
      </w:tr>
    </w:tbl>
    <w:p>
      <w:pPr>
        <w:spacing w:before="400"/>
        <w:jc w:val="center"/>
      </w:pPr>
      <w:r>
        <w:rPr>
          <w:rFonts w:ascii="Calibri" w:hAnsi="Calibri"/>
          <w:i/>
          <w:color w:val="4A5568"/>
          <w:sz w:val="17"/>
        </w:rPr>
        <w:t>Fin del Informe Oficial de Investigación Fundamental — Deckers Outdoor Corporation (DECK)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