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22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Superciclo de silicio A19 / M5; renovaciones récord (upgraders).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Tracción en educación y empresas impulsada por MacBook Neo.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Récord en Cloud y Pagos; recurrencia de alto margen (&gt;70%).</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como Motor de Volumen y Margen: </w:t>
      </w:r>
      <w:r>
        <w:rPr>
          <w:rFonts w:ascii="Calibri" w:hAnsi="Calibri"/>
          <w:i w:val="0"/>
          <w:color w:val="2D3748"/>
          <w:sz w:val="20"/>
        </w:rPr>
        <w:t>Representa el 49.6% de los ingresos totales. Fuerte preferencia hacia gamas Pro y Pro Max, elevando el precio medio de venta (ASP).</w:t>
      </w:r>
    </w:p>
    <w:p>
      <w:pPr>
        <w:spacing w:before="40" w:after="80" w:line="276" w:lineRule="auto"/>
      </w:pPr>
      <w:r>
        <w:rPr>
          <w:rFonts w:ascii="Calibri" w:hAnsi="Calibri"/>
          <w:b/>
          <w:color w:val="2D3748"/>
          <w:sz w:val="20"/>
        </w:rPr>
        <w:t xml:space="preserve">• Mac y la Tracción de Apple Silicon: </w:t>
      </w:r>
      <w:r>
        <w:rPr>
          <w:rFonts w:ascii="Calibri" w:hAnsi="Calibri"/>
          <w:i w:val="0"/>
          <w:color w:val="2D3748"/>
          <w:sz w:val="20"/>
        </w:rPr>
        <w:t>Crecimiento extraordinario del +28.7% YoY. La arquitectura de silicio propietario sigue ganando cuota corporativa y educativa.</w:t>
      </w:r>
    </w:p>
    <w:p>
      <w:pPr>
        <w:spacing w:before="40" w:after="80" w:line="276" w:lineRule="auto"/>
      </w:pPr>
      <w:r>
        <w:rPr>
          <w:rFonts w:ascii="Calibri" w:hAnsi="Calibri"/>
          <w:b/>
          <w:color w:val="2D3748"/>
          <w:sz w:val="20"/>
        </w:rPr>
        <w:t xml:space="preserve">• Servicios como Estabilizador Antirriesgo: </w:t>
      </w:r>
      <w:r>
        <w:rPr>
          <w:rFonts w:ascii="Calibri" w:hAnsi="Calibri"/>
          <w:i w:val="0"/>
          <w:color w:val="2D3748"/>
          <w:sz w:val="20"/>
        </w:rPr>
        <w:t>Aporta el 28.1% de la facturación pero explica casi el 42% del margen bruto en dólares gracias a su rentabilidad del 75.6%.</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Diversificación Internacional y Viento Cambiario: </w:t>
      </w:r>
      <w:r>
        <w:rPr>
          <w:rFonts w:ascii="Calibri" w:hAnsi="Calibri"/>
          <w:i w:val="0"/>
          <w:color w:val="2D3748"/>
          <w:sz w:val="20"/>
        </w:rPr>
        <w:t>El 58.2% de los ingresos se genera fuera de EE.UU., garantizando diversificación pero exponiendo a la fortaleza del dólar (-2.5 pp en Q4).</w:t>
      </w:r>
    </w:p>
    <w:p>
      <w:pPr>
        <w:spacing w:before="40" w:after="80" w:line="276" w:lineRule="auto"/>
      </w:pPr>
      <w:r>
        <w:rPr>
          <w:rFonts w:ascii="Calibri" w:hAnsi="Calibri"/>
          <w:b/>
          <w:color w:val="2D3748"/>
          <w:sz w:val="20"/>
        </w:rPr>
        <w:t xml:space="preserve">• Eje Estratégico China - India: </w:t>
      </w:r>
      <w:r>
        <w:rPr>
          <w:rFonts w:ascii="Calibri" w:hAnsi="Calibri"/>
          <w:i w:val="0"/>
          <w:color w:val="2D3748"/>
          <w:sz w:val="20"/>
        </w:rPr>
        <w:t>Gran China rebota al +22.4% e India lidera el crecimiento en aperturas de tiendas y ventas corporativas.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($146.7B en LTM) respalda con holgura al beneficio neto contable ($128.9B),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14,693M vs 14,948M (-256M)).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1.30x vs 1.14x (+0.16x)).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35.89%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35.9% vs 30.7% (+5.20%)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$146.7B &gt; NI $128.9B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14,693M vs 14,948M (-256M)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1.30x vs 1.14x (+0.16x)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$146.7B &gt; NI $128.9B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+42.73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52.72% frente a un ROIC contable tradicional de 68.22%.</w:t>
            </w:r>
          </w:p>
          <w:p>
            <w:pPr>
              <w:spacing w:before="40" w:after="40" w:line="276" w:lineRule="auto"/>
            </w:pPr>
            <w:r>
              <w:rPr>
                <w:rFonts w:ascii="Calibri" w:hAnsi="Calibri"/>
                <w:color w:val="2D3748"/>
                <w:sz w:val="19"/>
              </w:rPr>
              <w:t>• Costo Promedio Ponderado de Capital (WACC): 9.99% (Costo del Equity Ke: 10.08%, Deuda Neta Kd: 4.08%).</w:t>
            </w:r>
          </w:p>
          <w:p>
            <w:pPr>
              <w:spacing w:before="40" w:after="40" w:line="276" w:lineRule="auto"/>
            </w:pPr>
            <w:r>
              <w:rPr>
                <w:rFonts w:ascii="Calibri" w:hAnsi="Calibri"/>
                <w:color w:val="2D3748"/>
                <w:sz w:val="19"/>
              </w:rPr>
              <w:t>• Spread Económico Neto: +42.73 p.p. de rendimiento por encima del costo de capital exigido por el mercado.</w:t>
            </w:r>
          </w:p>
          <w:p>
            <w:pPr>
              <w:spacing w:before="40" w:after="40" w:line="276" w:lineRule="auto"/>
            </w:pPr>
            <w:r>
              <w:rPr>
                <w:rFonts w:ascii="Calibri" w:hAnsi="Calibri"/>
                <w:color w:val="2D3748"/>
                <w:sz w:val="19"/>
              </w:rPr>
              <w:t>• Stock de Intangibles Fuera de Balance: $79,597.8M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(52.72%) que supera a su costo de capital (9.99%) por más de 42.73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$338.98</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$5,000,057.4M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4.94%</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1.08</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$79,597.8M de intangibles fuera de balance. El ROIC Ajustado resultante de 52.72% refleja el verdadero retorno económico sobre el capital total invertido ($267,312.2M).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+31.97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+32.57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52.72%</w:t>
            </w:r>
          </w:p>
        </w:tc>
        <w:tc>
          <w:tcPr>
            <w:tcW w:type="dxa" w:w="1399"/>
            <w:tcMar>
              <w:top w:w="60" w:type="dxa"/>
              <w:bottom w:w="60" w:type="dxa"/>
              <w:left w:w="100" w:type="dxa"/>
              <w:right w:w="100" w:type="dxa"/>
            </w:tcMar>
            <w:shd w:fill="F7FAFC"/>
            <w:shd w:fill="E2EFDA"/>
          </w:tcPr>
          <w:p>
            <w:r>
              <w:rPr>
                <w:sz w:val="17"/>
              </w:rPr>
              <w:t>$79,597.8M</w:t>
            </w:r>
          </w:p>
        </w:tc>
        <w:tc>
          <w:tcPr>
            <w:tcW w:type="dxa" w:w="1399"/>
            <w:tcMar>
              <w:top w:w="60" w:type="dxa"/>
              <w:bottom w:w="60" w:type="dxa"/>
              <w:left w:w="100" w:type="dxa"/>
              <w:right w:w="100" w:type="dxa"/>
            </w:tcMar>
            <w:shd w:fill="F7FAFC"/>
            <w:shd w:fill="E2EFDA"/>
          </w:tcPr>
          <w:p>
            <w:r>
              <w:rPr>
                <w:sz w:val="17"/>
              </w:rPr>
              <w:t>$267,312.2M</w:t>
            </w:r>
          </w:p>
        </w:tc>
        <w:tc>
          <w:tcPr>
            <w:tcW w:type="dxa" w:w="1399"/>
            <w:tcMar>
              <w:top w:w="60" w:type="dxa"/>
              <w:bottom w:w="60" w:type="dxa"/>
              <w:left w:w="100" w:type="dxa"/>
              <w:right w:w="100" w:type="dxa"/>
            </w:tcMar>
            <w:shd w:fill="F7FAFC"/>
            <w:shd w:fill="E2EFDA"/>
          </w:tcPr>
          <w:p>
            <w:r>
              <w:rPr>
                <w:b/>
                <w:sz w:val="17"/>
              </w:rPr>
              <w:t>+42.73 p.p.</w:t>
            </w:r>
          </w:p>
        </w:tc>
      </w:tr>
    </w:tbl>
    <w:p>
      <w:pPr>
        <w:spacing w:before="160" w:after="160"/>
      </w:pPr>
      <w:r>
        <w:rPr>
          <w:i/>
          <w:sz w:val="18"/>
        </w:rPr>
        <w:t>Matriz de Sensibilidad de Vida Útil: N-1 (3a) = 55.07% | N Base (4a) = 52.72% | N+1 (5a) = 50.80%.</w:t>
      </w:r>
    </w:p>
    <w:p>
      <w:pPr>
        <w:pStyle w:val="Heading2"/>
      </w:pPr>
      <w:r>
        <w:t>11.4. Creación de Valor Económico (EVA) y Durabilidad del Foso Defensivo</w:t>
      </w:r>
    </w:p>
    <w:p>
      <w:r>
        <w:rPr>
          <w:sz w:val="19"/>
        </w:rPr>
        <w:t>Spread Económico = ROIC Ajustado (52.72%) − WACC (9.99%) = +42.73 p.p.</w:t>
        <w:br/>
        <w:t>Dictamen: 🏰 WIDE MOAT / COMPOUNDING MACHINE. La compañía supera holgadamente su costo de capital, generando más de $42.73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4.94%</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1.08</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10.08%</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4.08%</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9.99%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++276.0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$79,597.8M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$267,312.2M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52.72%</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+42.73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1 / 6 [RIESGO MUY BAJO / LIBROS LIMPIOS (&lt; 5% PROBABILIDAD DE MANIPULACIÓN)]</w:t>
        <w:br/>
        <w:t>• Dictamen: CALIDAD DE BENEFICIOS EXCEPCIONAL (GRADO INSTITUCIONAL): Conversión de efectivo sobresaliente (Ratio Sloan: -4.79%, CFO &gt; Utilidad Neta), devengos negativos que suprimen riesgo de inflación contable y Montier C-Score de 1/6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$146.7B de CFO frente a $128.9B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La alerta por spread de inventarios (+85.5%) es un falso positivo operativo ocasionado por el acopio estratégico de chips A19/M5 (2nm/3nm) y memoria DRAM para el superciclo de iPhone 17. Con un DIO de apenas 16.9 días, Apple mantiene la rotación más rápida del sector tecnológico global.</w:t>
      </w:r>
    </w:p>
    <w:p>
      <w:pPr>
        <w:pStyle w:val="Heading2"/>
      </w:pPr>
      <w:r>
        <w:rPr>
          <w:rFonts w:ascii="Calibri" w:hAnsi="Calibri"/>
          <w:b/>
          <w:color w:val="1B365D"/>
          <w:sz w:val="23"/>
        </w:rPr>
        <w:t>12.3. Desglose Forense Montier C-Score (1/6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ΔAR: -21.1%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ΔInv: 94.0% vs ΔCOGS: 8.5%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48.65% vs 46.91%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76.3% vs 76.1%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1 / 6 Banderas — RIESGO MUY BAJO / LIBROS LIMPIOS. Probabilidad empírica de manipulación &lt; 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1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Libros limpios (1/6); probabilidad estadística de fraude &lt; 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(0.25x),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$39,544.0M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$+42,803.0M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0.25x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0.31x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$338.98  |  WACC Auditado: 9.99% (Rf: 4.94%, ERP: 4.75%)</w:t>
        <w:br/>
        <w:t>• Crecimiento Implícito Calculado: 16.0% Anual a 10 Años (vs. 8.5% Histórico y 10.0% Guidance)</w:t>
        <w:br/>
        <w:t>• Veredicto: Descuenta expectativas de 16.0% anual (+6.0 pp sobre guidance). Exigencia de crecimiento ambiciosa; requiere catalizadores en IA y Servicios.</w:t>
      </w:r>
    </w:p>
    <w:p>
      <w:pPr>
        <w:pStyle w:val="Heading2"/>
      </w:pPr>
      <w:r>
        <w:rPr>
          <w:rFonts w:ascii="Calibri" w:hAnsi="Calibri"/>
          <w:b/>
          <w:color w:val="1B365D"/>
          <w:sz w:val="23"/>
        </w:rPr>
        <w:t>14.1. Configuración Óptima en Plataformas de Valoración (Fiscal AI)</w:t>
      </w:r>
    </w:p>
    <w:p>
      <w:pPr>
        <w:spacing w:after="120"/>
      </w:pPr>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para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304"/>
        <w:gridCol w:w="1728"/>
        <w:gridCol w:w="1728"/>
        <w:gridCol w:w="4032"/>
      </w:tblGrid>
      <w:tr>
        <w:tc>
          <w:tcPr>
            <w:tcW w:type="dxa" w:w="2304"/>
            <w:shd w:fill="1B365D"/>
            <w:tcMar>
              <w:top w:w="80" w:type="dxa"/>
              <w:bottom w:w="80" w:type="dxa"/>
              <w:left w:w="80" w:type="dxa"/>
              <w:right w:w="80" w:type="dxa"/>
            </w:tcMar>
          </w:tcPr>
          <w:p>
            <w:pPr>
              <w:jc w:val="left"/>
            </w:pPr>
            <w:r>
              <w:rPr>
                <w:rFonts w:ascii="Calibri" w:hAnsi="Calibri"/>
                <w:b/>
                <w:color w:val="FFFFFF"/>
                <w:sz w:val="17"/>
              </w:rPr>
              <w:t>Casilla / Input Fiscal AI</w:t>
            </w:r>
          </w:p>
        </w:tc>
        <w:tc>
          <w:tcPr>
            <w:tcW w:type="dxa" w:w="1728"/>
            <w:shd w:fill="1B365D"/>
            <w:tcMar>
              <w:top w:w="80" w:type="dxa"/>
              <w:bottom w:w="80" w:type="dxa"/>
              <w:left w:w="80" w:type="dxa"/>
              <w:right w:w="80" w:type="dxa"/>
            </w:tcMar>
          </w:tcPr>
          <w:p>
            <w:pPr>
              <w:jc w:val="center"/>
            </w:pPr>
            <w:r>
              <w:rPr>
                <w:rFonts w:ascii="Calibri" w:hAnsi="Calibri"/>
                <w:b/>
                <w:color w:val="FFFFFF"/>
                <w:sz w:val="17"/>
              </w:rPr>
              <w:t>Valor Auditado</w:t>
            </w:r>
          </w:p>
        </w:tc>
        <w:tc>
          <w:tcPr>
            <w:tcW w:type="dxa" w:w="1728"/>
            <w:shd w:fill="1B365D"/>
            <w:tcMar>
              <w:top w:w="80" w:type="dxa"/>
              <w:bottom w:w="80" w:type="dxa"/>
              <w:left w:w="80" w:type="dxa"/>
              <w:right w:w="80" w:type="dxa"/>
            </w:tcMar>
          </w:tcPr>
          <w:p>
            <w:pPr>
              <w:jc w:val="center"/>
            </w:pPr>
            <w:r>
              <w:rPr>
                <w:rFonts w:ascii="Calibri" w:hAnsi="Calibri"/>
                <w:b/>
                <w:color w:val="FFFFFF"/>
                <w:sz w:val="17"/>
              </w:rPr>
              <w:t>Sección Origen</w:t>
            </w:r>
          </w:p>
        </w:tc>
        <w:tc>
          <w:tcPr>
            <w:tcW w:type="dxa" w:w="4032"/>
            <w:shd w:fill="1B365D"/>
            <w:tcMar>
              <w:top w:w="80" w:type="dxa"/>
              <w:bottom w:w="80" w:type="dxa"/>
              <w:left w:w="80" w:type="dxa"/>
              <w:right w:w="80" w:type="dxa"/>
            </w:tcMar>
          </w:tcPr>
          <w:p>
            <w:pPr>
              <w:jc w:val="left"/>
            </w:pPr>
            <w:r>
              <w:rPr>
                <w:rFonts w:ascii="Calibri" w:hAnsi="Calibri"/>
                <w:b/>
                <w:color w:val="FFFFFF"/>
                <w:sz w:val="17"/>
              </w:rPr>
              <w:t>Racional Técnico y Sustento Fundamental</w:t>
            </w:r>
          </w:p>
        </w:tc>
      </w:tr>
      <w:tr>
        <w:tc>
          <w:tcPr>
            <w:tcW w:type="dxa" w:w="2304"/>
            <w:tcMar>
              <w:top w:w="50" w:type="dxa"/>
              <w:bottom w:w="50" w:type="dxa"/>
              <w:left w:w="60" w:type="dxa"/>
              <w:right w:w="60" w:type="dxa"/>
            </w:tcMar>
          </w:tcPr>
          <w:p>
            <w:pPr>
              <w:jc w:val="left"/>
            </w:pPr>
            <w:r>
              <w:rPr>
                <w:rFonts w:ascii="Calibri" w:hAnsi="Calibri"/>
                <w:b/>
                <w:sz w:val="16"/>
              </w:rPr>
              <w:t>Precio Referencia ($P_0$)</w:t>
            </w:r>
          </w:p>
        </w:tc>
        <w:tc>
          <w:tcPr>
            <w:tcW w:type="dxa" w:w="1728"/>
            <w:tcMar>
              <w:top w:w="50" w:type="dxa"/>
              <w:bottom w:w="50" w:type="dxa"/>
              <w:left w:w="60" w:type="dxa"/>
              <w:right w:w="60" w:type="dxa"/>
            </w:tcMar>
          </w:tcPr>
          <w:p>
            <w:pPr>
              <w:jc w:val="center"/>
            </w:pPr>
            <w:r>
              <w:rPr>
                <w:rFonts w:ascii="Calibri" w:hAnsi="Calibri"/>
                <w:b/>
                <w:sz w:val="16"/>
              </w:rPr>
              <w:t>$338.98</w:t>
            </w:r>
          </w:p>
        </w:tc>
        <w:tc>
          <w:tcPr>
            <w:tcW w:type="dxa" w:w="1728"/>
            <w:tcMar>
              <w:top w:w="50" w:type="dxa"/>
              <w:bottom w:w="50" w:type="dxa"/>
              <w:left w:w="60" w:type="dxa"/>
              <w:right w:w="60" w:type="dxa"/>
            </w:tcMar>
          </w:tcPr>
          <w:p>
            <w:pPr>
              <w:jc w:val="center"/>
            </w:pPr>
            <w:r>
              <w:rPr>
                <w:rFonts w:ascii="Calibri" w:hAnsi="Calibri"/>
                <w:sz w:val="16"/>
              </w:rPr>
              <w:t>Mercado en Vivo</w:t>
            </w:r>
          </w:p>
        </w:tc>
        <w:tc>
          <w:tcPr>
            <w:tcW w:type="dxa" w:w="4032"/>
            <w:tcMar>
              <w:top w:w="50" w:type="dxa"/>
              <w:bottom w:w="50" w:type="dxa"/>
              <w:left w:w="60" w:type="dxa"/>
              <w:right w:w="60" w:type="dxa"/>
            </w:tcMar>
          </w:tcPr>
          <w:p>
            <w:pPr>
              <w:jc w:val="left"/>
            </w:pPr>
            <w:r>
              <w:rPr>
                <w:rFonts w:ascii="Calibri" w:hAnsi="Calibri"/>
                <w:sz w:val="16"/>
              </w:rPr>
              <w:t>Cotización auditada en tiempo real por consenso bursátil.</w:t>
            </w:r>
          </w:p>
        </w:tc>
      </w:tr>
      <w:tr>
        <w:tc>
          <w:tcPr>
            <w:tcW w:type="dxa" w:w="2304"/>
            <w:tcMar>
              <w:top w:w="50" w:type="dxa"/>
              <w:bottom w:w="50" w:type="dxa"/>
              <w:left w:w="60" w:type="dxa"/>
              <w:right w:w="60" w:type="dxa"/>
            </w:tcMar>
          </w:tcPr>
          <w:p>
            <w:pPr>
              <w:jc w:val="left"/>
            </w:pPr>
            <w:r>
              <w:rPr>
                <w:rFonts w:ascii="Calibri" w:hAnsi="Calibri"/>
                <w:b/>
                <w:sz w:val="16"/>
              </w:rPr>
              <w:t>Risk-Free Rate ($R_f$)</w:t>
            </w:r>
          </w:p>
        </w:tc>
        <w:tc>
          <w:tcPr>
            <w:tcW w:type="dxa" w:w="1728"/>
            <w:tcMar>
              <w:top w:w="50" w:type="dxa"/>
              <w:bottom w:w="50" w:type="dxa"/>
              <w:left w:w="60" w:type="dxa"/>
              <w:right w:w="60" w:type="dxa"/>
            </w:tcMar>
          </w:tcPr>
          <w:p>
            <w:pPr>
              <w:jc w:val="center"/>
            </w:pPr>
            <w:r>
              <w:rPr>
                <w:rFonts w:ascii="Calibri" w:hAnsi="Calibri"/>
                <w:b/>
                <w:sz w:val="16"/>
              </w:rPr>
              <w:t>4.94%</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Rendimiento en tiempo real del Bono del Tesoro 10Y (US10Y).</w:t>
            </w:r>
          </w:p>
        </w:tc>
      </w:tr>
      <w:tr>
        <w:tc>
          <w:tcPr>
            <w:tcW w:type="dxa" w:w="2304"/>
            <w:tcMar>
              <w:top w:w="50" w:type="dxa"/>
              <w:bottom w:w="50" w:type="dxa"/>
              <w:left w:w="60" w:type="dxa"/>
              <w:right w:w="60" w:type="dxa"/>
            </w:tcMar>
          </w:tcPr>
          <w:p>
            <w:pPr>
              <w:jc w:val="left"/>
            </w:pPr>
            <w:r>
              <w:rPr>
                <w:rFonts w:ascii="Calibri" w:hAnsi="Calibri"/>
                <w:b/>
                <w:sz w:val="16"/>
              </w:rPr>
              <w:t>Equity Risk Premium (ERP)</w:t>
            </w:r>
          </w:p>
        </w:tc>
        <w:tc>
          <w:tcPr>
            <w:tcW w:type="dxa" w:w="1728"/>
            <w:tcMar>
              <w:top w:w="50" w:type="dxa"/>
              <w:bottom w:w="50" w:type="dxa"/>
              <w:left w:w="60" w:type="dxa"/>
              <w:right w:w="60" w:type="dxa"/>
            </w:tcMar>
          </w:tcPr>
          <w:p>
            <w:pPr>
              <w:jc w:val="center"/>
            </w:pPr>
            <w:r>
              <w:rPr>
                <w:rFonts w:ascii="Calibri" w:hAnsi="Calibri"/>
                <w:b/>
                <w:sz w:val="16"/>
              </w:rPr>
              <w:t>4.75%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Prima de riesgo implícita Damodaran (Stern NYU).</w:t>
            </w:r>
          </w:p>
        </w:tc>
      </w:tr>
      <w:tr>
        <w:tc>
          <w:tcPr>
            <w:tcW w:type="dxa" w:w="2304"/>
            <w:tcMar>
              <w:top w:w="50" w:type="dxa"/>
              <w:bottom w:w="50" w:type="dxa"/>
              <w:left w:w="60" w:type="dxa"/>
              <w:right w:w="60" w:type="dxa"/>
            </w:tcMar>
          </w:tcPr>
          <w:p>
            <w:pPr>
              <w:jc w:val="left"/>
            </w:pPr>
            <w:r>
              <w:rPr>
                <w:rFonts w:ascii="Calibri" w:hAnsi="Calibri"/>
                <w:b/>
                <w:sz w:val="16"/>
              </w:rPr>
              <w:t>Beta Apalancada (Consenso)</w:t>
            </w:r>
          </w:p>
        </w:tc>
        <w:tc>
          <w:tcPr>
            <w:tcW w:type="dxa" w:w="1728"/>
            <w:tcMar>
              <w:top w:w="50" w:type="dxa"/>
              <w:bottom w:w="50" w:type="dxa"/>
              <w:left w:w="60" w:type="dxa"/>
              <w:right w:w="60" w:type="dxa"/>
            </w:tcMar>
          </w:tcPr>
          <w:p>
            <w:pPr>
              <w:jc w:val="center"/>
            </w:pPr>
            <w:r>
              <w:rPr>
                <w:rFonts w:ascii="Calibri" w:hAnsi="Calibri"/>
                <w:b/>
                <w:sz w:val="16"/>
              </w:rPr>
              <w:t>1.08</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Sensibilidad sistemática frente al S&amp;P 500.</w:t>
            </w:r>
          </w:p>
        </w:tc>
      </w:tr>
      <w:tr>
        <w:tc>
          <w:tcPr>
            <w:tcW w:type="dxa" w:w="2304"/>
            <w:tcMar>
              <w:top w:w="50" w:type="dxa"/>
              <w:bottom w:w="50" w:type="dxa"/>
              <w:left w:w="60" w:type="dxa"/>
              <w:right w:w="60" w:type="dxa"/>
            </w:tcMar>
          </w:tcPr>
          <w:p>
            <w:pPr>
              <w:jc w:val="left"/>
            </w:pPr>
            <w:r>
              <w:rPr>
                <w:rFonts w:ascii="Calibri" w:hAnsi="Calibri"/>
                <w:b/>
                <w:sz w:val="16"/>
              </w:rPr>
              <w:t>Cost of Debt ($K_d$ Pre-Tax)</w:t>
            </w:r>
          </w:p>
        </w:tc>
        <w:tc>
          <w:tcPr>
            <w:tcW w:type="dxa" w:w="1728"/>
            <w:tcMar>
              <w:top w:w="50" w:type="dxa"/>
              <w:bottom w:w="50" w:type="dxa"/>
              <w:left w:w="60" w:type="dxa"/>
              <w:right w:w="60" w:type="dxa"/>
            </w:tcMar>
          </w:tcPr>
          <w:p>
            <w:pPr>
              <w:jc w:val="center"/>
            </w:pPr>
            <w:r>
              <w:rPr>
                <w:rFonts w:ascii="Calibri" w:hAnsi="Calibri"/>
                <w:b/>
                <w:sz w:val="16"/>
              </w:rPr>
              <w:t>4.94%</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financiero bruto estimado por rating sintético.</w:t>
            </w:r>
          </w:p>
        </w:tc>
      </w:tr>
      <w:tr>
        <w:tc>
          <w:tcPr>
            <w:tcW w:type="dxa" w:w="2304"/>
            <w:tcMar>
              <w:top w:w="50" w:type="dxa"/>
              <w:bottom w:w="50" w:type="dxa"/>
              <w:left w:w="60" w:type="dxa"/>
              <w:right w:w="60" w:type="dxa"/>
            </w:tcMar>
          </w:tcPr>
          <w:p>
            <w:pPr>
              <w:jc w:val="left"/>
            </w:pPr>
            <w:r>
              <w:rPr>
                <w:rFonts w:ascii="Calibri" w:hAnsi="Calibri"/>
                <w:b/>
                <w:sz w:val="16"/>
              </w:rPr>
              <w:t>Cost of Debt ($K_d$ After-Tax)</w:t>
            </w:r>
          </w:p>
        </w:tc>
        <w:tc>
          <w:tcPr>
            <w:tcW w:type="dxa" w:w="1728"/>
            <w:tcMar>
              <w:top w:w="50" w:type="dxa"/>
              <w:bottom w:w="50" w:type="dxa"/>
              <w:left w:w="60" w:type="dxa"/>
              <w:right w:w="60" w:type="dxa"/>
            </w:tcMar>
          </w:tcPr>
          <w:p>
            <w:pPr>
              <w:jc w:val="center"/>
            </w:pPr>
            <w:r>
              <w:rPr>
                <w:rFonts w:ascii="Calibri" w:hAnsi="Calibri"/>
                <w:b/>
                <w:sz w:val="16"/>
              </w:rPr>
              <w:t>4.08%</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neto con escudo fiscal: Kd * (1 - t).</w:t>
            </w:r>
          </w:p>
        </w:tc>
      </w:tr>
      <w:tr>
        <w:tc>
          <w:tcPr>
            <w:tcW w:type="dxa" w:w="2304"/>
            <w:tcMar>
              <w:top w:w="50" w:type="dxa"/>
              <w:bottom w:w="50" w:type="dxa"/>
              <w:left w:w="60" w:type="dxa"/>
              <w:right w:w="60" w:type="dxa"/>
            </w:tcMar>
          </w:tcPr>
          <w:p>
            <w:pPr>
              <w:jc w:val="left"/>
            </w:pPr>
            <w:r>
              <w:rPr>
                <w:rFonts w:ascii="Calibri" w:hAnsi="Calibri"/>
                <w:b/>
                <w:sz w:val="16"/>
              </w:rPr>
              <w:t>Effective Tax Rate ($t$)</w:t>
            </w:r>
          </w:p>
        </w:tc>
        <w:tc>
          <w:tcPr>
            <w:tcW w:type="dxa" w:w="1728"/>
            <w:tcMar>
              <w:top w:w="50" w:type="dxa"/>
              <w:bottom w:w="50" w:type="dxa"/>
              <w:left w:w="60" w:type="dxa"/>
              <w:right w:w="60" w:type="dxa"/>
            </w:tcMar>
          </w:tcPr>
          <w:p>
            <w:pPr>
              <w:jc w:val="center"/>
            </w:pPr>
            <w:r>
              <w:rPr>
                <w:rFonts w:ascii="Calibri" w:hAnsi="Calibri"/>
                <w:b/>
                <w:sz w:val="16"/>
              </w:rPr>
              <w:t>17.3%</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impositiva estructural auditada.</w:t>
            </w:r>
          </w:p>
        </w:tc>
      </w:tr>
      <w:tr>
        <w:tc>
          <w:tcPr>
            <w:tcW w:type="dxa" w:w="2304"/>
            <w:tcMar>
              <w:top w:w="50" w:type="dxa"/>
              <w:bottom w:w="50" w:type="dxa"/>
              <w:left w:w="60" w:type="dxa"/>
              <w:right w:w="60" w:type="dxa"/>
            </w:tcMar>
          </w:tcPr>
          <w:p>
            <w:pPr>
              <w:jc w:val="left"/>
            </w:pPr>
            <w:r>
              <w:rPr>
                <w:rFonts w:ascii="Calibri" w:hAnsi="Calibri"/>
                <w:b/>
                <w:sz w:val="16"/>
              </w:rPr>
              <w:t>Weight of Debt ($W_d$)</w:t>
            </w:r>
          </w:p>
        </w:tc>
        <w:tc>
          <w:tcPr>
            <w:tcW w:type="dxa" w:w="1728"/>
            <w:tcMar>
              <w:top w:w="50" w:type="dxa"/>
              <w:bottom w:w="50" w:type="dxa"/>
              <w:left w:w="60" w:type="dxa"/>
              <w:right w:w="60" w:type="dxa"/>
            </w:tcMar>
          </w:tcPr>
          <w:p>
            <w:pPr>
              <w:jc w:val="center"/>
            </w:pPr>
            <w:r>
              <w:rPr>
                <w:rFonts w:ascii="Calibri" w:hAnsi="Calibri"/>
                <w:b/>
                <w:sz w:val="16"/>
              </w:rPr>
              <w:t>1.6%</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la deuda financiera en la estructura de capital.</w:t>
            </w:r>
          </w:p>
        </w:tc>
      </w:tr>
      <w:tr>
        <w:tc>
          <w:tcPr>
            <w:tcW w:type="dxa" w:w="2304"/>
            <w:tcMar>
              <w:top w:w="50" w:type="dxa"/>
              <w:bottom w:w="50" w:type="dxa"/>
              <w:left w:w="60" w:type="dxa"/>
              <w:right w:w="60" w:type="dxa"/>
            </w:tcMar>
          </w:tcPr>
          <w:p>
            <w:pPr>
              <w:jc w:val="left"/>
            </w:pPr>
            <w:r>
              <w:rPr>
                <w:rFonts w:ascii="Calibri" w:hAnsi="Calibri"/>
                <w:b/>
                <w:sz w:val="16"/>
              </w:rPr>
              <w:t>Weight of Equity ($W_e$)</w:t>
            </w:r>
          </w:p>
        </w:tc>
        <w:tc>
          <w:tcPr>
            <w:tcW w:type="dxa" w:w="1728"/>
            <w:tcMar>
              <w:top w:w="50" w:type="dxa"/>
              <w:bottom w:w="50" w:type="dxa"/>
              <w:left w:w="60" w:type="dxa"/>
              <w:right w:w="60" w:type="dxa"/>
            </w:tcMar>
          </w:tcPr>
          <w:p>
            <w:pPr>
              <w:jc w:val="center"/>
            </w:pPr>
            <w:r>
              <w:rPr>
                <w:rFonts w:ascii="Calibri" w:hAnsi="Calibri"/>
                <w:b/>
                <w:sz w:val="16"/>
              </w:rPr>
              <w:t>98.4%</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los fondos propios en la estructura de capital.</w:t>
            </w:r>
          </w:p>
        </w:tc>
      </w:tr>
      <w:tr>
        <w:tc>
          <w:tcPr>
            <w:tcW w:type="dxa" w:w="2304"/>
            <w:tcMar>
              <w:top w:w="50" w:type="dxa"/>
              <w:bottom w:w="50" w:type="dxa"/>
              <w:left w:w="60" w:type="dxa"/>
              <w:right w:w="60" w:type="dxa"/>
            </w:tcMar>
          </w:tcPr>
          <w:p>
            <w:pPr>
              <w:jc w:val="left"/>
            </w:pPr>
            <w:r>
              <w:rPr>
                <w:rFonts w:ascii="Calibri" w:hAnsi="Calibri"/>
                <w:b/>
                <w:sz w:val="16"/>
              </w:rPr>
              <w:t>WACC Auditado (Hurdle Rate)</w:t>
            </w:r>
          </w:p>
        </w:tc>
        <w:tc>
          <w:tcPr>
            <w:tcW w:type="dxa" w:w="1728"/>
            <w:tcMar>
              <w:top w:w="50" w:type="dxa"/>
              <w:bottom w:w="50" w:type="dxa"/>
              <w:left w:w="60" w:type="dxa"/>
              <w:right w:w="60" w:type="dxa"/>
            </w:tcMar>
          </w:tcPr>
          <w:p>
            <w:pPr>
              <w:jc w:val="center"/>
            </w:pPr>
            <w:r>
              <w:rPr>
                <w:rFonts w:ascii="Calibri" w:hAnsi="Calibri"/>
                <w:b/>
                <w:sz w:val="16"/>
              </w:rPr>
              <w:t>9.99%</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de descuento de corte para flujos libres de la firma.</w:t>
            </w:r>
          </w:p>
        </w:tc>
      </w:tr>
      <w:tr>
        <w:tc>
          <w:tcPr>
            <w:tcW w:type="dxa" w:w="2304"/>
            <w:tcMar>
              <w:top w:w="50" w:type="dxa"/>
              <w:bottom w:w="50" w:type="dxa"/>
              <w:left w:w="60" w:type="dxa"/>
              <w:right w:w="60" w:type="dxa"/>
            </w:tcMar>
          </w:tcPr>
          <w:p>
            <w:pPr>
              <w:jc w:val="left"/>
            </w:pPr>
            <w:r>
              <w:rPr>
                <w:rFonts w:ascii="Calibri" w:hAnsi="Calibri"/>
                <w:b/>
                <w:sz w:val="16"/>
              </w:rPr>
              <w:t>Margen FCF Normalizado</w:t>
            </w:r>
          </w:p>
        </w:tc>
        <w:tc>
          <w:tcPr>
            <w:tcW w:type="dxa" w:w="1728"/>
            <w:tcMar>
              <w:top w:w="50" w:type="dxa"/>
              <w:bottom w:w="50" w:type="dxa"/>
              <w:left w:w="60" w:type="dxa"/>
              <w:right w:w="60" w:type="dxa"/>
            </w:tcMar>
          </w:tcPr>
          <w:p>
            <w:pPr>
              <w:jc w:val="center"/>
            </w:pPr>
            <w:r>
              <w:rPr>
                <w:rFonts w:ascii="Calibri" w:hAnsi="Calibri"/>
                <w:b/>
                <w:sz w:val="16"/>
              </w:rPr>
              <w:t>29.3%</w:t>
            </w:r>
          </w:p>
        </w:tc>
        <w:tc>
          <w:tcPr>
            <w:tcW w:type="dxa" w:w="1728"/>
            <w:tcMar>
              <w:top w:w="50" w:type="dxa"/>
              <w:bottom w:w="50" w:type="dxa"/>
              <w:left w:w="60" w:type="dxa"/>
              <w:right w:w="60" w:type="dxa"/>
            </w:tcMar>
          </w:tcPr>
          <w:p>
            <w:pPr>
              <w:jc w:val="center"/>
            </w:pPr>
            <w:r>
              <w:rPr>
                <w:rFonts w:ascii="Calibri" w:hAnsi="Calibri"/>
                <w:sz w:val="16"/>
              </w:rPr>
              <w:t>Sección 4 &amp; Solv.</w:t>
            </w:r>
          </w:p>
        </w:tc>
        <w:tc>
          <w:tcPr>
            <w:tcW w:type="dxa" w:w="4032"/>
            <w:tcMar>
              <w:top w:w="50" w:type="dxa"/>
              <w:bottom w:w="50" w:type="dxa"/>
              <w:left w:w="60" w:type="dxa"/>
              <w:right w:w="60" w:type="dxa"/>
            </w:tcMar>
          </w:tcPr>
          <w:p>
            <w:pPr>
              <w:jc w:val="left"/>
            </w:pPr>
            <w:r>
              <w:rPr>
                <w:rFonts w:ascii="Calibri" w:hAnsi="Calibri"/>
                <w:sz w:val="16"/>
              </w:rPr>
              <w:t>Conversión operativa a caja libre tras inversiones de capital.</w:t>
            </w:r>
          </w:p>
        </w:tc>
      </w:tr>
      <w:tr>
        <w:tc>
          <w:tcPr>
            <w:tcW w:type="dxa" w:w="2304"/>
            <w:tcMar>
              <w:top w:w="50" w:type="dxa"/>
              <w:bottom w:w="50" w:type="dxa"/>
              <w:left w:w="60" w:type="dxa"/>
              <w:right w:w="60" w:type="dxa"/>
            </w:tcMar>
          </w:tcPr>
          <w:p>
            <w:pPr>
              <w:jc w:val="left"/>
            </w:pPr>
            <w:r>
              <w:rPr>
                <w:rFonts w:ascii="Calibri" w:hAnsi="Calibri"/>
                <w:b/>
                <w:sz w:val="16"/>
              </w:rPr>
              <w:t>Terminal Growth Rate ($g_n$)</w:t>
            </w:r>
          </w:p>
        </w:tc>
        <w:tc>
          <w:tcPr>
            <w:tcW w:type="dxa" w:w="1728"/>
            <w:tcMar>
              <w:top w:w="50" w:type="dxa"/>
              <w:bottom w:w="50" w:type="dxa"/>
              <w:left w:w="60" w:type="dxa"/>
              <w:right w:w="60" w:type="dxa"/>
            </w:tcMar>
          </w:tcPr>
          <w:p>
            <w:pPr>
              <w:jc w:val="center"/>
            </w:pPr>
            <w:r>
              <w:rPr>
                <w:rFonts w:ascii="Calibri" w:hAnsi="Calibri"/>
                <w:b/>
                <w:sz w:val="16"/>
              </w:rPr>
              <w:t>2.5%</w:t>
            </w:r>
          </w:p>
        </w:tc>
        <w:tc>
          <w:tcPr>
            <w:tcW w:type="dxa" w:w="1728"/>
            <w:tcMar>
              <w:top w:w="50" w:type="dxa"/>
              <w:bottom w:w="50" w:type="dxa"/>
              <w:left w:w="60" w:type="dxa"/>
              <w:right w:w="60" w:type="dxa"/>
            </w:tcMar>
          </w:tcPr>
          <w:p>
            <w:pPr>
              <w:jc w:val="center"/>
            </w:pPr>
            <w:r>
              <w:rPr>
                <w:rFonts w:ascii="Calibri" w:hAnsi="Calibri"/>
                <w:sz w:val="16"/>
              </w:rPr>
              <w:t>Hipótesis Canónica</w:t>
            </w:r>
          </w:p>
        </w:tc>
        <w:tc>
          <w:tcPr>
            <w:tcW w:type="dxa" w:w="4032"/>
            <w:tcMar>
              <w:top w:w="50" w:type="dxa"/>
              <w:bottom w:w="50" w:type="dxa"/>
              <w:left w:w="60" w:type="dxa"/>
              <w:right w:w="60" w:type="dxa"/>
            </w:tcMar>
          </w:tcPr>
          <w:p>
            <w:pPr>
              <w:jc w:val="left"/>
            </w:pPr>
            <w:r>
              <w:rPr>
                <w:rFonts w:ascii="Calibri" w:hAnsi="Calibri"/>
                <w:sz w:val="16"/>
              </w:rPr>
              <w:t>Crecimiento tendencial sostenible de la economía global.</w:t>
            </w:r>
          </w:p>
        </w:tc>
      </w:tr>
      <w:tr>
        <w:tc>
          <w:tcPr>
            <w:tcW w:type="dxa" w:w="2304"/>
            <w:tcMar>
              <w:top w:w="50" w:type="dxa"/>
              <w:bottom w:w="50" w:type="dxa"/>
              <w:left w:w="60" w:type="dxa"/>
              <w:right w:w="60" w:type="dxa"/>
            </w:tcMar>
          </w:tcPr>
          <w:p>
            <w:pPr>
              <w:jc w:val="left"/>
            </w:pPr>
            <w:r>
              <w:rPr>
                <w:rFonts w:ascii="Calibri" w:hAnsi="Calibri"/>
                <w:b/>
                <w:sz w:val="16"/>
              </w:rPr>
              <w:t>Forecast Period</w:t>
            </w:r>
          </w:p>
        </w:tc>
        <w:tc>
          <w:tcPr>
            <w:tcW w:type="dxa" w:w="1728"/>
            <w:tcMar>
              <w:top w:w="50" w:type="dxa"/>
              <w:bottom w:w="50" w:type="dxa"/>
              <w:left w:w="60" w:type="dxa"/>
              <w:right w:w="60" w:type="dxa"/>
            </w:tcMar>
          </w:tcPr>
          <w:p>
            <w:pPr>
              <w:jc w:val="center"/>
            </w:pPr>
            <w:r>
              <w:rPr>
                <w:rFonts w:ascii="Calibri" w:hAnsi="Calibri"/>
                <w:b/>
                <w:sz w:val="16"/>
              </w:rPr>
              <w:t>10 Años</w:t>
            </w:r>
          </w:p>
        </w:tc>
        <w:tc>
          <w:tcPr>
            <w:tcW w:type="dxa" w:w="1728"/>
            <w:tcMar>
              <w:top w:w="50" w:type="dxa"/>
              <w:bottom w:w="50" w:type="dxa"/>
              <w:left w:w="60" w:type="dxa"/>
              <w:right w:w="60" w:type="dxa"/>
            </w:tcMar>
          </w:tcPr>
          <w:p>
            <w:pPr>
              <w:jc w:val="center"/>
            </w:pPr>
            <w:r>
              <w:rPr>
                <w:rFonts w:ascii="Calibri" w:hAnsi="Calibri"/>
                <w:sz w:val="16"/>
              </w:rPr>
              <w:t>Estándar Institucional</w:t>
            </w:r>
          </w:p>
        </w:tc>
        <w:tc>
          <w:tcPr>
            <w:tcW w:type="dxa" w:w="4032"/>
            <w:tcMar>
              <w:top w:w="50" w:type="dxa"/>
              <w:bottom w:w="50" w:type="dxa"/>
              <w:left w:w="60" w:type="dxa"/>
              <w:right w:w="60" w:type="dxa"/>
            </w:tcMar>
          </w:tcPr>
          <w:p>
            <w:pPr>
              <w:jc w:val="left"/>
            </w:pPr>
            <w:r>
              <w:rPr>
                <w:rFonts w:ascii="Calibri" w:hAnsi="Calibri"/>
                <w:sz w:val="16"/>
              </w:rPr>
              <w:t>Ciclo completo de maduración y despliegue operativo.</w:t>
            </w:r>
          </w:p>
        </w:tc>
      </w:tr>
    </w:tbl>
    <w:p>
      <w:pPr>
        <w:pStyle w:val="Heading2"/>
      </w:pPr>
      <w:r>
        <w:rPr>
          <w:rFonts w:ascii="Calibri" w:hAnsi="Calibri"/>
          <w:b/>
          <w:color w:val="1B365D"/>
          <w:sz w:val="23"/>
        </w:rPr>
        <w:t>14.3. Motor Propietario de Reverse DCF &amp; Brecha de Expectativas</w:t>
      </w:r>
    </w:p>
    <w:p>
      <w:pPr>
        <w:spacing w:after="120"/>
      </w:pPr>
      <w:r>
        <w:rPr>
          <w:rFonts w:ascii="Calibri" w:hAnsi="Calibri"/>
          <w:color w:val="2D3748"/>
          <w:sz w:val="18"/>
        </w:rPr>
        <w:t>• Crecimiento Histórico SEC (CAGR 5 Años): 8.5% anual (CAGR 10A: 8.0%, CAGR 3A: 6.0%)</w:t>
        <w:br/>
        <w:t>• Guidance de Crecimiento: 10.0% anual</w:t>
        <w:br/>
        <w:t>• Crecimiento Implícito Descontado por el Precio ($338.98): 16.0% anual (con WACC 9.99%) y 20.5% (con WACC 10.9%)</w:t>
        <w:br/>
        <w:t>• Brecha de Expectativas: +7.5 pp frente al histórico y +6.0 pp frente al guidance.</w:t>
      </w:r>
    </w:p>
    <w:p>
      <w:pPr>
        <w:pStyle w:val="Heading2"/>
      </w:pPr>
      <w:r>
        <w:rPr>
          <w:rFonts w:ascii="Calibri" w:hAnsi="Calibri"/>
          <w:b/>
          <w:color w:val="1B365D"/>
          <w:sz w:val="23"/>
        </w:rPr>
        <w:t>14.4. Matriz de Sensibilidad Bidimensional (WACC vs. Perpetuidad)</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728"/>
        <w:gridCol w:w="1008"/>
        <w:gridCol w:w="1008"/>
        <w:gridCol w:w="1008"/>
        <w:gridCol w:w="1008"/>
        <w:gridCol w:w="1008"/>
        <w:gridCol w:w="1008"/>
        <w:gridCol w:w="2016"/>
      </w:tblGrid>
      <w:tr>
        <w:tc>
          <w:tcPr>
            <w:tcW w:type="dxa" w:w="1728"/>
            <w:shd w:fill="1B365D"/>
            <w:tcMar>
              <w:top w:w="80" w:type="dxa"/>
              <w:bottom w:w="80" w:type="dxa"/>
              <w:left w:w="60" w:type="dxa"/>
              <w:right w:w="60" w:type="dxa"/>
            </w:tcMar>
          </w:tcPr>
          <w:p>
            <w:pPr>
              <w:jc w:val="center"/>
            </w:pPr>
            <w:r>
              <w:rPr>
                <w:rFonts w:ascii="Calibri" w:hAnsi="Calibri"/>
                <w:b/>
                <w:color w:val="FFFFFF"/>
                <w:sz w:val="16"/>
              </w:rPr>
              <w:t>WACC / gn</w:t>
            </w:r>
          </w:p>
        </w:tc>
        <w:tc>
          <w:tcPr>
            <w:tcW w:type="dxa" w:w="1008"/>
            <w:shd w:fill="1B365D"/>
            <w:tcMar>
              <w:top w:w="80" w:type="dxa"/>
              <w:bottom w:w="80" w:type="dxa"/>
              <w:left w:w="60" w:type="dxa"/>
              <w:right w:w="60" w:type="dxa"/>
            </w:tcMar>
          </w:tcPr>
          <w:p>
            <w:pPr>
              <w:jc w:val="center"/>
            </w:pPr>
            <w:r>
              <w:rPr>
                <w:rFonts w:ascii="Calibri" w:hAnsi="Calibri"/>
                <w:b/>
                <w:color w:val="FFFFFF"/>
                <w:sz w:val="16"/>
              </w:rPr>
              <w:t>1.0%</w:t>
            </w:r>
          </w:p>
        </w:tc>
        <w:tc>
          <w:tcPr>
            <w:tcW w:type="dxa" w:w="1008"/>
            <w:shd w:fill="1B365D"/>
            <w:tcMar>
              <w:top w:w="80" w:type="dxa"/>
              <w:bottom w:w="80" w:type="dxa"/>
              <w:left w:w="60" w:type="dxa"/>
              <w:right w:w="60" w:type="dxa"/>
            </w:tcMar>
          </w:tcPr>
          <w:p>
            <w:pPr>
              <w:jc w:val="center"/>
            </w:pPr>
            <w:r>
              <w:rPr>
                <w:rFonts w:ascii="Calibri" w:hAnsi="Calibri"/>
                <w:b/>
                <w:color w:val="FFFFFF"/>
                <w:sz w:val="16"/>
              </w:rPr>
              <w:t>1.5%</w:t>
            </w:r>
          </w:p>
        </w:tc>
        <w:tc>
          <w:tcPr>
            <w:tcW w:type="dxa" w:w="1008"/>
            <w:shd w:fill="1B365D"/>
            <w:tcMar>
              <w:top w:w="80" w:type="dxa"/>
              <w:bottom w:w="80" w:type="dxa"/>
              <w:left w:w="60" w:type="dxa"/>
              <w:right w:w="60" w:type="dxa"/>
            </w:tcMar>
          </w:tcPr>
          <w:p>
            <w:pPr>
              <w:jc w:val="center"/>
            </w:pPr>
            <w:r>
              <w:rPr>
                <w:rFonts w:ascii="Calibri" w:hAnsi="Calibri"/>
                <w:b/>
                <w:color w:val="FFFFFF"/>
                <w:sz w:val="16"/>
              </w:rPr>
              <w:t>2.0%</w:t>
            </w:r>
          </w:p>
        </w:tc>
        <w:tc>
          <w:tcPr>
            <w:tcW w:type="dxa" w:w="1008"/>
            <w:shd w:fill="0A3641"/>
            <w:tcMar>
              <w:top w:w="80" w:type="dxa"/>
              <w:bottom w:w="80" w:type="dxa"/>
              <w:left w:w="60" w:type="dxa"/>
              <w:right w:w="60" w:type="dxa"/>
            </w:tcMar>
          </w:tcPr>
          <w:p>
            <w:pPr>
              <w:jc w:val="center"/>
            </w:pPr>
            <w:r>
              <w:rPr>
                <w:rFonts w:ascii="Calibri" w:hAnsi="Calibri"/>
                <w:b/>
                <w:color w:val="FFD700"/>
                <w:sz w:val="16"/>
              </w:rPr>
              <w:t>2.5%</w:t>
            </w:r>
          </w:p>
        </w:tc>
        <w:tc>
          <w:tcPr>
            <w:tcW w:type="dxa" w:w="1008"/>
            <w:shd w:fill="1B365D"/>
            <w:tcMar>
              <w:top w:w="80" w:type="dxa"/>
              <w:bottom w:w="80" w:type="dxa"/>
              <w:left w:w="60" w:type="dxa"/>
              <w:right w:w="60" w:type="dxa"/>
            </w:tcMar>
          </w:tcPr>
          <w:p>
            <w:pPr>
              <w:jc w:val="center"/>
            </w:pPr>
            <w:r>
              <w:rPr>
                <w:rFonts w:ascii="Calibri" w:hAnsi="Calibri"/>
                <w:b/>
                <w:color w:val="FFFFFF"/>
                <w:sz w:val="16"/>
              </w:rPr>
              <w:t>3.0%</w:t>
            </w:r>
          </w:p>
        </w:tc>
        <w:tc>
          <w:tcPr>
            <w:tcW w:type="dxa" w:w="1008"/>
            <w:shd w:fill="1B365D"/>
            <w:tcMar>
              <w:top w:w="80" w:type="dxa"/>
              <w:bottom w:w="80" w:type="dxa"/>
              <w:left w:w="60" w:type="dxa"/>
              <w:right w:w="60" w:type="dxa"/>
            </w:tcMar>
          </w:tcPr>
          <w:p>
            <w:pPr>
              <w:jc w:val="center"/>
            </w:pPr>
            <w:r>
              <w:rPr>
                <w:rFonts w:ascii="Calibri" w:hAnsi="Calibri"/>
                <w:b/>
                <w:color w:val="FFFFFF"/>
                <w:sz w:val="16"/>
              </w:rPr>
              <w:t>3.5%</w:t>
            </w:r>
          </w:p>
        </w:tc>
        <w:tc>
          <w:tcPr>
            <w:tcW w:type="dxa" w:w="2016"/>
            <w:shd w:fill="1B365D"/>
            <w:tcMar>
              <w:top w:w="80" w:type="dxa"/>
              <w:bottom w:w="80" w:type="dxa"/>
              <w:left w:w="60" w:type="dxa"/>
              <w:right w:w="60" w:type="dxa"/>
            </w:tcMar>
          </w:tcPr>
          <w:p>
            <w:pPr>
              <w:jc w:val="left"/>
            </w:pPr>
            <w:r>
              <w:rPr>
                <w:rFonts w:ascii="Calibri" w:hAnsi="Calibri"/>
                <w:b/>
                <w:color w:val="FFFFFF"/>
                <w:sz w:val="16"/>
              </w:rPr>
              <w:t>Diagnóstico</w:t>
            </w:r>
          </w:p>
        </w:tc>
      </w:tr>
      <w:tr>
        <w:tc>
          <w:tcPr>
            <w:tcW w:type="dxa" w:w="1728"/>
            <w:tcMar>
              <w:top w:w="50" w:type="dxa"/>
              <w:bottom w:w="50" w:type="dxa"/>
              <w:left w:w="60" w:type="dxa"/>
              <w:right w:w="60" w:type="dxa"/>
            </w:tcMar>
          </w:tcPr>
          <w:p>
            <w:pPr>
              <w:jc w:val="center"/>
            </w:pPr>
            <w:r>
              <w:rPr>
                <w:rFonts w:ascii="Calibri" w:hAnsi="Calibri"/>
                <w:b/>
                <w:sz w:val="16"/>
              </w:rPr>
              <w:t>8.99% (Bajo / Expansión)</w:t>
            </w:r>
          </w:p>
        </w:tc>
        <w:tc>
          <w:tcPr>
            <w:tcW w:type="dxa" w:w="1008"/>
            <w:tcMar>
              <w:top w:w="50" w:type="dxa"/>
              <w:bottom w:w="50" w:type="dxa"/>
              <w:left w:w="60" w:type="dxa"/>
              <w:right w:w="60" w:type="dxa"/>
            </w:tcMar>
          </w:tcPr>
          <w:p>
            <w:pPr>
              <w:jc w:val="center"/>
            </w:pPr>
            <w:r>
              <w:rPr>
                <w:rFonts w:ascii="Calibri" w:hAnsi="Calibri"/>
                <w:sz w:val="16"/>
              </w:rPr>
              <w:t>15.6%</w:t>
            </w:r>
          </w:p>
        </w:tc>
        <w:tc>
          <w:tcPr>
            <w:tcW w:type="dxa" w:w="1008"/>
            <w:tcMar>
              <w:top w:w="50" w:type="dxa"/>
              <w:bottom w:w="50" w:type="dxa"/>
              <w:left w:w="60" w:type="dxa"/>
              <w:right w:w="60" w:type="dxa"/>
            </w:tcMar>
          </w:tcPr>
          <w:p>
            <w:pPr>
              <w:jc w:val="center"/>
            </w:pPr>
            <w:r>
              <w:rPr>
                <w:rFonts w:ascii="Calibri" w:hAnsi="Calibri"/>
                <w:sz w:val="16"/>
              </w:rPr>
              <w:t>15.0%</w:t>
            </w:r>
          </w:p>
        </w:tc>
        <w:tc>
          <w:tcPr>
            <w:tcW w:type="dxa" w:w="1008"/>
            <w:tcMar>
              <w:top w:w="50" w:type="dxa"/>
              <w:bottom w:w="50" w:type="dxa"/>
              <w:left w:w="60" w:type="dxa"/>
              <w:right w:w="60" w:type="dxa"/>
            </w:tcMar>
          </w:tcPr>
          <w:p>
            <w:pPr>
              <w:jc w:val="center"/>
            </w:pPr>
            <w:r>
              <w:rPr>
                <w:rFonts w:ascii="Calibri" w:hAnsi="Calibri"/>
                <w:sz w:val="16"/>
              </w:rPr>
              <w:t>14.4%</w:t>
            </w:r>
          </w:p>
        </w:tc>
        <w:tc>
          <w:tcPr>
            <w:tcW w:type="dxa" w:w="1008"/>
            <w:tcMar>
              <w:top w:w="50" w:type="dxa"/>
              <w:bottom w:w="50" w:type="dxa"/>
              <w:left w:w="60" w:type="dxa"/>
              <w:right w:w="60" w:type="dxa"/>
            </w:tcMar>
          </w:tcPr>
          <w:p>
            <w:pPr>
              <w:jc w:val="center"/>
            </w:pPr>
            <w:r>
              <w:rPr>
                <w:rFonts w:ascii="Calibri" w:hAnsi="Calibri"/>
                <w:b/>
                <w:sz w:val="16"/>
              </w:rPr>
              <w:t>13.7%</w:t>
            </w:r>
          </w:p>
        </w:tc>
        <w:tc>
          <w:tcPr>
            <w:tcW w:type="dxa" w:w="1008"/>
            <w:tcMar>
              <w:top w:w="50" w:type="dxa"/>
              <w:bottom w:w="50" w:type="dxa"/>
              <w:left w:w="60" w:type="dxa"/>
              <w:right w:w="60" w:type="dxa"/>
            </w:tcMar>
          </w:tcPr>
          <w:p>
            <w:pPr>
              <w:jc w:val="center"/>
            </w:pPr>
            <w:r>
              <w:rPr>
                <w:rFonts w:ascii="Calibri" w:hAnsi="Calibri"/>
                <w:sz w:val="16"/>
              </w:rPr>
              <w:t>13.0%</w:t>
            </w:r>
          </w:p>
        </w:tc>
        <w:tc>
          <w:tcPr>
            <w:tcW w:type="dxa" w:w="1008"/>
            <w:tcMar>
              <w:top w:w="50" w:type="dxa"/>
              <w:bottom w:w="50" w:type="dxa"/>
              <w:left w:w="60" w:type="dxa"/>
              <w:right w:w="60" w:type="dxa"/>
            </w:tcMar>
          </w:tcPr>
          <w:p>
            <w:pPr>
              <w:jc w:val="center"/>
            </w:pPr>
            <w:r>
              <w:rPr>
                <w:rFonts w:ascii="Calibri" w:hAnsi="Calibri"/>
                <w:sz w:val="16"/>
              </w:rPr>
              <w:t>12.2%</w:t>
            </w:r>
          </w:p>
        </w:tc>
        <w:tc>
          <w:tcPr>
            <w:tcW w:type="dxa" w:w="2016"/>
            <w:tcMar>
              <w:top w:w="50" w:type="dxa"/>
              <w:bottom w:w="50" w:type="dxa"/>
              <w:left w:w="60" w:type="dxa"/>
              <w:right w:w="60" w:type="dxa"/>
            </w:tcMar>
          </w:tcPr>
          <w:p>
            <w:pPr>
              <w:jc w:val="left"/>
            </w:pPr>
            <w:r>
              <w:rPr>
                <w:rFonts w:ascii="Calibri" w:hAnsi="Calibri"/>
                <w:sz w:val="16"/>
              </w:rPr>
              <w:t>Escenario favorable; exigencia de crecimiento más moderada.</w:t>
            </w:r>
          </w:p>
        </w:tc>
      </w:tr>
      <w:tr>
        <w:tc>
          <w:tcPr>
            <w:tcW w:type="dxa" w:w="1728"/>
            <w:tcMar>
              <w:top w:w="50" w:type="dxa"/>
              <w:bottom w:w="50" w:type="dxa"/>
              <w:left w:w="60" w:type="dxa"/>
              <w:right w:w="60" w:type="dxa"/>
            </w:tcMar>
          </w:tcPr>
          <w:p>
            <w:pPr>
              <w:jc w:val="center"/>
            </w:pPr>
            <w:r>
              <w:rPr>
                <w:rFonts w:ascii="Calibri" w:hAnsi="Calibri"/>
                <w:b/>
                <w:sz w:val="16"/>
              </w:rPr>
              <w:t>9.49% (Favorable)</w:t>
            </w:r>
          </w:p>
        </w:tc>
        <w:tc>
          <w:tcPr>
            <w:tcW w:type="dxa" w:w="1008"/>
            <w:tcMar>
              <w:top w:w="50" w:type="dxa"/>
              <w:bottom w:w="50" w:type="dxa"/>
              <w:left w:w="60" w:type="dxa"/>
              <w:right w:w="60" w:type="dxa"/>
            </w:tcMar>
          </w:tcPr>
          <w:p>
            <w:pPr>
              <w:jc w:val="center"/>
            </w:pPr>
            <w:r>
              <w:rPr>
                <w:rFonts w:ascii="Calibri" w:hAnsi="Calibri"/>
                <w:sz w:val="16"/>
              </w:rPr>
              <w:t>16.7%</w:t>
            </w:r>
          </w:p>
        </w:tc>
        <w:tc>
          <w:tcPr>
            <w:tcW w:type="dxa" w:w="1008"/>
            <w:tcMar>
              <w:top w:w="50" w:type="dxa"/>
              <w:bottom w:w="50" w:type="dxa"/>
              <w:left w:w="60" w:type="dxa"/>
              <w:right w:w="60" w:type="dxa"/>
            </w:tcMar>
          </w:tcPr>
          <w:p>
            <w:pPr>
              <w:jc w:val="center"/>
            </w:pPr>
            <w:r>
              <w:rPr>
                <w:rFonts w:ascii="Calibri" w:hAnsi="Calibri"/>
                <w:sz w:val="16"/>
              </w:rPr>
              <w:t>16.1%</w:t>
            </w:r>
          </w:p>
        </w:tc>
        <w:tc>
          <w:tcPr>
            <w:tcW w:type="dxa" w:w="1008"/>
            <w:tcMar>
              <w:top w:w="50" w:type="dxa"/>
              <w:bottom w:w="50" w:type="dxa"/>
              <w:left w:w="60" w:type="dxa"/>
              <w:right w:w="60" w:type="dxa"/>
            </w:tcMar>
          </w:tcPr>
          <w:p>
            <w:pPr>
              <w:jc w:val="center"/>
            </w:pPr>
            <w:r>
              <w:rPr>
                <w:rFonts w:ascii="Calibri" w:hAnsi="Calibri"/>
                <w:sz w:val="16"/>
              </w:rPr>
              <w:t>15.5%</w:t>
            </w:r>
          </w:p>
        </w:tc>
        <w:tc>
          <w:tcPr>
            <w:tcW w:type="dxa" w:w="1008"/>
            <w:tcMar>
              <w:top w:w="50" w:type="dxa"/>
              <w:bottom w:w="50" w:type="dxa"/>
              <w:left w:w="60" w:type="dxa"/>
              <w:right w:w="60" w:type="dxa"/>
            </w:tcMar>
          </w:tcPr>
          <w:p>
            <w:pPr>
              <w:jc w:val="center"/>
            </w:pPr>
            <w:r>
              <w:rPr>
                <w:rFonts w:ascii="Calibri" w:hAnsi="Calibri"/>
                <w:b/>
                <w:sz w:val="16"/>
              </w:rPr>
              <w:t>14.9%</w:t>
            </w:r>
          </w:p>
        </w:tc>
        <w:tc>
          <w:tcPr>
            <w:tcW w:type="dxa" w:w="1008"/>
            <w:tcMar>
              <w:top w:w="50" w:type="dxa"/>
              <w:bottom w:w="50" w:type="dxa"/>
              <w:left w:w="60" w:type="dxa"/>
              <w:right w:w="60" w:type="dxa"/>
            </w:tcMar>
          </w:tcPr>
          <w:p>
            <w:pPr>
              <w:jc w:val="center"/>
            </w:pPr>
            <w:r>
              <w:rPr>
                <w:rFonts w:ascii="Calibri" w:hAnsi="Calibri"/>
                <w:sz w:val="16"/>
              </w:rPr>
              <w:t>14.2%</w:t>
            </w:r>
          </w:p>
        </w:tc>
        <w:tc>
          <w:tcPr>
            <w:tcW w:type="dxa" w:w="1008"/>
            <w:tcMar>
              <w:top w:w="50" w:type="dxa"/>
              <w:bottom w:w="50" w:type="dxa"/>
              <w:left w:w="60" w:type="dxa"/>
              <w:right w:w="60" w:type="dxa"/>
            </w:tcMar>
          </w:tcPr>
          <w:p>
            <w:pPr>
              <w:jc w:val="center"/>
            </w:pPr>
            <w:r>
              <w:rPr>
                <w:rFonts w:ascii="Calibri" w:hAnsi="Calibri"/>
                <w:sz w:val="16"/>
              </w:rPr>
              <w:t>13.4%</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9.99% (WACC Auditado Base)</w:t>
            </w:r>
          </w:p>
        </w:tc>
        <w:tc>
          <w:tcPr>
            <w:tcW w:type="dxa" w:w="1008"/>
            <w:tcMar>
              <w:top w:w="50" w:type="dxa"/>
              <w:bottom w:w="50" w:type="dxa"/>
              <w:left w:w="60" w:type="dxa"/>
              <w:right w:w="60" w:type="dxa"/>
            </w:tcMar>
          </w:tcPr>
          <w:p>
            <w:pPr>
              <w:jc w:val="center"/>
            </w:pPr>
            <w:r>
              <w:rPr>
                <w:rFonts w:ascii="Calibri" w:hAnsi="Calibri"/>
                <w:sz w:val="16"/>
              </w:rPr>
              <w:t>17.7%</w:t>
            </w:r>
          </w:p>
        </w:tc>
        <w:tc>
          <w:tcPr>
            <w:tcW w:type="dxa" w:w="1008"/>
            <w:tcMar>
              <w:top w:w="50" w:type="dxa"/>
              <w:bottom w:w="50" w:type="dxa"/>
              <w:left w:w="60" w:type="dxa"/>
              <w:right w:w="60" w:type="dxa"/>
            </w:tcMar>
          </w:tcPr>
          <w:p>
            <w:pPr>
              <w:jc w:val="center"/>
            </w:pPr>
            <w:r>
              <w:rPr>
                <w:rFonts w:ascii="Calibri" w:hAnsi="Calibri"/>
                <w:sz w:val="16"/>
              </w:rPr>
              <w:t>17.2%</w:t>
            </w:r>
          </w:p>
        </w:tc>
        <w:tc>
          <w:tcPr>
            <w:tcW w:type="dxa" w:w="1008"/>
            <w:tcMar>
              <w:top w:w="50" w:type="dxa"/>
              <w:bottom w:w="50" w:type="dxa"/>
              <w:left w:w="60" w:type="dxa"/>
              <w:right w:w="60" w:type="dxa"/>
            </w:tcMar>
          </w:tcPr>
          <w:p>
            <w:pPr>
              <w:jc w:val="center"/>
            </w:pPr>
            <w:r>
              <w:rPr>
                <w:rFonts w:ascii="Calibri" w:hAnsi="Calibri"/>
                <w:sz w:val="16"/>
              </w:rPr>
              <w:t>16.6%</w:t>
            </w:r>
          </w:p>
        </w:tc>
        <w:tc>
          <w:tcPr>
            <w:tcW w:type="dxa" w:w="1008"/>
            <w:tcMar>
              <w:top w:w="50" w:type="dxa"/>
              <w:bottom w:w="50" w:type="dxa"/>
              <w:left w:w="60" w:type="dxa"/>
              <w:right w:w="60" w:type="dxa"/>
            </w:tcMar>
          </w:tcPr>
          <w:p>
            <w:pPr>
              <w:jc w:val="center"/>
            </w:pPr>
            <w:r>
              <w:rPr>
                <w:rFonts w:ascii="Calibri" w:hAnsi="Calibri"/>
                <w:b/>
                <w:sz w:val="16"/>
              </w:rPr>
              <w:t>16.0%</w:t>
            </w:r>
          </w:p>
        </w:tc>
        <w:tc>
          <w:tcPr>
            <w:tcW w:type="dxa" w:w="1008"/>
            <w:tcMar>
              <w:top w:w="50" w:type="dxa"/>
              <w:bottom w:w="50" w:type="dxa"/>
              <w:left w:w="60" w:type="dxa"/>
              <w:right w:w="60" w:type="dxa"/>
            </w:tcMar>
          </w:tcPr>
          <w:p>
            <w:pPr>
              <w:jc w:val="center"/>
            </w:pPr>
            <w:r>
              <w:rPr>
                <w:rFonts w:ascii="Calibri" w:hAnsi="Calibri"/>
                <w:sz w:val="16"/>
              </w:rPr>
              <w:t>15.4%</w:t>
            </w:r>
          </w:p>
        </w:tc>
        <w:tc>
          <w:tcPr>
            <w:tcW w:type="dxa" w:w="1008"/>
            <w:tcMar>
              <w:top w:w="50" w:type="dxa"/>
              <w:bottom w:w="50" w:type="dxa"/>
              <w:left w:w="60" w:type="dxa"/>
              <w:right w:w="60" w:type="dxa"/>
            </w:tcMar>
          </w:tcPr>
          <w:p>
            <w:pPr>
              <w:jc w:val="center"/>
            </w:pPr>
            <w:r>
              <w:rPr>
                <w:rFonts w:ascii="Calibri" w:hAnsi="Calibri"/>
                <w:sz w:val="16"/>
              </w:rPr>
              <w:t>14.7%</w:t>
            </w:r>
          </w:p>
        </w:tc>
        <w:tc>
          <w:tcPr>
            <w:tcW w:type="dxa" w:w="2016"/>
            <w:tcMar>
              <w:top w:w="50" w:type="dxa"/>
              <w:bottom w:w="50" w:type="dxa"/>
              <w:left w:w="60" w:type="dxa"/>
              <w:right w:w="60" w:type="dxa"/>
            </w:tcMar>
          </w:tcPr>
          <w:p>
            <w:pPr>
              <w:jc w:val="left"/>
            </w:pPr>
            <w:r>
              <w:rPr>
                <w:rFonts w:ascii="Calibri" w:hAnsi="Calibri"/>
                <w:sz w:val="16"/>
              </w:rPr>
              <w:t>ESCENARIO CENTRAL: Crecimiento implícito real de mercado.</w:t>
            </w:r>
          </w:p>
        </w:tc>
      </w:tr>
      <w:tr>
        <w:tc>
          <w:tcPr>
            <w:tcW w:type="dxa" w:w="1728"/>
            <w:tcMar>
              <w:top w:w="50" w:type="dxa"/>
              <w:bottom w:w="50" w:type="dxa"/>
              <w:left w:w="60" w:type="dxa"/>
              <w:right w:w="60" w:type="dxa"/>
            </w:tcMar>
          </w:tcPr>
          <w:p>
            <w:pPr>
              <w:jc w:val="center"/>
            </w:pPr>
            <w:r>
              <w:rPr>
                <w:rFonts w:ascii="Calibri" w:hAnsi="Calibri"/>
                <w:b/>
                <w:sz w:val="16"/>
              </w:rPr>
              <w:t>10.49% (Exigente)</w:t>
            </w:r>
          </w:p>
        </w:tc>
        <w:tc>
          <w:tcPr>
            <w:tcW w:type="dxa" w:w="1008"/>
            <w:tcMar>
              <w:top w:w="50" w:type="dxa"/>
              <w:bottom w:w="50" w:type="dxa"/>
              <w:left w:w="60" w:type="dxa"/>
              <w:right w:w="60" w:type="dxa"/>
            </w:tcMar>
          </w:tcPr>
          <w:p>
            <w:pPr>
              <w:jc w:val="center"/>
            </w:pPr>
            <w:r>
              <w:rPr>
                <w:rFonts w:ascii="Calibri" w:hAnsi="Calibri"/>
                <w:sz w:val="16"/>
              </w:rPr>
              <w:t>18.7%</w:t>
            </w:r>
          </w:p>
        </w:tc>
        <w:tc>
          <w:tcPr>
            <w:tcW w:type="dxa" w:w="1008"/>
            <w:tcMar>
              <w:top w:w="50" w:type="dxa"/>
              <w:bottom w:w="50" w:type="dxa"/>
              <w:left w:w="60" w:type="dxa"/>
              <w:right w:w="60" w:type="dxa"/>
            </w:tcMar>
          </w:tcPr>
          <w:p>
            <w:pPr>
              <w:jc w:val="center"/>
            </w:pPr>
            <w:r>
              <w:rPr>
                <w:rFonts w:ascii="Calibri" w:hAnsi="Calibri"/>
                <w:sz w:val="16"/>
              </w:rPr>
              <w:t>18.2%</w:t>
            </w:r>
          </w:p>
        </w:tc>
        <w:tc>
          <w:tcPr>
            <w:tcW w:type="dxa" w:w="1008"/>
            <w:tcMar>
              <w:top w:w="50" w:type="dxa"/>
              <w:bottom w:w="50" w:type="dxa"/>
              <w:left w:w="60" w:type="dxa"/>
              <w:right w:w="60" w:type="dxa"/>
            </w:tcMar>
          </w:tcPr>
          <w:p>
            <w:pPr>
              <w:jc w:val="center"/>
            </w:pPr>
            <w:r>
              <w:rPr>
                <w:rFonts w:ascii="Calibri" w:hAnsi="Calibri"/>
                <w:sz w:val="16"/>
              </w:rPr>
              <w:t>17.7%</w:t>
            </w:r>
          </w:p>
        </w:tc>
        <w:tc>
          <w:tcPr>
            <w:tcW w:type="dxa" w:w="1008"/>
            <w:tcMar>
              <w:top w:w="50" w:type="dxa"/>
              <w:bottom w:w="50" w:type="dxa"/>
              <w:left w:w="60" w:type="dxa"/>
              <w:right w:w="60" w:type="dxa"/>
            </w:tcMar>
          </w:tcPr>
          <w:p>
            <w:pPr>
              <w:jc w:val="center"/>
            </w:pPr>
            <w:r>
              <w:rPr>
                <w:rFonts w:ascii="Calibri" w:hAnsi="Calibri"/>
                <w:b/>
                <w:sz w:val="16"/>
              </w:rPr>
              <w:t>17.1%</w:t>
            </w:r>
          </w:p>
        </w:tc>
        <w:tc>
          <w:tcPr>
            <w:tcW w:type="dxa" w:w="1008"/>
            <w:tcMar>
              <w:top w:w="50" w:type="dxa"/>
              <w:bottom w:w="50" w:type="dxa"/>
              <w:left w:w="60" w:type="dxa"/>
              <w:right w:w="60" w:type="dxa"/>
            </w:tcMar>
          </w:tcPr>
          <w:p>
            <w:pPr>
              <w:jc w:val="center"/>
            </w:pPr>
            <w:r>
              <w:rPr>
                <w:rFonts w:ascii="Calibri" w:hAnsi="Calibri"/>
                <w:sz w:val="16"/>
              </w:rPr>
              <w:t>16.5%</w:t>
            </w:r>
          </w:p>
        </w:tc>
        <w:tc>
          <w:tcPr>
            <w:tcW w:type="dxa" w:w="1008"/>
            <w:tcMar>
              <w:top w:w="50" w:type="dxa"/>
              <w:bottom w:w="50" w:type="dxa"/>
              <w:left w:w="60" w:type="dxa"/>
              <w:right w:w="60" w:type="dxa"/>
            </w:tcMar>
          </w:tcPr>
          <w:p>
            <w:pPr>
              <w:jc w:val="center"/>
            </w:pPr>
            <w:r>
              <w:rPr>
                <w:rFonts w:ascii="Calibri" w:hAnsi="Calibri"/>
                <w:sz w:val="16"/>
              </w:rPr>
              <w:t>15.8%</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10.99% (Estrés / Tipos Altos)</w:t>
            </w:r>
          </w:p>
        </w:tc>
        <w:tc>
          <w:tcPr>
            <w:tcW w:type="dxa" w:w="1008"/>
            <w:tcMar>
              <w:top w:w="50" w:type="dxa"/>
              <w:bottom w:w="50" w:type="dxa"/>
              <w:left w:w="60" w:type="dxa"/>
              <w:right w:w="60" w:type="dxa"/>
            </w:tcMar>
          </w:tcPr>
          <w:p>
            <w:pPr>
              <w:jc w:val="center"/>
            </w:pPr>
            <w:r>
              <w:rPr>
                <w:rFonts w:ascii="Calibri" w:hAnsi="Calibri"/>
                <w:sz w:val="16"/>
              </w:rPr>
              <w:t>19.6%</w:t>
            </w:r>
          </w:p>
        </w:tc>
        <w:tc>
          <w:tcPr>
            <w:tcW w:type="dxa" w:w="1008"/>
            <w:tcMar>
              <w:top w:w="50" w:type="dxa"/>
              <w:bottom w:w="50" w:type="dxa"/>
              <w:left w:w="60" w:type="dxa"/>
              <w:right w:w="60" w:type="dxa"/>
            </w:tcMar>
          </w:tcPr>
          <w:p>
            <w:pPr>
              <w:jc w:val="center"/>
            </w:pPr>
            <w:r>
              <w:rPr>
                <w:rFonts w:ascii="Calibri" w:hAnsi="Calibri"/>
                <w:sz w:val="16"/>
              </w:rPr>
              <w:t>19.2%</w:t>
            </w:r>
          </w:p>
        </w:tc>
        <w:tc>
          <w:tcPr>
            <w:tcW w:type="dxa" w:w="1008"/>
            <w:tcMar>
              <w:top w:w="50" w:type="dxa"/>
              <w:bottom w:w="50" w:type="dxa"/>
              <w:left w:w="60" w:type="dxa"/>
              <w:right w:w="60" w:type="dxa"/>
            </w:tcMar>
          </w:tcPr>
          <w:p>
            <w:pPr>
              <w:jc w:val="center"/>
            </w:pPr>
            <w:r>
              <w:rPr>
                <w:rFonts w:ascii="Calibri" w:hAnsi="Calibri"/>
                <w:sz w:val="16"/>
              </w:rPr>
              <w:t>18.7%</w:t>
            </w:r>
          </w:p>
        </w:tc>
        <w:tc>
          <w:tcPr>
            <w:tcW w:type="dxa" w:w="1008"/>
            <w:tcMar>
              <w:top w:w="50" w:type="dxa"/>
              <w:bottom w:w="50" w:type="dxa"/>
              <w:left w:w="60" w:type="dxa"/>
              <w:right w:w="60" w:type="dxa"/>
            </w:tcMar>
          </w:tcPr>
          <w:p>
            <w:pPr>
              <w:jc w:val="center"/>
            </w:pPr>
            <w:r>
              <w:rPr>
                <w:rFonts w:ascii="Calibri" w:hAnsi="Calibri"/>
                <w:b/>
                <w:sz w:val="16"/>
              </w:rPr>
              <w:t>18.1%</w:t>
            </w:r>
          </w:p>
        </w:tc>
        <w:tc>
          <w:tcPr>
            <w:tcW w:type="dxa" w:w="1008"/>
            <w:tcMar>
              <w:top w:w="50" w:type="dxa"/>
              <w:bottom w:w="50" w:type="dxa"/>
              <w:left w:w="60" w:type="dxa"/>
              <w:right w:w="60" w:type="dxa"/>
            </w:tcMar>
          </w:tcPr>
          <w:p>
            <w:pPr>
              <w:jc w:val="center"/>
            </w:pPr>
            <w:r>
              <w:rPr>
                <w:rFonts w:ascii="Calibri" w:hAnsi="Calibri"/>
                <w:sz w:val="16"/>
              </w:rPr>
              <w:t>17.6%</w:t>
            </w:r>
          </w:p>
        </w:tc>
        <w:tc>
          <w:tcPr>
            <w:tcW w:type="dxa" w:w="1008"/>
            <w:tcMar>
              <w:top w:w="50" w:type="dxa"/>
              <w:bottom w:w="50" w:type="dxa"/>
              <w:left w:w="60" w:type="dxa"/>
              <w:right w:w="60" w:type="dxa"/>
            </w:tcMar>
          </w:tcPr>
          <w:p>
            <w:pPr>
              <w:jc w:val="center"/>
            </w:pPr>
            <w:r>
              <w:rPr>
                <w:rFonts w:ascii="Calibri" w:hAnsi="Calibri"/>
                <w:sz w:val="16"/>
              </w:rPr>
              <w:t>17.0%</w:t>
            </w:r>
          </w:p>
        </w:tc>
        <w:tc>
          <w:tcPr>
            <w:tcW w:type="dxa" w:w="2016"/>
            <w:tcMar>
              <w:top w:w="50" w:type="dxa"/>
              <w:bottom w:w="50" w:type="dxa"/>
              <w:left w:w="60" w:type="dxa"/>
              <w:right w:w="60" w:type="dxa"/>
            </w:tcMar>
          </w:tcPr>
          <w:p>
            <w:pPr>
              <w:jc w:val="left"/>
            </w:pPr>
            <w:r>
              <w:rPr>
                <w:rFonts w:ascii="Calibri" w:hAnsi="Calibri"/>
                <w:sz w:val="16"/>
              </w:rPr>
              <w:t>Vulnerabilidad a correcciones si el coste de capital aumenta.</w:t>
            </w:r>
          </w:p>
        </w:tc>
      </w:tr>
    </w:tbl>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880"/>
        <w:gridCol w:w="1872"/>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Dimensión Fundamental</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Auditado</w:t>
            </w:r>
          </w:p>
        </w:tc>
        <w:tc>
          <w:tcPr>
            <w:tcW w:type="dxa" w:w="1872"/>
            <w:shd w:fill="1B365D"/>
            <w:tcMar>
              <w:top w:w="80" w:type="dxa"/>
              <w:bottom w:w="80" w:type="dxa"/>
              <w:left w:w="80" w:type="dxa"/>
              <w:right w:w="80" w:type="dxa"/>
            </w:tcMar>
          </w:tcPr>
          <w:p>
            <w:pPr>
              <w:jc w:val="center"/>
            </w:pPr>
            <w:r>
              <w:rPr>
                <w:rFonts w:ascii="Calibri" w:hAnsi="Calibri"/>
                <w:b/>
                <w:color w:val="FFFFFF"/>
                <w:sz w:val="17"/>
              </w:rPr>
              <w:t>Calificación</w:t>
            </w:r>
          </w:p>
        </w:tc>
        <w:tc>
          <w:tcPr>
            <w:tcW w:type="dxa" w:w="2880"/>
            <w:shd w:fill="1B365D"/>
            <w:tcMar>
              <w:top w:w="80" w:type="dxa"/>
              <w:bottom w:w="80" w:type="dxa"/>
              <w:left w:w="80" w:type="dxa"/>
              <w:right w:w="80" w:type="dxa"/>
            </w:tcMar>
          </w:tcPr>
          <w:p>
            <w:pPr>
              <w:jc w:val="left"/>
            </w:pPr>
            <w:r>
              <w:rPr>
                <w:rFonts w:ascii="Calibri" w:hAnsi="Calibri"/>
                <w:b/>
                <w:color w:val="FFFFFF"/>
                <w:sz w:val="17"/>
              </w:rPr>
              <w:t>Veredicto de Asignación</w:t>
            </w:r>
          </w:p>
        </w:tc>
      </w:tr>
      <w:tr>
        <w:tc>
          <w:tcPr>
            <w:tcW w:type="dxa" w:w="2160"/>
            <w:tcMar>
              <w:top w:w="50" w:type="dxa"/>
              <w:bottom w:w="50" w:type="dxa"/>
              <w:left w:w="60" w:type="dxa"/>
              <w:right w:w="60" w:type="dxa"/>
            </w:tcMar>
          </w:tcPr>
          <w:p>
            <w:pPr>
              <w:jc w:val="left"/>
            </w:pPr>
            <w:r>
              <w:rPr>
                <w:rFonts w:ascii="Calibri" w:hAnsi="Calibri"/>
                <w:b/>
                <w:sz w:val="16"/>
              </w:rPr>
              <w:t>Ventaja Competitiva (Moat)</w:t>
            </w:r>
          </w:p>
        </w:tc>
        <w:tc>
          <w:tcPr>
            <w:tcW w:type="dxa" w:w="2880"/>
            <w:tcMar>
              <w:top w:w="50" w:type="dxa"/>
              <w:bottom w:w="50" w:type="dxa"/>
              <w:left w:w="60" w:type="dxa"/>
              <w:right w:w="60" w:type="dxa"/>
            </w:tcMar>
          </w:tcPr>
          <w:p>
            <w:pPr>
              <w:jc w:val="left"/>
            </w:pPr>
            <w:r>
              <w:rPr>
                <w:rFonts w:ascii="Calibri" w:hAnsi="Calibri"/>
                <w:sz w:val="16"/>
              </w:rPr>
              <w:t>Costes de Cambio (Switching Costs) + Activos Intangibles y Marca</w:t>
            </w:r>
          </w:p>
        </w:tc>
        <w:tc>
          <w:tcPr>
            <w:tcW w:type="dxa" w:w="1872"/>
            <w:tcMar>
              <w:top w:w="50" w:type="dxa"/>
              <w:bottom w:w="50" w:type="dxa"/>
              <w:left w:w="60" w:type="dxa"/>
              <w:right w:w="60" w:type="dxa"/>
            </w:tcMar>
          </w:tcPr>
          <w:p>
            <w:pPr>
              <w:jc w:val="center"/>
            </w:pPr>
            <w:r>
              <w:rPr>
                <w:rFonts w:ascii="Calibri" w:hAnsi="Calibri"/>
                <w:b/>
                <w:sz w:val="16"/>
              </w:rPr>
              <w:t>WIDE MOAT</w:t>
            </w:r>
          </w:p>
        </w:tc>
        <w:tc>
          <w:tcPr>
            <w:tcW w:type="dxa" w:w="2880"/>
            <w:tcMar>
              <w:top w:w="50" w:type="dxa"/>
              <w:bottom w:w="50" w:type="dxa"/>
              <w:left w:w="60" w:type="dxa"/>
              <w:right w:w="60" w:type="dxa"/>
            </w:tcMar>
          </w:tcPr>
          <w:p>
            <w:pPr>
              <w:jc w:val="left"/>
            </w:pPr>
            <w:r>
              <w:rPr>
                <w:rFonts w:ascii="Calibri" w:hAnsi="Calibri"/>
                <w:sz w:val="16"/>
              </w:rPr>
              <w:t>Poder de fijación de precios y resiliencia de márgenes (33.2% EBIT).</w:t>
            </w:r>
          </w:p>
        </w:tc>
      </w:tr>
      <w:tr>
        <w:tc>
          <w:tcPr>
            <w:tcW w:type="dxa" w:w="2160"/>
            <w:tcMar>
              <w:top w:w="50" w:type="dxa"/>
              <w:bottom w:w="50" w:type="dxa"/>
              <w:left w:w="60" w:type="dxa"/>
              <w:right w:w="60" w:type="dxa"/>
            </w:tcMar>
          </w:tcPr>
          <w:p>
            <w:pPr>
              <w:jc w:val="left"/>
            </w:pPr>
            <w:r>
              <w:rPr>
                <w:rFonts w:ascii="Calibri" w:hAnsi="Calibri"/>
                <w:b/>
                <w:sz w:val="16"/>
              </w:rPr>
              <w:t>Calidad de Beneficios</w:t>
            </w:r>
          </w:p>
        </w:tc>
        <w:tc>
          <w:tcPr>
            <w:tcW w:type="dxa" w:w="2880"/>
            <w:tcMar>
              <w:top w:w="50" w:type="dxa"/>
              <w:bottom w:w="50" w:type="dxa"/>
              <w:left w:w="60" w:type="dxa"/>
              <w:right w:w="60" w:type="dxa"/>
            </w:tcMar>
          </w:tcPr>
          <w:p>
            <w:pPr>
              <w:jc w:val="left"/>
            </w:pPr>
            <w:r>
              <w:rPr>
                <w:rFonts w:ascii="Calibri" w:hAnsi="Calibri"/>
                <w:sz w:val="16"/>
              </w:rPr>
              <w:t>Ratio Sloan: -4.79% / Montier: 1/6</w:t>
            </w:r>
          </w:p>
        </w:tc>
        <w:tc>
          <w:tcPr>
            <w:tcW w:type="dxa" w:w="1872"/>
            <w:tcMar>
              <w:top w:w="50" w:type="dxa"/>
              <w:bottom w:w="50" w:type="dxa"/>
              <w:left w:w="60" w:type="dxa"/>
              <w:right w:w="60" w:type="dxa"/>
            </w:tcMar>
          </w:tcPr>
          <w:p>
            <w:pPr>
              <w:jc w:val="center"/>
            </w:pPr>
            <w:r>
              <w:rPr>
                <w:rFonts w:ascii="Calibri" w:hAnsi="Calibri"/>
                <w:b/>
                <w:sz w:val="16"/>
              </w:rPr>
              <w:t>MÁXIMA CALIDAD</w:t>
            </w:r>
          </w:p>
        </w:tc>
        <w:tc>
          <w:tcPr>
            <w:tcW w:type="dxa" w:w="2880"/>
            <w:tcMar>
              <w:top w:w="50" w:type="dxa"/>
              <w:bottom w:w="50" w:type="dxa"/>
              <w:left w:w="60" w:type="dxa"/>
              <w:right w:w="60" w:type="dxa"/>
            </w:tcMar>
          </w:tcPr>
          <w:p>
            <w:pPr>
              <w:jc w:val="left"/>
            </w:pPr>
            <w:r>
              <w:rPr>
                <w:rFonts w:ascii="Calibri" w:hAnsi="Calibri"/>
                <w:sz w:val="16"/>
              </w:rPr>
              <w:t>Ganancias 100% avaladas por caja real ($1.14 CFO por dólar de NI).</w:t>
            </w:r>
          </w:p>
        </w:tc>
      </w:tr>
      <w:tr>
        <w:tc>
          <w:tcPr>
            <w:tcW w:type="dxa" w:w="2160"/>
            <w:tcMar>
              <w:top w:w="50" w:type="dxa"/>
              <w:bottom w:w="50" w:type="dxa"/>
              <w:left w:w="60" w:type="dxa"/>
              <w:right w:w="60" w:type="dxa"/>
            </w:tcMar>
          </w:tcPr>
          <w:p>
            <w:pPr>
              <w:jc w:val="left"/>
            </w:pPr>
            <w:r>
              <w:rPr>
                <w:rFonts w:ascii="Calibri" w:hAnsi="Calibri"/>
                <w:b/>
                <w:sz w:val="16"/>
              </w:rPr>
              <w:t>Solvencia y Estructura</w:t>
            </w:r>
          </w:p>
        </w:tc>
        <w:tc>
          <w:tcPr>
            <w:tcW w:type="dxa" w:w="2880"/>
            <w:tcMar>
              <w:top w:w="50" w:type="dxa"/>
              <w:bottom w:w="50" w:type="dxa"/>
              <w:left w:w="60" w:type="dxa"/>
              <w:right w:w="60" w:type="dxa"/>
            </w:tcMar>
          </w:tcPr>
          <w:p>
            <w:pPr>
              <w:jc w:val="left"/>
            </w:pPr>
            <w:r>
              <w:rPr>
                <w:rFonts w:ascii="Calibri" w:hAnsi="Calibri"/>
                <w:sz w:val="16"/>
              </w:rPr>
              <w:t>Cobertura EBIT: 41.8x / Altman Z'': 3.23</w:t>
            </w:r>
          </w:p>
        </w:tc>
        <w:tc>
          <w:tcPr>
            <w:tcW w:type="dxa" w:w="1872"/>
            <w:tcMar>
              <w:top w:w="50" w:type="dxa"/>
              <w:bottom w:w="50" w:type="dxa"/>
              <w:left w:w="60" w:type="dxa"/>
              <w:right w:w="60" w:type="dxa"/>
            </w:tcMar>
          </w:tcPr>
          <w:p>
            <w:pPr>
              <w:jc w:val="center"/>
            </w:pPr>
            <w:r>
              <w:rPr>
                <w:rFonts w:ascii="Calibri" w:hAnsi="Calibri"/>
                <w:b/>
                <w:sz w:val="16"/>
              </w:rPr>
              <w:t>SINTÉTICO AAA</w:t>
            </w:r>
          </w:p>
        </w:tc>
        <w:tc>
          <w:tcPr>
            <w:tcW w:type="dxa" w:w="2880"/>
            <w:tcMar>
              <w:top w:w="50" w:type="dxa"/>
              <w:bottom w:w="50" w:type="dxa"/>
              <w:left w:w="60" w:type="dxa"/>
              <w:right w:w="60" w:type="dxa"/>
            </w:tcMar>
          </w:tcPr>
          <w:p>
            <w:pPr>
              <w:jc w:val="left"/>
            </w:pPr>
            <w:r>
              <w:rPr>
                <w:rFonts w:ascii="Calibri" w:hAnsi="Calibri"/>
                <w:sz w:val="16"/>
              </w:rPr>
              <w:t>Cero estrés financiero; colchón de liquidez de $39.5B.</w:t>
            </w:r>
          </w:p>
        </w:tc>
      </w:tr>
      <w:tr>
        <w:tc>
          <w:tcPr>
            <w:tcW w:type="dxa" w:w="2160"/>
            <w:tcMar>
              <w:top w:w="50" w:type="dxa"/>
              <w:bottom w:w="50" w:type="dxa"/>
              <w:left w:w="60" w:type="dxa"/>
              <w:right w:w="60" w:type="dxa"/>
            </w:tcMar>
          </w:tcPr>
          <w:p>
            <w:pPr>
              <w:jc w:val="left"/>
            </w:pPr>
            <w:r>
              <w:rPr>
                <w:rFonts w:ascii="Calibri" w:hAnsi="Calibri"/>
                <w:b/>
                <w:sz w:val="16"/>
              </w:rPr>
              <w:t>Productividad del Capital</w:t>
            </w:r>
          </w:p>
        </w:tc>
        <w:tc>
          <w:tcPr>
            <w:tcW w:type="dxa" w:w="2880"/>
            <w:tcMar>
              <w:top w:w="50" w:type="dxa"/>
              <w:bottom w:w="50" w:type="dxa"/>
              <w:left w:w="60" w:type="dxa"/>
              <w:right w:w="60" w:type="dxa"/>
            </w:tcMar>
          </w:tcPr>
          <w:p>
            <w:pPr>
              <w:jc w:val="left"/>
            </w:pPr>
            <w:r>
              <w:rPr>
                <w:rFonts w:ascii="Calibri" w:hAnsi="Calibri"/>
                <w:sz w:val="16"/>
              </w:rPr>
              <w:t>ROC Greenblatt: 305.9% / ROIC Adj: 52.7%</w:t>
            </w:r>
          </w:p>
        </w:tc>
        <w:tc>
          <w:tcPr>
            <w:tcW w:type="dxa" w:w="1872"/>
            <w:tcMar>
              <w:top w:w="50" w:type="dxa"/>
              <w:bottom w:w="50" w:type="dxa"/>
              <w:left w:w="60" w:type="dxa"/>
              <w:right w:w="60" w:type="dxa"/>
            </w:tcMar>
          </w:tcPr>
          <w:p>
            <w:pPr>
              <w:jc w:val="center"/>
            </w:pPr>
            <w:r>
              <w:rPr>
                <w:rFonts w:ascii="Calibri" w:hAnsi="Calibri"/>
                <w:b/>
                <w:sz w:val="16"/>
              </w:rPr>
              <w:t>COMPOUNDING MACHINE</w:t>
            </w:r>
          </w:p>
        </w:tc>
        <w:tc>
          <w:tcPr>
            <w:tcW w:type="dxa" w:w="2880"/>
            <w:tcMar>
              <w:top w:w="50" w:type="dxa"/>
              <w:bottom w:w="50" w:type="dxa"/>
              <w:left w:w="60" w:type="dxa"/>
              <w:right w:w="60" w:type="dxa"/>
            </w:tcMar>
          </w:tcPr>
          <w:p>
            <w:pPr>
              <w:jc w:val="left"/>
            </w:pPr>
            <w:r>
              <w:rPr>
                <w:rFonts w:ascii="Calibri" w:hAnsi="Calibri"/>
                <w:sz w:val="16"/>
              </w:rPr>
              <w:t>Spread económico de +42.7 pp sobre WACC (Creación de valor de élite).</w:t>
            </w:r>
          </w:p>
        </w:tc>
      </w:tr>
      <w:tr>
        <w:tc>
          <w:tcPr>
            <w:tcW w:type="dxa" w:w="2160"/>
            <w:tcMar>
              <w:top w:w="50" w:type="dxa"/>
              <w:bottom w:w="50" w:type="dxa"/>
              <w:left w:w="60" w:type="dxa"/>
              <w:right w:w="60" w:type="dxa"/>
            </w:tcMar>
          </w:tcPr>
          <w:p>
            <w:pPr>
              <w:jc w:val="left"/>
            </w:pPr>
            <w:r>
              <w:rPr>
                <w:rFonts w:ascii="Calibri" w:hAnsi="Calibri"/>
                <w:b/>
                <w:sz w:val="16"/>
              </w:rPr>
              <w:t>Valoración de Mercado</w:t>
            </w:r>
          </w:p>
        </w:tc>
        <w:tc>
          <w:tcPr>
            <w:tcW w:type="dxa" w:w="2880"/>
            <w:tcMar>
              <w:top w:w="50" w:type="dxa"/>
              <w:bottom w:w="50" w:type="dxa"/>
              <w:left w:w="60" w:type="dxa"/>
              <w:right w:w="60" w:type="dxa"/>
            </w:tcMar>
          </w:tcPr>
          <w:p>
            <w:pPr>
              <w:jc w:val="left"/>
            </w:pPr>
            <w:r>
              <w:rPr>
                <w:rFonts w:ascii="Calibri" w:hAnsi="Calibri"/>
                <w:sz w:val="16"/>
              </w:rPr>
              <w:t>Crecimiento Implícito: 16.0% - 20.5%</w:t>
            </w:r>
          </w:p>
        </w:tc>
        <w:tc>
          <w:tcPr>
            <w:tcW w:type="dxa" w:w="1872"/>
            <w:tcMar>
              <w:top w:w="50" w:type="dxa"/>
              <w:bottom w:w="50" w:type="dxa"/>
              <w:left w:w="60" w:type="dxa"/>
              <w:right w:w="60" w:type="dxa"/>
            </w:tcMar>
          </w:tcPr>
          <w:p>
            <w:pPr>
              <w:jc w:val="center"/>
            </w:pPr>
            <w:r>
              <w:rPr>
                <w:rFonts w:ascii="Calibri" w:hAnsi="Calibri"/>
                <w:b/>
                <w:sz w:val="16"/>
              </w:rPr>
              <w:t>PRICED FOR PERFECTION</w:t>
            </w:r>
          </w:p>
        </w:tc>
        <w:tc>
          <w:tcPr>
            <w:tcW w:type="dxa" w:w="2880"/>
            <w:tcMar>
              <w:top w:w="50" w:type="dxa"/>
              <w:bottom w:w="50" w:type="dxa"/>
              <w:left w:w="60" w:type="dxa"/>
              <w:right w:w="60" w:type="dxa"/>
            </w:tcMar>
          </w:tcPr>
          <w:p>
            <w:pPr>
              <w:jc w:val="left"/>
            </w:pPr>
            <w:r>
              <w:rPr>
                <w:rFonts w:ascii="Calibri" w:hAnsi="Calibri"/>
                <w:sz w:val="16"/>
              </w:rPr>
              <w:t>Exigencia de crecimiento ambiciosa; requiere catalizadores en IA y Servicios.</w:t>
            </w:r>
          </w:p>
        </w:tc>
      </w:tr>
    </w:tbl>
    <w:p>
      <w:pPr>
        <w:spacing w:after="160"/>
      </w:pPr>
    </w:p>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